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D4E" w:rsidP="00437FEA" w:rsidRDefault="00A37688" w14:paraId="21A000E4" w14:textId="4CDA04E2">
      <w:pPr>
        <w:ind w:left="1440" w:firstLine="720"/>
        <w:rPr>
          <w:rFonts w:asciiTheme="minorHAnsi" w:hAnsiTheme="minorHAnsi" w:cstheme="minorHAnsi"/>
          <w:sz w:val="22"/>
          <w:szCs w:val="22"/>
        </w:rPr>
      </w:pPr>
      <w:r>
        <w:rPr>
          <w:rFonts w:asciiTheme="minorHAnsi" w:hAnsiTheme="minorHAnsi" w:cstheme="minorHAnsi"/>
          <w:sz w:val="22"/>
          <w:szCs w:val="22"/>
        </w:rPr>
        <w:tab/>
      </w:r>
    </w:p>
    <w:p w:rsidR="00535D4E" w:rsidP="00437FEA" w:rsidRDefault="00535D4E" w14:paraId="7B8A1044" w14:textId="77777777">
      <w:pPr>
        <w:ind w:left="1440" w:firstLine="720"/>
        <w:rPr>
          <w:rFonts w:asciiTheme="minorHAnsi" w:hAnsiTheme="minorHAnsi" w:cstheme="minorHAnsi"/>
          <w:sz w:val="22"/>
          <w:szCs w:val="22"/>
        </w:rPr>
      </w:pPr>
    </w:p>
    <w:p w:rsidR="00535D4E" w:rsidP="00437FEA" w:rsidRDefault="00535D4E" w14:paraId="3F298A84" w14:textId="77777777">
      <w:pPr>
        <w:ind w:left="1440" w:firstLine="720"/>
        <w:rPr>
          <w:rFonts w:asciiTheme="minorHAnsi" w:hAnsiTheme="minorHAnsi" w:cstheme="minorHAnsi"/>
          <w:sz w:val="22"/>
          <w:szCs w:val="22"/>
        </w:rPr>
      </w:pPr>
    </w:p>
    <w:p w:rsidR="005C3DC2" w:rsidP="00437FEA" w:rsidRDefault="005C3DC2" w14:paraId="4625697D" w14:textId="7A9EF4FD">
      <w:pPr>
        <w:ind w:left="1440" w:firstLine="720"/>
        <w:rPr>
          <w:rFonts w:asciiTheme="minorHAnsi" w:hAnsiTheme="minorHAnsi" w:cstheme="minorHAnsi"/>
          <w:sz w:val="22"/>
          <w:szCs w:val="22"/>
        </w:rPr>
      </w:pPr>
      <w:r w:rsidRPr="001B2454">
        <w:rPr>
          <w:rFonts w:asciiTheme="minorHAnsi" w:hAnsiTheme="minorHAnsi" w:cstheme="minorHAnsi"/>
          <w:sz w:val="22"/>
          <w:szCs w:val="22"/>
        </w:rPr>
        <w:t xml:space="preserve">Supporting </w:t>
      </w:r>
      <w:proofErr w:type="gramStart"/>
      <w:r w:rsidRPr="001B2454">
        <w:rPr>
          <w:rFonts w:asciiTheme="minorHAnsi" w:hAnsiTheme="minorHAnsi" w:cstheme="minorHAnsi"/>
          <w:sz w:val="22"/>
          <w:szCs w:val="22"/>
        </w:rPr>
        <w:t>Statement</w:t>
      </w:r>
      <w:proofErr w:type="gramEnd"/>
      <w:r w:rsidRPr="001B2454">
        <w:rPr>
          <w:rFonts w:asciiTheme="minorHAnsi" w:hAnsiTheme="minorHAnsi" w:cstheme="minorHAnsi"/>
          <w:sz w:val="22"/>
          <w:szCs w:val="22"/>
        </w:rPr>
        <w:t xml:space="preserve"> A for</w:t>
      </w:r>
    </w:p>
    <w:p w:rsidRPr="001B2454" w:rsidR="009B25A0" w:rsidP="00437FEA" w:rsidRDefault="009B25A0" w14:paraId="714507CA" w14:textId="77777777">
      <w:pPr>
        <w:ind w:left="1440" w:firstLine="720"/>
        <w:rPr>
          <w:rFonts w:asciiTheme="minorHAnsi" w:hAnsiTheme="minorHAnsi" w:cstheme="minorHAnsi"/>
          <w:sz w:val="22"/>
          <w:szCs w:val="22"/>
        </w:rPr>
      </w:pPr>
    </w:p>
    <w:p w:rsidR="009B25A0" w:rsidP="009B25A0" w:rsidRDefault="00A23CB4" w14:paraId="090CB1CA" w14:textId="0FA01B86">
      <w:pPr>
        <w:ind w:left="1440"/>
        <w:rPr>
          <w:rFonts w:asciiTheme="minorHAnsi" w:hAnsiTheme="minorHAnsi" w:cstheme="minorHAnsi"/>
          <w:sz w:val="22"/>
          <w:szCs w:val="22"/>
        </w:rPr>
      </w:pPr>
      <w:r w:rsidRPr="001B2454">
        <w:rPr>
          <w:rFonts w:asciiTheme="minorHAnsi" w:hAnsiTheme="minorHAnsi" w:cstheme="minorHAnsi"/>
          <w:sz w:val="22"/>
          <w:szCs w:val="22"/>
        </w:rPr>
        <w:t xml:space="preserve">Electronic </w:t>
      </w:r>
      <w:r w:rsidRPr="001B2454" w:rsidR="001844D3">
        <w:rPr>
          <w:rFonts w:asciiTheme="minorHAnsi" w:hAnsiTheme="minorHAnsi" w:cstheme="minorHAnsi"/>
          <w:sz w:val="22"/>
          <w:szCs w:val="22"/>
        </w:rPr>
        <w:t xml:space="preserve">Requests </w:t>
      </w:r>
      <w:r w:rsidRPr="001B2454" w:rsidR="001300B7">
        <w:rPr>
          <w:rFonts w:asciiTheme="minorHAnsi" w:hAnsiTheme="minorHAnsi" w:cstheme="minorHAnsi"/>
          <w:sz w:val="22"/>
          <w:szCs w:val="22"/>
        </w:rPr>
        <w:t>for</w:t>
      </w:r>
      <w:r w:rsidRPr="001B2454">
        <w:rPr>
          <w:rFonts w:asciiTheme="minorHAnsi" w:hAnsiTheme="minorHAnsi" w:cstheme="minorHAnsi"/>
          <w:sz w:val="22"/>
          <w:szCs w:val="22"/>
        </w:rPr>
        <w:t xml:space="preserve"> NIH Certificates of Confidentiality</w:t>
      </w:r>
      <w:r w:rsidRPr="001B2454" w:rsidR="009A28AB">
        <w:rPr>
          <w:rFonts w:asciiTheme="minorHAnsi" w:hAnsiTheme="minorHAnsi" w:cstheme="minorHAnsi"/>
          <w:sz w:val="22"/>
          <w:szCs w:val="22"/>
        </w:rPr>
        <w:t xml:space="preserve"> (</w:t>
      </w:r>
      <w:proofErr w:type="spellStart"/>
      <w:r w:rsidRPr="001B2454" w:rsidR="009A28AB">
        <w:rPr>
          <w:rFonts w:asciiTheme="minorHAnsi" w:hAnsiTheme="minorHAnsi" w:cstheme="minorHAnsi"/>
          <w:sz w:val="22"/>
          <w:szCs w:val="22"/>
        </w:rPr>
        <w:t>CoC</w:t>
      </w:r>
      <w:proofErr w:type="spellEnd"/>
      <w:r w:rsidRPr="001B2454" w:rsidR="009A28AB">
        <w:rPr>
          <w:rFonts w:asciiTheme="minorHAnsi" w:hAnsiTheme="minorHAnsi" w:cstheme="minorHAnsi"/>
          <w:sz w:val="22"/>
          <w:szCs w:val="22"/>
        </w:rPr>
        <w:t>)</w:t>
      </w:r>
      <w:r w:rsidR="009B25A0">
        <w:rPr>
          <w:rFonts w:asciiTheme="minorHAnsi" w:hAnsiTheme="minorHAnsi" w:cstheme="minorHAnsi"/>
          <w:sz w:val="22"/>
          <w:szCs w:val="22"/>
        </w:rPr>
        <w:t xml:space="preserve"> (OD)</w:t>
      </w:r>
    </w:p>
    <w:p w:rsidR="00535D4E" w:rsidP="009B25A0" w:rsidRDefault="00535D4E" w14:paraId="1D0737EA" w14:textId="77777777">
      <w:pPr>
        <w:ind w:left="1440"/>
        <w:rPr>
          <w:rFonts w:asciiTheme="minorHAnsi" w:hAnsiTheme="minorHAnsi" w:cstheme="minorHAnsi"/>
          <w:sz w:val="22"/>
          <w:szCs w:val="22"/>
        </w:rPr>
      </w:pPr>
    </w:p>
    <w:p w:rsidRPr="001B2454" w:rsidR="009611BC" w:rsidP="009B25A0" w:rsidRDefault="009611BC" w14:paraId="12B80DE4" w14:textId="1B24B39D">
      <w:pPr>
        <w:ind w:left="1440"/>
        <w:rPr>
          <w:rFonts w:asciiTheme="minorHAnsi" w:hAnsiTheme="minorHAnsi" w:cstheme="minorHAnsi"/>
          <w:sz w:val="22"/>
          <w:szCs w:val="22"/>
        </w:rPr>
      </w:pPr>
      <w:r w:rsidRPr="001B2454">
        <w:rPr>
          <w:rFonts w:asciiTheme="minorHAnsi" w:hAnsiTheme="minorHAnsi" w:cstheme="minorHAnsi"/>
          <w:sz w:val="22"/>
          <w:szCs w:val="22"/>
        </w:rPr>
        <w:t>OMB#: 0925-</w:t>
      </w:r>
      <w:r w:rsidRPr="001B2454" w:rsidR="007D7F41">
        <w:rPr>
          <w:rFonts w:asciiTheme="minorHAnsi" w:hAnsiTheme="minorHAnsi" w:cstheme="minorHAnsi"/>
          <w:sz w:val="22"/>
          <w:szCs w:val="22"/>
        </w:rPr>
        <w:t>0689</w:t>
      </w:r>
      <w:r w:rsidR="007D7F41">
        <w:rPr>
          <w:rFonts w:asciiTheme="minorHAnsi" w:hAnsiTheme="minorHAnsi" w:cstheme="minorHAnsi"/>
          <w:sz w:val="22"/>
          <w:szCs w:val="22"/>
        </w:rPr>
        <w:t xml:space="preserve"> Expiration</w:t>
      </w:r>
      <w:r w:rsidRPr="001B2454">
        <w:rPr>
          <w:rFonts w:asciiTheme="minorHAnsi" w:hAnsiTheme="minorHAnsi" w:cstheme="minorHAnsi"/>
          <w:sz w:val="22"/>
          <w:szCs w:val="22"/>
        </w:rPr>
        <w:t xml:space="preserve"> Date:  </w:t>
      </w:r>
      <w:r w:rsidRPr="001B2454" w:rsidR="0057120C">
        <w:rPr>
          <w:rFonts w:asciiTheme="minorHAnsi" w:hAnsiTheme="minorHAnsi" w:cstheme="minorHAnsi"/>
          <w:sz w:val="22"/>
          <w:szCs w:val="22"/>
        </w:rPr>
        <w:t>12/31/2019</w:t>
      </w:r>
    </w:p>
    <w:p w:rsidRPr="001B2454" w:rsidR="00967AAE" w:rsidP="00A45288" w:rsidRDefault="00967AAE" w14:paraId="39F9A88A" w14:textId="77777777">
      <w:pPr>
        <w:ind w:left="1440" w:firstLine="720"/>
        <w:jc w:val="center"/>
        <w:rPr>
          <w:rFonts w:asciiTheme="minorHAnsi" w:hAnsiTheme="minorHAnsi" w:cstheme="minorHAnsi"/>
          <w:sz w:val="22"/>
          <w:szCs w:val="22"/>
        </w:rPr>
      </w:pPr>
    </w:p>
    <w:p w:rsidR="005C3DC2" w:rsidP="005C3DC2" w:rsidRDefault="005C3DC2" w14:paraId="1BF611F9" w14:textId="77777777">
      <w:pPr>
        <w:rPr>
          <w:color w:val="0000FF"/>
          <w:sz w:val="32"/>
          <w:szCs w:val="32"/>
        </w:rPr>
      </w:pPr>
    </w:p>
    <w:p w:rsidRPr="001B2454" w:rsidR="006525BC" w:rsidP="006525BC" w:rsidRDefault="006525BC" w14:paraId="1D75CB4F" w14:textId="65C56EFE">
      <w:pPr>
        <w:pStyle w:val="P1-StandPara"/>
        <w:tabs>
          <w:tab w:val="left" w:pos="720"/>
          <w:tab w:val="right" w:leader="dot" w:pos="9504"/>
        </w:tabs>
        <w:spacing w:before="120" w:after="120"/>
        <w:ind w:firstLine="0"/>
        <w:rPr>
          <w:rFonts w:asciiTheme="minorHAnsi" w:hAnsiTheme="minorHAnsi" w:cstheme="minorHAnsi"/>
          <w:szCs w:val="22"/>
        </w:rPr>
      </w:pPr>
      <w:r w:rsidRPr="001B2454">
        <w:rPr>
          <w:rFonts w:asciiTheme="minorHAnsi" w:hAnsiTheme="minorHAnsi" w:cstheme="minorHAnsi"/>
          <w:szCs w:val="22"/>
        </w:rPr>
        <w:t xml:space="preserve">Date: </w:t>
      </w:r>
      <w:r w:rsidR="001B2454">
        <w:rPr>
          <w:rFonts w:asciiTheme="minorHAnsi" w:hAnsiTheme="minorHAnsi" w:cstheme="minorHAnsi"/>
          <w:szCs w:val="22"/>
        </w:rPr>
        <w:t>November 15, 2019</w:t>
      </w:r>
      <w:r w:rsidRPr="001B2454">
        <w:rPr>
          <w:rFonts w:asciiTheme="minorHAnsi" w:hAnsiTheme="minorHAnsi" w:cstheme="minorHAnsi"/>
          <w:szCs w:val="22"/>
        </w:rPr>
        <w:t xml:space="preserve"> </w:t>
      </w:r>
    </w:p>
    <w:p w:rsidRPr="001B2454" w:rsidR="006525BC" w:rsidP="006525BC" w:rsidRDefault="006525BC" w14:paraId="4B054AF9" w14:textId="77777777">
      <w:pPr>
        <w:pStyle w:val="P1-StandPara"/>
        <w:tabs>
          <w:tab w:val="left" w:pos="720"/>
          <w:tab w:val="right" w:leader="dot" w:pos="9504"/>
        </w:tabs>
        <w:spacing w:before="120" w:line="240" w:lineRule="auto"/>
        <w:ind w:firstLine="0"/>
        <w:rPr>
          <w:rFonts w:asciiTheme="minorHAnsi" w:hAnsiTheme="minorHAnsi" w:cstheme="minorHAnsi"/>
          <w:szCs w:val="22"/>
        </w:rPr>
      </w:pPr>
      <w:r w:rsidRPr="001B2454">
        <w:rPr>
          <w:rFonts w:asciiTheme="minorHAnsi" w:hAnsiTheme="minorHAnsi" w:cstheme="minorHAnsi"/>
          <w:szCs w:val="22"/>
        </w:rPr>
        <w:t>Check off which applies:</w:t>
      </w:r>
    </w:p>
    <w:p w:rsidRPr="001B2454" w:rsidR="006525BC" w:rsidP="006525BC" w:rsidRDefault="006525BC" w14:paraId="251A11EB" w14:textId="77777777">
      <w:pPr>
        <w:pStyle w:val="ListParagraph"/>
        <w:numPr>
          <w:ilvl w:val="0"/>
          <w:numId w:val="5"/>
        </w:numPr>
        <w:spacing w:after="0" w:line="240" w:lineRule="auto"/>
        <w:rPr>
          <w:rFonts w:asciiTheme="minorHAnsi" w:hAnsiTheme="minorHAnsi" w:cstheme="minorHAnsi"/>
        </w:rPr>
      </w:pPr>
      <w:r w:rsidRPr="001B2454">
        <w:rPr>
          <w:rFonts w:asciiTheme="minorHAnsi" w:hAnsiTheme="minorHAnsi" w:cstheme="minorHAnsi"/>
        </w:rPr>
        <w:t xml:space="preserve">New </w:t>
      </w:r>
    </w:p>
    <w:p w:rsidRPr="001B2454" w:rsidR="006525BC" w:rsidP="009B25A0" w:rsidRDefault="009B25A0" w14:paraId="742E2794" w14:textId="70052593">
      <w:pPr>
        <w:spacing w:after="0" w:line="240" w:lineRule="auto"/>
        <w:ind w:left="360"/>
        <w:rPr>
          <w:rFonts w:asciiTheme="minorHAnsi" w:hAnsiTheme="minorHAnsi" w:cstheme="minorHAnsi"/>
          <w:sz w:val="22"/>
          <w:szCs w:val="22"/>
        </w:rPr>
      </w:pPr>
      <w:r>
        <w:rPr>
          <w:rFonts w:ascii="Calibri" w:hAnsi="Calibri" w:cs="Calibri"/>
          <w:sz w:val="32"/>
          <w:szCs w:val="32"/>
          <w:highlight w:val="lightGray"/>
        </w:rPr>
        <w:t>√</w:t>
      </w:r>
      <w:r>
        <w:rPr>
          <w:rFonts w:ascii="Calibri" w:hAnsi="Calibri" w:cs="Calibri"/>
          <w:sz w:val="32"/>
          <w:szCs w:val="32"/>
        </w:rPr>
        <w:tab/>
      </w:r>
      <w:r w:rsidRPr="001B2454" w:rsidR="006525BC">
        <w:rPr>
          <w:rFonts w:asciiTheme="minorHAnsi" w:hAnsiTheme="minorHAnsi" w:cstheme="minorHAnsi"/>
          <w:sz w:val="22"/>
          <w:szCs w:val="22"/>
        </w:rPr>
        <w:t>Revision</w:t>
      </w:r>
      <w:r w:rsidRPr="001B2454" w:rsidR="006525BC">
        <w:rPr>
          <w:rFonts w:asciiTheme="minorHAnsi" w:hAnsiTheme="minorHAnsi" w:cstheme="minorHAnsi"/>
          <w:sz w:val="22"/>
          <w:szCs w:val="22"/>
        </w:rPr>
        <w:tab/>
      </w:r>
      <w:r w:rsidRPr="001B2454" w:rsidR="006525BC">
        <w:rPr>
          <w:rFonts w:asciiTheme="minorHAnsi" w:hAnsiTheme="minorHAnsi" w:cstheme="minorHAnsi"/>
          <w:sz w:val="22"/>
          <w:szCs w:val="22"/>
        </w:rPr>
        <w:tab/>
      </w:r>
      <w:r w:rsidRPr="001B2454" w:rsidR="006525BC">
        <w:rPr>
          <w:rFonts w:asciiTheme="minorHAnsi" w:hAnsiTheme="minorHAnsi" w:cstheme="minorHAnsi"/>
          <w:sz w:val="22"/>
          <w:szCs w:val="22"/>
        </w:rPr>
        <w:tab/>
      </w:r>
    </w:p>
    <w:p w:rsidRPr="001B2454" w:rsidR="006525BC" w:rsidP="006525BC" w:rsidRDefault="006525BC" w14:paraId="29B15659" w14:textId="77777777">
      <w:pPr>
        <w:numPr>
          <w:ilvl w:val="0"/>
          <w:numId w:val="5"/>
        </w:numPr>
        <w:spacing w:after="0" w:line="240" w:lineRule="auto"/>
        <w:rPr>
          <w:rFonts w:asciiTheme="minorHAnsi" w:hAnsiTheme="minorHAnsi" w:cstheme="minorHAnsi"/>
          <w:sz w:val="22"/>
          <w:szCs w:val="22"/>
        </w:rPr>
      </w:pPr>
      <w:r w:rsidRPr="001B2454">
        <w:rPr>
          <w:rFonts w:asciiTheme="minorHAnsi" w:hAnsiTheme="minorHAnsi" w:cstheme="minorHAnsi"/>
          <w:sz w:val="22"/>
          <w:szCs w:val="22"/>
        </w:rPr>
        <w:t>Reinstatement with Change</w:t>
      </w:r>
    </w:p>
    <w:p w:rsidRPr="001B2454" w:rsidR="006525BC" w:rsidP="006525BC" w:rsidRDefault="006525BC" w14:paraId="134A584C" w14:textId="77777777">
      <w:pPr>
        <w:numPr>
          <w:ilvl w:val="0"/>
          <w:numId w:val="5"/>
        </w:numPr>
        <w:spacing w:after="0" w:line="240" w:lineRule="auto"/>
        <w:rPr>
          <w:rFonts w:asciiTheme="minorHAnsi" w:hAnsiTheme="minorHAnsi" w:cstheme="minorHAnsi"/>
          <w:sz w:val="22"/>
          <w:szCs w:val="22"/>
        </w:rPr>
      </w:pPr>
      <w:r w:rsidRPr="001B2454">
        <w:rPr>
          <w:rFonts w:asciiTheme="minorHAnsi" w:hAnsiTheme="minorHAnsi" w:cstheme="minorHAnsi"/>
          <w:sz w:val="22"/>
          <w:szCs w:val="22"/>
        </w:rPr>
        <w:t>Reinstatement without Change</w:t>
      </w:r>
    </w:p>
    <w:p w:rsidRPr="001B2454" w:rsidR="006525BC" w:rsidP="006525BC" w:rsidRDefault="006525BC" w14:paraId="262A056C" w14:textId="77777777">
      <w:pPr>
        <w:numPr>
          <w:ilvl w:val="0"/>
          <w:numId w:val="5"/>
        </w:numPr>
        <w:spacing w:after="0" w:line="240" w:lineRule="auto"/>
        <w:rPr>
          <w:rFonts w:asciiTheme="minorHAnsi" w:hAnsiTheme="minorHAnsi" w:cstheme="minorHAnsi"/>
          <w:sz w:val="22"/>
          <w:szCs w:val="22"/>
        </w:rPr>
      </w:pPr>
      <w:r w:rsidRPr="001B2454">
        <w:rPr>
          <w:rFonts w:asciiTheme="minorHAnsi" w:hAnsiTheme="minorHAnsi" w:cstheme="minorHAnsi"/>
          <w:sz w:val="22"/>
          <w:szCs w:val="22"/>
        </w:rPr>
        <w:t>Extension</w:t>
      </w:r>
    </w:p>
    <w:p w:rsidRPr="001B2454" w:rsidR="006525BC" w:rsidP="006525BC" w:rsidRDefault="006525BC" w14:paraId="351EC159" w14:textId="77777777">
      <w:pPr>
        <w:numPr>
          <w:ilvl w:val="0"/>
          <w:numId w:val="5"/>
        </w:numPr>
        <w:spacing w:after="0" w:line="240" w:lineRule="auto"/>
        <w:rPr>
          <w:rFonts w:asciiTheme="minorHAnsi" w:hAnsiTheme="minorHAnsi" w:cstheme="minorHAnsi"/>
          <w:sz w:val="22"/>
          <w:szCs w:val="22"/>
        </w:rPr>
      </w:pPr>
      <w:r w:rsidRPr="001B2454">
        <w:rPr>
          <w:rFonts w:asciiTheme="minorHAnsi" w:hAnsiTheme="minorHAnsi" w:cstheme="minorHAnsi"/>
          <w:sz w:val="22"/>
          <w:szCs w:val="22"/>
        </w:rPr>
        <w:t>Emergency</w:t>
      </w:r>
    </w:p>
    <w:p w:rsidRPr="001B2454" w:rsidR="006525BC" w:rsidP="006525BC" w:rsidRDefault="006525BC" w14:paraId="77EC4740" w14:textId="77777777">
      <w:pPr>
        <w:numPr>
          <w:ilvl w:val="0"/>
          <w:numId w:val="5"/>
        </w:numPr>
        <w:spacing w:after="0" w:line="240" w:lineRule="auto"/>
        <w:rPr>
          <w:rFonts w:asciiTheme="minorHAnsi" w:hAnsiTheme="minorHAnsi" w:cstheme="minorHAnsi"/>
          <w:sz w:val="22"/>
          <w:szCs w:val="22"/>
        </w:rPr>
      </w:pPr>
      <w:r w:rsidRPr="001B2454">
        <w:rPr>
          <w:rFonts w:asciiTheme="minorHAnsi" w:hAnsiTheme="minorHAnsi" w:cstheme="minorHAnsi"/>
          <w:sz w:val="22"/>
          <w:szCs w:val="22"/>
        </w:rPr>
        <w:t>Existing w/o OMB approval</w:t>
      </w:r>
    </w:p>
    <w:p w:rsidR="005C3DC2" w:rsidP="005C3DC2" w:rsidRDefault="005C3DC2" w14:paraId="4A1C2EC2" w14:textId="49128DE5">
      <w:pPr>
        <w:rPr>
          <w:color w:val="0000FF"/>
          <w:sz w:val="32"/>
          <w:szCs w:val="32"/>
        </w:rPr>
      </w:pPr>
    </w:p>
    <w:p w:rsidR="006525BC" w:rsidP="005C3DC2" w:rsidRDefault="006525BC" w14:paraId="0F65F4AD" w14:textId="55684812">
      <w:pPr>
        <w:rPr>
          <w:color w:val="0000FF"/>
          <w:sz w:val="32"/>
          <w:szCs w:val="32"/>
        </w:rPr>
      </w:pPr>
    </w:p>
    <w:p w:rsidRPr="00EB46B3" w:rsidR="006525BC" w:rsidP="006525BC" w:rsidRDefault="006525BC" w14:paraId="01D12794" w14:textId="77777777">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EB46B3">
        <w:rPr>
          <w:rFonts w:asciiTheme="minorHAnsi" w:hAnsiTheme="minorHAnsi" w:cstheme="minorHAnsi"/>
          <w:szCs w:val="22"/>
        </w:rPr>
        <w:t>Federal Government Employee Information:</w:t>
      </w:r>
    </w:p>
    <w:p w:rsidRPr="00EB46B3" w:rsidR="006525BC" w:rsidP="006525BC" w:rsidRDefault="006525BC" w14:paraId="4FE8135C" w14:textId="55D936E0">
      <w:pPr>
        <w:pStyle w:val="P1-StandPara"/>
        <w:tabs>
          <w:tab w:val="left" w:pos="720"/>
          <w:tab w:val="right" w:leader="dot" w:pos="9504"/>
        </w:tabs>
        <w:spacing w:before="120" w:line="240" w:lineRule="auto"/>
        <w:ind w:firstLine="0"/>
        <w:rPr>
          <w:rFonts w:asciiTheme="minorHAnsi" w:hAnsiTheme="minorHAnsi" w:cstheme="minorHAnsi"/>
          <w:szCs w:val="22"/>
        </w:rPr>
      </w:pPr>
      <w:r w:rsidRPr="00EB46B3">
        <w:rPr>
          <w:rFonts w:asciiTheme="minorHAnsi" w:hAnsiTheme="minorHAnsi" w:cstheme="minorHAnsi"/>
          <w:szCs w:val="22"/>
        </w:rPr>
        <w:t>Name: Pamela Kearney, MD</w:t>
      </w:r>
    </w:p>
    <w:p w:rsidRPr="001B2454" w:rsidR="006525BC" w:rsidP="006525BC" w:rsidRDefault="006525BC" w14:paraId="153B8BEA" w14:textId="38263068">
      <w:pPr>
        <w:pStyle w:val="P1-StandPara"/>
        <w:tabs>
          <w:tab w:val="left" w:pos="720"/>
          <w:tab w:val="right" w:leader="dot" w:pos="9504"/>
        </w:tabs>
        <w:spacing w:before="120" w:line="240" w:lineRule="auto"/>
        <w:ind w:firstLine="0"/>
        <w:rPr>
          <w:rFonts w:asciiTheme="minorHAnsi" w:hAnsiTheme="minorHAnsi" w:cstheme="minorHAnsi"/>
          <w:szCs w:val="22"/>
        </w:rPr>
      </w:pPr>
      <w:r w:rsidRPr="001B2454">
        <w:rPr>
          <w:rFonts w:asciiTheme="minorHAnsi" w:hAnsiTheme="minorHAnsi" w:cstheme="minorHAnsi"/>
          <w:szCs w:val="22"/>
        </w:rPr>
        <w:t>Address: 6705 Rockledge Dr Rm 812-C Bethesda MD  20892</w:t>
      </w:r>
    </w:p>
    <w:p w:rsidRPr="001B2454" w:rsidR="006525BC" w:rsidP="006525BC" w:rsidRDefault="006525BC" w14:paraId="2873522C" w14:textId="5B53DC31">
      <w:pPr>
        <w:pStyle w:val="P1-StandPara"/>
        <w:tabs>
          <w:tab w:val="left" w:pos="720"/>
          <w:tab w:val="right" w:leader="dot" w:pos="9504"/>
        </w:tabs>
        <w:spacing w:before="120" w:line="240" w:lineRule="auto"/>
        <w:ind w:firstLine="0"/>
        <w:rPr>
          <w:rFonts w:asciiTheme="minorHAnsi" w:hAnsiTheme="minorHAnsi" w:cstheme="minorHAnsi"/>
          <w:szCs w:val="22"/>
        </w:rPr>
      </w:pPr>
      <w:r w:rsidRPr="001B2454">
        <w:rPr>
          <w:rFonts w:asciiTheme="minorHAnsi" w:hAnsiTheme="minorHAnsi" w:cstheme="minorHAnsi"/>
          <w:szCs w:val="22"/>
        </w:rPr>
        <w:t>Telephone: 301-402-2512</w:t>
      </w:r>
    </w:p>
    <w:p w:rsidRPr="001B2454" w:rsidR="006525BC" w:rsidP="006525BC" w:rsidRDefault="006525BC" w14:paraId="649427CD" w14:textId="1A679FAD">
      <w:pPr>
        <w:pStyle w:val="P1-StandPara"/>
        <w:tabs>
          <w:tab w:val="left" w:pos="720"/>
          <w:tab w:val="right" w:leader="dot" w:pos="9504"/>
        </w:tabs>
        <w:spacing w:before="120" w:line="240" w:lineRule="auto"/>
        <w:ind w:firstLine="0"/>
        <w:rPr>
          <w:rFonts w:asciiTheme="minorHAnsi" w:hAnsiTheme="minorHAnsi" w:cstheme="minorHAnsi"/>
          <w:szCs w:val="22"/>
        </w:rPr>
      </w:pPr>
      <w:r w:rsidRPr="001B2454">
        <w:rPr>
          <w:rFonts w:asciiTheme="minorHAnsi" w:hAnsiTheme="minorHAnsi" w:cstheme="minorHAnsi"/>
          <w:szCs w:val="22"/>
        </w:rPr>
        <w:t>Email: NIH-CoC-Coordinator@mail.nih.gov</w:t>
      </w:r>
    </w:p>
    <w:p w:rsidR="006525BC" w:rsidP="005C3DC2" w:rsidRDefault="006525BC" w14:paraId="1CA1AF5C" w14:textId="18653164">
      <w:pPr>
        <w:rPr>
          <w:color w:val="0000FF"/>
          <w:sz w:val="32"/>
          <w:szCs w:val="32"/>
        </w:rPr>
      </w:pPr>
    </w:p>
    <w:p w:rsidR="009B25A0" w:rsidP="005C3DC2" w:rsidRDefault="009B25A0" w14:paraId="7D248B09" w14:textId="5442DE37">
      <w:pPr>
        <w:rPr>
          <w:color w:val="0000FF"/>
          <w:sz w:val="32"/>
          <w:szCs w:val="32"/>
        </w:rPr>
      </w:pPr>
    </w:p>
    <w:p w:rsidR="00C261A0" w:rsidP="005C3DC2" w:rsidRDefault="00C261A0" w14:paraId="43E34800" w14:textId="014E0DD5">
      <w:pPr>
        <w:rPr>
          <w:color w:val="0000FF"/>
          <w:sz w:val="32"/>
          <w:szCs w:val="32"/>
        </w:rPr>
      </w:pPr>
    </w:p>
    <w:p w:rsidR="00C261A0" w:rsidP="005C3DC2" w:rsidRDefault="00C261A0" w14:paraId="2A755216" w14:textId="77777777">
      <w:pPr>
        <w:rPr>
          <w:color w:val="0000FF"/>
          <w:sz w:val="32"/>
          <w:szCs w:val="32"/>
        </w:rPr>
      </w:pPr>
    </w:p>
    <w:p w:rsidRPr="009B25A0" w:rsidR="001B2454" w:rsidP="009B25A0" w:rsidRDefault="001B2454" w14:paraId="4410977E" w14:textId="7153B337">
      <w:pPr>
        <w:pStyle w:val="P1-StandPara"/>
        <w:tabs>
          <w:tab w:val="left" w:pos="720"/>
          <w:tab w:val="right" w:leader="dot" w:pos="9504"/>
        </w:tabs>
        <w:spacing w:before="120" w:after="0"/>
        <w:ind w:firstLine="432"/>
        <w:rPr>
          <w:rFonts w:ascii="Calibri" w:hAnsi="Calibri"/>
          <w:b/>
          <w:szCs w:val="22"/>
          <w:u w:val="single"/>
        </w:rPr>
      </w:pPr>
      <w:r w:rsidRPr="00E35DD1">
        <w:rPr>
          <w:rFonts w:asciiTheme="minorHAnsi" w:hAnsiTheme="minorHAnsi"/>
          <w:b/>
          <w:szCs w:val="22"/>
          <w:u w:val="single"/>
        </w:rPr>
        <w:t>Table of contents</w:t>
      </w:r>
    </w:p>
    <w:p w:rsidRPr="00E35DD1" w:rsidR="001B2454" w:rsidP="00EB46B3" w:rsidRDefault="001B2454" w14:paraId="4B908F6B" w14:textId="3BE3B2C4">
      <w:pPr>
        <w:pStyle w:val="P1-StandPara"/>
        <w:tabs>
          <w:tab w:val="left" w:pos="720"/>
        </w:tabs>
        <w:spacing w:line="360" w:lineRule="auto"/>
        <w:ind w:firstLine="0"/>
        <w:rPr>
          <w:rFonts w:asciiTheme="minorHAnsi" w:hAnsiTheme="minorHAnsi"/>
          <w:szCs w:val="22"/>
        </w:rPr>
      </w:pPr>
      <w:r w:rsidRPr="00E35DD1">
        <w:rPr>
          <w:rFonts w:asciiTheme="minorHAnsi" w:hAnsiTheme="minorHAnsi"/>
          <w:szCs w:val="22"/>
        </w:rPr>
        <w:fldChar w:fldCharType="begin"/>
      </w:r>
      <w:r w:rsidRPr="00E35DD1">
        <w:rPr>
          <w:rFonts w:asciiTheme="minorHAnsi" w:hAnsiTheme="minorHAnsi"/>
          <w:szCs w:val="22"/>
        </w:rPr>
        <w:instrText xml:space="preserve"> TOC \o "1-2" \u </w:instrText>
      </w:r>
      <w:r w:rsidRPr="00E35DD1">
        <w:rPr>
          <w:rFonts w:asciiTheme="minorHAnsi" w:hAnsiTheme="minorHAnsi"/>
          <w:szCs w:val="22"/>
        </w:rPr>
        <w:fldChar w:fldCharType="separate"/>
      </w:r>
      <w:r w:rsidRPr="00BE76A7">
        <w:rPr>
          <w:rFonts w:asciiTheme="minorHAnsi" w:hAnsiTheme="minorHAnsi"/>
          <w:szCs w:val="22"/>
        </w:rPr>
        <w:t>A.</w:t>
      </w:r>
      <w:r w:rsidR="00B46117">
        <w:rPr>
          <w:rFonts w:asciiTheme="minorHAnsi" w:hAnsiTheme="minorHAnsi"/>
          <w:szCs w:val="22"/>
        </w:rPr>
        <w:t xml:space="preserve">      </w:t>
      </w:r>
      <w:r>
        <w:rPr>
          <w:rFonts w:asciiTheme="minorHAnsi" w:hAnsiTheme="minorHAnsi"/>
          <w:szCs w:val="22"/>
        </w:rPr>
        <w:t>ABSTRACT</w:t>
      </w:r>
      <w:r w:rsidRPr="00E35DD1">
        <w:rPr>
          <w:rFonts w:asciiTheme="minorHAnsi" w:hAnsiTheme="minorHAnsi"/>
          <w:szCs w:val="22"/>
        </w:rPr>
        <w:tab/>
      </w:r>
    </w:p>
    <w:p w:rsidRPr="00E35DD1" w:rsidR="001B2454" w:rsidP="00EB46B3" w:rsidRDefault="001B2454" w14:paraId="03DAE320" w14:textId="607D243A">
      <w:pPr>
        <w:pStyle w:val="P1-StandPara"/>
        <w:spacing w:line="360" w:lineRule="auto"/>
        <w:ind w:firstLine="0"/>
        <w:rPr>
          <w:rFonts w:asciiTheme="minorHAnsi" w:hAnsiTheme="minorHAnsi"/>
          <w:szCs w:val="22"/>
        </w:rPr>
      </w:pPr>
      <w:r w:rsidRPr="00E35DD1">
        <w:rPr>
          <w:rFonts w:asciiTheme="minorHAnsi" w:hAnsiTheme="minorHAnsi"/>
          <w:szCs w:val="22"/>
        </w:rPr>
        <w:t>A.1</w:t>
      </w:r>
      <w:r w:rsidR="00B46117">
        <w:rPr>
          <w:rFonts w:asciiTheme="minorHAnsi" w:hAnsiTheme="minorHAnsi"/>
          <w:szCs w:val="22"/>
        </w:rPr>
        <w:t xml:space="preserve">    </w:t>
      </w:r>
      <w:r w:rsidRPr="00E35DD1">
        <w:rPr>
          <w:rFonts w:asciiTheme="minorHAnsi" w:hAnsiTheme="minorHAnsi"/>
          <w:szCs w:val="22"/>
        </w:rPr>
        <w:t>Circumstances Making the Collection of Information Necessary</w:t>
      </w:r>
      <w:r w:rsidRPr="00E35DD1">
        <w:rPr>
          <w:rFonts w:asciiTheme="minorHAnsi" w:hAnsiTheme="minorHAnsi"/>
          <w:szCs w:val="22"/>
        </w:rPr>
        <w:tab/>
      </w:r>
    </w:p>
    <w:p w:rsidRPr="00E35DD1" w:rsidR="001B2454" w:rsidP="00EB46B3" w:rsidRDefault="001B2454" w14:paraId="7F4801A3" w14:textId="564AE6AB">
      <w:pPr>
        <w:pStyle w:val="P1-StandPara"/>
        <w:spacing w:line="360" w:lineRule="auto"/>
        <w:ind w:firstLine="0"/>
        <w:rPr>
          <w:rFonts w:asciiTheme="minorHAnsi" w:hAnsiTheme="minorHAnsi"/>
          <w:szCs w:val="22"/>
        </w:rPr>
      </w:pPr>
      <w:r w:rsidRPr="00E35DD1">
        <w:rPr>
          <w:rFonts w:asciiTheme="minorHAnsi" w:hAnsiTheme="minorHAnsi"/>
          <w:szCs w:val="22"/>
        </w:rPr>
        <w:t>A.2.</w:t>
      </w:r>
      <w:r w:rsidR="00B46117">
        <w:rPr>
          <w:rFonts w:asciiTheme="minorHAnsi" w:hAnsiTheme="minorHAnsi"/>
          <w:szCs w:val="22"/>
        </w:rPr>
        <w:t xml:space="preserve">   </w:t>
      </w:r>
      <w:r w:rsidRPr="00E35DD1">
        <w:rPr>
          <w:rFonts w:asciiTheme="minorHAnsi" w:hAnsiTheme="minorHAnsi"/>
          <w:szCs w:val="22"/>
        </w:rPr>
        <w:t>Purpose and Use of the Information COLLECTION</w:t>
      </w:r>
      <w:r w:rsidRPr="00E35DD1">
        <w:rPr>
          <w:rFonts w:asciiTheme="minorHAnsi" w:hAnsiTheme="minorHAnsi"/>
          <w:szCs w:val="22"/>
        </w:rPr>
        <w:tab/>
      </w:r>
    </w:p>
    <w:p w:rsidRPr="00E35DD1" w:rsidR="001B2454" w:rsidP="00EB46B3" w:rsidRDefault="001B2454" w14:paraId="0873C134" w14:textId="348102D9">
      <w:pPr>
        <w:pStyle w:val="P1-StandPara"/>
        <w:spacing w:line="360" w:lineRule="auto"/>
        <w:ind w:firstLine="0"/>
        <w:rPr>
          <w:rFonts w:asciiTheme="minorHAnsi" w:hAnsiTheme="minorHAnsi"/>
          <w:szCs w:val="22"/>
        </w:rPr>
      </w:pPr>
      <w:r w:rsidRPr="00E35DD1">
        <w:rPr>
          <w:rFonts w:asciiTheme="minorHAnsi" w:hAnsiTheme="minorHAnsi"/>
          <w:szCs w:val="22"/>
        </w:rPr>
        <w:t>A.3</w:t>
      </w:r>
      <w:r w:rsidR="00B46117">
        <w:rPr>
          <w:rFonts w:asciiTheme="minorHAnsi" w:hAnsiTheme="minorHAnsi"/>
          <w:szCs w:val="22"/>
        </w:rPr>
        <w:t xml:space="preserve">    </w:t>
      </w:r>
      <w:r w:rsidRPr="00E35DD1">
        <w:rPr>
          <w:rFonts w:asciiTheme="minorHAnsi" w:hAnsiTheme="minorHAnsi"/>
          <w:szCs w:val="22"/>
        </w:rPr>
        <w:t>Use of Information Technology and Burden Reduction</w:t>
      </w:r>
      <w:r w:rsidRPr="00E35DD1">
        <w:rPr>
          <w:rFonts w:asciiTheme="minorHAnsi" w:hAnsiTheme="minorHAnsi"/>
          <w:szCs w:val="22"/>
        </w:rPr>
        <w:tab/>
      </w:r>
    </w:p>
    <w:p w:rsidRPr="00E35DD1" w:rsidR="001B2454" w:rsidP="00EB46B3" w:rsidRDefault="001B2454" w14:paraId="5BC7AC73" w14:textId="3F5A50FD">
      <w:pPr>
        <w:pStyle w:val="P1-StandPara"/>
        <w:spacing w:line="360" w:lineRule="auto"/>
        <w:ind w:firstLine="0"/>
        <w:rPr>
          <w:rFonts w:asciiTheme="minorHAnsi" w:hAnsiTheme="minorHAnsi"/>
          <w:szCs w:val="22"/>
        </w:rPr>
      </w:pPr>
      <w:r w:rsidRPr="00E35DD1">
        <w:rPr>
          <w:rFonts w:asciiTheme="minorHAnsi" w:hAnsiTheme="minorHAnsi"/>
          <w:szCs w:val="22"/>
        </w:rPr>
        <w:t>A.4</w:t>
      </w:r>
      <w:r w:rsidR="00B46117">
        <w:rPr>
          <w:rFonts w:asciiTheme="minorHAnsi" w:hAnsiTheme="minorHAnsi"/>
          <w:szCs w:val="22"/>
        </w:rPr>
        <w:t xml:space="preserve">    </w:t>
      </w:r>
      <w:r w:rsidRPr="00E35DD1">
        <w:rPr>
          <w:rFonts w:asciiTheme="minorHAnsi" w:hAnsiTheme="minorHAnsi"/>
          <w:szCs w:val="22"/>
        </w:rPr>
        <w:t>Efforts to Identify Duplication and Use of Similar Information</w:t>
      </w:r>
      <w:r w:rsidRPr="00E35DD1">
        <w:rPr>
          <w:rFonts w:asciiTheme="minorHAnsi" w:hAnsiTheme="minorHAnsi"/>
          <w:szCs w:val="22"/>
        </w:rPr>
        <w:tab/>
      </w:r>
    </w:p>
    <w:p w:rsidRPr="00E35DD1" w:rsidR="001B2454" w:rsidP="00EB46B3" w:rsidRDefault="001B2454" w14:paraId="162F9956" w14:textId="44E646D3">
      <w:pPr>
        <w:pStyle w:val="P1-StandPara"/>
        <w:spacing w:line="360" w:lineRule="auto"/>
        <w:ind w:firstLine="0"/>
        <w:rPr>
          <w:rFonts w:asciiTheme="minorHAnsi" w:hAnsiTheme="minorHAnsi"/>
          <w:szCs w:val="22"/>
        </w:rPr>
      </w:pPr>
      <w:r w:rsidRPr="00E35DD1">
        <w:rPr>
          <w:rFonts w:asciiTheme="minorHAnsi" w:hAnsiTheme="minorHAnsi"/>
          <w:szCs w:val="22"/>
        </w:rPr>
        <w:t>A.5</w:t>
      </w:r>
      <w:r w:rsidR="00B46117">
        <w:rPr>
          <w:rFonts w:asciiTheme="minorHAnsi" w:hAnsiTheme="minorHAnsi"/>
          <w:szCs w:val="22"/>
        </w:rPr>
        <w:t xml:space="preserve">     </w:t>
      </w:r>
      <w:r w:rsidRPr="00E35DD1">
        <w:rPr>
          <w:rFonts w:asciiTheme="minorHAnsi" w:hAnsiTheme="minorHAnsi"/>
          <w:szCs w:val="22"/>
        </w:rPr>
        <w:t>Impact on Small Businesses or Other Small Entities</w:t>
      </w:r>
      <w:r w:rsidRPr="00E35DD1">
        <w:rPr>
          <w:rFonts w:asciiTheme="minorHAnsi" w:hAnsiTheme="minorHAnsi"/>
          <w:szCs w:val="22"/>
        </w:rPr>
        <w:tab/>
      </w:r>
    </w:p>
    <w:p w:rsidRPr="00E35DD1" w:rsidR="001B2454" w:rsidP="00EB46B3" w:rsidRDefault="001B2454" w14:paraId="3B1A3EC0" w14:textId="44628ACB">
      <w:pPr>
        <w:pStyle w:val="P1-StandPara"/>
        <w:spacing w:line="360" w:lineRule="auto"/>
        <w:ind w:firstLine="0"/>
        <w:rPr>
          <w:rFonts w:asciiTheme="minorHAnsi" w:hAnsiTheme="minorHAnsi"/>
          <w:szCs w:val="22"/>
        </w:rPr>
      </w:pPr>
      <w:r w:rsidRPr="00E35DD1">
        <w:rPr>
          <w:rFonts w:asciiTheme="minorHAnsi" w:hAnsiTheme="minorHAnsi"/>
          <w:szCs w:val="22"/>
        </w:rPr>
        <w:t>A.6</w:t>
      </w:r>
      <w:r w:rsidR="00B46117">
        <w:rPr>
          <w:rFonts w:asciiTheme="minorHAnsi" w:hAnsiTheme="minorHAnsi"/>
          <w:szCs w:val="22"/>
        </w:rPr>
        <w:t xml:space="preserve">    </w:t>
      </w:r>
      <w:r w:rsidRPr="00E35DD1">
        <w:rPr>
          <w:rFonts w:asciiTheme="minorHAnsi" w:hAnsiTheme="minorHAnsi"/>
          <w:szCs w:val="22"/>
        </w:rPr>
        <w:t>Consequences of Collecting the Information Less Frequently</w:t>
      </w:r>
      <w:r w:rsidRPr="00E35DD1">
        <w:rPr>
          <w:rFonts w:asciiTheme="minorHAnsi" w:hAnsiTheme="minorHAnsi"/>
          <w:szCs w:val="22"/>
        </w:rPr>
        <w:tab/>
      </w:r>
    </w:p>
    <w:p w:rsidRPr="00E35DD1" w:rsidR="001B2454" w:rsidP="00EB46B3" w:rsidRDefault="001B2454" w14:paraId="78E622AA" w14:textId="17869027">
      <w:pPr>
        <w:pStyle w:val="P1-StandPara"/>
        <w:spacing w:line="360" w:lineRule="auto"/>
        <w:ind w:firstLine="0"/>
        <w:rPr>
          <w:rFonts w:asciiTheme="minorHAnsi" w:hAnsiTheme="minorHAnsi"/>
          <w:szCs w:val="22"/>
        </w:rPr>
      </w:pPr>
      <w:r w:rsidRPr="00E35DD1">
        <w:rPr>
          <w:rFonts w:asciiTheme="minorHAnsi" w:hAnsiTheme="minorHAnsi"/>
          <w:szCs w:val="22"/>
        </w:rPr>
        <w:t>A.7</w:t>
      </w:r>
      <w:r w:rsidR="00B46117">
        <w:rPr>
          <w:rFonts w:asciiTheme="minorHAnsi" w:hAnsiTheme="minorHAnsi"/>
          <w:szCs w:val="22"/>
        </w:rPr>
        <w:t xml:space="preserve">    </w:t>
      </w:r>
      <w:r w:rsidRPr="00E35DD1">
        <w:rPr>
          <w:rFonts w:asciiTheme="minorHAnsi" w:hAnsiTheme="minorHAnsi"/>
          <w:szCs w:val="22"/>
        </w:rPr>
        <w:t>Special Circumstances Relating to the Guidelines of 5 CFR 1320.5</w:t>
      </w:r>
      <w:r w:rsidRPr="00E35DD1">
        <w:rPr>
          <w:rFonts w:asciiTheme="minorHAnsi" w:hAnsiTheme="minorHAnsi"/>
          <w:szCs w:val="22"/>
        </w:rPr>
        <w:tab/>
      </w:r>
    </w:p>
    <w:p w:rsidRPr="00E35DD1" w:rsidR="001B2454" w:rsidP="00EB46B3" w:rsidRDefault="001B2454" w14:paraId="2FCCC893" w14:textId="0FAC5F6C">
      <w:pPr>
        <w:pStyle w:val="P1-StandPara"/>
        <w:spacing w:line="360" w:lineRule="auto"/>
        <w:ind w:firstLine="0"/>
        <w:rPr>
          <w:rFonts w:asciiTheme="minorHAnsi" w:hAnsiTheme="minorHAnsi"/>
          <w:szCs w:val="22"/>
        </w:rPr>
      </w:pPr>
      <w:r w:rsidRPr="00E35DD1">
        <w:rPr>
          <w:rFonts w:asciiTheme="minorHAnsi" w:hAnsiTheme="minorHAnsi"/>
          <w:szCs w:val="22"/>
        </w:rPr>
        <w:t>A.8</w:t>
      </w:r>
      <w:r w:rsidR="00B46117">
        <w:rPr>
          <w:rFonts w:asciiTheme="minorHAnsi" w:hAnsiTheme="minorHAnsi"/>
          <w:szCs w:val="22"/>
        </w:rPr>
        <w:t xml:space="preserve"> </w:t>
      </w:r>
      <w:r w:rsidR="00594CDE">
        <w:rPr>
          <w:rFonts w:asciiTheme="minorHAnsi" w:hAnsiTheme="minorHAnsi"/>
          <w:szCs w:val="22"/>
        </w:rPr>
        <w:t xml:space="preserve">  </w:t>
      </w:r>
      <w:r w:rsidRPr="00E35DD1">
        <w:rPr>
          <w:rFonts w:asciiTheme="minorHAnsi" w:hAnsiTheme="minorHAnsi"/>
          <w:szCs w:val="22"/>
        </w:rPr>
        <w:t xml:space="preserve">Comments in Response to the Federal Register Notice and Efforts to Consult Outside </w:t>
      </w:r>
      <w:r w:rsidR="00B46117">
        <w:rPr>
          <w:rFonts w:asciiTheme="minorHAnsi" w:hAnsiTheme="minorHAnsi"/>
          <w:szCs w:val="22"/>
        </w:rPr>
        <w:t>Agen</w:t>
      </w:r>
      <w:r w:rsidRPr="00E35DD1">
        <w:rPr>
          <w:rFonts w:asciiTheme="minorHAnsi" w:hAnsiTheme="minorHAnsi"/>
          <w:szCs w:val="22"/>
        </w:rPr>
        <w:t>cy</w:t>
      </w:r>
    </w:p>
    <w:p w:rsidRPr="00E35DD1" w:rsidR="001B2454" w:rsidP="00EB46B3" w:rsidRDefault="001B2454" w14:paraId="5E3769C5" w14:textId="6730E571">
      <w:pPr>
        <w:pStyle w:val="P1-StandPara"/>
        <w:spacing w:line="360" w:lineRule="auto"/>
        <w:ind w:firstLine="0"/>
        <w:rPr>
          <w:rFonts w:asciiTheme="minorHAnsi" w:hAnsiTheme="minorHAnsi"/>
          <w:szCs w:val="22"/>
        </w:rPr>
      </w:pPr>
      <w:r w:rsidRPr="00E35DD1">
        <w:rPr>
          <w:rFonts w:asciiTheme="minorHAnsi" w:hAnsiTheme="minorHAnsi"/>
          <w:szCs w:val="22"/>
        </w:rPr>
        <w:t>A.9</w:t>
      </w:r>
      <w:r w:rsidR="00B46117">
        <w:rPr>
          <w:rFonts w:asciiTheme="minorHAnsi" w:hAnsiTheme="minorHAnsi"/>
          <w:szCs w:val="22"/>
        </w:rPr>
        <w:t xml:space="preserve">     </w:t>
      </w:r>
      <w:r w:rsidRPr="00E35DD1">
        <w:rPr>
          <w:rFonts w:asciiTheme="minorHAnsi" w:hAnsiTheme="minorHAnsi"/>
          <w:szCs w:val="22"/>
        </w:rPr>
        <w:t>Explanation of Any Payment of Gift to Respondents</w:t>
      </w:r>
      <w:r w:rsidRPr="00E35DD1">
        <w:rPr>
          <w:rFonts w:asciiTheme="minorHAnsi" w:hAnsiTheme="minorHAnsi"/>
          <w:szCs w:val="22"/>
        </w:rPr>
        <w:tab/>
      </w:r>
    </w:p>
    <w:p w:rsidRPr="00E35DD1" w:rsidR="001B2454" w:rsidP="00EB46B3" w:rsidRDefault="001B2454" w14:paraId="0EE19784" w14:textId="2E4CED3F">
      <w:pPr>
        <w:pStyle w:val="P1-StandPara"/>
        <w:spacing w:line="360" w:lineRule="auto"/>
        <w:ind w:firstLine="0"/>
        <w:rPr>
          <w:rFonts w:asciiTheme="minorHAnsi" w:hAnsiTheme="minorHAnsi"/>
          <w:szCs w:val="22"/>
        </w:rPr>
      </w:pPr>
      <w:r w:rsidRPr="00E35DD1">
        <w:rPr>
          <w:rFonts w:asciiTheme="minorHAnsi" w:hAnsiTheme="minorHAnsi"/>
          <w:szCs w:val="22"/>
        </w:rPr>
        <w:t>A.10</w:t>
      </w:r>
      <w:r w:rsidR="00B46117">
        <w:rPr>
          <w:rFonts w:asciiTheme="minorHAnsi" w:hAnsiTheme="minorHAnsi"/>
          <w:szCs w:val="22"/>
        </w:rPr>
        <w:t xml:space="preserve">   </w:t>
      </w:r>
      <w:r w:rsidRPr="00E35DD1">
        <w:rPr>
          <w:rFonts w:asciiTheme="minorHAnsi" w:hAnsiTheme="minorHAnsi"/>
          <w:szCs w:val="22"/>
        </w:rPr>
        <w:t>Assurance of Confidentiality Provided to Respondents</w:t>
      </w:r>
      <w:r w:rsidRPr="00E35DD1">
        <w:rPr>
          <w:rFonts w:asciiTheme="minorHAnsi" w:hAnsiTheme="minorHAnsi"/>
          <w:szCs w:val="22"/>
        </w:rPr>
        <w:tab/>
      </w:r>
    </w:p>
    <w:p w:rsidRPr="00E35DD1" w:rsidR="001B2454" w:rsidP="00EB46B3" w:rsidRDefault="001B2454" w14:paraId="7F7E5A79" w14:textId="58365A49">
      <w:pPr>
        <w:pStyle w:val="P1-StandPara"/>
        <w:spacing w:line="360" w:lineRule="auto"/>
        <w:ind w:firstLine="0"/>
        <w:rPr>
          <w:rFonts w:asciiTheme="minorHAnsi" w:hAnsiTheme="minorHAnsi"/>
          <w:szCs w:val="22"/>
        </w:rPr>
      </w:pPr>
      <w:r w:rsidRPr="00E35DD1">
        <w:rPr>
          <w:rFonts w:asciiTheme="minorHAnsi" w:hAnsiTheme="minorHAnsi"/>
          <w:szCs w:val="22"/>
        </w:rPr>
        <w:t>A.11</w:t>
      </w:r>
      <w:r w:rsidR="00B46117">
        <w:rPr>
          <w:rFonts w:asciiTheme="minorHAnsi" w:hAnsiTheme="minorHAnsi"/>
          <w:szCs w:val="22"/>
        </w:rPr>
        <w:t xml:space="preserve">   </w:t>
      </w:r>
      <w:r w:rsidRPr="00E35DD1">
        <w:rPr>
          <w:rFonts w:asciiTheme="minorHAnsi" w:hAnsiTheme="minorHAnsi"/>
          <w:szCs w:val="22"/>
        </w:rPr>
        <w:t>Justification for Sensitive Questions</w:t>
      </w:r>
      <w:r w:rsidRPr="00E35DD1">
        <w:rPr>
          <w:rFonts w:asciiTheme="minorHAnsi" w:hAnsiTheme="minorHAnsi"/>
          <w:szCs w:val="22"/>
        </w:rPr>
        <w:tab/>
      </w:r>
    </w:p>
    <w:p w:rsidRPr="00E35DD1" w:rsidR="001B2454" w:rsidP="00EB46B3" w:rsidRDefault="001B2454" w14:paraId="2D61C4A7" w14:textId="3832788A">
      <w:pPr>
        <w:pStyle w:val="P1-StandPara"/>
        <w:spacing w:line="360" w:lineRule="auto"/>
        <w:ind w:firstLine="0"/>
        <w:rPr>
          <w:rFonts w:asciiTheme="minorHAnsi" w:hAnsiTheme="minorHAnsi"/>
          <w:szCs w:val="22"/>
        </w:rPr>
      </w:pPr>
      <w:r w:rsidRPr="00E35DD1">
        <w:rPr>
          <w:rFonts w:asciiTheme="minorHAnsi" w:hAnsiTheme="minorHAnsi"/>
          <w:szCs w:val="22"/>
        </w:rPr>
        <w:t>A.12</w:t>
      </w:r>
      <w:r w:rsidR="00B46117">
        <w:rPr>
          <w:rFonts w:asciiTheme="minorHAnsi" w:hAnsiTheme="minorHAnsi"/>
          <w:szCs w:val="22"/>
        </w:rPr>
        <w:t xml:space="preserve">   </w:t>
      </w:r>
      <w:r w:rsidRPr="00E35DD1">
        <w:rPr>
          <w:rFonts w:asciiTheme="minorHAnsi" w:hAnsiTheme="minorHAnsi"/>
          <w:szCs w:val="22"/>
        </w:rPr>
        <w:t>Estimates of Hour Burden Including Annualized Hourly Costs</w:t>
      </w:r>
      <w:r w:rsidRPr="00E35DD1">
        <w:rPr>
          <w:rFonts w:asciiTheme="minorHAnsi" w:hAnsiTheme="minorHAnsi"/>
          <w:szCs w:val="22"/>
        </w:rPr>
        <w:tab/>
      </w:r>
    </w:p>
    <w:p w:rsidRPr="00E35DD1" w:rsidR="001B2454" w:rsidP="00EB46B3" w:rsidRDefault="001B2454" w14:paraId="1AC1F557" w14:textId="28700271">
      <w:pPr>
        <w:pStyle w:val="P1-StandPara"/>
        <w:spacing w:line="360" w:lineRule="auto"/>
        <w:ind w:firstLine="0"/>
        <w:rPr>
          <w:rFonts w:asciiTheme="minorHAnsi" w:hAnsiTheme="minorHAnsi"/>
          <w:szCs w:val="22"/>
        </w:rPr>
      </w:pPr>
      <w:r w:rsidRPr="00E35DD1">
        <w:rPr>
          <w:rFonts w:asciiTheme="minorHAnsi" w:hAnsiTheme="minorHAnsi"/>
          <w:szCs w:val="22"/>
        </w:rPr>
        <w:t>A.13</w:t>
      </w:r>
      <w:r w:rsidR="00B46117">
        <w:rPr>
          <w:rFonts w:asciiTheme="minorHAnsi" w:hAnsiTheme="minorHAnsi"/>
          <w:szCs w:val="22"/>
        </w:rPr>
        <w:t xml:space="preserve">   </w:t>
      </w:r>
      <w:r w:rsidRPr="00E35DD1">
        <w:rPr>
          <w:rFonts w:asciiTheme="minorHAnsi" w:hAnsiTheme="minorHAnsi"/>
          <w:szCs w:val="22"/>
        </w:rPr>
        <w:t>Estimate of Other Total Annual Cost Burden to Respondents or Record</w:t>
      </w:r>
      <w:r>
        <w:rPr>
          <w:rFonts w:asciiTheme="minorHAnsi" w:hAnsiTheme="minorHAnsi"/>
          <w:szCs w:val="22"/>
        </w:rPr>
        <w:t xml:space="preserve"> </w:t>
      </w:r>
      <w:r w:rsidRPr="00E35DD1">
        <w:rPr>
          <w:rFonts w:asciiTheme="minorHAnsi" w:hAnsiTheme="minorHAnsi"/>
          <w:szCs w:val="22"/>
        </w:rPr>
        <w:t>keepers</w:t>
      </w:r>
      <w:r w:rsidRPr="00E35DD1">
        <w:rPr>
          <w:rFonts w:asciiTheme="minorHAnsi" w:hAnsiTheme="minorHAnsi"/>
          <w:szCs w:val="22"/>
        </w:rPr>
        <w:tab/>
      </w:r>
    </w:p>
    <w:p w:rsidRPr="00E35DD1" w:rsidR="001B2454" w:rsidP="00EB46B3" w:rsidRDefault="001B2454" w14:paraId="1DEDC6B3" w14:textId="7107CA3E">
      <w:pPr>
        <w:pStyle w:val="P1-StandPara"/>
        <w:spacing w:line="360" w:lineRule="auto"/>
        <w:ind w:firstLine="0"/>
        <w:rPr>
          <w:rFonts w:asciiTheme="minorHAnsi" w:hAnsiTheme="minorHAnsi"/>
          <w:szCs w:val="22"/>
        </w:rPr>
      </w:pPr>
      <w:r w:rsidRPr="00E35DD1">
        <w:rPr>
          <w:rFonts w:asciiTheme="minorHAnsi" w:hAnsiTheme="minorHAnsi"/>
          <w:szCs w:val="22"/>
        </w:rPr>
        <w:t>A.14</w:t>
      </w:r>
      <w:r w:rsidR="00B46117">
        <w:rPr>
          <w:rFonts w:asciiTheme="minorHAnsi" w:hAnsiTheme="minorHAnsi"/>
          <w:szCs w:val="22"/>
        </w:rPr>
        <w:t xml:space="preserve">   </w:t>
      </w:r>
      <w:r w:rsidRPr="00E35DD1">
        <w:rPr>
          <w:rFonts w:asciiTheme="minorHAnsi" w:hAnsiTheme="minorHAnsi"/>
          <w:szCs w:val="22"/>
        </w:rPr>
        <w:t>Annualized Cost to the Federal Government</w:t>
      </w:r>
      <w:r w:rsidRPr="00E35DD1">
        <w:rPr>
          <w:rFonts w:asciiTheme="minorHAnsi" w:hAnsiTheme="minorHAnsi"/>
          <w:szCs w:val="22"/>
        </w:rPr>
        <w:tab/>
      </w:r>
    </w:p>
    <w:p w:rsidRPr="00E35DD1" w:rsidR="001B2454" w:rsidP="00EB46B3" w:rsidRDefault="001B2454" w14:paraId="45EC8E6E" w14:textId="4DAE9785">
      <w:pPr>
        <w:pStyle w:val="P1-StandPara"/>
        <w:spacing w:line="360" w:lineRule="auto"/>
        <w:ind w:firstLine="0"/>
        <w:rPr>
          <w:rFonts w:asciiTheme="minorHAnsi" w:hAnsiTheme="minorHAnsi"/>
          <w:szCs w:val="22"/>
        </w:rPr>
      </w:pPr>
      <w:r w:rsidRPr="00E35DD1">
        <w:rPr>
          <w:rFonts w:asciiTheme="minorHAnsi" w:hAnsiTheme="minorHAnsi"/>
          <w:szCs w:val="22"/>
        </w:rPr>
        <w:t>A.15</w:t>
      </w:r>
      <w:r w:rsidR="00B46117">
        <w:rPr>
          <w:rFonts w:asciiTheme="minorHAnsi" w:hAnsiTheme="minorHAnsi"/>
          <w:szCs w:val="22"/>
        </w:rPr>
        <w:t xml:space="preserve">   </w:t>
      </w:r>
      <w:r w:rsidRPr="00E35DD1">
        <w:rPr>
          <w:rFonts w:asciiTheme="minorHAnsi" w:hAnsiTheme="minorHAnsi"/>
          <w:szCs w:val="22"/>
        </w:rPr>
        <w:t>Explanation for Program Changes or Adjustments</w:t>
      </w:r>
      <w:r w:rsidRPr="00E35DD1">
        <w:rPr>
          <w:rFonts w:asciiTheme="minorHAnsi" w:hAnsiTheme="minorHAnsi"/>
          <w:szCs w:val="22"/>
        </w:rPr>
        <w:tab/>
      </w:r>
    </w:p>
    <w:p w:rsidRPr="00E35DD1" w:rsidR="001B2454" w:rsidP="00EB46B3" w:rsidRDefault="001B2454" w14:paraId="1F20DDCA" w14:textId="5A5F0635">
      <w:pPr>
        <w:pStyle w:val="P1-StandPara"/>
        <w:spacing w:line="360" w:lineRule="auto"/>
        <w:ind w:firstLine="0"/>
        <w:rPr>
          <w:rFonts w:asciiTheme="minorHAnsi" w:hAnsiTheme="minorHAnsi"/>
          <w:szCs w:val="22"/>
        </w:rPr>
      </w:pPr>
      <w:r w:rsidRPr="00E35DD1">
        <w:rPr>
          <w:rFonts w:asciiTheme="minorHAnsi" w:hAnsiTheme="minorHAnsi"/>
          <w:szCs w:val="22"/>
        </w:rPr>
        <w:t>A.16</w:t>
      </w:r>
      <w:r w:rsidR="009B25A0">
        <w:rPr>
          <w:rFonts w:asciiTheme="minorHAnsi" w:hAnsiTheme="minorHAnsi"/>
          <w:szCs w:val="22"/>
        </w:rPr>
        <w:t xml:space="preserve">   </w:t>
      </w:r>
      <w:r w:rsidRPr="00E35DD1">
        <w:rPr>
          <w:rFonts w:asciiTheme="minorHAnsi" w:hAnsiTheme="minorHAnsi"/>
          <w:szCs w:val="22"/>
        </w:rPr>
        <w:t>Plans for Tabulation and Publication and Project Time Schedule</w:t>
      </w:r>
      <w:r w:rsidRPr="00E35DD1">
        <w:rPr>
          <w:rFonts w:asciiTheme="minorHAnsi" w:hAnsiTheme="minorHAnsi"/>
          <w:szCs w:val="22"/>
        </w:rPr>
        <w:tab/>
      </w:r>
    </w:p>
    <w:p w:rsidRPr="00E35DD1" w:rsidR="001B2454" w:rsidP="00EB46B3" w:rsidRDefault="001B2454" w14:paraId="4AE96154" w14:textId="6977E55D">
      <w:pPr>
        <w:pStyle w:val="P1-StandPara"/>
        <w:spacing w:after="0" w:line="360" w:lineRule="auto"/>
        <w:ind w:firstLine="0"/>
        <w:rPr>
          <w:rFonts w:asciiTheme="minorHAnsi" w:hAnsiTheme="minorHAnsi"/>
          <w:szCs w:val="22"/>
        </w:rPr>
      </w:pPr>
      <w:r w:rsidRPr="00E35DD1">
        <w:rPr>
          <w:rFonts w:asciiTheme="minorHAnsi" w:hAnsiTheme="minorHAnsi"/>
          <w:szCs w:val="22"/>
        </w:rPr>
        <w:t>A.17</w:t>
      </w:r>
      <w:r w:rsidR="009B25A0">
        <w:rPr>
          <w:rFonts w:asciiTheme="minorHAnsi" w:hAnsiTheme="minorHAnsi"/>
          <w:szCs w:val="22"/>
        </w:rPr>
        <w:t xml:space="preserve">    </w:t>
      </w:r>
      <w:r w:rsidRPr="00E35DD1">
        <w:rPr>
          <w:rFonts w:asciiTheme="minorHAnsi" w:hAnsiTheme="minorHAnsi"/>
          <w:szCs w:val="22"/>
        </w:rPr>
        <w:t>Reason(s) Display of OMB Expiration Date is Inappropriate</w:t>
      </w:r>
      <w:r w:rsidRPr="00E35DD1">
        <w:rPr>
          <w:rFonts w:asciiTheme="minorHAnsi" w:hAnsiTheme="minorHAnsi"/>
          <w:szCs w:val="22"/>
        </w:rPr>
        <w:tab/>
      </w:r>
    </w:p>
    <w:p w:rsidR="001B2454" w:rsidP="00EB46B3" w:rsidRDefault="001B2454" w14:paraId="7647B046" w14:textId="50289812">
      <w:pPr>
        <w:pStyle w:val="P1-StandPara"/>
        <w:spacing w:line="360" w:lineRule="auto"/>
        <w:ind w:firstLine="0"/>
        <w:rPr>
          <w:rFonts w:asciiTheme="minorHAnsi" w:hAnsiTheme="minorHAnsi"/>
          <w:szCs w:val="22"/>
        </w:rPr>
      </w:pPr>
      <w:r w:rsidRPr="00E35DD1">
        <w:rPr>
          <w:rFonts w:asciiTheme="minorHAnsi" w:hAnsiTheme="minorHAnsi"/>
          <w:szCs w:val="22"/>
        </w:rPr>
        <w:t>A.18</w:t>
      </w:r>
      <w:r w:rsidR="009B25A0">
        <w:rPr>
          <w:rFonts w:asciiTheme="minorHAnsi" w:hAnsiTheme="minorHAnsi"/>
          <w:szCs w:val="22"/>
        </w:rPr>
        <w:t xml:space="preserve">    </w:t>
      </w:r>
      <w:r w:rsidRPr="00E35DD1">
        <w:rPr>
          <w:rFonts w:asciiTheme="minorHAnsi" w:hAnsiTheme="minorHAnsi"/>
          <w:szCs w:val="22"/>
        </w:rPr>
        <w:t>Exceptions to Certification for Paperwork Reduction Act Submissions</w:t>
      </w:r>
      <w:r w:rsidRPr="00E35DD1">
        <w:rPr>
          <w:rFonts w:asciiTheme="minorHAnsi" w:hAnsiTheme="minorHAnsi"/>
          <w:szCs w:val="22"/>
        </w:rPr>
        <w:tab/>
      </w:r>
    </w:p>
    <w:p w:rsidR="00FE0553" w:rsidP="00EB46B3" w:rsidRDefault="00FE0553" w14:paraId="405EBA43" w14:textId="77777777">
      <w:pPr>
        <w:pStyle w:val="P1-StandPara"/>
        <w:spacing w:line="360" w:lineRule="auto"/>
        <w:ind w:firstLine="0"/>
        <w:rPr>
          <w:rFonts w:asciiTheme="minorHAnsi" w:hAnsiTheme="minorHAnsi"/>
          <w:szCs w:val="22"/>
        </w:rPr>
      </w:pPr>
    </w:p>
    <w:p w:rsidR="001B2454" w:rsidP="005312AE" w:rsidRDefault="001B2454" w14:paraId="55AACFBF" w14:textId="3CD7906E">
      <w:pPr>
        <w:pStyle w:val="P1-StandPara"/>
        <w:ind w:firstLine="0"/>
      </w:pPr>
      <w:r w:rsidRPr="00E35DD1">
        <w:rPr>
          <w:rFonts w:asciiTheme="minorHAnsi" w:hAnsiTheme="minorHAnsi"/>
          <w:szCs w:val="22"/>
        </w:rPr>
        <w:lastRenderedPageBreak/>
        <w:fldChar w:fldCharType="end"/>
      </w:r>
    </w:p>
    <w:p w:rsidR="001B2454" w:rsidP="001B2454" w:rsidRDefault="001B2454" w14:paraId="72172734" w14:textId="77777777"/>
    <w:p w:rsidR="00594CDE" w:rsidP="00594CDE" w:rsidRDefault="00594CDE" w14:paraId="77827019" w14:textId="77777777">
      <w:r>
        <w:t>Attachments</w:t>
      </w:r>
    </w:p>
    <w:p w:rsidR="00594CDE" w:rsidP="00594CDE" w:rsidRDefault="00594CDE" w14:paraId="62136F35" w14:textId="77777777"/>
    <w:p w:rsidR="00594CDE" w:rsidP="00A32FB2" w:rsidRDefault="00A32FB2" w14:paraId="1E9E3579" w14:textId="713D6410">
      <w:r>
        <w:t xml:space="preserve">  Attachment 1 - </w:t>
      </w:r>
      <w:r w:rsidRPr="000D2FA4" w:rsidR="00594CDE">
        <w:t>NIH Certificate of Confidentiality (</w:t>
      </w:r>
      <w:proofErr w:type="spellStart"/>
      <w:r w:rsidRPr="000D2FA4" w:rsidR="00594CDE">
        <w:t>CoC</w:t>
      </w:r>
      <w:proofErr w:type="spellEnd"/>
      <w:r w:rsidRPr="000D2FA4" w:rsidR="00594CDE">
        <w:t xml:space="preserve">) </w:t>
      </w:r>
      <w:r w:rsidR="00594CDE">
        <w:t>Request Form Screenshots</w:t>
      </w:r>
    </w:p>
    <w:p w:rsidRPr="00A37688" w:rsidR="00A32FB2" w:rsidP="00A37688" w:rsidRDefault="00A37688" w14:paraId="25C0733C" w14:textId="51A1DCD9">
      <w:pPr>
        <w:pStyle w:val="ListParagraph"/>
        <w:numPr>
          <w:ilvl w:val="0"/>
          <w:numId w:val="11"/>
        </w:numPr>
        <w:rPr>
          <w:rFonts w:ascii="Times New Roman" w:hAnsi="Times New Roman"/>
        </w:rPr>
      </w:pPr>
      <w:r>
        <w:t xml:space="preserve"> </w:t>
      </w:r>
      <w:proofErr w:type="spellStart"/>
      <w:r w:rsidRPr="00A37688">
        <w:rPr>
          <w:rFonts w:ascii="Times New Roman" w:hAnsi="Times New Roman"/>
        </w:rPr>
        <w:t>CoC</w:t>
      </w:r>
      <w:proofErr w:type="spellEnd"/>
      <w:r w:rsidRPr="00A37688">
        <w:rPr>
          <w:rFonts w:ascii="Times New Roman" w:hAnsi="Times New Roman"/>
        </w:rPr>
        <w:t xml:space="preserve"> v2 with burden disclosure</w:t>
      </w:r>
    </w:p>
    <w:p w:rsidR="00594CDE" w:rsidP="00A32FB2" w:rsidRDefault="00A32FB2" w14:paraId="6DEAF39A" w14:textId="5B34BDD6">
      <w:r>
        <w:t xml:space="preserve">Attachment 2 - </w:t>
      </w:r>
      <w:r w:rsidR="00594CDE">
        <w:t>List o</w:t>
      </w:r>
      <w:r>
        <w:t>f D</w:t>
      </w:r>
      <w:r w:rsidR="00594CDE">
        <w:t xml:space="preserve">HHS </w:t>
      </w:r>
      <w:proofErr w:type="spellStart"/>
      <w:r w:rsidR="00594CDE">
        <w:t>CoC</w:t>
      </w:r>
      <w:proofErr w:type="spellEnd"/>
      <w:r w:rsidR="00594CDE">
        <w:t xml:space="preserve"> Coordinators</w:t>
      </w:r>
    </w:p>
    <w:p w:rsidR="00A32FB2" w:rsidP="00A32FB2" w:rsidRDefault="00A32FB2" w14:paraId="1473C937" w14:textId="77777777"/>
    <w:p w:rsidR="00594CDE" w:rsidP="00A32FB2" w:rsidRDefault="00A32FB2" w14:paraId="608D036B" w14:textId="116396AF">
      <w:r>
        <w:t xml:space="preserve">Attachment 3 - </w:t>
      </w:r>
      <w:r w:rsidR="00594CDE">
        <w:t>Privacy Impact Assessment (PIA)</w:t>
      </w:r>
    </w:p>
    <w:p w:rsidR="00A32FB2" w:rsidP="00A32FB2" w:rsidRDefault="00A32FB2" w14:paraId="103AC7C1" w14:textId="77777777"/>
    <w:p w:rsidR="00594CDE" w:rsidP="00202B4E" w:rsidRDefault="00A32FB2" w14:paraId="074CCD63" w14:textId="72201DAC">
      <w:pPr>
        <w:spacing w:after="0" w:line="240" w:lineRule="auto"/>
        <w:rPr>
          <w:rFonts w:asciiTheme="minorHAnsi" w:hAnsiTheme="minorHAnsi"/>
          <w:b/>
          <w:szCs w:val="22"/>
          <w:u w:val="single"/>
        </w:rPr>
      </w:pPr>
      <w:r>
        <w:t xml:space="preserve">Attachment 4 - </w:t>
      </w:r>
      <w:r w:rsidR="00594CDE">
        <w:t>NIH Privacy Act memo</w:t>
      </w:r>
      <w:r>
        <w:t>: Applicability of the Privacy Act</w:t>
      </w:r>
    </w:p>
    <w:p w:rsidR="001B2454" w:rsidP="001B2454" w:rsidRDefault="001B2454" w14:paraId="24E64BBE" w14:textId="77777777"/>
    <w:p w:rsidR="001B2454" w:rsidP="001B2454" w:rsidRDefault="001B2454" w14:paraId="0BA13E96" w14:textId="77777777"/>
    <w:p w:rsidR="001B2454" w:rsidP="001B2454" w:rsidRDefault="001B2454" w14:paraId="1D8E4833" w14:textId="77777777"/>
    <w:p w:rsidR="001B2454" w:rsidP="001B2454" w:rsidRDefault="001B2454" w14:paraId="713F56ED" w14:textId="77777777"/>
    <w:p w:rsidR="001B2454" w:rsidP="001B2454" w:rsidRDefault="001B2454" w14:paraId="039D7759" w14:textId="77777777"/>
    <w:p w:rsidR="001B2454" w:rsidP="001B2454" w:rsidRDefault="001B2454" w14:paraId="32072447" w14:textId="77777777"/>
    <w:p w:rsidR="001B2454" w:rsidP="001B2454" w:rsidRDefault="001B2454" w14:paraId="559945FC" w14:textId="77777777"/>
    <w:p w:rsidR="001B2454" w:rsidP="001B2454" w:rsidRDefault="001B2454" w14:paraId="57CD00DE" w14:textId="77777777"/>
    <w:p w:rsidR="001B2454" w:rsidP="001B2454" w:rsidRDefault="001B2454" w14:paraId="202C0656" w14:textId="77777777"/>
    <w:p w:rsidR="001B2454" w:rsidP="001B2454" w:rsidRDefault="001B2454" w14:paraId="016DE234" w14:textId="507C94B0"/>
    <w:p w:rsidR="00CC4EEE" w:rsidP="001B2454" w:rsidRDefault="00CC4EEE" w14:paraId="56610352" w14:textId="62C94365"/>
    <w:p w:rsidR="00CC4EEE" w:rsidP="001B2454" w:rsidRDefault="00CC4EEE" w14:paraId="5E2B5507" w14:textId="3F69D77E"/>
    <w:p w:rsidR="00CC4EEE" w:rsidP="001B2454" w:rsidRDefault="00CC4EEE" w14:paraId="5A7CD078" w14:textId="01566151"/>
    <w:p w:rsidR="00CC4EEE" w:rsidP="001B2454" w:rsidRDefault="00CC4EEE" w14:paraId="69E00C1B" w14:textId="533D640A"/>
    <w:p w:rsidR="00CC4EEE" w:rsidP="001B2454" w:rsidRDefault="00CC4EEE" w14:paraId="7533BF14" w14:textId="5D364E3C"/>
    <w:p w:rsidR="00CC4EEE" w:rsidP="001B2454" w:rsidRDefault="00CC4EEE" w14:paraId="07644A43" w14:textId="2D81A67C"/>
    <w:p w:rsidR="00CC4EEE" w:rsidP="001B2454" w:rsidRDefault="00CC4EEE" w14:paraId="61DCBB16" w14:textId="6C02253D"/>
    <w:p w:rsidR="00CC4EEE" w:rsidP="001B2454" w:rsidRDefault="00CC4EEE" w14:paraId="295B84BB" w14:textId="36FFBF3E"/>
    <w:p w:rsidR="00CC4EEE" w:rsidP="001B2454" w:rsidRDefault="00CC4EEE" w14:paraId="0C58880A" w14:textId="77777777"/>
    <w:p w:rsidR="001B2454" w:rsidP="001B2454" w:rsidRDefault="001B2454" w14:paraId="58A3685B" w14:textId="77777777"/>
    <w:p w:rsidR="001B2454" w:rsidP="001B2454" w:rsidRDefault="001B2454" w14:paraId="3878A423" w14:textId="77777777"/>
    <w:p w:rsidRPr="005F281E" w:rsidR="00E17A1F" w:rsidP="005F281E" w:rsidRDefault="00E17A1F" w14:paraId="443FBD35" w14:textId="4EDA187A">
      <w:pPr>
        <w:spacing w:after="0" w:line="240" w:lineRule="auto"/>
        <w:rPr>
          <w:rFonts w:asciiTheme="minorHAnsi" w:hAnsiTheme="minorHAnsi" w:cstheme="minorHAnsi"/>
          <w:b/>
          <w:noProof/>
          <w:sz w:val="22"/>
          <w:szCs w:val="22"/>
        </w:rPr>
      </w:pPr>
      <w:r w:rsidRPr="005F281E">
        <w:rPr>
          <w:rFonts w:asciiTheme="minorHAnsi" w:hAnsiTheme="minorHAnsi" w:cstheme="minorHAnsi"/>
          <w:b/>
          <w:noProof/>
          <w:sz w:val="22"/>
          <w:szCs w:val="22"/>
        </w:rPr>
        <w:t>A. Justification</w:t>
      </w:r>
    </w:p>
    <w:p w:rsidRPr="005F281E" w:rsidR="00A567D6" w:rsidP="005F281E" w:rsidRDefault="00CC4EEE" w14:paraId="4C387856" w14:textId="3483080F">
      <w:pPr>
        <w:rPr>
          <w:rFonts w:asciiTheme="minorHAnsi" w:hAnsiTheme="minorHAnsi" w:cstheme="minorHAnsi"/>
          <w:noProof/>
          <w:sz w:val="22"/>
          <w:szCs w:val="22"/>
        </w:rPr>
      </w:pPr>
      <w:r>
        <w:rPr>
          <w:rFonts w:asciiTheme="minorHAnsi" w:hAnsiTheme="minorHAnsi" w:cstheme="minorHAnsi"/>
          <w:sz w:val="22"/>
          <w:szCs w:val="22"/>
        </w:rPr>
        <w:t xml:space="preserve">Abstract:  </w:t>
      </w:r>
      <w:r w:rsidRPr="005F281E" w:rsidR="00A567D6">
        <w:rPr>
          <w:rFonts w:asciiTheme="minorHAnsi" w:hAnsiTheme="minorHAnsi" w:cstheme="minorHAnsi"/>
          <w:sz w:val="22"/>
          <w:szCs w:val="22"/>
        </w:rPr>
        <w:t xml:space="preserve">NIH is requesting </w:t>
      </w:r>
      <w:r w:rsidRPr="005F281E" w:rsidR="00875AAE">
        <w:rPr>
          <w:rFonts w:asciiTheme="minorHAnsi" w:hAnsiTheme="minorHAnsi" w:cstheme="minorHAnsi"/>
          <w:sz w:val="22"/>
          <w:szCs w:val="22"/>
        </w:rPr>
        <w:t>a</w:t>
      </w:r>
      <w:r w:rsidR="00BF7343">
        <w:rPr>
          <w:rFonts w:asciiTheme="minorHAnsi" w:hAnsiTheme="minorHAnsi" w:cstheme="minorHAnsi"/>
          <w:sz w:val="22"/>
          <w:szCs w:val="22"/>
        </w:rPr>
        <w:t xml:space="preserve"> revision</w:t>
      </w:r>
      <w:r w:rsidR="00650074">
        <w:rPr>
          <w:rFonts w:asciiTheme="minorHAnsi" w:hAnsiTheme="minorHAnsi" w:cstheme="minorHAnsi"/>
          <w:sz w:val="22"/>
          <w:szCs w:val="22"/>
        </w:rPr>
        <w:t xml:space="preserve"> </w:t>
      </w:r>
      <w:r w:rsidRPr="005F281E" w:rsidR="00A567D6">
        <w:rPr>
          <w:rFonts w:asciiTheme="minorHAnsi" w:hAnsiTheme="minorHAnsi" w:cstheme="minorHAnsi"/>
          <w:sz w:val="22"/>
          <w:szCs w:val="22"/>
        </w:rPr>
        <w:t xml:space="preserve">for </w:t>
      </w:r>
      <w:r w:rsidRPr="005F281E" w:rsidR="00875AAE">
        <w:rPr>
          <w:rFonts w:asciiTheme="minorHAnsi" w:hAnsiTheme="minorHAnsi" w:cstheme="minorHAnsi"/>
          <w:sz w:val="22"/>
          <w:szCs w:val="22"/>
        </w:rPr>
        <w:t>three</w:t>
      </w:r>
      <w:r w:rsidRPr="005F281E" w:rsidR="00A567D6">
        <w:rPr>
          <w:rFonts w:asciiTheme="minorHAnsi" w:hAnsiTheme="minorHAnsi" w:cstheme="minorHAnsi"/>
          <w:sz w:val="22"/>
          <w:szCs w:val="22"/>
        </w:rPr>
        <w:t xml:space="preserve"> years.  </w:t>
      </w:r>
      <w:r w:rsidRPr="005F281E" w:rsidR="00875AAE">
        <w:rPr>
          <w:rFonts w:asciiTheme="minorHAnsi" w:hAnsiTheme="minorHAnsi" w:cstheme="minorHAnsi"/>
          <w:sz w:val="22"/>
          <w:szCs w:val="22"/>
        </w:rPr>
        <w:t>In 2015, NIH launched an on-line application system for researchers to request a Certificate of Confidentiality (</w:t>
      </w:r>
      <w:proofErr w:type="spellStart"/>
      <w:r w:rsidRPr="005F281E" w:rsidR="00875AAE">
        <w:rPr>
          <w:rFonts w:asciiTheme="minorHAnsi" w:hAnsiTheme="minorHAnsi" w:cstheme="minorHAnsi"/>
          <w:sz w:val="22"/>
          <w:szCs w:val="22"/>
        </w:rPr>
        <w:t>CoC</w:t>
      </w:r>
      <w:proofErr w:type="spellEnd"/>
      <w:r w:rsidRPr="005F281E" w:rsidR="00875AAE">
        <w:rPr>
          <w:rFonts w:asciiTheme="minorHAnsi" w:hAnsiTheme="minorHAnsi" w:cstheme="minorHAnsi"/>
          <w:sz w:val="22"/>
          <w:szCs w:val="22"/>
        </w:rPr>
        <w:t xml:space="preserve">) from NIH.  Information is collected to </w:t>
      </w:r>
      <w:r w:rsidRPr="005F281E" w:rsidR="00A567D6">
        <w:rPr>
          <w:rFonts w:asciiTheme="minorHAnsi" w:hAnsiTheme="minorHAnsi" w:cstheme="minorHAnsi"/>
          <w:sz w:val="22"/>
          <w:szCs w:val="22"/>
        </w:rPr>
        <w:t xml:space="preserve">allow confirmation of eligibility for a </w:t>
      </w:r>
      <w:proofErr w:type="spellStart"/>
      <w:r w:rsidRPr="005F281E" w:rsidR="00A567D6">
        <w:rPr>
          <w:rFonts w:asciiTheme="minorHAnsi" w:hAnsiTheme="minorHAnsi" w:cstheme="minorHAnsi"/>
          <w:sz w:val="22"/>
          <w:szCs w:val="22"/>
        </w:rPr>
        <w:t>CoC</w:t>
      </w:r>
      <w:proofErr w:type="spellEnd"/>
      <w:r w:rsidRPr="005F281E" w:rsidR="00875AAE">
        <w:rPr>
          <w:rFonts w:asciiTheme="minorHAnsi" w:hAnsiTheme="minorHAnsi" w:cstheme="minorHAnsi"/>
          <w:sz w:val="22"/>
          <w:szCs w:val="22"/>
        </w:rPr>
        <w:t xml:space="preserve"> and to issue a Certificate</w:t>
      </w:r>
      <w:r w:rsidRPr="005F281E" w:rsidR="00A567D6">
        <w:rPr>
          <w:rFonts w:asciiTheme="minorHAnsi" w:hAnsiTheme="minorHAnsi" w:cstheme="minorHAnsi"/>
          <w:sz w:val="22"/>
          <w:szCs w:val="22"/>
        </w:rPr>
        <w:t xml:space="preserve">. Eligible requestors will receive </w:t>
      </w:r>
      <w:r w:rsidRPr="005F281E" w:rsidR="00875AAE">
        <w:rPr>
          <w:rFonts w:asciiTheme="minorHAnsi" w:hAnsiTheme="minorHAnsi" w:cstheme="minorHAnsi"/>
          <w:sz w:val="22"/>
          <w:szCs w:val="22"/>
        </w:rPr>
        <w:t>an electronic Certificate once approved</w:t>
      </w:r>
      <w:r w:rsidRPr="005F281E" w:rsidR="00A567D6">
        <w:rPr>
          <w:rFonts w:asciiTheme="minorHAnsi" w:hAnsiTheme="minorHAnsi" w:cstheme="minorHAnsi"/>
          <w:sz w:val="22"/>
          <w:szCs w:val="22"/>
        </w:rPr>
        <w:t xml:space="preserve">. </w:t>
      </w:r>
    </w:p>
    <w:p w:rsidRPr="005F281E" w:rsidR="009611BC" w:rsidP="005F281E" w:rsidRDefault="009611BC" w14:paraId="555A8454" w14:textId="2829C952">
      <w:pPr>
        <w:rPr>
          <w:rFonts w:asciiTheme="minorHAnsi" w:hAnsiTheme="minorHAnsi" w:cstheme="minorHAnsi"/>
          <w:noProof/>
          <w:sz w:val="22"/>
          <w:szCs w:val="22"/>
        </w:rPr>
      </w:pPr>
      <w:r w:rsidRPr="005F281E">
        <w:rPr>
          <w:rFonts w:asciiTheme="minorHAnsi" w:hAnsiTheme="minorHAnsi" w:cstheme="minorHAnsi"/>
          <w:noProof/>
          <w:sz w:val="22"/>
          <w:szCs w:val="22"/>
        </w:rPr>
        <w:t>Certificates of Con</w:t>
      </w:r>
      <w:r w:rsidRPr="005F281E" w:rsidR="00B10847">
        <w:rPr>
          <w:rFonts w:asciiTheme="minorHAnsi" w:hAnsiTheme="minorHAnsi" w:cstheme="minorHAnsi"/>
          <w:noProof/>
          <w:sz w:val="22"/>
          <w:szCs w:val="22"/>
        </w:rPr>
        <w:t xml:space="preserve">fidentiality </w:t>
      </w:r>
      <w:r w:rsidRPr="005F281E" w:rsidR="006905A0">
        <w:rPr>
          <w:rFonts w:asciiTheme="minorHAnsi" w:hAnsiTheme="minorHAnsi" w:cstheme="minorHAnsi"/>
          <w:noProof/>
          <w:sz w:val="22"/>
          <w:szCs w:val="22"/>
        </w:rPr>
        <w:t>(CoCs)</w:t>
      </w:r>
      <w:r w:rsidRPr="005F281E" w:rsidR="00A3336F">
        <w:rPr>
          <w:rFonts w:asciiTheme="minorHAnsi" w:hAnsiTheme="minorHAnsi" w:cstheme="minorHAnsi"/>
          <w:noProof/>
          <w:sz w:val="22"/>
          <w:szCs w:val="22"/>
        </w:rPr>
        <w:t xml:space="preserve"> </w:t>
      </w:r>
      <w:r w:rsidRPr="005F281E" w:rsidR="0057120C">
        <w:rPr>
          <w:rFonts w:asciiTheme="minorHAnsi" w:hAnsiTheme="minorHAnsi" w:cstheme="minorHAnsi"/>
          <w:noProof/>
          <w:sz w:val="22"/>
          <w:szCs w:val="22"/>
        </w:rPr>
        <w:t>protect</w:t>
      </w:r>
      <w:r w:rsidRPr="005F281E">
        <w:rPr>
          <w:rFonts w:asciiTheme="minorHAnsi" w:hAnsiTheme="minorHAnsi" w:cstheme="minorHAnsi"/>
          <w:noProof/>
          <w:sz w:val="22"/>
          <w:szCs w:val="22"/>
        </w:rPr>
        <w:t xml:space="preserve"> research </w:t>
      </w:r>
      <w:r w:rsidRPr="005F281E" w:rsidR="00B10847">
        <w:rPr>
          <w:rFonts w:asciiTheme="minorHAnsi" w:hAnsiTheme="minorHAnsi" w:cstheme="minorHAnsi"/>
          <w:noProof/>
          <w:sz w:val="22"/>
          <w:szCs w:val="22"/>
        </w:rPr>
        <w:t>participants</w:t>
      </w:r>
      <w:r w:rsidRPr="005F281E" w:rsidR="0057120C">
        <w:rPr>
          <w:rFonts w:asciiTheme="minorHAnsi" w:hAnsiTheme="minorHAnsi" w:cstheme="minorHAnsi"/>
          <w:noProof/>
          <w:sz w:val="22"/>
          <w:szCs w:val="22"/>
        </w:rPr>
        <w:t>,</w:t>
      </w:r>
      <w:r w:rsidRPr="005F281E" w:rsidR="00B10847">
        <w:rPr>
          <w:rFonts w:asciiTheme="minorHAnsi" w:hAnsiTheme="minorHAnsi" w:cstheme="minorHAnsi"/>
          <w:noProof/>
          <w:sz w:val="22"/>
          <w:szCs w:val="22"/>
        </w:rPr>
        <w:t xml:space="preserve"> </w:t>
      </w:r>
      <w:r w:rsidRPr="005F281E" w:rsidR="0057120C">
        <w:rPr>
          <w:rFonts w:asciiTheme="minorHAnsi" w:hAnsiTheme="minorHAnsi" w:cstheme="minorHAnsi"/>
          <w:noProof/>
          <w:sz w:val="22"/>
          <w:szCs w:val="22"/>
        </w:rPr>
        <w:t xml:space="preserve"> researchers, and institu</w:t>
      </w:r>
      <w:r w:rsidRPr="005F281E" w:rsidR="008A1444">
        <w:rPr>
          <w:rFonts w:asciiTheme="minorHAnsi" w:hAnsiTheme="minorHAnsi" w:cstheme="minorHAnsi"/>
          <w:noProof/>
          <w:sz w:val="22"/>
          <w:szCs w:val="22"/>
        </w:rPr>
        <w:t>t</w:t>
      </w:r>
      <w:r w:rsidRPr="005F281E" w:rsidR="0057120C">
        <w:rPr>
          <w:rFonts w:asciiTheme="minorHAnsi" w:hAnsiTheme="minorHAnsi" w:cstheme="minorHAnsi"/>
          <w:noProof/>
          <w:sz w:val="22"/>
          <w:szCs w:val="22"/>
        </w:rPr>
        <w:t xml:space="preserve">ions </w:t>
      </w:r>
      <w:r w:rsidRPr="005F281E">
        <w:rPr>
          <w:rFonts w:asciiTheme="minorHAnsi" w:hAnsiTheme="minorHAnsi" w:cstheme="minorHAnsi"/>
          <w:noProof/>
          <w:sz w:val="22"/>
          <w:szCs w:val="22"/>
        </w:rPr>
        <w:t xml:space="preserve">by </w:t>
      </w:r>
      <w:r w:rsidRPr="005F281E" w:rsidR="0057120C">
        <w:rPr>
          <w:rFonts w:asciiTheme="minorHAnsi" w:hAnsiTheme="minorHAnsi" w:cstheme="minorHAnsi"/>
          <w:noProof/>
          <w:sz w:val="22"/>
          <w:szCs w:val="22"/>
        </w:rPr>
        <w:t xml:space="preserve">prohibiting </w:t>
      </w:r>
      <w:r w:rsidRPr="005F281E">
        <w:rPr>
          <w:rFonts w:asciiTheme="minorHAnsi" w:hAnsiTheme="minorHAnsi" w:cstheme="minorHAnsi"/>
          <w:noProof/>
          <w:sz w:val="22"/>
          <w:szCs w:val="22"/>
        </w:rPr>
        <w:t>disclosure of identifying information about participants</w:t>
      </w:r>
      <w:r w:rsidRPr="005F281E" w:rsidR="0057120C">
        <w:rPr>
          <w:rFonts w:asciiTheme="minorHAnsi" w:hAnsiTheme="minorHAnsi" w:cstheme="minorHAnsi"/>
          <w:noProof/>
          <w:sz w:val="22"/>
          <w:szCs w:val="22"/>
        </w:rPr>
        <w:t xml:space="preserve"> to persons not connected to the research</w:t>
      </w:r>
      <w:r w:rsidRPr="005F281E" w:rsidR="002D2E20">
        <w:rPr>
          <w:rFonts w:asciiTheme="minorHAnsi" w:hAnsiTheme="minorHAnsi" w:cstheme="minorHAnsi"/>
          <w:noProof/>
          <w:sz w:val="22"/>
          <w:szCs w:val="22"/>
        </w:rPr>
        <w:t>,</w:t>
      </w:r>
      <w:r w:rsidRPr="005F281E" w:rsidR="00A3336F">
        <w:rPr>
          <w:rFonts w:asciiTheme="minorHAnsi" w:hAnsiTheme="minorHAnsi" w:cstheme="minorHAnsi"/>
          <w:noProof/>
          <w:sz w:val="22"/>
          <w:szCs w:val="22"/>
        </w:rPr>
        <w:t xml:space="preserve"> with limited exceptions</w:t>
      </w:r>
      <w:r w:rsidRPr="005F281E" w:rsidR="002D2E20">
        <w:rPr>
          <w:rFonts w:asciiTheme="minorHAnsi" w:hAnsiTheme="minorHAnsi" w:cstheme="minorHAnsi"/>
          <w:noProof/>
          <w:sz w:val="22"/>
          <w:szCs w:val="22"/>
        </w:rPr>
        <w:t>.</w:t>
      </w:r>
      <w:r w:rsidRPr="005F281E">
        <w:rPr>
          <w:rFonts w:asciiTheme="minorHAnsi" w:hAnsiTheme="minorHAnsi" w:cstheme="minorHAnsi"/>
          <w:noProof/>
          <w:sz w:val="22"/>
          <w:szCs w:val="22"/>
        </w:rPr>
        <w:t xml:space="preserve">  NIH, through its 24 funding Institutes and Centers</w:t>
      </w:r>
      <w:r w:rsidRPr="005F281E" w:rsidR="00B10847">
        <w:rPr>
          <w:rFonts w:asciiTheme="minorHAnsi" w:hAnsiTheme="minorHAnsi" w:cstheme="minorHAnsi"/>
          <w:noProof/>
          <w:sz w:val="22"/>
          <w:szCs w:val="22"/>
        </w:rPr>
        <w:t xml:space="preserve"> (ICs)</w:t>
      </w:r>
      <w:r w:rsidRPr="005F281E">
        <w:rPr>
          <w:rFonts w:asciiTheme="minorHAnsi" w:hAnsiTheme="minorHAnsi" w:cstheme="minorHAnsi"/>
          <w:noProof/>
          <w:sz w:val="22"/>
          <w:szCs w:val="22"/>
        </w:rPr>
        <w:t>, has issued Certificates o</w:t>
      </w:r>
      <w:r w:rsidRPr="005F281E" w:rsidR="00B10847">
        <w:rPr>
          <w:rFonts w:asciiTheme="minorHAnsi" w:hAnsiTheme="minorHAnsi" w:cstheme="minorHAnsi"/>
          <w:noProof/>
          <w:sz w:val="22"/>
          <w:szCs w:val="22"/>
        </w:rPr>
        <w:t>f Confidentiality since 1997</w:t>
      </w:r>
      <w:r w:rsidRPr="005F281E">
        <w:rPr>
          <w:rFonts w:asciiTheme="minorHAnsi" w:hAnsiTheme="minorHAnsi" w:cstheme="minorHAnsi"/>
          <w:noProof/>
          <w:sz w:val="22"/>
          <w:szCs w:val="22"/>
        </w:rPr>
        <w:t xml:space="preserve"> to research</w:t>
      </w:r>
      <w:r w:rsidRPr="005F281E" w:rsidR="00B10847">
        <w:rPr>
          <w:rFonts w:asciiTheme="minorHAnsi" w:hAnsiTheme="minorHAnsi" w:cstheme="minorHAnsi"/>
          <w:noProof/>
          <w:sz w:val="22"/>
          <w:szCs w:val="22"/>
        </w:rPr>
        <w:t>ers who</w:t>
      </w:r>
      <w:r w:rsidRPr="005F281E">
        <w:rPr>
          <w:rFonts w:asciiTheme="minorHAnsi" w:hAnsiTheme="minorHAnsi" w:cstheme="minorHAnsi"/>
          <w:noProof/>
          <w:sz w:val="22"/>
          <w:szCs w:val="22"/>
        </w:rPr>
        <w:t xml:space="preserve"> request this protection</w:t>
      </w:r>
      <w:r w:rsidRPr="00B36383">
        <w:rPr>
          <w:rFonts w:asciiTheme="minorHAnsi" w:hAnsiTheme="minorHAnsi" w:cstheme="minorHAnsi"/>
          <w:noProof/>
          <w:sz w:val="22"/>
          <w:szCs w:val="22"/>
          <w:highlight w:val="yellow"/>
        </w:rPr>
        <w:t>.</w:t>
      </w:r>
      <w:r w:rsidRPr="00B36383" w:rsidR="00875AAE">
        <w:rPr>
          <w:rFonts w:asciiTheme="minorHAnsi" w:hAnsiTheme="minorHAnsi" w:cstheme="minorHAnsi"/>
          <w:noProof/>
          <w:sz w:val="22"/>
          <w:szCs w:val="22"/>
          <w:highlight w:val="yellow"/>
        </w:rPr>
        <w:t xml:space="preserve">  NIH-funded researchers are now deemed </w:t>
      </w:r>
      <w:r w:rsidR="00B63D26">
        <w:rPr>
          <w:rFonts w:asciiTheme="minorHAnsi" w:hAnsiTheme="minorHAnsi" w:cstheme="minorHAnsi"/>
          <w:noProof/>
          <w:sz w:val="22"/>
          <w:szCs w:val="22"/>
          <w:highlight w:val="yellow"/>
        </w:rPr>
        <w:t xml:space="preserve">to </w:t>
      </w:r>
      <w:r w:rsidRPr="00B36383" w:rsidR="00875AAE">
        <w:rPr>
          <w:rFonts w:asciiTheme="minorHAnsi" w:hAnsiTheme="minorHAnsi" w:cstheme="minorHAnsi"/>
          <w:noProof/>
          <w:sz w:val="22"/>
          <w:szCs w:val="22"/>
          <w:highlight w:val="yellow"/>
        </w:rPr>
        <w:t xml:space="preserve">issue a Certificate upon </w:t>
      </w:r>
      <w:r w:rsidRPr="00B36383" w:rsidR="00787FAF">
        <w:rPr>
          <w:rFonts w:asciiTheme="minorHAnsi" w:hAnsiTheme="minorHAnsi" w:cstheme="minorHAnsi"/>
          <w:noProof/>
          <w:sz w:val="22"/>
          <w:szCs w:val="22"/>
          <w:highlight w:val="yellow"/>
        </w:rPr>
        <w:t>award of NIH funding an</w:t>
      </w:r>
      <w:r w:rsidRPr="00B36383" w:rsidR="00A21B52">
        <w:rPr>
          <w:rFonts w:asciiTheme="minorHAnsi" w:hAnsiTheme="minorHAnsi" w:cstheme="minorHAnsi"/>
          <w:noProof/>
          <w:sz w:val="22"/>
          <w:szCs w:val="22"/>
          <w:highlight w:val="yellow"/>
        </w:rPr>
        <w:t>d</w:t>
      </w:r>
      <w:r w:rsidRPr="00B36383" w:rsidR="00787FAF">
        <w:rPr>
          <w:rFonts w:asciiTheme="minorHAnsi" w:hAnsiTheme="minorHAnsi" w:cstheme="minorHAnsi"/>
          <w:noProof/>
          <w:sz w:val="22"/>
          <w:szCs w:val="22"/>
          <w:highlight w:val="yellow"/>
        </w:rPr>
        <w:t xml:space="preserve"> no longer need to request a Certificate through the system.  Non-NIH funded researchers may continue to request a CoC through the online system.</w:t>
      </w:r>
      <w:r w:rsidRPr="005F281E">
        <w:rPr>
          <w:rFonts w:asciiTheme="minorHAnsi" w:hAnsiTheme="minorHAnsi" w:cstheme="minorHAnsi"/>
          <w:noProof/>
          <w:sz w:val="22"/>
          <w:szCs w:val="22"/>
        </w:rPr>
        <w:t xml:space="preserve">  </w:t>
      </w:r>
    </w:p>
    <w:p w:rsidRPr="005F281E" w:rsidR="00CC4EEE" w:rsidP="005F281E" w:rsidRDefault="00CC4EEE" w14:paraId="132336EA" w14:textId="77777777">
      <w:pPr>
        <w:spacing w:after="0" w:line="240" w:lineRule="auto"/>
        <w:rPr>
          <w:rFonts w:asciiTheme="minorHAnsi" w:hAnsiTheme="minorHAnsi" w:cstheme="minorHAnsi"/>
          <w:noProof/>
          <w:sz w:val="22"/>
          <w:szCs w:val="22"/>
        </w:rPr>
      </w:pPr>
    </w:p>
    <w:p w:rsidR="00BF4042" w:rsidP="005F281E" w:rsidRDefault="00BF4042" w14:paraId="736AED52" w14:textId="18896C39">
      <w:pPr>
        <w:pStyle w:val="P1-StandPara"/>
        <w:tabs>
          <w:tab w:val="left" w:pos="720"/>
          <w:tab w:val="right" w:leader="dot" w:pos="9504"/>
        </w:tabs>
        <w:spacing w:before="120" w:after="0" w:line="240" w:lineRule="auto"/>
        <w:ind w:firstLine="0"/>
        <w:rPr>
          <w:rFonts w:asciiTheme="minorHAnsi" w:hAnsiTheme="minorHAnsi" w:cstheme="minorHAnsi"/>
          <w:b/>
          <w:szCs w:val="22"/>
        </w:rPr>
      </w:pPr>
      <w:r w:rsidRPr="005F281E">
        <w:rPr>
          <w:rFonts w:asciiTheme="minorHAnsi" w:hAnsiTheme="minorHAnsi" w:cstheme="minorHAnsi"/>
          <w:b/>
          <w:szCs w:val="22"/>
        </w:rPr>
        <w:t>A.1</w:t>
      </w:r>
      <w:r w:rsidRPr="005F281E">
        <w:rPr>
          <w:rFonts w:asciiTheme="minorHAnsi" w:hAnsiTheme="minorHAnsi" w:cstheme="minorHAnsi"/>
          <w:b/>
          <w:szCs w:val="22"/>
        </w:rPr>
        <w:tab/>
        <w:t>Circumstances Making the Collection of Information Necessary</w:t>
      </w:r>
    </w:p>
    <w:p w:rsidRPr="005F281E" w:rsidR="00CC4EEE" w:rsidP="005F281E" w:rsidRDefault="00CC4EEE" w14:paraId="6B097EFA" w14:textId="77777777">
      <w:pPr>
        <w:pStyle w:val="P1-StandPara"/>
        <w:tabs>
          <w:tab w:val="left" w:pos="720"/>
          <w:tab w:val="right" w:leader="dot" w:pos="9504"/>
        </w:tabs>
        <w:spacing w:before="120" w:after="0" w:line="240" w:lineRule="auto"/>
        <w:ind w:firstLine="0"/>
        <w:rPr>
          <w:rFonts w:asciiTheme="minorHAnsi" w:hAnsiTheme="minorHAnsi" w:cstheme="minorHAnsi"/>
          <w:b/>
          <w:szCs w:val="22"/>
        </w:rPr>
      </w:pPr>
    </w:p>
    <w:p w:rsidRPr="005F281E" w:rsidR="00D60BD2" w:rsidP="005F281E" w:rsidRDefault="00D60BD2" w14:paraId="681F5FFE" w14:textId="77777777">
      <w:pPr>
        <w:rPr>
          <w:rFonts w:asciiTheme="minorHAnsi" w:hAnsiTheme="minorHAnsi" w:cstheme="minorHAnsi"/>
          <w:sz w:val="22"/>
          <w:szCs w:val="22"/>
        </w:rPr>
      </w:pPr>
      <w:r w:rsidRPr="005F281E">
        <w:rPr>
          <w:rFonts w:asciiTheme="minorHAnsi" w:hAnsiTheme="minorHAnsi" w:cstheme="minorHAnsi"/>
          <w:sz w:val="22"/>
          <w:szCs w:val="22"/>
        </w:rPr>
        <w:t xml:space="preserve">The </w:t>
      </w:r>
      <w:r w:rsidRPr="005F281E" w:rsidR="00BC6942">
        <w:rPr>
          <w:rFonts w:asciiTheme="minorHAnsi" w:hAnsiTheme="minorHAnsi" w:cstheme="minorHAnsi"/>
          <w:sz w:val="22"/>
          <w:szCs w:val="22"/>
        </w:rPr>
        <w:t xml:space="preserve">successful </w:t>
      </w:r>
      <w:r w:rsidRPr="005F281E">
        <w:rPr>
          <w:rFonts w:asciiTheme="minorHAnsi" w:hAnsiTheme="minorHAnsi" w:cstheme="minorHAnsi"/>
          <w:sz w:val="22"/>
          <w:szCs w:val="22"/>
        </w:rPr>
        <w:t xml:space="preserve">recruitment of human research </w:t>
      </w:r>
      <w:r w:rsidRPr="005F281E" w:rsidR="00475B77">
        <w:rPr>
          <w:rFonts w:asciiTheme="minorHAnsi" w:hAnsiTheme="minorHAnsi" w:cstheme="minorHAnsi"/>
          <w:sz w:val="22"/>
          <w:szCs w:val="22"/>
        </w:rPr>
        <w:t xml:space="preserve">participants </w:t>
      </w:r>
      <w:r w:rsidRPr="005F281E">
        <w:rPr>
          <w:rFonts w:asciiTheme="minorHAnsi" w:hAnsiTheme="minorHAnsi" w:cstheme="minorHAnsi"/>
          <w:sz w:val="22"/>
          <w:szCs w:val="22"/>
        </w:rPr>
        <w:t xml:space="preserve">into NIH funded studies is critical to the success of the agency’s mission to enhance health, lengthen life, and reduce the burdens of illness and disability.  However, human research </w:t>
      </w:r>
      <w:r w:rsidRPr="005F281E" w:rsidR="00475B77">
        <w:rPr>
          <w:rFonts w:asciiTheme="minorHAnsi" w:hAnsiTheme="minorHAnsi" w:cstheme="minorHAnsi"/>
          <w:sz w:val="22"/>
          <w:szCs w:val="22"/>
        </w:rPr>
        <w:t xml:space="preserve">participants </w:t>
      </w:r>
      <w:r w:rsidRPr="005F281E">
        <w:rPr>
          <w:rFonts w:asciiTheme="minorHAnsi" w:hAnsiTheme="minorHAnsi" w:cstheme="minorHAnsi"/>
          <w:sz w:val="22"/>
          <w:szCs w:val="22"/>
        </w:rPr>
        <w:t xml:space="preserve">are often concerned about the </w:t>
      </w:r>
      <w:r w:rsidRPr="005F281E" w:rsidR="00C82884">
        <w:rPr>
          <w:rFonts w:asciiTheme="minorHAnsi" w:hAnsiTheme="minorHAnsi" w:cstheme="minorHAnsi"/>
          <w:sz w:val="22"/>
          <w:szCs w:val="22"/>
        </w:rPr>
        <w:t xml:space="preserve">confidentiality of the information, including </w:t>
      </w:r>
      <w:r w:rsidRPr="005F281E" w:rsidR="001300B7">
        <w:rPr>
          <w:rFonts w:asciiTheme="minorHAnsi" w:hAnsiTheme="minorHAnsi" w:cstheme="minorHAnsi"/>
          <w:sz w:val="22"/>
          <w:szCs w:val="22"/>
        </w:rPr>
        <w:t>bio</w:t>
      </w:r>
      <w:r w:rsidRPr="005F281E" w:rsidR="008A1444">
        <w:rPr>
          <w:rFonts w:asciiTheme="minorHAnsi" w:hAnsiTheme="minorHAnsi" w:cstheme="minorHAnsi"/>
          <w:sz w:val="22"/>
          <w:szCs w:val="22"/>
        </w:rPr>
        <w:t>specimens and data</w:t>
      </w:r>
      <w:r w:rsidRPr="005F281E" w:rsidR="00C82884">
        <w:rPr>
          <w:rFonts w:asciiTheme="minorHAnsi" w:hAnsiTheme="minorHAnsi" w:cstheme="minorHAnsi"/>
          <w:sz w:val="22"/>
          <w:szCs w:val="22"/>
        </w:rPr>
        <w:t xml:space="preserve"> that they provide to researchers.  T</w:t>
      </w:r>
      <w:r w:rsidRPr="005F281E" w:rsidR="0005038E">
        <w:rPr>
          <w:rFonts w:asciiTheme="minorHAnsi" w:hAnsiTheme="minorHAnsi" w:cstheme="minorHAnsi"/>
          <w:sz w:val="22"/>
          <w:szCs w:val="22"/>
        </w:rPr>
        <w:t xml:space="preserve">his situation can make </w:t>
      </w:r>
      <w:r w:rsidRPr="005F281E" w:rsidR="0052543E">
        <w:rPr>
          <w:rFonts w:asciiTheme="minorHAnsi" w:hAnsiTheme="minorHAnsi" w:cstheme="minorHAnsi"/>
          <w:sz w:val="22"/>
          <w:szCs w:val="22"/>
        </w:rPr>
        <w:t xml:space="preserve">it difficult to recruit </w:t>
      </w:r>
      <w:r w:rsidRPr="005F281E" w:rsidR="00B62BE0">
        <w:rPr>
          <w:rFonts w:asciiTheme="minorHAnsi" w:hAnsiTheme="minorHAnsi" w:cstheme="minorHAnsi"/>
          <w:sz w:val="22"/>
          <w:szCs w:val="22"/>
        </w:rPr>
        <w:t>participants</w:t>
      </w:r>
      <w:r w:rsidRPr="005F281E" w:rsidR="00C82884">
        <w:rPr>
          <w:rFonts w:asciiTheme="minorHAnsi" w:hAnsiTheme="minorHAnsi" w:cstheme="minorHAnsi"/>
          <w:sz w:val="22"/>
          <w:szCs w:val="22"/>
        </w:rPr>
        <w:t>, particularly</w:t>
      </w:r>
      <w:r w:rsidRPr="005F281E" w:rsidR="0005038E">
        <w:rPr>
          <w:rFonts w:asciiTheme="minorHAnsi" w:hAnsiTheme="minorHAnsi" w:cstheme="minorHAnsi"/>
          <w:sz w:val="22"/>
          <w:szCs w:val="22"/>
        </w:rPr>
        <w:t xml:space="preserve"> for research projects on </w:t>
      </w:r>
      <w:r w:rsidRPr="005F281E" w:rsidR="0052543E">
        <w:rPr>
          <w:rFonts w:asciiTheme="minorHAnsi" w:hAnsiTheme="minorHAnsi" w:cstheme="minorHAnsi"/>
          <w:sz w:val="22"/>
          <w:szCs w:val="22"/>
        </w:rPr>
        <w:t>sensitive topics</w:t>
      </w:r>
      <w:r w:rsidRPr="005F281E" w:rsidR="0005038E">
        <w:rPr>
          <w:rFonts w:asciiTheme="minorHAnsi" w:hAnsiTheme="minorHAnsi" w:cstheme="minorHAnsi"/>
          <w:sz w:val="22"/>
          <w:szCs w:val="22"/>
        </w:rPr>
        <w:t xml:space="preserve">.  </w:t>
      </w:r>
      <w:r w:rsidRPr="005F281E">
        <w:rPr>
          <w:rFonts w:asciiTheme="minorHAnsi" w:hAnsiTheme="minorHAnsi" w:cstheme="minorHAnsi"/>
          <w:sz w:val="22"/>
          <w:szCs w:val="22"/>
        </w:rPr>
        <w:t>Recognizing this problem</w:t>
      </w:r>
      <w:r w:rsidRPr="005F281E" w:rsidR="00C468FD">
        <w:rPr>
          <w:rFonts w:asciiTheme="minorHAnsi" w:hAnsiTheme="minorHAnsi" w:cstheme="minorHAnsi"/>
          <w:sz w:val="22"/>
          <w:szCs w:val="22"/>
        </w:rPr>
        <w:t>, in 1970</w:t>
      </w:r>
      <w:r w:rsidRPr="005F281E" w:rsidR="0052543E">
        <w:rPr>
          <w:rFonts w:asciiTheme="minorHAnsi" w:hAnsiTheme="minorHAnsi" w:cstheme="minorHAnsi"/>
          <w:sz w:val="22"/>
          <w:szCs w:val="22"/>
        </w:rPr>
        <w:t>,</w:t>
      </w:r>
      <w:r w:rsidRPr="005F281E" w:rsidR="00C468FD">
        <w:rPr>
          <w:rFonts w:asciiTheme="minorHAnsi" w:hAnsiTheme="minorHAnsi" w:cstheme="minorHAnsi"/>
          <w:sz w:val="22"/>
          <w:szCs w:val="22"/>
        </w:rPr>
        <w:t xml:space="preserve"> Congress </w:t>
      </w:r>
      <w:r w:rsidRPr="005F281E">
        <w:rPr>
          <w:rFonts w:asciiTheme="minorHAnsi" w:hAnsiTheme="minorHAnsi" w:cstheme="minorHAnsi"/>
          <w:sz w:val="22"/>
          <w:szCs w:val="22"/>
        </w:rPr>
        <w:t>ena</w:t>
      </w:r>
      <w:r w:rsidRPr="005F281E" w:rsidR="00C468FD">
        <w:rPr>
          <w:rFonts w:asciiTheme="minorHAnsi" w:hAnsiTheme="minorHAnsi" w:cstheme="minorHAnsi"/>
          <w:sz w:val="22"/>
          <w:szCs w:val="22"/>
        </w:rPr>
        <w:t>cted legislation</w:t>
      </w:r>
      <w:r w:rsidRPr="005F281E">
        <w:rPr>
          <w:rFonts w:asciiTheme="minorHAnsi" w:hAnsiTheme="minorHAnsi" w:cstheme="minorHAnsi"/>
          <w:sz w:val="22"/>
          <w:szCs w:val="22"/>
        </w:rPr>
        <w:t xml:space="preserve"> to permit the Department of Health and Human Services (</w:t>
      </w:r>
      <w:r w:rsidRPr="005F281E" w:rsidR="00AE6CD7">
        <w:rPr>
          <w:rFonts w:asciiTheme="minorHAnsi" w:hAnsiTheme="minorHAnsi" w:cstheme="minorHAnsi"/>
          <w:sz w:val="22"/>
          <w:szCs w:val="22"/>
        </w:rPr>
        <w:t xml:space="preserve">DHHS) </w:t>
      </w:r>
      <w:r w:rsidRPr="005F281E">
        <w:rPr>
          <w:rFonts w:asciiTheme="minorHAnsi" w:hAnsiTheme="minorHAnsi" w:cstheme="minorHAnsi"/>
          <w:sz w:val="22"/>
          <w:szCs w:val="22"/>
        </w:rPr>
        <w:t>to issue Certificates of Confidentiality (</w:t>
      </w:r>
      <w:proofErr w:type="spellStart"/>
      <w:r w:rsidRPr="005F281E">
        <w:rPr>
          <w:rFonts w:asciiTheme="minorHAnsi" w:hAnsiTheme="minorHAnsi" w:cstheme="minorHAnsi"/>
          <w:sz w:val="22"/>
          <w:szCs w:val="22"/>
        </w:rPr>
        <w:t>CoCs</w:t>
      </w:r>
      <w:proofErr w:type="spellEnd"/>
      <w:r w:rsidRPr="005F281E">
        <w:rPr>
          <w:rFonts w:asciiTheme="minorHAnsi" w:hAnsiTheme="minorHAnsi" w:cstheme="minorHAnsi"/>
          <w:sz w:val="22"/>
          <w:szCs w:val="22"/>
        </w:rPr>
        <w:t xml:space="preserve">) to authorize covered researchers to protect the privacy of research </w:t>
      </w:r>
      <w:r w:rsidRPr="005F281E" w:rsidR="00A3336F">
        <w:rPr>
          <w:rFonts w:asciiTheme="minorHAnsi" w:hAnsiTheme="minorHAnsi" w:cstheme="minorHAnsi"/>
          <w:sz w:val="22"/>
          <w:szCs w:val="22"/>
        </w:rPr>
        <w:t>participants</w:t>
      </w:r>
      <w:r w:rsidRPr="005F281E">
        <w:rPr>
          <w:rFonts w:asciiTheme="minorHAnsi" w:hAnsiTheme="minorHAnsi" w:cstheme="minorHAnsi"/>
          <w:sz w:val="22"/>
          <w:szCs w:val="22"/>
        </w:rPr>
        <w:t xml:space="preserve"> by withholding their names and </w:t>
      </w:r>
      <w:r w:rsidRPr="005F281E" w:rsidR="00C82884">
        <w:rPr>
          <w:rFonts w:asciiTheme="minorHAnsi" w:hAnsiTheme="minorHAnsi" w:cstheme="minorHAnsi"/>
          <w:sz w:val="22"/>
          <w:szCs w:val="22"/>
        </w:rPr>
        <w:t xml:space="preserve">other </w:t>
      </w:r>
      <w:r w:rsidRPr="005F281E">
        <w:rPr>
          <w:rFonts w:asciiTheme="minorHAnsi" w:hAnsiTheme="minorHAnsi" w:cstheme="minorHAnsi"/>
          <w:sz w:val="22"/>
          <w:szCs w:val="22"/>
        </w:rPr>
        <w:t xml:space="preserve">identifying characteristics from those not connected with the research.  The legislation was initially limited to research on the use and effect of drugs.  Since then, the scope of the </w:t>
      </w:r>
      <w:proofErr w:type="spellStart"/>
      <w:r w:rsidRPr="005F281E">
        <w:rPr>
          <w:rFonts w:asciiTheme="minorHAnsi" w:hAnsiTheme="minorHAnsi" w:cstheme="minorHAnsi"/>
          <w:sz w:val="22"/>
          <w:szCs w:val="22"/>
        </w:rPr>
        <w:t>CoC</w:t>
      </w:r>
      <w:proofErr w:type="spellEnd"/>
      <w:r w:rsidRPr="005F281E">
        <w:rPr>
          <w:rFonts w:asciiTheme="minorHAnsi" w:hAnsiTheme="minorHAnsi" w:cstheme="minorHAnsi"/>
          <w:sz w:val="22"/>
          <w:szCs w:val="22"/>
        </w:rPr>
        <w:t xml:space="preserve"> legislation has been expanded several times, </w:t>
      </w:r>
      <w:r w:rsidRPr="005F281E" w:rsidR="00475B77">
        <w:rPr>
          <w:rFonts w:asciiTheme="minorHAnsi" w:hAnsiTheme="minorHAnsi" w:cstheme="minorHAnsi"/>
          <w:sz w:val="22"/>
          <w:szCs w:val="22"/>
        </w:rPr>
        <w:t>including</w:t>
      </w:r>
      <w:r w:rsidRPr="005F281E">
        <w:rPr>
          <w:rFonts w:asciiTheme="minorHAnsi" w:hAnsiTheme="minorHAnsi" w:cstheme="minorHAnsi"/>
          <w:sz w:val="22"/>
          <w:szCs w:val="22"/>
        </w:rPr>
        <w:t xml:space="preserve"> in 1988 when it was expanded to include “biomedical, behavioral, clinical, and other research”</w:t>
      </w:r>
      <w:r w:rsidRPr="005F281E" w:rsidR="00AE6CD7">
        <w:rPr>
          <w:rFonts w:asciiTheme="minorHAnsi" w:hAnsiTheme="minorHAnsi" w:cstheme="minorHAnsi"/>
          <w:sz w:val="22"/>
          <w:szCs w:val="22"/>
        </w:rPr>
        <w:t xml:space="preserve"> (see </w:t>
      </w:r>
      <w:r w:rsidRPr="005F281E">
        <w:rPr>
          <w:rFonts w:asciiTheme="minorHAnsi" w:hAnsiTheme="minorHAnsi" w:cstheme="minorHAnsi"/>
          <w:sz w:val="22"/>
          <w:szCs w:val="22"/>
        </w:rPr>
        <w:t>Section 301(d) of t</w:t>
      </w:r>
      <w:r w:rsidRPr="005F281E" w:rsidR="00AE6CD7">
        <w:rPr>
          <w:rFonts w:asciiTheme="minorHAnsi" w:hAnsiTheme="minorHAnsi" w:cstheme="minorHAnsi"/>
          <w:sz w:val="22"/>
          <w:szCs w:val="22"/>
        </w:rPr>
        <w:t xml:space="preserve">he Public Health Service Act, </w:t>
      </w:r>
      <w:r w:rsidRPr="005F281E">
        <w:rPr>
          <w:rFonts w:asciiTheme="minorHAnsi" w:hAnsiTheme="minorHAnsi" w:cstheme="minorHAnsi"/>
          <w:sz w:val="22"/>
          <w:szCs w:val="22"/>
        </w:rPr>
        <w:t>42 U.S.C. §241(d)</w:t>
      </w:r>
      <w:r w:rsidRPr="005F281E" w:rsidR="00AE6CD7">
        <w:rPr>
          <w:rFonts w:asciiTheme="minorHAnsi" w:hAnsiTheme="minorHAnsi" w:cstheme="minorHAnsi"/>
          <w:sz w:val="22"/>
          <w:szCs w:val="22"/>
        </w:rPr>
        <w:t>)</w:t>
      </w:r>
      <w:r w:rsidRPr="005F281E">
        <w:rPr>
          <w:rFonts w:asciiTheme="minorHAnsi" w:hAnsiTheme="minorHAnsi" w:cstheme="minorHAnsi"/>
          <w:sz w:val="22"/>
          <w:szCs w:val="22"/>
        </w:rPr>
        <w:t xml:space="preserve">. </w:t>
      </w:r>
      <w:r w:rsidRPr="005F281E" w:rsidR="00AE6CD7">
        <w:rPr>
          <w:rFonts w:asciiTheme="minorHAnsi" w:hAnsiTheme="minorHAnsi" w:cstheme="minorHAnsi"/>
          <w:sz w:val="22"/>
          <w:szCs w:val="22"/>
        </w:rPr>
        <w:t xml:space="preserve">The regulations that describe DHHS implementation of this authority are codified at 42 CFR Part 2a. </w:t>
      </w:r>
      <w:r w:rsidRPr="005F281E">
        <w:rPr>
          <w:rFonts w:asciiTheme="minorHAnsi" w:hAnsiTheme="minorHAnsi" w:cstheme="minorHAnsi"/>
          <w:sz w:val="22"/>
          <w:szCs w:val="22"/>
        </w:rPr>
        <w:t xml:space="preserve"> In 1997, DHHS delegated the authority to issue </w:t>
      </w:r>
      <w:proofErr w:type="spellStart"/>
      <w:r w:rsidRPr="005F281E">
        <w:rPr>
          <w:rFonts w:asciiTheme="minorHAnsi" w:hAnsiTheme="minorHAnsi" w:cstheme="minorHAnsi"/>
          <w:sz w:val="22"/>
          <w:szCs w:val="22"/>
        </w:rPr>
        <w:t>CoCs</w:t>
      </w:r>
      <w:proofErr w:type="spellEnd"/>
      <w:r w:rsidRPr="005F281E">
        <w:rPr>
          <w:rFonts w:asciiTheme="minorHAnsi" w:hAnsiTheme="minorHAnsi" w:cstheme="minorHAnsi"/>
          <w:sz w:val="22"/>
          <w:szCs w:val="22"/>
        </w:rPr>
        <w:t xml:space="preserve"> to NIH and the other DHHS agencies that fund research. </w:t>
      </w:r>
      <w:r w:rsidRPr="005F281E" w:rsidR="00475B77">
        <w:rPr>
          <w:rFonts w:asciiTheme="minorHAnsi" w:hAnsiTheme="minorHAnsi" w:cstheme="minorHAnsi"/>
          <w:sz w:val="22"/>
          <w:szCs w:val="22"/>
        </w:rPr>
        <w:t>In 2016, the 21</w:t>
      </w:r>
      <w:r w:rsidRPr="005F281E" w:rsidR="00475B77">
        <w:rPr>
          <w:rFonts w:asciiTheme="minorHAnsi" w:hAnsiTheme="minorHAnsi" w:cstheme="minorHAnsi"/>
          <w:sz w:val="22"/>
          <w:szCs w:val="22"/>
          <w:vertAlign w:val="superscript"/>
        </w:rPr>
        <w:t>st</w:t>
      </w:r>
      <w:r w:rsidRPr="005F281E" w:rsidR="00475B77">
        <w:rPr>
          <w:rFonts w:asciiTheme="minorHAnsi" w:hAnsiTheme="minorHAnsi" w:cstheme="minorHAnsi"/>
          <w:sz w:val="22"/>
          <w:szCs w:val="22"/>
        </w:rPr>
        <w:t xml:space="preserve"> Century Cures Act enacted significant amendments to the statutory authority for </w:t>
      </w:r>
      <w:proofErr w:type="spellStart"/>
      <w:r w:rsidRPr="005F281E" w:rsidR="00475B77">
        <w:rPr>
          <w:rFonts w:asciiTheme="minorHAnsi" w:hAnsiTheme="minorHAnsi" w:cstheme="minorHAnsi"/>
          <w:sz w:val="22"/>
          <w:szCs w:val="22"/>
        </w:rPr>
        <w:t>CoC</w:t>
      </w:r>
      <w:proofErr w:type="spellEnd"/>
      <w:r w:rsidRPr="005F281E" w:rsidR="00475B77">
        <w:rPr>
          <w:rFonts w:asciiTheme="minorHAnsi" w:hAnsiTheme="minorHAnsi" w:cstheme="minorHAnsi"/>
          <w:sz w:val="22"/>
          <w:szCs w:val="22"/>
        </w:rPr>
        <w:t xml:space="preserve"> protections, under subsection 301(d) of the Public Health Service Act.   Specifically, the amended authority requires the Secretary to issue to investigators or institutions engaged in biomedical, behavioral, clinical, or other research in which identifiable, sensitive information is collected (“Covered Information”), a Certificate to protect the privacy of individuals who are </w:t>
      </w:r>
      <w:r w:rsidRPr="005F281E" w:rsidR="00A3336F">
        <w:rPr>
          <w:rFonts w:asciiTheme="minorHAnsi" w:hAnsiTheme="minorHAnsi" w:cstheme="minorHAnsi"/>
          <w:sz w:val="22"/>
          <w:szCs w:val="22"/>
        </w:rPr>
        <w:t>participants</w:t>
      </w:r>
      <w:r w:rsidRPr="005F281E" w:rsidR="00475B77">
        <w:rPr>
          <w:rFonts w:asciiTheme="minorHAnsi" w:hAnsiTheme="minorHAnsi" w:cstheme="minorHAnsi"/>
          <w:sz w:val="22"/>
          <w:szCs w:val="22"/>
        </w:rPr>
        <w:t xml:space="preserve"> of such research, if the research is funded wholly or in part by the Federal Government.  The authority also </w:t>
      </w:r>
      <w:r w:rsidRPr="005F281E" w:rsidR="00475B77">
        <w:rPr>
          <w:rFonts w:asciiTheme="minorHAnsi" w:hAnsiTheme="minorHAnsi" w:cstheme="minorHAnsi"/>
          <w:sz w:val="22"/>
          <w:szCs w:val="22"/>
        </w:rPr>
        <w:lastRenderedPageBreak/>
        <w:t>specifies the prohibitions on disclosure of the names of research participants or any information, documents, or biospecimens that contain identifiable, sensitive information collected or used in research by an investigator or institution with a Certificate.  If the research is not federally funded, the Secretary may issue a Certificate to an investigator or institution engaged in such research, upon application.</w:t>
      </w:r>
    </w:p>
    <w:p w:rsidRPr="005F281E" w:rsidR="006E557B" w:rsidP="005F281E" w:rsidRDefault="006E557B" w14:paraId="3A704FDB" w14:textId="77777777">
      <w:pPr>
        <w:pStyle w:val="Heading2"/>
        <w:spacing w:after="160" w:line="259" w:lineRule="auto"/>
        <w:ind w:left="0" w:firstLine="0"/>
        <w:rPr>
          <w:rFonts w:asciiTheme="minorHAnsi" w:hAnsiTheme="minorHAnsi" w:cstheme="minorHAnsi"/>
          <w:szCs w:val="22"/>
        </w:rPr>
      </w:pPr>
      <w:bookmarkStart w:name="_Toc443881743" w:id="0"/>
      <w:bookmarkStart w:name="_Toc451592232" w:id="1"/>
      <w:bookmarkStart w:name="_Toc5610273" w:id="2"/>
      <w:bookmarkStart w:name="_Toc99178779" w:id="3"/>
      <w:r w:rsidRPr="005F281E">
        <w:rPr>
          <w:rFonts w:asciiTheme="minorHAnsi" w:hAnsiTheme="minorHAnsi" w:cstheme="minorHAnsi"/>
          <w:szCs w:val="22"/>
        </w:rPr>
        <w:t>A.2    Purpose and Use of the Information</w:t>
      </w:r>
      <w:bookmarkEnd w:id="0"/>
      <w:bookmarkEnd w:id="1"/>
      <w:bookmarkEnd w:id="2"/>
      <w:bookmarkEnd w:id="3"/>
      <w:r w:rsidRPr="005F281E">
        <w:rPr>
          <w:rFonts w:asciiTheme="minorHAnsi" w:hAnsiTheme="minorHAnsi" w:cstheme="minorHAnsi"/>
          <w:szCs w:val="22"/>
        </w:rPr>
        <w:t xml:space="preserve"> Collection</w:t>
      </w:r>
    </w:p>
    <w:p w:rsidRPr="005F281E" w:rsidR="00A567D6" w:rsidP="00CC4EEE" w:rsidRDefault="008E1C23" w14:paraId="01B44959" w14:textId="77777777">
      <w:pPr>
        <w:rPr>
          <w:rFonts w:asciiTheme="minorHAnsi" w:hAnsiTheme="minorHAnsi" w:cstheme="minorHAnsi"/>
          <w:sz w:val="22"/>
          <w:szCs w:val="22"/>
        </w:rPr>
      </w:pPr>
      <w:r w:rsidRPr="005F281E">
        <w:rPr>
          <w:rFonts w:asciiTheme="minorHAnsi" w:hAnsiTheme="minorHAnsi" w:cstheme="minorHAnsi"/>
          <w:sz w:val="22"/>
          <w:szCs w:val="22"/>
        </w:rPr>
        <w:t>The info</w:t>
      </w:r>
      <w:r w:rsidRPr="005F281E" w:rsidR="00D4305A">
        <w:rPr>
          <w:rFonts w:asciiTheme="minorHAnsi" w:hAnsiTheme="minorHAnsi" w:cstheme="minorHAnsi"/>
          <w:sz w:val="22"/>
          <w:szCs w:val="22"/>
        </w:rPr>
        <w:t>rmation collected via the</w:t>
      </w:r>
      <w:r w:rsidRPr="005F281E">
        <w:rPr>
          <w:rFonts w:asciiTheme="minorHAnsi" w:hAnsiTheme="minorHAnsi" w:cstheme="minorHAnsi"/>
          <w:sz w:val="22"/>
          <w:szCs w:val="22"/>
        </w:rPr>
        <w:t xml:space="preserve"> electronic </w:t>
      </w:r>
      <w:proofErr w:type="spellStart"/>
      <w:r w:rsidRPr="005F281E">
        <w:rPr>
          <w:rFonts w:asciiTheme="minorHAnsi" w:hAnsiTheme="minorHAnsi" w:cstheme="minorHAnsi"/>
          <w:sz w:val="22"/>
          <w:szCs w:val="22"/>
        </w:rPr>
        <w:t>CoC</w:t>
      </w:r>
      <w:proofErr w:type="spellEnd"/>
      <w:r w:rsidRPr="005F281E">
        <w:rPr>
          <w:rFonts w:asciiTheme="minorHAnsi" w:hAnsiTheme="minorHAnsi" w:cstheme="minorHAnsi"/>
          <w:sz w:val="22"/>
          <w:szCs w:val="22"/>
        </w:rPr>
        <w:t xml:space="preserve"> </w:t>
      </w:r>
      <w:r w:rsidRPr="005F281E" w:rsidR="001844D3">
        <w:rPr>
          <w:rFonts w:asciiTheme="minorHAnsi" w:hAnsiTheme="minorHAnsi" w:cstheme="minorHAnsi"/>
          <w:sz w:val="22"/>
          <w:szCs w:val="22"/>
        </w:rPr>
        <w:t>request</w:t>
      </w:r>
      <w:r w:rsidRPr="005F281E">
        <w:rPr>
          <w:rFonts w:asciiTheme="minorHAnsi" w:hAnsiTheme="minorHAnsi" w:cstheme="minorHAnsi"/>
          <w:sz w:val="22"/>
          <w:szCs w:val="22"/>
        </w:rPr>
        <w:t xml:space="preserve"> system </w:t>
      </w:r>
      <w:r w:rsidRPr="005F281E" w:rsidR="00F272E5">
        <w:rPr>
          <w:rFonts w:asciiTheme="minorHAnsi" w:hAnsiTheme="minorHAnsi" w:cstheme="minorHAnsi"/>
          <w:sz w:val="22"/>
          <w:szCs w:val="22"/>
        </w:rPr>
        <w:t>is</w:t>
      </w:r>
      <w:r w:rsidRPr="005F281E">
        <w:rPr>
          <w:rFonts w:asciiTheme="minorHAnsi" w:hAnsiTheme="minorHAnsi" w:cstheme="minorHAnsi"/>
          <w:sz w:val="22"/>
          <w:szCs w:val="22"/>
        </w:rPr>
        <w:t xml:space="preserve"> used by NI</w:t>
      </w:r>
      <w:r w:rsidRPr="005F281E" w:rsidR="00D4305A">
        <w:rPr>
          <w:rFonts w:asciiTheme="minorHAnsi" w:hAnsiTheme="minorHAnsi" w:cstheme="minorHAnsi"/>
          <w:sz w:val="22"/>
          <w:szCs w:val="22"/>
        </w:rPr>
        <w:t>H to determine eligibility</w:t>
      </w:r>
      <w:r w:rsidRPr="005F281E" w:rsidR="001A7D7A">
        <w:rPr>
          <w:rFonts w:asciiTheme="minorHAnsi" w:hAnsiTheme="minorHAnsi" w:cstheme="minorHAnsi"/>
          <w:sz w:val="22"/>
          <w:szCs w:val="22"/>
        </w:rPr>
        <w:t xml:space="preserve"> </w:t>
      </w:r>
      <w:r w:rsidRPr="005F281E">
        <w:rPr>
          <w:rFonts w:asciiTheme="minorHAnsi" w:hAnsiTheme="minorHAnsi" w:cstheme="minorHAnsi"/>
          <w:sz w:val="22"/>
          <w:szCs w:val="22"/>
        </w:rPr>
        <w:t xml:space="preserve">for a </w:t>
      </w:r>
      <w:proofErr w:type="spellStart"/>
      <w:r w:rsidRPr="005F281E">
        <w:rPr>
          <w:rFonts w:asciiTheme="minorHAnsi" w:hAnsiTheme="minorHAnsi" w:cstheme="minorHAnsi"/>
          <w:sz w:val="22"/>
          <w:szCs w:val="22"/>
        </w:rPr>
        <w:t>CoC</w:t>
      </w:r>
      <w:proofErr w:type="spellEnd"/>
      <w:r w:rsidRPr="005F281E">
        <w:rPr>
          <w:rFonts w:asciiTheme="minorHAnsi" w:hAnsiTheme="minorHAnsi" w:cstheme="minorHAnsi"/>
          <w:sz w:val="22"/>
          <w:szCs w:val="22"/>
        </w:rPr>
        <w:t xml:space="preserve"> and to help</w:t>
      </w:r>
      <w:r w:rsidRPr="005F281E" w:rsidR="000E4ACE">
        <w:rPr>
          <w:rFonts w:asciiTheme="minorHAnsi" w:hAnsiTheme="minorHAnsi" w:cstheme="minorHAnsi"/>
          <w:sz w:val="22"/>
          <w:szCs w:val="22"/>
        </w:rPr>
        <w:t xml:space="preserve"> </w:t>
      </w:r>
      <w:r w:rsidRPr="005F281E">
        <w:rPr>
          <w:rFonts w:asciiTheme="minorHAnsi" w:hAnsiTheme="minorHAnsi" w:cstheme="minorHAnsi"/>
          <w:sz w:val="22"/>
          <w:szCs w:val="22"/>
        </w:rPr>
        <w:t xml:space="preserve">create the </w:t>
      </w:r>
      <w:r w:rsidRPr="005F281E" w:rsidR="00402E4B">
        <w:rPr>
          <w:rFonts w:asciiTheme="minorHAnsi" w:hAnsiTheme="minorHAnsi" w:cstheme="minorHAnsi"/>
          <w:sz w:val="22"/>
          <w:szCs w:val="22"/>
        </w:rPr>
        <w:t>actual Certificate tha</w:t>
      </w:r>
      <w:r w:rsidRPr="005F281E">
        <w:rPr>
          <w:rFonts w:asciiTheme="minorHAnsi" w:hAnsiTheme="minorHAnsi" w:cstheme="minorHAnsi"/>
          <w:sz w:val="22"/>
          <w:szCs w:val="22"/>
        </w:rPr>
        <w:t>t will be issued</w:t>
      </w:r>
      <w:r w:rsidRPr="005F281E" w:rsidR="000E4ACE">
        <w:rPr>
          <w:rFonts w:asciiTheme="minorHAnsi" w:hAnsiTheme="minorHAnsi" w:cstheme="minorHAnsi"/>
          <w:sz w:val="22"/>
          <w:szCs w:val="22"/>
        </w:rPr>
        <w:t xml:space="preserve"> </w:t>
      </w:r>
      <w:r w:rsidRPr="005F281E" w:rsidR="00D4305A">
        <w:rPr>
          <w:rFonts w:asciiTheme="minorHAnsi" w:hAnsiTheme="minorHAnsi" w:cstheme="minorHAnsi"/>
          <w:sz w:val="22"/>
          <w:szCs w:val="22"/>
        </w:rPr>
        <w:t>to the requesting organization</w:t>
      </w:r>
      <w:r w:rsidRPr="005F281E" w:rsidR="006E751C">
        <w:rPr>
          <w:rFonts w:asciiTheme="minorHAnsi" w:hAnsiTheme="minorHAnsi" w:cstheme="minorHAnsi"/>
          <w:sz w:val="22"/>
          <w:szCs w:val="22"/>
        </w:rPr>
        <w:t xml:space="preserve">; see Attachment 1 for a </w:t>
      </w:r>
      <w:r w:rsidRPr="005F281E" w:rsidR="00F272E5">
        <w:rPr>
          <w:rFonts w:asciiTheme="minorHAnsi" w:hAnsiTheme="minorHAnsi" w:cstheme="minorHAnsi"/>
          <w:sz w:val="22"/>
          <w:szCs w:val="22"/>
        </w:rPr>
        <w:t xml:space="preserve">PDF version of </w:t>
      </w:r>
      <w:r w:rsidRPr="005F281E" w:rsidR="00CC1166">
        <w:rPr>
          <w:rFonts w:asciiTheme="minorHAnsi" w:hAnsiTheme="minorHAnsi" w:cstheme="minorHAnsi"/>
          <w:sz w:val="22"/>
          <w:szCs w:val="22"/>
        </w:rPr>
        <w:t xml:space="preserve">the </w:t>
      </w:r>
      <w:r w:rsidRPr="005F281E" w:rsidR="00CD3ED9">
        <w:rPr>
          <w:rFonts w:asciiTheme="minorHAnsi" w:hAnsiTheme="minorHAnsi" w:cstheme="minorHAnsi"/>
          <w:sz w:val="22"/>
          <w:szCs w:val="22"/>
        </w:rPr>
        <w:t xml:space="preserve">request </w:t>
      </w:r>
      <w:r w:rsidRPr="005F281E" w:rsidR="006E751C">
        <w:rPr>
          <w:rFonts w:asciiTheme="minorHAnsi" w:hAnsiTheme="minorHAnsi" w:cstheme="minorHAnsi"/>
          <w:sz w:val="22"/>
          <w:szCs w:val="22"/>
        </w:rPr>
        <w:t>form</w:t>
      </w:r>
      <w:r w:rsidRPr="005F281E">
        <w:rPr>
          <w:rFonts w:asciiTheme="minorHAnsi" w:hAnsiTheme="minorHAnsi" w:cstheme="minorHAnsi"/>
          <w:sz w:val="22"/>
          <w:szCs w:val="22"/>
        </w:rPr>
        <w:t>.  Additionally, the system assist</w:t>
      </w:r>
      <w:r w:rsidRPr="005F281E" w:rsidR="00F272E5">
        <w:rPr>
          <w:rFonts w:asciiTheme="minorHAnsi" w:hAnsiTheme="minorHAnsi" w:cstheme="minorHAnsi"/>
          <w:sz w:val="22"/>
          <w:szCs w:val="22"/>
        </w:rPr>
        <w:t>s</w:t>
      </w:r>
      <w:r w:rsidRPr="005F281E">
        <w:rPr>
          <w:rFonts w:asciiTheme="minorHAnsi" w:hAnsiTheme="minorHAnsi" w:cstheme="minorHAnsi"/>
          <w:sz w:val="22"/>
          <w:szCs w:val="22"/>
        </w:rPr>
        <w:t xml:space="preserve"> </w:t>
      </w:r>
      <w:r w:rsidRPr="005F281E" w:rsidR="00D4305A">
        <w:rPr>
          <w:rFonts w:asciiTheme="minorHAnsi" w:hAnsiTheme="minorHAnsi" w:cstheme="minorHAnsi"/>
          <w:sz w:val="22"/>
          <w:szCs w:val="22"/>
        </w:rPr>
        <w:t xml:space="preserve">NIH staff </w:t>
      </w:r>
      <w:r w:rsidRPr="005F281E">
        <w:rPr>
          <w:rFonts w:asciiTheme="minorHAnsi" w:hAnsiTheme="minorHAnsi" w:cstheme="minorHAnsi"/>
          <w:sz w:val="22"/>
          <w:szCs w:val="22"/>
        </w:rPr>
        <w:t>with the administrative management of requests, for example, b</w:t>
      </w:r>
      <w:r w:rsidRPr="005F281E" w:rsidR="00A42228">
        <w:rPr>
          <w:rFonts w:asciiTheme="minorHAnsi" w:hAnsiTheme="minorHAnsi" w:cstheme="minorHAnsi"/>
          <w:sz w:val="22"/>
          <w:szCs w:val="22"/>
        </w:rPr>
        <w:t>y tracking requests and</w:t>
      </w:r>
      <w:r w:rsidRPr="005F281E">
        <w:rPr>
          <w:rFonts w:asciiTheme="minorHAnsi" w:hAnsiTheme="minorHAnsi" w:cstheme="minorHAnsi"/>
          <w:sz w:val="22"/>
          <w:szCs w:val="22"/>
        </w:rPr>
        <w:t xml:space="preserve"> key dates (receipt of request, issuance of </w:t>
      </w:r>
      <w:proofErr w:type="spellStart"/>
      <w:r w:rsidRPr="005F281E">
        <w:rPr>
          <w:rFonts w:asciiTheme="minorHAnsi" w:hAnsiTheme="minorHAnsi" w:cstheme="minorHAnsi"/>
          <w:sz w:val="22"/>
          <w:szCs w:val="22"/>
        </w:rPr>
        <w:t>CoC</w:t>
      </w:r>
      <w:proofErr w:type="spellEnd"/>
      <w:r w:rsidRPr="005F281E">
        <w:rPr>
          <w:rFonts w:asciiTheme="minorHAnsi" w:hAnsiTheme="minorHAnsi" w:cstheme="minorHAnsi"/>
          <w:sz w:val="22"/>
          <w:szCs w:val="22"/>
        </w:rPr>
        <w:t>, expiration dates</w:t>
      </w:r>
      <w:r w:rsidRPr="005F281E" w:rsidR="00C82884">
        <w:rPr>
          <w:rFonts w:asciiTheme="minorHAnsi" w:hAnsiTheme="minorHAnsi" w:cstheme="minorHAnsi"/>
          <w:sz w:val="22"/>
          <w:szCs w:val="22"/>
        </w:rPr>
        <w:t>)</w:t>
      </w:r>
      <w:r w:rsidRPr="005F281E" w:rsidR="00CC1166">
        <w:rPr>
          <w:rFonts w:asciiTheme="minorHAnsi" w:hAnsiTheme="minorHAnsi" w:cstheme="minorHAnsi"/>
          <w:sz w:val="22"/>
          <w:szCs w:val="22"/>
        </w:rPr>
        <w:t xml:space="preserve"> and allowing for</w:t>
      </w:r>
      <w:r w:rsidRPr="005F281E" w:rsidR="00402E4B">
        <w:rPr>
          <w:rFonts w:asciiTheme="minorHAnsi" w:hAnsiTheme="minorHAnsi" w:cstheme="minorHAnsi"/>
          <w:sz w:val="22"/>
          <w:szCs w:val="22"/>
        </w:rPr>
        <w:t xml:space="preserve"> routine</w:t>
      </w:r>
      <w:r w:rsidRPr="005F281E" w:rsidR="003945CA">
        <w:rPr>
          <w:rFonts w:asciiTheme="minorHAnsi" w:hAnsiTheme="minorHAnsi" w:cstheme="minorHAnsi"/>
          <w:sz w:val="22"/>
          <w:szCs w:val="22"/>
        </w:rPr>
        <w:t xml:space="preserve"> internal</w:t>
      </w:r>
      <w:r w:rsidRPr="005F281E" w:rsidR="00402E4B">
        <w:rPr>
          <w:rFonts w:asciiTheme="minorHAnsi" w:hAnsiTheme="minorHAnsi" w:cstheme="minorHAnsi"/>
          <w:sz w:val="22"/>
          <w:szCs w:val="22"/>
        </w:rPr>
        <w:t xml:space="preserve"> program m</w:t>
      </w:r>
      <w:r w:rsidRPr="005F281E" w:rsidR="003945CA">
        <w:rPr>
          <w:rFonts w:asciiTheme="minorHAnsi" w:hAnsiTheme="minorHAnsi" w:cstheme="minorHAnsi"/>
          <w:sz w:val="22"/>
          <w:szCs w:val="22"/>
        </w:rPr>
        <w:t>onitoring.</w:t>
      </w:r>
      <w:r w:rsidRPr="005F281E" w:rsidR="003863D5">
        <w:rPr>
          <w:rFonts w:asciiTheme="minorHAnsi" w:hAnsiTheme="minorHAnsi" w:cstheme="minorHAnsi"/>
          <w:sz w:val="22"/>
          <w:szCs w:val="22"/>
        </w:rPr>
        <w:t xml:space="preserve">  </w:t>
      </w:r>
      <w:r w:rsidRPr="005F281E" w:rsidR="001D7747">
        <w:rPr>
          <w:rFonts w:asciiTheme="minorHAnsi" w:hAnsiTheme="minorHAnsi" w:cstheme="minorHAnsi"/>
          <w:sz w:val="22"/>
          <w:szCs w:val="22"/>
        </w:rPr>
        <w:t xml:space="preserve">  </w:t>
      </w:r>
    </w:p>
    <w:p w:rsidRPr="005F281E" w:rsidR="00A567D6" w:rsidP="005F281E" w:rsidRDefault="00A567D6" w14:paraId="7C6E8510" w14:textId="6B9F384F">
      <w:pPr>
        <w:rPr>
          <w:rFonts w:asciiTheme="minorHAnsi" w:hAnsiTheme="minorHAnsi" w:cstheme="minorHAnsi"/>
          <w:sz w:val="22"/>
          <w:szCs w:val="22"/>
        </w:rPr>
      </w:pPr>
      <w:r w:rsidRPr="00B36383">
        <w:rPr>
          <w:rFonts w:asciiTheme="minorHAnsi" w:hAnsiTheme="minorHAnsi" w:cstheme="minorHAnsi"/>
          <w:noProof/>
          <w:sz w:val="22"/>
          <w:szCs w:val="22"/>
          <w:highlight w:val="yellow"/>
        </w:rPr>
        <w:t>In 2015, to improve the efficency of the CoC process, NIH launched an on-line CoC request system. On December 13, 2016, the 21</w:t>
      </w:r>
      <w:r w:rsidRPr="00B36383">
        <w:rPr>
          <w:rFonts w:asciiTheme="minorHAnsi" w:hAnsiTheme="minorHAnsi" w:cstheme="minorHAnsi"/>
          <w:noProof/>
          <w:sz w:val="22"/>
          <w:szCs w:val="22"/>
          <w:highlight w:val="yellow"/>
          <w:vertAlign w:val="superscript"/>
        </w:rPr>
        <w:t>st</w:t>
      </w:r>
      <w:r w:rsidRPr="00B36383">
        <w:rPr>
          <w:rFonts w:asciiTheme="minorHAnsi" w:hAnsiTheme="minorHAnsi" w:cstheme="minorHAnsi"/>
          <w:noProof/>
          <w:sz w:val="22"/>
          <w:szCs w:val="22"/>
          <w:highlight w:val="yellow"/>
        </w:rPr>
        <w:t xml:space="preserve"> Century Cures Act was enacted, which included new provisions regarding Certificates of Confidentiality. In compliance with the 21st Century Cures Act, NIH issued a policy in October 2017 that established the automatic issuance of Certificates of Confidentiality (CoCs) for NIH-funded research for project(s) involving the collection of sensitive, identifiable information or biospecimens.  NIH continues to accept and process requests for Certificates of Confidentiality for non-NIH funded research</w:t>
      </w:r>
      <w:r w:rsidRPr="00B36383" w:rsidR="00787FAF">
        <w:rPr>
          <w:rFonts w:asciiTheme="minorHAnsi" w:hAnsiTheme="minorHAnsi" w:cstheme="minorHAnsi"/>
          <w:noProof/>
          <w:sz w:val="22"/>
          <w:szCs w:val="22"/>
          <w:highlight w:val="yellow"/>
        </w:rPr>
        <w:t xml:space="preserve"> through the online system</w:t>
      </w:r>
      <w:r w:rsidRPr="00B36383">
        <w:rPr>
          <w:rFonts w:asciiTheme="minorHAnsi" w:hAnsiTheme="minorHAnsi" w:cstheme="minorHAnsi"/>
          <w:noProof/>
          <w:sz w:val="22"/>
          <w:szCs w:val="22"/>
          <w:highlight w:val="yellow"/>
        </w:rPr>
        <w:t>.</w:t>
      </w:r>
      <w:r w:rsidRPr="005F281E">
        <w:rPr>
          <w:rFonts w:asciiTheme="minorHAnsi" w:hAnsiTheme="minorHAnsi" w:cstheme="minorHAnsi"/>
          <w:noProof/>
          <w:sz w:val="22"/>
          <w:szCs w:val="22"/>
        </w:rPr>
        <w:t xml:space="preserve">  </w:t>
      </w:r>
      <w:r w:rsidRPr="005F281E">
        <w:rPr>
          <w:rFonts w:asciiTheme="minorHAnsi" w:hAnsiTheme="minorHAnsi" w:cstheme="minorHAnsi"/>
          <w:sz w:val="22"/>
          <w:szCs w:val="22"/>
        </w:rPr>
        <w:t xml:space="preserve">The current </w:t>
      </w:r>
      <w:proofErr w:type="spellStart"/>
      <w:r w:rsidRPr="005F281E">
        <w:rPr>
          <w:rFonts w:asciiTheme="minorHAnsi" w:hAnsiTheme="minorHAnsi" w:cstheme="minorHAnsi"/>
          <w:sz w:val="22"/>
          <w:szCs w:val="22"/>
        </w:rPr>
        <w:t>CoC</w:t>
      </w:r>
      <w:proofErr w:type="spellEnd"/>
      <w:r w:rsidRPr="005F281E">
        <w:rPr>
          <w:rFonts w:asciiTheme="minorHAnsi" w:hAnsiTheme="minorHAnsi" w:cstheme="minorHAnsi"/>
          <w:sz w:val="22"/>
          <w:szCs w:val="22"/>
        </w:rPr>
        <w:t xml:space="preserve"> request form includes 15 sections of information collected from research organizations. </w:t>
      </w:r>
      <w:r w:rsidRPr="005F281E" w:rsidDel="00A567D6">
        <w:rPr>
          <w:rFonts w:asciiTheme="minorHAnsi" w:hAnsiTheme="minorHAnsi" w:cstheme="minorHAnsi"/>
          <w:sz w:val="22"/>
          <w:szCs w:val="22"/>
        </w:rPr>
        <w:t xml:space="preserve"> </w:t>
      </w:r>
      <w:r w:rsidRPr="005F281E" w:rsidDel="00D44DBB" w:rsidR="00D44DBB">
        <w:rPr>
          <w:rFonts w:asciiTheme="minorHAnsi" w:hAnsiTheme="minorHAnsi" w:cstheme="minorHAnsi"/>
          <w:sz w:val="22"/>
          <w:szCs w:val="22"/>
        </w:rPr>
        <w:t xml:space="preserve"> </w:t>
      </w:r>
      <w:bookmarkStart w:name="_Toc443881744" w:id="4"/>
      <w:bookmarkStart w:name="_Toc451592233" w:id="5"/>
      <w:bookmarkStart w:name="_Toc5610274" w:id="6"/>
      <w:bookmarkStart w:name="_Toc99178780" w:id="7"/>
      <w:r w:rsidRPr="005F281E">
        <w:rPr>
          <w:rFonts w:asciiTheme="minorHAnsi" w:hAnsiTheme="minorHAnsi" w:cstheme="minorHAnsi"/>
          <w:sz w:val="22"/>
          <w:szCs w:val="22"/>
        </w:rPr>
        <w:t xml:space="preserve">Within NIH, </w:t>
      </w:r>
      <w:proofErr w:type="spellStart"/>
      <w:r w:rsidRPr="005F281E">
        <w:rPr>
          <w:rFonts w:asciiTheme="minorHAnsi" w:hAnsiTheme="minorHAnsi" w:cstheme="minorHAnsi"/>
          <w:sz w:val="22"/>
          <w:szCs w:val="22"/>
        </w:rPr>
        <w:t>CoCs</w:t>
      </w:r>
      <w:proofErr w:type="spellEnd"/>
      <w:r w:rsidRPr="005F281E">
        <w:rPr>
          <w:rFonts w:asciiTheme="minorHAnsi" w:hAnsiTheme="minorHAnsi" w:cstheme="minorHAnsi"/>
          <w:sz w:val="22"/>
          <w:szCs w:val="22"/>
        </w:rPr>
        <w:t xml:space="preserve"> are issued by the Office of Extramural Research (OER). With the goal of having a consistent </w:t>
      </w:r>
      <w:proofErr w:type="spellStart"/>
      <w:r w:rsidRPr="005F281E">
        <w:rPr>
          <w:rFonts w:asciiTheme="minorHAnsi" w:hAnsiTheme="minorHAnsi" w:cstheme="minorHAnsi"/>
          <w:sz w:val="22"/>
          <w:szCs w:val="22"/>
        </w:rPr>
        <w:t>CoC</w:t>
      </w:r>
      <w:proofErr w:type="spellEnd"/>
      <w:r w:rsidRPr="005F281E">
        <w:rPr>
          <w:rFonts w:asciiTheme="minorHAnsi" w:hAnsiTheme="minorHAnsi" w:cstheme="minorHAnsi"/>
          <w:sz w:val="22"/>
          <w:szCs w:val="22"/>
        </w:rPr>
        <w:t xml:space="preserve"> request process across NIH, the Office of Extramural Research (OER) at NIH developed an online </w:t>
      </w:r>
      <w:proofErr w:type="spellStart"/>
      <w:r w:rsidRPr="005F281E">
        <w:rPr>
          <w:rFonts w:asciiTheme="minorHAnsi" w:hAnsiTheme="minorHAnsi" w:cstheme="minorHAnsi"/>
          <w:sz w:val="22"/>
          <w:szCs w:val="22"/>
        </w:rPr>
        <w:t>CoC</w:t>
      </w:r>
      <w:proofErr w:type="spellEnd"/>
      <w:r w:rsidRPr="005F281E">
        <w:rPr>
          <w:rFonts w:asciiTheme="minorHAnsi" w:hAnsiTheme="minorHAnsi" w:cstheme="minorHAnsi"/>
          <w:sz w:val="22"/>
          <w:szCs w:val="22"/>
        </w:rPr>
        <w:t xml:space="preserve"> request system.  OMB approval was obtained for this system in 2014 and the system was launched in early 2015.  </w:t>
      </w:r>
      <w:r w:rsidRPr="00B36383" w:rsidR="00783CF9">
        <w:rPr>
          <w:rFonts w:asciiTheme="minorHAnsi" w:hAnsiTheme="minorHAnsi" w:cstheme="minorHAnsi"/>
          <w:sz w:val="22"/>
          <w:szCs w:val="22"/>
          <w:highlight w:val="yellow"/>
        </w:rPr>
        <w:t xml:space="preserve">At NIH, the issuance of </w:t>
      </w:r>
      <w:proofErr w:type="spellStart"/>
      <w:r w:rsidRPr="00B36383" w:rsidR="00783CF9">
        <w:rPr>
          <w:rFonts w:asciiTheme="minorHAnsi" w:hAnsiTheme="minorHAnsi" w:cstheme="minorHAnsi"/>
          <w:sz w:val="22"/>
          <w:szCs w:val="22"/>
          <w:highlight w:val="yellow"/>
        </w:rPr>
        <w:t>CoCs</w:t>
      </w:r>
      <w:proofErr w:type="spellEnd"/>
      <w:r w:rsidRPr="00B36383" w:rsidR="00783CF9">
        <w:rPr>
          <w:rFonts w:asciiTheme="minorHAnsi" w:hAnsiTheme="minorHAnsi" w:cstheme="minorHAnsi"/>
          <w:sz w:val="22"/>
          <w:szCs w:val="22"/>
          <w:highlight w:val="yellow"/>
        </w:rPr>
        <w:t xml:space="preserve"> has been delegated to the NIH OER in the NIH Office of the Director. NIH received 529 requests for </w:t>
      </w:r>
      <w:proofErr w:type="spellStart"/>
      <w:r w:rsidRPr="00B36383" w:rsidR="00783CF9">
        <w:rPr>
          <w:rFonts w:asciiTheme="minorHAnsi" w:hAnsiTheme="minorHAnsi" w:cstheme="minorHAnsi"/>
          <w:sz w:val="22"/>
          <w:szCs w:val="22"/>
          <w:highlight w:val="yellow"/>
        </w:rPr>
        <w:t>CoCs</w:t>
      </w:r>
      <w:proofErr w:type="spellEnd"/>
      <w:r w:rsidRPr="00B36383" w:rsidR="00783CF9">
        <w:rPr>
          <w:rFonts w:asciiTheme="minorHAnsi" w:hAnsiTheme="minorHAnsi" w:cstheme="minorHAnsi"/>
          <w:sz w:val="22"/>
          <w:szCs w:val="22"/>
          <w:highlight w:val="yellow"/>
        </w:rPr>
        <w:t xml:space="preserve"> from April 2017 through March 2018 and expects to receive approximately the same number of requests in subsequent years.</w:t>
      </w:r>
      <w:r w:rsidRPr="005F281E" w:rsidR="00783CF9">
        <w:rPr>
          <w:rFonts w:asciiTheme="minorHAnsi" w:hAnsiTheme="minorHAnsi" w:cstheme="minorHAnsi"/>
          <w:sz w:val="22"/>
          <w:szCs w:val="22"/>
        </w:rPr>
        <w:t xml:space="preserve"> </w:t>
      </w:r>
      <w:r w:rsidRPr="005F281E">
        <w:rPr>
          <w:rFonts w:asciiTheme="minorHAnsi" w:hAnsiTheme="minorHAnsi" w:cstheme="minorHAnsi"/>
          <w:sz w:val="22"/>
          <w:szCs w:val="22"/>
        </w:rPr>
        <w:t xml:space="preserve">In order to comply with the requirement in subsection 301(d) of the Public Health Service Act to minimize the burden to researchers, streamline the process, and reduce the time it takes to apply for a </w:t>
      </w:r>
      <w:proofErr w:type="spellStart"/>
      <w:r w:rsidRPr="005F281E">
        <w:rPr>
          <w:rFonts w:asciiTheme="minorHAnsi" w:hAnsiTheme="minorHAnsi" w:cstheme="minorHAnsi"/>
          <w:sz w:val="22"/>
          <w:szCs w:val="22"/>
        </w:rPr>
        <w:t>CoC</w:t>
      </w:r>
      <w:proofErr w:type="spellEnd"/>
      <w:r w:rsidRPr="005F281E">
        <w:rPr>
          <w:rFonts w:asciiTheme="minorHAnsi" w:hAnsiTheme="minorHAnsi" w:cstheme="minorHAnsi"/>
          <w:sz w:val="22"/>
          <w:szCs w:val="22"/>
        </w:rPr>
        <w:t>, effective October 1, 2017, NIH</w:t>
      </w:r>
      <w:r w:rsidRPr="005F281E" w:rsidR="00620565">
        <w:rPr>
          <w:rFonts w:asciiTheme="minorHAnsi" w:hAnsiTheme="minorHAnsi" w:cstheme="minorHAnsi"/>
          <w:sz w:val="22"/>
          <w:szCs w:val="22"/>
        </w:rPr>
        <w:t xml:space="preserve">-funded research eligible for a </w:t>
      </w:r>
      <w:proofErr w:type="spellStart"/>
      <w:r w:rsidRPr="005F281E" w:rsidR="00620565">
        <w:rPr>
          <w:rFonts w:asciiTheme="minorHAnsi" w:hAnsiTheme="minorHAnsi" w:cstheme="minorHAnsi"/>
          <w:sz w:val="22"/>
          <w:szCs w:val="22"/>
        </w:rPr>
        <w:t>CoC</w:t>
      </w:r>
      <w:proofErr w:type="spellEnd"/>
      <w:r w:rsidRPr="005F281E" w:rsidR="00620565">
        <w:rPr>
          <w:rFonts w:asciiTheme="minorHAnsi" w:hAnsiTheme="minorHAnsi" w:cstheme="minorHAnsi"/>
          <w:sz w:val="22"/>
          <w:szCs w:val="22"/>
        </w:rPr>
        <w:t xml:space="preserve"> is deemed issued a Certificate through its</w:t>
      </w:r>
      <w:r w:rsidRPr="005F281E">
        <w:rPr>
          <w:rFonts w:asciiTheme="minorHAnsi" w:hAnsiTheme="minorHAnsi" w:cstheme="minorHAnsi"/>
          <w:sz w:val="22"/>
          <w:szCs w:val="22"/>
        </w:rPr>
        <w:t xml:space="preserve"> </w:t>
      </w:r>
      <w:proofErr w:type="spellStart"/>
      <w:r w:rsidRPr="005F281E">
        <w:rPr>
          <w:rFonts w:asciiTheme="minorHAnsi" w:hAnsiTheme="minorHAnsi" w:cstheme="minorHAnsi"/>
          <w:sz w:val="22"/>
          <w:szCs w:val="22"/>
        </w:rPr>
        <w:t>CoC</w:t>
      </w:r>
      <w:proofErr w:type="spellEnd"/>
      <w:r w:rsidRPr="005F281E" w:rsidR="00620565">
        <w:rPr>
          <w:rFonts w:asciiTheme="minorHAnsi" w:hAnsiTheme="minorHAnsi" w:cstheme="minorHAnsi"/>
          <w:sz w:val="22"/>
          <w:szCs w:val="22"/>
        </w:rPr>
        <w:t xml:space="preserve"> policy; no application is necessary</w:t>
      </w:r>
      <w:r w:rsidRPr="005F281E">
        <w:rPr>
          <w:rFonts w:asciiTheme="minorHAnsi" w:hAnsiTheme="minorHAnsi" w:cstheme="minorHAnsi"/>
          <w:sz w:val="22"/>
          <w:szCs w:val="22"/>
        </w:rPr>
        <w:t xml:space="preserve">.  For non-federally funded research, and research funded by other federal agencies (non DHHS agencies and DHHS agencies who do not issue </w:t>
      </w:r>
      <w:proofErr w:type="spellStart"/>
      <w:r w:rsidRPr="005F281E">
        <w:rPr>
          <w:rFonts w:asciiTheme="minorHAnsi" w:hAnsiTheme="minorHAnsi" w:cstheme="minorHAnsi"/>
          <w:sz w:val="22"/>
          <w:szCs w:val="22"/>
        </w:rPr>
        <w:t>CoCs</w:t>
      </w:r>
      <w:proofErr w:type="spellEnd"/>
      <w:r w:rsidRPr="005F281E">
        <w:rPr>
          <w:rFonts w:asciiTheme="minorHAnsi" w:hAnsiTheme="minorHAnsi" w:cstheme="minorHAnsi"/>
          <w:sz w:val="22"/>
          <w:szCs w:val="22"/>
        </w:rPr>
        <w:t xml:space="preserve">), NIH continues to review requests and issue </w:t>
      </w:r>
      <w:proofErr w:type="spellStart"/>
      <w:r w:rsidRPr="005F281E">
        <w:rPr>
          <w:rFonts w:asciiTheme="minorHAnsi" w:hAnsiTheme="minorHAnsi" w:cstheme="minorHAnsi"/>
          <w:sz w:val="22"/>
          <w:szCs w:val="22"/>
        </w:rPr>
        <w:t>CoCs</w:t>
      </w:r>
      <w:proofErr w:type="spellEnd"/>
      <w:r w:rsidRPr="005F281E">
        <w:rPr>
          <w:rFonts w:asciiTheme="minorHAnsi" w:hAnsiTheme="minorHAnsi" w:cstheme="minorHAnsi"/>
          <w:sz w:val="22"/>
          <w:szCs w:val="22"/>
        </w:rPr>
        <w:t xml:space="preserve"> for eligible projects.</w:t>
      </w:r>
    </w:p>
    <w:p w:rsidRPr="005F281E" w:rsidR="00A567D6" w:rsidP="005F281E" w:rsidRDefault="00600460" w14:paraId="3FC0D1B1" w14:textId="5B19E599">
      <w:pPr>
        <w:rPr>
          <w:rFonts w:asciiTheme="minorHAnsi" w:hAnsiTheme="minorHAnsi" w:cstheme="minorHAnsi"/>
          <w:sz w:val="22"/>
          <w:szCs w:val="22"/>
        </w:rPr>
      </w:pPr>
      <w:r w:rsidRPr="00B36383">
        <w:rPr>
          <w:rFonts w:asciiTheme="minorHAnsi" w:hAnsiTheme="minorHAnsi" w:cstheme="minorHAnsi"/>
          <w:sz w:val="22"/>
          <w:szCs w:val="22"/>
          <w:highlight w:val="yellow"/>
        </w:rPr>
        <w:t>In order to further implement 21</w:t>
      </w:r>
      <w:r w:rsidRPr="00B36383">
        <w:rPr>
          <w:rFonts w:asciiTheme="minorHAnsi" w:hAnsiTheme="minorHAnsi" w:cstheme="minorHAnsi"/>
          <w:sz w:val="22"/>
          <w:szCs w:val="22"/>
          <w:highlight w:val="yellow"/>
          <w:vertAlign w:val="superscript"/>
        </w:rPr>
        <w:t>st</w:t>
      </w:r>
      <w:r w:rsidRPr="00B36383">
        <w:rPr>
          <w:rFonts w:asciiTheme="minorHAnsi" w:hAnsiTheme="minorHAnsi" w:cstheme="minorHAnsi"/>
          <w:sz w:val="22"/>
          <w:szCs w:val="22"/>
          <w:highlight w:val="yellow"/>
        </w:rPr>
        <w:t xml:space="preserve"> Century Cures Act Requirements to streamline the </w:t>
      </w:r>
      <w:proofErr w:type="spellStart"/>
      <w:r w:rsidRPr="00B36383">
        <w:rPr>
          <w:rFonts w:asciiTheme="minorHAnsi" w:hAnsiTheme="minorHAnsi" w:cstheme="minorHAnsi"/>
          <w:sz w:val="22"/>
          <w:szCs w:val="22"/>
          <w:highlight w:val="yellow"/>
        </w:rPr>
        <w:t>CoC</w:t>
      </w:r>
      <w:proofErr w:type="spellEnd"/>
      <w:r w:rsidRPr="00B36383">
        <w:rPr>
          <w:rFonts w:asciiTheme="minorHAnsi" w:hAnsiTheme="minorHAnsi" w:cstheme="minorHAnsi"/>
          <w:sz w:val="22"/>
          <w:szCs w:val="22"/>
          <w:highlight w:val="yellow"/>
        </w:rPr>
        <w:t xml:space="preserve"> process, NIH plans to deploy a new online system in 2020</w:t>
      </w:r>
      <w:r w:rsidR="00A37688">
        <w:rPr>
          <w:rFonts w:asciiTheme="minorHAnsi" w:hAnsiTheme="minorHAnsi" w:cstheme="minorHAnsi"/>
          <w:sz w:val="22"/>
          <w:szCs w:val="22"/>
          <w:highlight w:val="yellow"/>
        </w:rPr>
        <w:t xml:space="preserve"> (see attachment 1a)</w:t>
      </w:r>
      <w:r w:rsidRPr="00B36383">
        <w:rPr>
          <w:rFonts w:asciiTheme="minorHAnsi" w:hAnsiTheme="minorHAnsi" w:cstheme="minorHAnsi"/>
          <w:sz w:val="22"/>
          <w:szCs w:val="22"/>
          <w:highlight w:val="yellow"/>
        </w:rPr>
        <w:t xml:space="preserve">.  As this new system will not be available by January 1, 2020, NIH </w:t>
      </w:r>
      <w:r w:rsidR="00A37688">
        <w:rPr>
          <w:rFonts w:asciiTheme="minorHAnsi" w:hAnsiTheme="minorHAnsi" w:cstheme="minorHAnsi"/>
          <w:sz w:val="22"/>
          <w:szCs w:val="22"/>
          <w:highlight w:val="yellow"/>
        </w:rPr>
        <w:t xml:space="preserve">has revised this </w:t>
      </w:r>
      <w:r w:rsidRPr="00B36383">
        <w:rPr>
          <w:rFonts w:asciiTheme="minorHAnsi" w:hAnsiTheme="minorHAnsi" w:cstheme="minorHAnsi"/>
          <w:sz w:val="22"/>
          <w:szCs w:val="22"/>
          <w:highlight w:val="yellow"/>
        </w:rPr>
        <w:t xml:space="preserve">clearance </w:t>
      </w:r>
      <w:r w:rsidR="00A37688">
        <w:rPr>
          <w:rFonts w:asciiTheme="minorHAnsi" w:hAnsiTheme="minorHAnsi" w:cstheme="minorHAnsi"/>
          <w:sz w:val="22"/>
          <w:szCs w:val="22"/>
          <w:highlight w:val="yellow"/>
        </w:rPr>
        <w:t xml:space="preserve">to address the </w:t>
      </w:r>
      <w:r w:rsidRPr="00B36383">
        <w:rPr>
          <w:rFonts w:asciiTheme="minorHAnsi" w:hAnsiTheme="minorHAnsi" w:cstheme="minorHAnsi"/>
          <w:sz w:val="22"/>
          <w:szCs w:val="22"/>
          <w:highlight w:val="yellow"/>
        </w:rPr>
        <w:t>new system in development</w:t>
      </w:r>
      <w:r w:rsidRPr="00B63D26">
        <w:rPr>
          <w:rFonts w:asciiTheme="minorHAnsi" w:hAnsiTheme="minorHAnsi" w:cstheme="minorHAnsi"/>
          <w:sz w:val="22"/>
          <w:szCs w:val="22"/>
          <w:highlight w:val="yellow"/>
        </w:rPr>
        <w:t>.</w:t>
      </w:r>
      <w:r w:rsidRPr="00B63D26" w:rsidR="00B63D26">
        <w:rPr>
          <w:rFonts w:asciiTheme="minorHAnsi" w:hAnsiTheme="minorHAnsi" w:cstheme="minorHAnsi"/>
          <w:sz w:val="22"/>
          <w:szCs w:val="22"/>
          <w:highlight w:val="yellow"/>
        </w:rPr>
        <w:t xml:space="preserve"> Screenshots of the new system will be provided and submitted to </w:t>
      </w:r>
      <w:r w:rsidRPr="00A37688" w:rsidR="00B63D26">
        <w:rPr>
          <w:rFonts w:asciiTheme="minorHAnsi" w:hAnsiTheme="minorHAnsi" w:cstheme="minorHAnsi"/>
          <w:sz w:val="22"/>
          <w:szCs w:val="22"/>
          <w:highlight w:val="yellow"/>
        </w:rPr>
        <w:t xml:space="preserve">OMB </w:t>
      </w:r>
      <w:r w:rsidRPr="00A37688" w:rsidR="00A37688">
        <w:rPr>
          <w:rFonts w:asciiTheme="minorHAnsi" w:hAnsiTheme="minorHAnsi" w:cstheme="minorHAnsi"/>
          <w:sz w:val="22"/>
          <w:szCs w:val="22"/>
          <w:highlight w:val="yellow"/>
        </w:rPr>
        <w:t>have been included (see attachment 1a).</w:t>
      </w:r>
      <w:bookmarkStart w:name="_GoBack" w:id="8"/>
      <w:bookmarkEnd w:id="8"/>
    </w:p>
    <w:p w:rsidRPr="005F281E" w:rsidR="00356CE4" w:rsidP="005F281E" w:rsidRDefault="00356CE4" w14:paraId="63395B73" w14:textId="77777777">
      <w:pPr>
        <w:rPr>
          <w:rFonts w:asciiTheme="minorHAnsi" w:hAnsiTheme="minorHAnsi" w:cstheme="minorHAnsi"/>
          <w:sz w:val="22"/>
          <w:szCs w:val="22"/>
        </w:rPr>
      </w:pPr>
    </w:p>
    <w:p w:rsidRPr="005F281E" w:rsidR="006E557B" w:rsidP="005F281E" w:rsidRDefault="006E557B" w14:paraId="2A76370D" w14:textId="77777777">
      <w:pPr>
        <w:rPr>
          <w:rFonts w:asciiTheme="minorHAnsi" w:hAnsiTheme="minorHAnsi" w:cstheme="minorHAnsi"/>
          <w:b/>
          <w:sz w:val="22"/>
          <w:szCs w:val="22"/>
        </w:rPr>
      </w:pPr>
      <w:r w:rsidRPr="005F281E">
        <w:rPr>
          <w:rFonts w:asciiTheme="minorHAnsi" w:hAnsiTheme="minorHAnsi" w:cstheme="minorHAnsi"/>
          <w:b/>
          <w:sz w:val="22"/>
          <w:szCs w:val="22"/>
        </w:rPr>
        <w:t>A.3     Use of Information Technology and Burden Reduction</w:t>
      </w:r>
      <w:bookmarkEnd w:id="4"/>
      <w:bookmarkEnd w:id="5"/>
      <w:bookmarkEnd w:id="6"/>
      <w:bookmarkEnd w:id="7"/>
    </w:p>
    <w:p w:rsidRPr="005F281E" w:rsidR="000129FA" w:rsidP="00CC4EEE" w:rsidRDefault="009812FB" w14:paraId="142AB342" w14:textId="3B334F87">
      <w:pPr>
        <w:rPr>
          <w:rFonts w:asciiTheme="minorHAnsi" w:hAnsiTheme="minorHAnsi" w:cstheme="minorHAnsi"/>
          <w:sz w:val="22"/>
          <w:szCs w:val="22"/>
        </w:rPr>
      </w:pPr>
      <w:r w:rsidRPr="005F281E">
        <w:rPr>
          <w:rFonts w:asciiTheme="minorHAnsi" w:hAnsiTheme="minorHAnsi" w:cstheme="minorHAnsi"/>
          <w:sz w:val="22"/>
          <w:szCs w:val="22"/>
        </w:rPr>
        <w:lastRenderedPageBreak/>
        <w:t xml:space="preserve">The </w:t>
      </w:r>
      <w:proofErr w:type="spellStart"/>
      <w:r w:rsidRPr="005F281E">
        <w:rPr>
          <w:rFonts w:asciiTheme="minorHAnsi" w:hAnsiTheme="minorHAnsi" w:cstheme="minorHAnsi"/>
          <w:sz w:val="22"/>
          <w:szCs w:val="22"/>
        </w:rPr>
        <w:t>CoC</w:t>
      </w:r>
      <w:proofErr w:type="spellEnd"/>
      <w:r w:rsidRPr="005F281E">
        <w:rPr>
          <w:rFonts w:asciiTheme="minorHAnsi" w:hAnsiTheme="minorHAnsi" w:cstheme="minorHAnsi"/>
          <w:sz w:val="22"/>
          <w:szCs w:val="22"/>
        </w:rPr>
        <w:t xml:space="preserve"> </w:t>
      </w:r>
      <w:r w:rsidRPr="005F281E" w:rsidR="001465A0">
        <w:rPr>
          <w:rFonts w:asciiTheme="minorHAnsi" w:hAnsiTheme="minorHAnsi" w:cstheme="minorHAnsi"/>
          <w:sz w:val="22"/>
          <w:szCs w:val="22"/>
        </w:rPr>
        <w:t>request form</w:t>
      </w:r>
      <w:r w:rsidRPr="005F281E">
        <w:rPr>
          <w:rFonts w:asciiTheme="minorHAnsi" w:hAnsiTheme="minorHAnsi" w:cstheme="minorHAnsi"/>
          <w:sz w:val="22"/>
          <w:szCs w:val="22"/>
        </w:rPr>
        <w:t xml:space="preserve"> </w:t>
      </w:r>
      <w:r w:rsidRPr="005F281E" w:rsidR="00F272E5">
        <w:rPr>
          <w:rFonts w:asciiTheme="minorHAnsi" w:hAnsiTheme="minorHAnsi" w:cstheme="minorHAnsi"/>
          <w:sz w:val="22"/>
          <w:szCs w:val="22"/>
        </w:rPr>
        <w:t>is</w:t>
      </w:r>
      <w:r w:rsidRPr="005F281E">
        <w:rPr>
          <w:rFonts w:asciiTheme="minorHAnsi" w:hAnsiTheme="minorHAnsi" w:cstheme="minorHAnsi"/>
          <w:sz w:val="22"/>
          <w:szCs w:val="22"/>
        </w:rPr>
        <w:t xml:space="preserve"> electronic; researchers access it from the </w:t>
      </w:r>
      <w:proofErr w:type="spellStart"/>
      <w:r w:rsidRPr="005F281E">
        <w:rPr>
          <w:rFonts w:asciiTheme="minorHAnsi" w:hAnsiTheme="minorHAnsi" w:cstheme="minorHAnsi"/>
          <w:sz w:val="22"/>
          <w:szCs w:val="22"/>
        </w:rPr>
        <w:t>CoC</w:t>
      </w:r>
      <w:proofErr w:type="spellEnd"/>
      <w:r w:rsidRPr="005F281E">
        <w:rPr>
          <w:rFonts w:asciiTheme="minorHAnsi" w:hAnsiTheme="minorHAnsi" w:cstheme="minorHAnsi"/>
          <w:sz w:val="22"/>
          <w:szCs w:val="22"/>
        </w:rPr>
        <w:t xml:space="preserve"> public internet site (</w:t>
      </w:r>
      <w:hyperlink w:history="1" r:id="rId11">
        <w:r w:rsidRPr="005F281E">
          <w:rPr>
            <w:rStyle w:val="Hyperlink"/>
            <w:rFonts w:asciiTheme="minorHAnsi" w:hAnsiTheme="minorHAnsi" w:cstheme="minorHAnsi"/>
            <w:sz w:val="22"/>
            <w:szCs w:val="22"/>
          </w:rPr>
          <w:t>http://grants.nih.gov/grants/policy/coc/</w:t>
        </w:r>
      </w:hyperlink>
      <w:r w:rsidRPr="005F281E">
        <w:rPr>
          <w:rFonts w:asciiTheme="minorHAnsi" w:hAnsiTheme="minorHAnsi" w:cstheme="minorHAnsi"/>
          <w:sz w:val="22"/>
          <w:szCs w:val="22"/>
        </w:rPr>
        <w:t xml:space="preserve"> ).  Th</w:t>
      </w:r>
      <w:r w:rsidRPr="005F281E" w:rsidR="000B0D46">
        <w:rPr>
          <w:rFonts w:asciiTheme="minorHAnsi" w:hAnsiTheme="minorHAnsi" w:cstheme="minorHAnsi"/>
          <w:sz w:val="22"/>
          <w:szCs w:val="22"/>
        </w:rPr>
        <w:t xml:space="preserve">e </w:t>
      </w:r>
      <w:r w:rsidRPr="005F281E" w:rsidR="001465A0">
        <w:rPr>
          <w:rFonts w:asciiTheme="minorHAnsi" w:hAnsiTheme="minorHAnsi" w:cstheme="minorHAnsi"/>
          <w:sz w:val="22"/>
          <w:szCs w:val="22"/>
        </w:rPr>
        <w:t>request</w:t>
      </w:r>
      <w:r w:rsidRPr="005F281E" w:rsidR="000B0D46">
        <w:rPr>
          <w:rFonts w:asciiTheme="minorHAnsi" w:hAnsiTheme="minorHAnsi" w:cstheme="minorHAnsi"/>
          <w:sz w:val="22"/>
          <w:szCs w:val="22"/>
        </w:rPr>
        <w:t xml:space="preserve"> only </w:t>
      </w:r>
      <w:r w:rsidRPr="005F281E" w:rsidR="001465A0">
        <w:rPr>
          <w:rFonts w:asciiTheme="minorHAnsi" w:hAnsiTheme="minorHAnsi" w:cstheme="minorHAnsi"/>
          <w:sz w:val="22"/>
          <w:szCs w:val="22"/>
        </w:rPr>
        <w:t>includes</w:t>
      </w:r>
      <w:r w:rsidRPr="005F281E" w:rsidR="000B0D46">
        <w:rPr>
          <w:rFonts w:asciiTheme="minorHAnsi" w:hAnsiTheme="minorHAnsi" w:cstheme="minorHAnsi"/>
          <w:sz w:val="22"/>
          <w:szCs w:val="22"/>
        </w:rPr>
        <w:t xml:space="preserve"> informatio</w:t>
      </w:r>
      <w:r w:rsidRPr="005F281E" w:rsidR="0076598F">
        <w:rPr>
          <w:rFonts w:asciiTheme="minorHAnsi" w:hAnsiTheme="minorHAnsi" w:cstheme="minorHAnsi"/>
          <w:sz w:val="22"/>
          <w:szCs w:val="22"/>
        </w:rPr>
        <w:t>n</w:t>
      </w:r>
      <w:r w:rsidRPr="005F281E" w:rsidR="001624C0">
        <w:rPr>
          <w:rFonts w:asciiTheme="minorHAnsi" w:hAnsiTheme="minorHAnsi" w:cstheme="minorHAnsi"/>
          <w:sz w:val="22"/>
          <w:szCs w:val="22"/>
        </w:rPr>
        <w:t xml:space="preserve"> that is required by </w:t>
      </w:r>
      <w:r w:rsidRPr="005F281E" w:rsidR="008F7B7E">
        <w:rPr>
          <w:rFonts w:asciiTheme="minorHAnsi" w:hAnsiTheme="minorHAnsi" w:cstheme="minorHAnsi"/>
          <w:sz w:val="22"/>
          <w:szCs w:val="22"/>
        </w:rPr>
        <w:t xml:space="preserve">law and </w:t>
      </w:r>
      <w:r w:rsidRPr="005F281E" w:rsidR="006E751C">
        <w:rPr>
          <w:rFonts w:asciiTheme="minorHAnsi" w:hAnsiTheme="minorHAnsi" w:cstheme="minorHAnsi"/>
          <w:sz w:val="22"/>
          <w:szCs w:val="22"/>
        </w:rPr>
        <w:t>the</w:t>
      </w:r>
      <w:r w:rsidRPr="005F281E" w:rsidR="001624C0">
        <w:rPr>
          <w:rFonts w:asciiTheme="minorHAnsi" w:hAnsiTheme="minorHAnsi" w:cstheme="minorHAnsi"/>
          <w:sz w:val="22"/>
          <w:szCs w:val="22"/>
        </w:rPr>
        <w:t xml:space="preserve"> </w:t>
      </w:r>
      <w:proofErr w:type="spellStart"/>
      <w:r w:rsidRPr="005F281E" w:rsidR="001624C0">
        <w:rPr>
          <w:rFonts w:asciiTheme="minorHAnsi" w:hAnsiTheme="minorHAnsi" w:cstheme="minorHAnsi"/>
          <w:sz w:val="22"/>
          <w:szCs w:val="22"/>
        </w:rPr>
        <w:t>CoC</w:t>
      </w:r>
      <w:proofErr w:type="spellEnd"/>
      <w:r w:rsidRPr="005F281E" w:rsidR="006E751C">
        <w:rPr>
          <w:rFonts w:asciiTheme="minorHAnsi" w:hAnsiTheme="minorHAnsi" w:cstheme="minorHAnsi"/>
          <w:sz w:val="22"/>
          <w:szCs w:val="22"/>
        </w:rPr>
        <w:t xml:space="preserve"> </w:t>
      </w:r>
      <w:r w:rsidRPr="005F281E" w:rsidR="000B0D46">
        <w:rPr>
          <w:rFonts w:asciiTheme="minorHAnsi" w:hAnsiTheme="minorHAnsi" w:cstheme="minorHAnsi"/>
          <w:sz w:val="22"/>
          <w:szCs w:val="22"/>
        </w:rPr>
        <w:t xml:space="preserve">regulations </w:t>
      </w:r>
      <w:r w:rsidRPr="005F281E" w:rsidR="001624C0">
        <w:rPr>
          <w:rFonts w:asciiTheme="minorHAnsi" w:hAnsiTheme="minorHAnsi" w:cstheme="minorHAnsi"/>
          <w:sz w:val="22"/>
          <w:szCs w:val="22"/>
        </w:rPr>
        <w:t>to</w:t>
      </w:r>
      <w:r w:rsidRPr="005F281E" w:rsidR="000B0D46">
        <w:rPr>
          <w:rFonts w:asciiTheme="minorHAnsi" w:hAnsiTheme="minorHAnsi" w:cstheme="minorHAnsi"/>
          <w:sz w:val="22"/>
          <w:szCs w:val="22"/>
        </w:rPr>
        <w:t xml:space="preserve"> determine eligibility for a</w:t>
      </w:r>
      <w:r w:rsidRPr="005F281E" w:rsidR="00CC1166">
        <w:rPr>
          <w:rFonts w:asciiTheme="minorHAnsi" w:hAnsiTheme="minorHAnsi" w:cstheme="minorHAnsi"/>
          <w:sz w:val="22"/>
          <w:szCs w:val="22"/>
        </w:rPr>
        <w:t>nd issue a</w:t>
      </w:r>
      <w:r w:rsidRPr="005F281E" w:rsidR="00CE286C">
        <w:rPr>
          <w:rFonts w:asciiTheme="minorHAnsi" w:hAnsiTheme="minorHAnsi" w:cstheme="minorHAnsi"/>
          <w:sz w:val="22"/>
          <w:szCs w:val="22"/>
        </w:rPr>
        <w:t xml:space="preserve"> </w:t>
      </w:r>
      <w:proofErr w:type="spellStart"/>
      <w:r w:rsidRPr="005F281E" w:rsidR="00725AC4">
        <w:rPr>
          <w:rFonts w:asciiTheme="minorHAnsi" w:hAnsiTheme="minorHAnsi" w:cstheme="minorHAnsi"/>
          <w:sz w:val="22"/>
          <w:szCs w:val="22"/>
        </w:rPr>
        <w:t>CoC</w:t>
      </w:r>
      <w:proofErr w:type="spellEnd"/>
      <w:r w:rsidRPr="005F281E" w:rsidR="00725AC4">
        <w:rPr>
          <w:rFonts w:asciiTheme="minorHAnsi" w:hAnsiTheme="minorHAnsi" w:cstheme="minorHAnsi"/>
          <w:sz w:val="22"/>
          <w:szCs w:val="22"/>
        </w:rPr>
        <w:t>.</w:t>
      </w:r>
      <w:r w:rsidRPr="005F281E" w:rsidR="00454E8F">
        <w:rPr>
          <w:rFonts w:asciiTheme="minorHAnsi" w:hAnsiTheme="minorHAnsi" w:cstheme="minorHAnsi"/>
          <w:sz w:val="22"/>
          <w:szCs w:val="22"/>
        </w:rPr>
        <w:t xml:space="preserve">  This </w:t>
      </w:r>
      <w:r w:rsidRPr="005F281E" w:rsidR="001624C0">
        <w:rPr>
          <w:rFonts w:asciiTheme="minorHAnsi" w:hAnsiTheme="minorHAnsi" w:cstheme="minorHAnsi"/>
          <w:sz w:val="22"/>
          <w:szCs w:val="22"/>
        </w:rPr>
        <w:t xml:space="preserve">system </w:t>
      </w:r>
      <w:r w:rsidRPr="005F281E" w:rsidR="00454E8F">
        <w:rPr>
          <w:rFonts w:asciiTheme="minorHAnsi" w:hAnsiTheme="minorHAnsi" w:cstheme="minorHAnsi"/>
          <w:sz w:val="22"/>
          <w:szCs w:val="22"/>
        </w:rPr>
        <w:t>reduce</w:t>
      </w:r>
      <w:r w:rsidRPr="005F281E" w:rsidR="001624C0">
        <w:rPr>
          <w:rFonts w:asciiTheme="minorHAnsi" w:hAnsiTheme="minorHAnsi" w:cstheme="minorHAnsi"/>
          <w:sz w:val="22"/>
          <w:szCs w:val="22"/>
        </w:rPr>
        <w:t>s</w:t>
      </w:r>
      <w:r w:rsidRPr="005F281E" w:rsidR="00454E8F">
        <w:rPr>
          <w:rFonts w:asciiTheme="minorHAnsi" w:hAnsiTheme="minorHAnsi" w:cstheme="minorHAnsi"/>
          <w:sz w:val="22"/>
          <w:szCs w:val="22"/>
        </w:rPr>
        <w:t xml:space="preserve"> the burden on the</w:t>
      </w:r>
      <w:r w:rsidRPr="005F281E" w:rsidR="00D44DBB">
        <w:rPr>
          <w:rFonts w:asciiTheme="minorHAnsi" w:hAnsiTheme="minorHAnsi" w:cstheme="minorHAnsi"/>
          <w:sz w:val="22"/>
          <w:szCs w:val="22"/>
        </w:rPr>
        <w:t xml:space="preserve"> </w:t>
      </w:r>
      <w:r w:rsidRPr="005F281E" w:rsidR="001825A4">
        <w:rPr>
          <w:rFonts w:asciiTheme="minorHAnsi" w:hAnsiTheme="minorHAnsi" w:cstheme="minorHAnsi"/>
          <w:sz w:val="22"/>
          <w:szCs w:val="22"/>
        </w:rPr>
        <w:t>requestors</w:t>
      </w:r>
      <w:r w:rsidRPr="005F281E" w:rsidR="00021D4F">
        <w:rPr>
          <w:rFonts w:asciiTheme="minorHAnsi" w:hAnsiTheme="minorHAnsi" w:cstheme="minorHAnsi"/>
          <w:sz w:val="22"/>
          <w:szCs w:val="22"/>
        </w:rPr>
        <w:t xml:space="preserve"> </w:t>
      </w:r>
      <w:r w:rsidRPr="005F281E" w:rsidR="001825A4">
        <w:rPr>
          <w:rFonts w:asciiTheme="minorHAnsi" w:hAnsiTheme="minorHAnsi" w:cstheme="minorHAnsi"/>
          <w:sz w:val="22"/>
          <w:szCs w:val="22"/>
        </w:rPr>
        <w:t xml:space="preserve">by allowing them to submit their request and receive their certificate electronically.  System validations will allow for immediate notification to requestors if their request may be ineligible, allowing them to stop the </w:t>
      </w:r>
      <w:proofErr w:type="spellStart"/>
      <w:r w:rsidRPr="005F281E" w:rsidR="001465A0">
        <w:rPr>
          <w:rFonts w:asciiTheme="minorHAnsi" w:hAnsiTheme="minorHAnsi" w:cstheme="minorHAnsi"/>
          <w:sz w:val="22"/>
          <w:szCs w:val="22"/>
        </w:rPr>
        <w:t>CoC</w:t>
      </w:r>
      <w:proofErr w:type="spellEnd"/>
      <w:r w:rsidRPr="005F281E" w:rsidR="001465A0">
        <w:rPr>
          <w:rFonts w:asciiTheme="minorHAnsi" w:hAnsiTheme="minorHAnsi" w:cstheme="minorHAnsi"/>
          <w:sz w:val="22"/>
          <w:szCs w:val="22"/>
        </w:rPr>
        <w:t xml:space="preserve"> request</w:t>
      </w:r>
      <w:r w:rsidRPr="005F281E" w:rsidR="001825A4">
        <w:rPr>
          <w:rFonts w:asciiTheme="minorHAnsi" w:hAnsiTheme="minorHAnsi" w:cstheme="minorHAnsi"/>
          <w:sz w:val="22"/>
          <w:szCs w:val="22"/>
        </w:rPr>
        <w:t xml:space="preserve"> process or contact NIH to clarify any eligibility issues prior to submission.  </w:t>
      </w:r>
      <w:r w:rsidRPr="005F281E" w:rsidR="00600460">
        <w:rPr>
          <w:rFonts w:asciiTheme="minorHAnsi" w:hAnsiTheme="minorHAnsi" w:cstheme="minorHAnsi"/>
          <w:sz w:val="22"/>
          <w:szCs w:val="22"/>
        </w:rPr>
        <w:t xml:space="preserve">Due to a change in NIH policy effective October 1, 2017, NIH-funded researchers are now deemed issued a </w:t>
      </w:r>
      <w:proofErr w:type="spellStart"/>
      <w:r w:rsidRPr="005F281E" w:rsidR="00600460">
        <w:rPr>
          <w:rFonts w:asciiTheme="minorHAnsi" w:hAnsiTheme="minorHAnsi" w:cstheme="minorHAnsi"/>
          <w:sz w:val="22"/>
          <w:szCs w:val="22"/>
        </w:rPr>
        <w:t>CoC</w:t>
      </w:r>
      <w:proofErr w:type="spellEnd"/>
      <w:r w:rsidRPr="005F281E" w:rsidR="00600460">
        <w:rPr>
          <w:rFonts w:asciiTheme="minorHAnsi" w:hAnsiTheme="minorHAnsi" w:cstheme="minorHAnsi"/>
          <w:sz w:val="22"/>
          <w:szCs w:val="22"/>
        </w:rPr>
        <w:t xml:space="preserve"> if within the scope of the policy and no longer need to submit a request.  This policy change had reduced the number of requestors from approximately 1300 to approximately 529 annually. </w:t>
      </w:r>
    </w:p>
    <w:p w:rsidRPr="005F281E" w:rsidR="00AE6568" w:rsidP="00CC4EEE" w:rsidRDefault="001A46B7" w14:paraId="452BB408" w14:textId="77777777">
      <w:pPr>
        <w:rPr>
          <w:rFonts w:asciiTheme="minorHAnsi" w:hAnsiTheme="minorHAnsi" w:cstheme="minorHAnsi"/>
          <w:sz w:val="22"/>
          <w:szCs w:val="22"/>
        </w:rPr>
      </w:pPr>
      <w:r w:rsidRPr="005F281E">
        <w:rPr>
          <w:rFonts w:asciiTheme="minorHAnsi" w:hAnsiTheme="minorHAnsi" w:cstheme="minorHAnsi"/>
          <w:sz w:val="22"/>
          <w:szCs w:val="22"/>
        </w:rPr>
        <w:t xml:space="preserve">The </w:t>
      </w:r>
      <w:proofErr w:type="spellStart"/>
      <w:r w:rsidRPr="005F281E" w:rsidR="006E751C">
        <w:rPr>
          <w:rFonts w:asciiTheme="minorHAnsi" w:hAnsiTheme="minorHAnsi" w:cstheme="minorHAnsi"/>
          <w:sz w:val="22"/>
          <w:szCs w:val="22"/>
        </w:rPr>
        <w:t>CoC</w:t>
      </w:r>
      <w:proofErr w:type="spellEnd"/>
      <w:r w:rsidRPr="005F281E" w:rsidR="006E751C">
        <w:rPr>
          <w:rFonts w:asciiTheme="minorHAnsi" w:hAnsiTheme="minorHAnsi" w:cstheme="minorHAnsi"/>
          <w:sz w:val="22"/>
          <w:szCs w:val="22"/>
        </w:rPr>
        <w:t xml:space="preserve"> </w:t>
      </w:r>
      <w:r w:rsidRPr="005F281E" w:rsidR="001465A0">
        <w:rPr>
          <w:rFonts w:asciiTheme="minorHAnsi" w:hAnsiTheme="minorHAnsi" w:cstheme="minorHAnsi"/>
          <w:sz w:val="22"/>
          <w:szCs w:val="22"/>
        </w:rPr>
        <w:t>request</w:t>
      </w:r>
      <w:r w:rsidRPr="005F281E" w:rsidR="006E751C">
        <w:rPr>
          <w:rFonts w:asciiTheme="minorHAnsi" w:hAnsiTheme="minorHAnsi" w:cstheme="minorHAnsi"/>
          <w:sz w:val="22"/>
          <w:szCs w:val="22"/>
        </w:rPr>
        <w:t xml:space="preserve"> </w:t>
      </w:r>
      <w:r w:rsidRPr="005F281E">
        <w:rPr>
          <w:rFonts w:asciiTheme="minorHAnsi" w:hAnsiTheme="minorHAnsi" w:cstheme="minorHAnsi"/>
          <w:sz w:val="22"/>
          <w:szCs w:val="22"/>
        </w:rPr>
        <w:t>information sub</w:t>
      </w:r>
      <w:r w:rsidRPr="005F281E" w:rsidR="006E751C">
        <w:rPr>
          <w:rFonts w:asciiTheme="minorHAnsi" w:hAnsiTheme="minorHAnsi" w:cstheme="minorHAnsi"/>
          <w:sz w:val="22"/>
          <w:szCs w:val="22"/>
        </w:rPr>
        <w:t xml:space="preserve">mitted to NIH </w:t>
      </w:r>
      <w:r w:rsidRPr="005F281E" w:rsidR="009508F6">
        <w:rPr>
          <w:rFonts w:asciiTheme="minorHAnsi" w:hAnsiTheme="minorHAnsi" w:cstheme="minorHAnsi"/>
          <w:sz w:val="22"/>
          <w:szCs w:val="22"/>
        </w:rPr>
        <w:t>is</w:t>
      </w:r>
      <w:r w:rsidRPr="005F281E" w:rsidR="006E751C">
        <w:rPr>
          <w:rFonts w:asciiTheme="minorHAnsi" w:hAnsiTheme="minorHAnsi" w:cstheme="minorHAnsi"/>
          <w:sz w:val="22"/>
          <w:szCs w:val="22"/>
        </w:rPr>
        <w:t xml:space="preserve"> maintained </w:t>
      </w:r>
      <w:r w:rsidRPr="005F281E">
        <w:rPr>
          <w:rFonts w:asciiTheme="minorHAnsi" w:hAnsiTheme="minorHAnsi" w:cstheme="minorHAnsi"/>
          <w:sz w:val="22"/>
          <w:szCs w:val="22"/>
        </w:rPr>
        <w:t xml:space="preserve">on protected NIH servers and will be accessible only to NIH staff involved in </w:t>
      </w:r>
      <w:proofErr w:type="spellStart"/>
      <w:r w:rsidRPr="005F281E">
        <w:rPr>
          <w:rFonts w:asciiTheme="minorHAnsi" w:hAnsiTheme="minorHAnsi" w:cstheme="minorHAnsi"/>
          <w:sz w:val="22"/>
          <w:szCs w:val="22"/>
        </w:rPr>
        <w:t>CoC</w:t>
      </w:r>
      <w:proofErr w:type="spellEnd"/>
      <w:r w:rsidRPr="005F281E">
        <w:rPr>
          <w:rFonts w:asciiTheme="minorHAnsi" w:hAnsiTheme="minorHAnsi" w:cstheme="minorHAnsi"/>
          <w:sz w:val="22"/>
          <w:szCs w:val="22"/>
        </w:rPr>
        <w:t xml:space="preserve"> administration</w:t>
      </w:r>
      <w:r w:rsidRPr="005F281E" w:rsidR="009508F6">
        <w:rPr>
          <w:rFonts w:asciiTheme="minorHAnsi" w:hAnsiTheme="minorHAnsi" w:cstheme="minorHAnsi"/>
          <w:sz w:val="22"/>
          <w:szCs w:val="22"/>
        </w:rPr>
        <w:t xml:space="preserve">.  </w:t>
      </w:r>
      <w:r w:rsidRPr="005F281E" w:rsidR="001825A4">
        <w:rPr>
          <w:rFonts w:asciiTheme="minorHAnsi" w:hAnsiTheme="minorHAnsi" w:cstheme="minorHAnsi"/>
          <w:sz w:val="22"/>
          <w:szCs w:val="22"/>
        </w:rPr>
        <w:t>At NIH</w:t>
      </w:r>
      <w:r w:rsidRPr="005F281E" w:rsidR="009508F6">
        <w:rPr>
          <w:rFonts w:asciiTheme="minorHAnsi" w:hAnsiTheme="minorHAnsi" w:cstheme="minorHAnsi"/>
          <w:sz w:val="22"/>
          <w:szCs w:val="22"/>
        </w:rPr>
        <w:t>, only the NIH</w:t>
      </w:r>
      <w:r w:rsidRPr="005F281E" w:rsidR="0076598F">
        <w:rPr>
          <w:rFonts w:asciiTheme="minorHAnsi" w:hAnsiTheme="minorHAnsi" w:cstheme="minorHAnsi"/>
          <w:sz w:val="22"/>
          <w:szCs w:val="22"/>
        </w:rPr>
        <w:t xml:space="preserve"> </w:t>
      </w:r>
      <w:proofErr w:type="spellStart"/>
      <w:r w:rsidRPr="005F281E" w:rsidR="0076598F">
        <w:rPr>
          <w:rFonts w:asciiTheme="minorHAnsi" w:hAnsiTheme="minorHAnsi" w:cstheme="minorHAnsi"/>
          <w:sz w:val="22"/>
          <w:szCs w:val="22"/>
        </w:rPr>
        <w:t>CoC</w:t>
      </w:r>
      <w:proofErr w:type="spellEnd"/>
      <w:r w:rsidRPr="005F281E" w:rsidR="0076598F">
        <w:rPr>
          <w:rFonts w:asciiTheme="minorHAnsi" w:hAnsiTheme="minorHAnsi" w:cstheme="minorHAnsi"/>
          <w:sz w:val="22"/>
          <w:szCs w:val="22"/>
        </w:rPr>
        <w:t xml:space="preserve"> Coordinators </w:t>
      </w:r>
      <w:r w:rsidRPr="005F281E" w:rsidR="001825A4">
        <w:rPr>
          <w:rFonts w:asciiTheme="minorHAnsi" w:hAnsiTheme="minorHAnsi" w:cstheme="minorHAnsi"/>
          <w:sz w:val="22"/>
          <w:szCs w:val="22"/>
        </w:rPr>
        <w:t xml:space="preserve">and IT staff </w:t>
      </w:r>
      <w:r w:rsidRPr="005F281E" w:rsidR="009508F6">
        <w:rPr>
          <w:rFonts w:asciiTheme="minorHAnsi" w:hAnsiTheme="minorHAnsi" w:cstheme="minorHAnsi"/>
          <w:sz w:val="22"/>
          <w:szCs w:val="22"/>
        </w:rPr>
        <w:t xml:space="preserve">have access to </w:t>
      </w:r>
      <w:r w:rsidRPr="005F281E" w:rsidR="00E26625">
        <w:rPr>
          <w:rFonts w:asciiTheme="minorHAnsi" w:hAnsiTheme="minorHAnsi" w:cstheme="minorHAnsi"/>
          <w:sz w:val="22"/>
          <w:szCs w:val="22"/>
        </w:rPr>
        <w:t>the system.</w:t>
      </w:r>
      <w:r w:rsidRPr="005F281E" w:rsidDel="009508F6" w:rsidR="00E26625">
        <w:rPr>
          <w:rFonts w:asciiTheme="minorHAnsi" w:hAnsiTheme="minorHAnsi" w:cstheme="minorHAnsi"/>
          <w:sz w:val="22"/>
          <w:szCs w:val="22"/>
        </w:rPr>
        <w:t xml:space="preserve"> </w:t>
      </w:r>
    </w:p>
    <w:p w:rsidRPr="005F281E" w:rsidR="007D2D19" w:rsidP="00CC4EEE" w:rsidRDefault="007D2D19" w14:paraId="38A67491" w14:textId="4DEDDE8A">
      <w:pPr>
        <w:rPr>
          <w:rFonts w:asciiTheme="minorHAnsi" w:hAnsiTheme="minorHAnsi" w:cstheme="minorHAnsi"/>
          <w:sz w:val="22"/>
          <w:szCs w:val="22"/>
        </w:rPr>
      </w:pPr>
      <w:r w:rsidRPr="00B36383">
        <w:rPr>
          <w:rFonts w:asciiTheme="minorHAnsi" w:hAnsiTheme="minorHAnsi" w:cstheme="minorHAnsi"/>
          <w:sz w:val="22"/>
          <w:szCs w:val="22"/>
          <w:highlight w:val="yellow"/>
        </w:rPr>
        <w:t>The required Privacy Impact Assessment (PIA)</w:t>
      </w:r>
      <w:r w:rsidRPr="00B36383" w:rsidR="00600460">
        <w:rPr>
          <w:rFonts w:asciiTheme="minorHAnsi" w:hAnsiTheme="minorHAnsi" w:cstheme="minorHAnsi"/>
          <w:sz w:val="22"/>
          <w:szCs w:val="22"/>
          <w:highlight w:val="yellow"/>
        </w:rPr>
        <w:t xml:space="preserve"> </w:t>
      </w:r>
      <w:r w:rsidRPr="00B36383" w:rsidR="00092BC6">
        <w:rPr>
          <w:rFonts w:asciiTheme="minorHAnsi" w:hAnsiTheme="minorHAnsi" w:cstheme="minorHAnsi"/>
          <w:sz w:val="22"/>
          <w:szCs w:val="22"/>
          <w:highlight w:val="yellow"/>
        </w:rPr>
        <w:t>and NIH Privacy Memo are</w:t>
      </w:r>
      <w:r w:rsidRPr="00B36383" w:rsidR="00600460">
        <w:rPr>
          <w:rFonts w:asciiTheme="minorHAnsi" w:hAnsiTheme="minorHAnsi" w:cstheme="minorHAnsi"/>
          <w:sz w:val="22"/>
          <w:szCs w:val="22"/>
          <w:highlight w:val="yellow"/>
        </w:rPr>
        <w:t xml:space="preserve"> attached to this request (see Attachment 3</w:t>
      </w:r>
      <w:r w:rsidRPr="00B36383" w:rsidR="00092BC6">
        <w:rPr>
          <w:rFonts w:asciiTheme="minorHAnsi" w:hAnsiTheme="minorHAnsi" w:cstheme="minorHAnsi"/>
          <w:sz w:val="22"/>
          <w:szCs w:val="22"/>
          <w:highlight w:val="yellow"/>
        </w:rPr>
        <w:t xml:space="preserve"> and 4</w:t>
      </w:r>
      <w:r w:rsidRPr="00B36383" w:rsidR="00650074">
        <w:rPr>
          <w:rFonts w:asciiTheme="minorHAnsi" w:hAnsiTheme="minorHAnsi" w:cstheme="minorHAnsi"/>
          <w:sz w:val="22"/>
          <w:szCs w:val="22"/>
          <w:highlight w:val="yellow"/>
        </w:rPr>
        <w:t>).</w:t>
      </w:r>
      <w:r w:rsidRPr="005F281E">
        <w:rPr>
          <w:rFonts w:asciiTheme="minorHAnsi" w:hAnsiTheme="minorHAnsi" w:cstheme="minorHAnsi"/>
          <w:sz w:val="22"/>
          <w:szCs w:val="22"/>
        </w:rPr>
        <w:t xml:space="preserve"> </w:t>
      </w:r>
    </w:p>
    <w:p w:rsidRPr="005F281E" w:rsidR="006E557B" w:rsidP="005F281E" w:rsidRDefault="001A46B7" w14:paraId="03482E44" w14:textId="77777777">
      <w:pPr>
        <w:rPr>
          <w:rFonts w:asciiTheme="minorHAnsi" w:hAnsiTheme="minorHAnsi" w:cstheme="minorHAnsi"/>
          <w:b/>
          <w:sz w:val="22"/>
          <w:szCs w:val="22"/>
        </w:rPr>
      </w:pPr>
      <w:bookmarkStart w:name="_Toc443881745" w:id="9"/>
      <w:bookmarkStart w:name="_Toc451592234" w:id="10"/>
      <w:bookmarkStart w:name="_Toc5610275" w:id="11"/>
      <w:bookmarkStart w:name="_Toc99178781" w:id="12"/>
      <w:r w:rsidRPr="005F281E">
        <w:rPr>
          <w:rFonts w:asciiTheme="minorHAnsi" w:hAnsiTheme="minorHAnsi" w:cstheme="minorHAnsi"/>
          <w:b/>
          <w:sz w:val="22"/>
          <w:szCs w:val="22"/>
        </w:rPr>
        <w:t>A</w:t>
      </w:r>
      <w:r w:rsidRPr="005F281E" w:rsidR="006E557B">
        <w:rPr>
          <w:rFonts w:asciiTheme="minorHAnsi" w:hAnsiTheme="minorHAnsi" w:cstheme="minorHAnsi"/>
          <w:b/>
          <w:sz w:val="22"/>
          <w:szCs w:val="22"/>
        </w:rPr>
        <w:t>.4</w:t>
      </w:r>
      <w:r w:rsidRPr="005F281E" w:rsidR="006E557B">
        <w:rPr>
          <w:rFonts w:asciiTheme="minorHAnsi" w:hAnsiTheme="minorHAnsi" w:cstheme="minorHAnsi"/>
          <w:b/>
          <w:sz w:val="22"/>
          <w:szCs w:val="22"/>
        </w:rPr>
        <w:tab/>
        <w:t>Efforts to Identify Duplication and Use of Similar Information</w:t>
      </w:r>
      <w:bookmarkEnd w:id="9"/>
      <w:bookmarkEnd w:id="10"/>
      <w:bookmarkEnd w:id="11"/>
      <w:bookmarkEnd w:id="12"/>
    </w:p>
    <w:p w:rsidRPr="005F281E" w:rsidR="00B47183" w:rsidP="005F281E" w:rsidRDefault="00B47183" w14:paraId="0323A1AD" w14:textId="7F700977">
      <w:pPr>
        <w:rPr>
          <w:rFonts w:asciiTheme="minorHAnsi" w:hAnsiTheme="minorHAnsi" w:cstheme="minorHAnsi"/>
          <w:sz w:val="22"/>
          <w:szCs w:val="22"/>
        </w:rPr>
      </w:pPr>
      <w:r w:rsidRPr="005F281E">
        <w:rPr>
          <w:rFonts w:asciiTheme="minorHAnsi" w:hAnsiTheme="minorHAnsi" w:cstheme="minorHAnsi"/>
          <w:sz w:val="22"/>
          <w:szCs w:val="22"/>
        </w:rPr>
        <w:t xml:space="preserve">The proposed electronic </w:t>
      </w:r>
      <w:proofErr w:type="spellStart"/>
      <w:r w:rsidRPr="005F281E">
        <w:rPr>
          <w:rFonts w:asciiTheme="minorHAnsi" w:hAnsiTheme="minorHAnsi" w:cstheme="minorHAnsi"/>
          <w:sz w:val="22"/>
          <w:szCs w:val="22"/>
        </w:rPr>
        <w:t>CoC</w:t>
      </w:r>
      <w:proofErr w:type="spellEnd"/>
      <w:r w:rsidRPr="005F281E">
        <w:rPr>
          <w:rFonts w:asciiTheme="minorHAnsi" w:hAnsiTheme="minorHAnsi" w:cstheme="minorHAnsi"/>
          <w:sz w:val="22"/>
          <w:szCs w:val="22"/>
        </w:rPr>
        <w:t xml:space="preserve"> </w:t>
      </w:r>
      <w:r w:rsidRPr="005F281E" w:rsidR="001465A0">
        <w:rPr>
          <w:rFonts w:asciiTheme="minorHAnsi" w:hAnsiTheme="minorHAnsi" w:cstheme="minorHAnsi"/>
          <w:sz w:val="22"/>
          <w:szCs w:val="22"/>
        </w:rPr>
        <w:t>request system</w:t>
      </w:r>
      <w:r w:rsidRPr="005F281E">
        <w:rPr>
          <w:rFonts w:asciiTheme="minorHAnsi" w:hAnsiTheme="minorHAnsi" w:cstheme="minorHAnsi"/>
          <w:sz w:val="22"/>
          <w:szCs w:val="22"/>
        </w:rPr>
        <w:t xml:space="preserve"> </w:t>
      </w:r>
      <w:r w:rsidRPr="005F281E" w:rsidR="00E26625">
        <w:rPr>
          <w:rFonts w:asciiTheme="minorHAnsi" w:hAnsiTheme="minorHAnsi" w:cstheme="minorHAnsi"/>
          <w:sz w:val="22"/>
          <w:szCs w:val="22"/>
        </w:rPr>
        <w:t>is</w:t>
      </w:r>
      <w:r w:rsidRPr="005F281E">
        <w:rPr>
          <w:rFonts w:asciiTheme="minorHAnsi" w:hAnsiTheme="minorHAnsi" w:cstheme="minorHAnsi"/>
          <w:sz w:val="22"/>
          <w:szCs w:val="22"/>
        </w:rPr>
        <w:t xml:space="preserve"> t</w:t>
      </w:r>
      <w:r w:rsidRPr="005F281E" w:rsidR="000C55CE">
        <w:rPr>
          <w:rFonts w:asciiTheme="minorHAnsi" w:hAnsiTheme="minorHAnsi" w:cstheme="minorHAnsi"/>
          <w:sz w:val="22"/>
          <w:szCs w:val="22"/>
        </w:rPr>
        <w:t xml:space="preserve">he only </w:t>
      </w:r>
      <w:r w:rsidRPr="005F281E" w:rsidR="001465A0">
        <w:rPr>
          <w:rFonts w:asciiTheme="minorHAnsi" w:hAnsiTheme="minorHAnsi" w:cstheme="minorHAnsi"/>
          <w:sz w:val="22"/>
          <w:szCs w:val="22"/>
        </w:rPr>
        <w:t xml:space="preserve">NIH </w:t>
      </w:r>
      <w:proofErr w:type="spellStart"/>
      <w:r w:rsidRPr="005F281E" w:rsidR="000C55CE">
        <w:rPr>
          <w:rFonts w:asciiTheme="minorHAnsi" w:hAnsiTheme="minorHAnsi" w:cstheme="minorHAnsi"/>
          <w:sz w:val="22"/>
          <w:szCs w:val="22"/>
        </w:rPr>
        <w:t>CoC</w:t>
      </w:r>
      <w:proofErr w:type="spellEnd"/>
      <w:r w:rsidRPr="005F281E">
        <w:rPr>
          <w:rFonts w:asciiTheme="minorHAnsi" w:hAnsiTheme="minorHAnsi" w:cstheme="minorHAnsi"/>
          <w:sz w:val="22"/>
          <w:szCs w:val="22"/>
        </w:rPr>
        <w:t xml:space="preserve"> </w:t>
      </w:r>
      <w:r w:rsidRPr="005F281E" w:rsidR="001465A0">
        <w:rPr>
          <w:rFonts w:asciiTheme="minorHAnsi" w:hAnsiTheme="minorHAnsi" w:cstheme="minorHAnsi"/>
          <w:sz w:val="22"/>
          <w:szCs w:val="22"/>
        </w:rPr>
        <w:t>request</w:t>
      </w:r>
      <w:r w:rsidRPr="005F281E">
        <w:rPr>
          <w:rFonts w:asciiTheme="minorHAnsi" w:hAnsiTheme="minorHAnsi" w:cstheme="minorHAnsi"/>
          <w:sz w:val="22"/>
          <w:szCs w:val="22"/>
        </w:rPr>
        <w:t xml:space="preserve"> </w:t>
      </w:r>
      <w:r w:rsidRPr="005F281E" w:rsidR="00F60D16">
        <w:rPr>
          <w:rFonts w:asciiTheme="minorHAnsi" w:hAnsiTheme="minorHAnsi" w:cstheme="minorHAnsi"/>
          <w:sz w:val="22"/>
          <w:szCs w:val="22"/>
        </w:rPr>
        <w:t>system</w:t>
      </w:r>
      <w:r w:rsidRPr="005F281E" w:rsidR="00407532">
        <w:rPr>
          <w:rFonts w:asciiTheme="minorHAnsi" w:hAnsiTheme="minorHAnsi" w:cstheme="minorHAnsi"/>
          <w:sz w:val="22"/>
          <w:szCs w:val="22"/>
        </w:rPr>
        <w:t xml:space="preserve"> and </w:t>
      </w:r>
      <w:r w:rsidRPr="005F281E" w:rsidR="002335B5">
        <w:rPr>
          <w:rFonts w:asciiTheme="minorHAnsi" w:hAnsiTheme="minorHAnsi" w:cstheme="minorHAnsi"/>
          <w:sz w:val="22"/>
          <w:szCs w:val="22"/>
        </w:rPr>
        <w:t xml:space="preserve">no similar information is available that can </w:t>
      </w:r>
      <w:r w:rsidRPr="005F281E" w:rsidR="00407532">
        <w:rPr>
          <w:rFonts w:asciiTheme="minorHAnsi" w:hAnsiTheme="minorHAnsi" w:cstheme="minorHAnsi"/>
          <w:sz w:val="22"/>
          <w:szCs w:val="22"/>
        </w:rPr>
        <w:t>be used or modified for use</w:t>
      </w:r>
      <w:r w:rsidRPr="005F281E" w:rsidR="002335B5">
        <w:rPr>
          <w:rFonts w:asciiTheme="minorHAnsi" w:hAnsiTheme="minorHAnsi" w:cstheme="minorHAnsi"/>
          <w:sz w:val="22"/>
          <w:szCs w:val="22"/>
        </w:rPr>
        <w:t xml:space="preserve"> to issue </w:t>
      </w:r>
      <w:proofErr w:type="spellStart"/>
      <w:r w:rsidRPr="005F281E" w:rsidR="002335B5">
        <w:rPr>
          <w:rFonts w:asciiTheme="minorHAnsi" w:hAnsiTheme="minorHAnsi" w:cstheme="minorHAnsi"/>
          <w:sz w:val="22"/>
          <w:szCs w:val="22"/>
        </w:rPr>
        <w:t>CoCs</w:t>
      </w:r>
      <w:proofErr w:type="spellEnd"/>
      <w:r w:rsidRPr="005F281E" w:rsidR="002335B5">
        <w:rPr>
          <w:rFonts w:asciiTheme="minorHAnsi" w:hAnsiTheme="minorHAnsi" w:cstheme="minorHAnsi"/>
          <w:sz w:val="22"/>
          <w:szCs w:val="22"/>
        </w:rPr>
        <w:t xml:space="preserve"> for non-NIH funded research</w:t>
      </w:r>
      <w:r w:rsidRPr="005F281E">
        <w:rPr>
          <w:rFonts w:asciiTheme="minorHAnsi" w:hAnsiTheme="minorHAnsi" w:cstheme="minorHAnsi"/>
          <w:sz w:val="22"/>
          <w:szCs w:val="22"/>
        </w:rPr>
        <w:t>.</w:t>
      </w:r>
      <w:r w:rsidRPr="005F281E" w:rsidR="003E65CC">
        <w:rPr>
          <w:rFonts w:asciiTheme="minorHAnsi" w:hAnsiTheme="minorHAnsi" w:cstheme="minorHAnsi"/>
          <w:sz w:val="22"/>
          <w:szCs w:val="22"/>
        </w:rPr>
        <w:t xml:space="preserve"> </w:t>
      </w:r>
      <w:r w:rsidRPr="005F281E" w:rsidR="00A95917">
        <w:rPr>
          <w:rFonts w:asciiTheme="minorHAnsi" w:hAnsiTheme="minorHAnsi" w:cstheme="minorHAnsi"/>
          <w:sz w:val="22"/>
          <w:szCs w:val="22"/>
        </w:rPr>
        <w:t xml:space="preserve"> </w:t>
      </w:r>
      <w:r w:rsidRPr="005F281E" w:rsidR="00407532">
        <w:rPr>
          <w:rFonts w:asciiTheme="minorHAnsi" w:hAnsiTheme="minorHAnsi" w:cstheme="minorHAnsi"/>
          <w:sz w:val="22"/>
          <w:szCs w:val="22"/>
        </w:rPr>
        <w:t xml:space="preserve">Within DHHS, NIH is the main agency that issues </w:t>
      </w:r>
      <w:proofErr w:type="spellStart"/>
      <w:r w:rsidRPr="005F281E" w:rsidR="00407532">
        <w:rPr>
          <w:rFonts w:asciiTheme="minorHAnsi" w:hAnsiTheme="minorHAnsi" w:cstheme="minorHAnsi"/>
          <w:sz w:val="22"/>
          <w:szCs w:val="22"/>
        </w:rPr>
        <w:t>CoCs</w:t>
      </w:r>
      <w:proofErr w:type="spellEnd"/>
      <w:r w:rsidRPr="005F281E" w:rsidR="00407532">
        <w:rPr>
          <w:rFonts w:asciiTheme="minorHAnsi" w:hAnsiTheme="minorHAnsi" w:cstheme="minorHAnsi"/>
          <w:sz w:val="22"/>
          <w:szCs w:val="22"/>
        </w:rPr>
        <w:t xml:space="preserve"> for research projects that are not federally funded; other agencies either only issue </w:t>
      </w:r>
      <w:proofErr w:type="spellStart"/>
      <w:r w:rsidRPr="005F281E" w:rsidR="00407532">
        <w:rPr>
          <w:rFonts w:asciiTheme="minorHAnsi" w:hAnsiTheme="minorHAnsi" w:cstheme="minorHAnsi"/>
          <w:sz w:val="22"/>
          <w:szCs w:val="22"/>
        </w:rPr>
        <w:t>CoCs</w:t>
      </w:r>
      <w:proofErr w:type="spellEnd"/>
      <w:r w:rsidRPr="005F281E" w:rsidR="00407532">
        <w:rPr>
          <w:rFonts w:asciiTheme="minorHAnsi" w:hAnsiTheme="minorHAnsi" w:cstheme="minorHAnsi"/>
          <w:sz w:val="22"/>
          <w:szCs w:val="22"/>
        </w:rPr>
        <w:t xml:space="preserve"> for research they fund (CDC, AHRQ, HRSA, IHS, SAMSHA) or for research that clearly falls within their legislated jurisdiction (FDA).  </w:t>
      </w:r>
      <w:r w:rsidRPr="005F281E" w:rsidR="00A95917">
        <w:rPr>
          <w:rFonts w:asciiTheme="minorHAnsi" w:hAnsiTheme="minorHAnsi" w:cstheme="minorHAnsi"/>
          <w:sz w:val="22"/>
          <w:szCs w:val="22"/>
        </w:rPr>
        <w:t>The</w:t>
      </w:r>
      <w:r w:rsidRPr="005F281E" w:rsidR="00E26625">
        <w:rPr>
          <w:rFonts w:asciiTheme="minorHAnsi" w:hAnsiTheme="minorHAnsi" w:cstheme="minorHAnsi"/>
          <w:sz w:val="22"/>
          <w:szCs w:val="22"/>
        </w:rPr>
        <w:t xml:space="preserve"> </w:t>
      </w:r>
      <w:proofErr w:type="spellStart"/>
      <w:r w:rsidRPr="005F281E" w:rsidR="00E26625">
        <w:rPr>
          <w:rFonts w:asciiTheme="minorHAnsi" w:hAnsiTheme="minorHAnsi" w:cstheme="minorHAnsi"/>
          <w:sz w:val="22"/>
          <w:szCs w:val="22"/>
        </w:rPr>
        <w:t>CoC</w:t>
      </w:r>
      <w:proofErr w:type="spellEnd"/>
      <w:r w:rsidRPr="005F281E" w:rsidR="00E26625">
        <w:rPr>
          <w:rFonts w:asciiTheme="minorHAnsi" w:hAnsiTheme="minorHAnsi" w:cstheme="minorHAnsi"/>
          <w:sz w:val="22"/>
          <w:szCs w:val="22"/>
        </w:rPr>
        <w:t xml:space="preserve">-issuing </w:t>
      </w:r>
      <w:r w:rsidRPr="005F281E" w:rsidR="00E35600">
        <w:rPr>
          <w:rFonts w:asciiTheme="minorHAnsi" w:hAnsiTheme="minorHAnsi" w:cstheme="minorHAnsi"/>
          <w:sz w:val="22"/>
          <w:szCs w:val="22"/>
        </w:rPr>
        <w:t>DHHS agencies</w:t>
      </w:r>
      <w:r w:rsidRPr="005F281E" w:rsidR="00A95917">
        <w:rPr>
          <w:rFonts w:asciiTheme="minorHAnsi" w:hAnsiTheme="minorHAnsi" w:cstheme="minorHAnsi"/>
          <w:sz w:val="22"/>
          <w:szCs w:val="22"/>
        </w:rPr>
        <w:t xml:space="preserve"> other than NIH </w:t>
      </w:r>
      <w:r w:rsidRPr="005F281E" w:rsidR="00DD2AF9">
        <w:rPr>
          <w:rFonts w:asciiTheme="minorHAnsi" w:hAnsiTheme="minorHAnsi" w:cstheme="minorHAnsi"/>
          <w:sz w:val="22"/>
          <w:szCs w:val="22"/>
        </w:rPr>
        <w:t xml:space="preserve">(AHRQ, CDC, FDA, HRSA, IHS and SAMSHA) </w:t>
      </w:r>
      <w:r w:rsidRPr="005F281E" w:rsidR="00A95917">
        <w:rPr>
          <w:rFonts w:asciiTheme="minorHAnsi" w:hAnsiTheme="minorHAnsi" w:cstheme="minorHAnsi"/>
          <w:sz w:val="22"/>
          <w:szCs w:val="22"/>
        </w:rPr>
        <w:t>each</w:t>
      </w:r>
      <w:r w:rsidRPr="005F281E" w:rsidR="00E35600">
        <w:rPr>
          <w:rFonts w:asciiTheme="minorHAnsi" w:hAnsiTheme="minorHAnsi" w:cstheme="minorHAnsi"/>
          <w:sz w:val="22"/>
          <w:szCs w:val="22"/>
        </w:rPr>
        <w:t xml:space="preserve"> have their own </w:t>
      </w:r>
      <w:r w:rsidRPr="005F281E" w:rsidR="00D44DBB">
        <w:rPr>
          <w:rFonts w:asciiTheme="minorHAnsi" w:hAnsiTheme="minorHAnsi" w:cstheme="minorHAnsi"/>
          <w:sz w:val="22"/>
          <w:szCs w:val="22"/>
        </w:rPr>
        <w:t xml:space="preserve">processes for issuing </w:t>
      </w:r>
      <w:proofErr w:type="spellStart"/>
      <w:r w:rsidRPr="005F281E" w:rsidR="00D44DBB">
        <w:rPr>
          <w:rFonts w:asciiTheme="minorHAnsi" w:hAnsiTheme="minorHAnsi" w:cstheme="minorHAnsi"/>
          <w:sz w:val="22"/>
          <w:szCs w:val="22"/>
        </w:rPr>
        <w:t>CoCs</w:t>
      </w:r>
      <w:proofErr w:type="spellEnd"/>
      <w:r w:rsidRPr="005F281E" w:rsidR="00D44DBB">
        <w:rPr>
          <w:rFonts w:asciiTheme="minorHAnsi" w:hAnsiTheme="minorHAnsi" w:cstheme="minorHAnsi"/>
          <w:sz w:val="22"/>
          <w:szCs w:val="22"/>
        </w:rPr>
        <w:t>.</w:t>
      </w:r>
      <w:r w:rsidRPr="005F281E" w:rsidR="00A567D6">
        <w:rPr>
          <w:rFonts w:asciiTheme="minorHAnsi" w:hAnsiTheme="minorHAnsi" w:cstheme="minorHAnsi"/>
          <w:sz w:val="22"/>
          <w:szCs w:val="22"/>
        </w:rPr>
        <w:t xml:space="preserve"> </w:t>
      </w:r>
      <w:r w:rsidRPr="005F281E" w:rsidR="00407532">
        <w:rPr>
          <w:rFonts w:asciiTheme="minorHAnsi" w:hAnsiTheme="minorHAnsi" w:cstheme="minorHAnsi"/>
          <w:sz w:val="22"/>
          <w:szCs w:val="22"/>
        </w:rPr>
        <w:t xml:space="preserve">On the NIH </w:t>
      </w:r>
      <w:proofErr w:type="spellStart"/>
      <w:r w:rsidRPr="005F281E" w:rsidR="00407532">
        <w:rPr>
          <w:rFonts w:asciiTheme="minorHAnsi" w:hAnsiTheme="minorHAnsi" w:cstheme="minorHAnsi"/>
          <w:sz w:val="22"/>
          <w:szCs w:val="22"/>
        </w:rPr>
        <w:t>CoC</w:t>
      </w:r>
      <w:proofErr w:type="spellEnd"/>
      <w:r w:rsidRPr="005F281E" w:rsidR="00407532">
        <w:rPr>
          <w:rFonts w:asciiTheme="minorHAnsi" w:hAnsiTheme="minorHAnsi" w:cstheme="minorHAnsi"/>
          <w:sz w:val="22"/>
          <w:szCs w:val="22"/>
        </w:rPr>
        <w:t xml:space="preserve"> website, NIH instructs users funded by those agencies to contact the agency points of contact and will not issue a </w:t>
      </w:r>
      <w:proofErr w:type="spellStart"/>
      <w:r w:rsidRPr="005F281E" w:rsidR="00407532">
        <w:rPr>
          <w:rFonts w:asciiTheme="minorHAnsi" w:hAnsiTheme="minorHAnsi" w:cstheme="minorHAnsi"/>
          <w:sz w:val="22"/>
          <w:szCs w:val="22"/>
        </w:rPr>
        <w:t>CoC</w:t>
      </w:r>
      <w:proofErr w:type="spellEnd"/>
      <w:r w:rsidRPr="005F281E" w:rsidR="00407532">
        <w:rPr>
          <w:rFonts w:asciiTheme="minorHAnsi" w:hAnsiTheme="minorHAnsi" w:cstheme="minorHAnsi"/>
          <w:sz w:val="22"/>
          <w:szCs w:val="22"/>
        </w:rPr>
        <w:t xml:space="preserve"> for that research.  </w:t>
      </w:r>
    </w:p>
    <w:p w:rsidRPr="005F281E" w:rsidR="00B41EC6" w:rsidP="005F281E" w:rsidRDefault="00B41EC6" w14:paraId="1770050F" w14:textId="77777777">
      <w:pPr>
        <w:pStyle w:val="Heading2"/>
        <w:spacing w:after="160" w:line="259" w:lineRule="auto"/>
        <w:ind w:left="720" w:hanging="720"/>
        <w:rPr>
          <w:rFonts w:asciiTheme="minorHAnsi" w:hAnsiTheme="minorHAnsi" w:cstheme="minorHAnsi"/>
          <w:szCs w:val="22"/>
        </w:rPr>
      </w:pPr>
      <w:bookmarkStart w:name="_Toc443881746" w:id="13"/>
      <w:bookmarkStart w:name="_Toc451592235" w:id="14"/>
      <w:bookmarkStart w:name="_Toc5610276" w:id="15"/>
      <w:bookmarkStart w:name="_Toc99178782" w:id="16"/>
      <w:r w:rsidRPr="005F281E">
        <w:rPr>
          <w:rFonts w:asciiTheme="minorHAnsi" w:hAnsiTheme="minorHAnsi" w:cstheme="minorHAnsi"/>
          <w:szCs w:val="22"/>
        </w:rPr>
        <w:t>A.5</w:t>
      </w:r>
      <w:r w:rsidRPr="005F281E">
        <w:rPr>
          <w:rFonts w:asciiTheme="minorHAnsi" w:hAnsiTheme="minorHAnsi" w:cstheme="minorHAnsi"/>
          <w:szCs w:val="22"/>
        </w:rPr>
        <w:tab/>
        <w:t>Impact on Small Businesses or Other Small Entities</w:t>
      </w:r>
      <w:bookmarkEnd w:id="13"/>
      <w:bookmarkEnd w:id="14"/>
      <w:bookmarkEnd w:id="15"/>
      <w:bookmarkEnd w:id="16"/>
    </w:p>
    <w:p w:rsidRPr="005F281E" w:rsidR="00B41EC6" w:rsidP="005F281E" w:rsidRDefault="003C32F8" w14:paraId="3F7ECD16" w14:textId="2AEDB1A7">
      <w:pPr>
        <w:rPr>
          <w:rFonts w:asciiTheme="minorHAnsi" w:hAnsiTheme="minorHAnsi" w:cstheme="minorHAnsi"/>
          <w:sz w:val="22"/>
          <w:szCs w:val="22"/>
        </w:rPr>
      </w:pPr>
      <w:r w:rsidRPr="005F281E">
        <w:rPr>
          <w:rFonts w:asciiTheme="minorHAnsi" w:hAnsiTheme="minorHAnsi" w:cstheme="minorHAnsi"/>
          <w:sz w:val="22"/>
          <w:szCs w:val="22"/>
        </w:rPr>
        <w:t>Only small business</w:t>
      </w:r>
      <w:r w:rsidRPr="005F281E" w:rsidR="009F10C7">
        <w:rPr>
          <w:rFonts w:asciiTheme="minorHAnsi" w:hAnsiTheme="minorHAnsi" w:cstheme="minorHAnsi"/>
          <w:sz w:val="22"/>
          <w:szCs w:val="22"/>
        </w:rPr>
        <w:t>es</w:t>
      </w:r>
      <w:r w:rsidRPr="005F281E">
        <w:rPr>
          <w:rFonts w:asciiTheme="minorHAnsi" w:hAnsiTheme="minorHAnsi" w:cstheme="minorHAnsi"/>
          <w:sz w:val="22"/>
          <w:szCs w:val="22"/>
        </w:rPr>
        <w:t xml:space="preserve"> that are conducting research would potentially apply for a </w:t>
      </w:r>
      <w:proofErr w:type="spellStart"/>
      <w:r w:rsidRPr="005F281E">
        <w:rPr>
          <w:rFonts w:asciiTheme="minorHAnsi" w:hAnsiTheme="minorHAnsi" w:cstheme="minorHAnsi"/>
          <w:sz w:val="22"/>
          <w:szCs w:val="22"/>
        </w:rPr>
        <w:t>CoC</w:t>
      </w:r>
      <w:proofErr w:type="spellEnd"/>
      <w:r w:rsidRPr="005F281E">
        <w:rPr>
          <w:rFonts w:asciiTheme="minorHAnsi" w:hAnsiTheme="minorHAnsi" w:cstheme="minorHAnsi"/>
          <w:sz w:val="22"/>
          <w:szCs w:val="22"/>
        </w:rPr>
        <w:t xml:space="preserve">.  </w:t>
      </w:r>
      <w:r w:rsidRPr="005F281E" w:rsidR="00F60D16">
        <w:rPr>
          <w:rFonts w:asciiTheme="minorHAnsi" w:hAnsiTheme="minorHAnsi" w:cstheme="minorHAnsi"/>
          <w:sz w:val="22"/>
          <w:szCs w:val="22"/>
        </w:rPr>
        <w:t>We es</w:t>
      </w:r>
      <w:r w:rsidRPr="005F281E" w:rsidR="006E751C">
        <w:rPr>
          <w:rFonts w:asciiTheme="minorHAnsi" w:hAnsiTheme="minorHAnsi" w:cstheme="minorHAnsi"/>
          <w:sz w:val="22"/>
          <w:szCs w:val="22"/>
        </w:rPr>
        <w:t xml:space="preserve">timate that </w:t>
      </w:r>
      <w:r w:rsidRPr="005F281E" w:rsidR="00B1262C">
        <w:rPr>
          <w:rFonts w:asciiTheme="minorHAnsi" w:hAnsiTheme="minorHAnsi" w:cstheme="minorHAnsi"/>
          <w:sz w:val="22"/>
          <w:szCs w:val="22"/>
        </w:rPr>
        <w:t>10</w:t>
      </w:r>
      <w:r w:rsidRPr="005F281E" w:rsidR="00D82006">
        <w:rPr>
          <w:rFonts w:asciiTheme="minorHAnsi" w:hAnsiTheme="minorHAnsi" w:cstheme="minorHAnsi"/>
          <w:sz w:val="22"/>
          <w:szCs w:val="22"/>
        </w:rPr>
        <w:t>% of</w:t>
      </w:r>
      <w:r w:rsidRPr="005F281E" w:rsidR="00F60D16">
        <w:rPr>
          <w:rFonts w:asciiTheme="minorHAnsi" w:hAnsiTheme="minorHAnsi" w:cstheme="minorHAnsi"/>
          <w:sz w:val="22"/>
          <w:szCs w:val="22"/>
        </w:rPr>
        <w:t xml:space="preserve"> requests to NIH for a </w:t>
      </w:r>
      <w:proofErr w:type="spellStart"/>
      <w:r w:rsidRPr="005F281E" w:rsidR="00F60D16">
        <w:rPr>
          <w:rFonts w:asciiTheme="minorHAnsi" w:hAnsiTheme="minorHAnsi" w:cstheme="minorHAnsi"/>
          <w:sz w:val="22"/>
          <w:szCs w:val="22"/>
        </w:rPr>
        <w:t>CoC</w:t>
      </w:r>
      <w:proofErr w:type="spellEnd"/>
      <w:r w:rsidRPr="005F281E" w:rsidR="00F60D16">
        <w:rPr>
          <w:rFonts w:asciiTheme="minorHAnsi" w:hAnsiTheme="minorHAnsi" w:cstheme="minorHAnsi"/>
          <w:sz w:val="22"/>
          <w:szCs w:val="22"/>
        </w:rPr>
        <w:t xml:space="preserve"> will be from small business entities.  </w:t>
      </w:r>
      <w:r w:rsidRPr="005F281E" w:rsidR="00A93822">
        <w:rPr>
          <w:rFonts w:asciiTheme="minorHAnsi" w:hAnsiTheme="minorHAnsi" w:cstheme="minorHAnsi"/>
          <w:sz w:val="22"/>
          <w:szCs w:val="22"/>
        </w:rPr>
        <w:t>The</w:t>
      </w:r>
      <w:r w:rsidRPr="005F281E">
        <w:rPr>
          <w:rFonts w:asciiTheme="minorHAnsi" w:hAnsiTheme="minorHAnsi" w:cstheme="minorHAnsi"/>
          <w:sz w:val="22"/>
          <w:szCs w:val="22"/>
        </w:rPr>
        <w:t xml:space="preserve"> </w:t>
      </w:r>
      <w:r w:rsidRPr="005F281E" w:rsidR="00A93822">
        <w:rPr>
          <w:rFonts w:asciiTheme="minorHAnsi" w:hAnsiTheme="minorHAnsi" w:cstheme="minorHAnsi"/>
          <w:sz w:val="22"/>
          <w:szCs w:val="22"/>
        </w:rPr>
        <w:t>proc</w:t>
      </w:r>
      <w:r w:rsidRPr="005F281E" w:rsidR="00356CE4">
        <w:rPr>
          <w:rFonts w:asciiTheme="minorHAnsi" w:hAnsiTheme="minorHAnsi" w:cstheme="minorHAnsi"/>
          <w:sz w:val="22"/>
          <w:szCs w:val="22"/>
        </w:rPr>
        <w:t>edure</w:t>
      </w:r>
      <w:r w:rsidRPr="005F281E" w:rsidR="00A93822">
        <w:rPr>
          <w:rFonts w:asciiTheme="minorHAnsi" w:hAnsiTheme="minorHAnsi" w:cstheme="minorHAnsi"/>
          <w:sz w:val="22"/>
          <w:szCs w:val="22"/>
        </w:rPr>
        <w:t xml:space="preserve"> for and the</w:t>
      </w:r>
      <w:r w:rsidRPr="005F281E" w:rsidR="008A4948">
        <w:rPr>
          <w:rFonts w:asciiTheme="minorHAnsi" w:hAnsiTheme="minorHAnsi" w:cstheme="minorHAnsi"/>
          <w:sz w:val="22"/>
          <w:szCs w:val="22"/>
        </w:rPr>
        <w:t xml:space="preserve"> </w:t>
      </w:r>
      <w:r w:rsidRPr="005F281E">
        <w:rPr>
          <w:rFonts w:asciiTheme="minorHAnsi" w:hAnsiTheme="minorHAnsi" w:cstheme="minorHAnsi"/>
          <w:sz w:val="22"/>
          <w:szCs w:val="22"/>
        </w:rPr>
        <w:t xml:space="preserve">burden </w:t>
      </w:r>
      <w:r w:rsidRPr="005F281E" w:rsidR="008A4948">
        <w:rPr>
          <w:rFonts w:asciiTheme="minorHAnsi" w:hAnsiTheme="minorHAnsi" w:cstheme="minorHAnsi"/>
          <w:sz w:val="22"/>
          <w:szCs w:val="22"/>
        </w:rPr>
        <w:t xml:space="preserve">associated with a </w:t>
      </w:r>
      <w:proofErr w:type="spellStart"/>
      <w:r w:rsidRPr="005F281E" w:rsidR="008A4948">
        <w:rPr>
          <w:rFonts w:asciiTheme="minorHAnsi" w:hAnsiTheme="minorHAnsi" w:cstheme="minorHAnsi"/>
          <w:sz w:val="22"/>
          <w:szCs w:val="22"/>
        </w:rPr>
        <w:t>CoC</w:t>
      </w:r>
      <w:proofErr w:type="spellEnd"/>
      <w:r w:rsidRPr="005F281E" w:rsidR="008A4948">
        <w:rPr>
          <w:rFonts w:asciiTheme="minorHAnsi" w:hAnsiTheme="minorHAnsi" w:cstheme="minorHAnsi"/>
          <w:sz w:val="22"/>
          <w:szCs w:val="22"/>
        </w:rPr>
        <w:t xml:space="preserve"> </w:t>
      </w:r>
      <w:r w:rsidRPr="005F281E" w:rsidR="001465A0">
        <w:rPr>
          <w:rFonts w:asciiTheme="minorHAnsi" w:hAnsiTheme="minorHAnsi" w:cstheme="minorHAnsi"/>
          <w:sz w:val="22"/>
          <w:szCs w:val="22"/>
        </w:rPr>
        <w:t>request</w:t>
      </w:r>
      <w:r w:rsidRPr="005F281E" w:rsidR="008A4948">
        <w:rPr>
          <w:rFonts w:asciiTheme="minorHAnsi" w:hAnsiTheme="minorHAnsi" w:cstheme="minorHAnsi"/>
          <w:sz w:val="22"/>
          <w:szCs w:val="22"/>
        </w:rPr>
        <w:t xml:space="preserve"> for</w:t>
      </w:r>
      <w:r w:rsidRPr="005F281E">
        <w:rPr>
          <w:rFonts w:asciiTheme="minorHAnsi" w:hAnsiTheme="minorHAnsi" w:cstheme="minorHAnsi"/>
          <w:sz w:val="22"/>
          <w:szCs w:val="22"/>
        </w:rPr>
        <w:t xml:space="preserve"> small businesses that are conducting research </w:t>
      </w:r>
      <w:r w:rsidRPr="005F281E" w:rsidR="008A4948">
        <w:rPr>
          <w:rFonts w:asciiTheme="minorHAnsi" w:hAnsiTheme="minorHAnsi" w:cstheme="minorHAnsi"/>
          <w:sz w:val="22"/>
          <w:szCs w:val="22"/>
        </w:rPr>
        <w:t xml:space="preserve">would be </w:t>
      </w:r>
      <w:r w:rsidRPr="005F281E" w:rsidR="00356CE4">
        <w:rPr>
          <w:rFonts w:asciiTheme="minorHAnsi" w:hAnsiTheme="minorHAnsi" w:cstheme="minorHAnsi"/>
          <w:sz w:val="22"/>
          <w:szCs w:val="22"/>
        </w:rPr>
        <w:t xml:space="preserve">the same as for </w:t>
      </w:r>
      <w:r w:rsidRPr="005F281E" w:rsidR="008A4948">
        <w:rPr>
          <w:rFonts w:asciiTheme="minorHAnsi" w:hAnsiTheme="minorHAnsi" w:cstheme="minorHAnsi"/>
          <w:sz w:val="22"/>
          <w:szCs w:val="22"/>
        </w:rPr>
        <w:t>other research or</w:t>
      </w:r>
      <w:r w:rsidRPr="005F281E" w:rsidR="00CE286C">
        <w:rPr>
          <w:rFonts w:asciiTheme="minorHAnsi" w:hAnsiTheme="minorHAnsi" w:cstheme="minorHAnsi"/>
          <w:sz w:val="22"/>
          <w:szCs w:val="22"/>
        </w:rPr>
        <w:t>ganization that</w:t>
      </w:r>
      <w:r w:rsidRPr="005F281E" w:rsidR="00356CE4">
        <w:rPr>
          <w:rFonts w:asciiTheme="minorHAnsi" w:hAnsiTheme="minorHAnsi" w:cstheme="minorHAnsi"/>
          <w:sz w:val="22"/>
          <w:szCs w:val="22"/>
        </w:rPr>
        <w:t xml:space="preserve"> wants to </w:t>
      </w:r>
      <w:r w:rsidRPr="005F281E" w:rsidR="006E751C">
        <w:rPr>
          <w:rFonts w:asciiTheme="minorHAnsi" w:hAnsiTheme="minorHAnsi" w:cstheme="minorHAnsi"/>
          <w:sz w:val="22"/>
          <w:szCs w:val="22"/>
        </w:rPr>
        <w:t>request</w:t>
      </w:r>
      <w:r w:rsidRPr="005F281E" w:rsidR="00CE286C">
        <w:rPr>
          <w:rFonts w:asciiTheme="minorHAnsi" w:hAnsiTheme="minorHAnsi" w:cstheme="minorHAnsi"/>
          <w:sz w:val="22"/>
          <w:szCs w:val="22"/>
        </w:rPr>
        <w:t xml:space="preserve"> </w:t>
      </w:r>
      <w:r w:rsidRPr="005F281E" w:rsidR="008A4948">
        <w:rPr>
          <w:rFonts w:asciiTheme="minorHAnsi" w:hAnsiTheme="minorHAnsi" w:cstheme="minorHAnsi"/>
          <w:sz w:val="22"/>
          <w:szCs w:val="22"/>
        </w:rPr>
        <w:t xml:space="preserve">a </w:t>
      </w:r>
      <w:proofErr w:type="spellStart"/>
      <w:r w:rsidRPr="005F281E" w:rsidR="008A4948">
        <w:rPr>
          <w:rFonts w:asciiTheme="minorHAnsi" w:hAnsiTheme="minorHAnsi" w:cstheme="minorHAnsi"/>
          <w:sz w:val="22"/>
          <w:szCs w:val="22"/>
        </w:rPr>
        <w:t>CoC</w:t>
      </w:r>
      <w:proofErr w:type="spellEnd"/>
      <w:r w:rsidRPr="005F281E" w:rsidR="00CE286C">
        <w:rPr>
          <w:rFonts w:asciiTheme="minorHAnsi" w:hAnsiTheme="minorHAnsi" w:cstheme="minorHAnsi"/>
          <w:sz w:val="22"/>
          <w:szCs w:val="22"/>
        </w:rPr>
        <w:t xml:space="preserve"> from NIH</w:t>
      </w:r>
      <w:r w:rsidRPr="005F281E" w:rsidR="008A4948">
        <w:rPr>
          <w:rFonts w:asciiTheme="minorHAnsi" w:hAnsiTheme="minorHAnsi" w:cstheme="minorHAnsi"/>
          <w:sz w:val="22"/>
          <w:szCs w:val="22"/>
        </w:rPr>
        <w:t>.</w:t>
      </w:r>
      <w:r w:rsidRPr="005F281E" w:rsidR="00356CE4">
        <w:rPr>
          <w:rFonts w:asciiTheme="minorHAnsi" w:hAnsiTheme="minorHAnsi" w:cstheme="minorHAnsi"/>
          <w:sz w:val="22"/>
          <w:szCs w:val="22"/>
        </w:rPr>
        <w:t xml:space="preserve">  The impact on small business or other small entities is anticipated to be negligible.</w:t>
      </w:r>
    </w:p>
    <w:p w:rsidRPr="005F281E" w:rsidR="00B41EC6" w:rsidP="005F281E" w:rsidRDefault="00B41EC6" w14:paraId="3EF56C12" w14:textId="77777777">
      <w:pPr>
        <w:pStyle w:val="Heading2"/>
        <w:spacing w:after="160" w:line="259" w:lineRule="auto"/>
        <w:ind w:left="720" w:hanging="720"/>
        <w:rPr>
          <w:rFonts w:asciiTheme="minorHAnsi" w:hAnsiTheme="minorHAnsi" w:cstheme="minorHAnsi"/>
          <w:szCs w:val="22"/>
        </w:rPr>
      </w:pPr>
      <w:bookmarkStart w:name="_Toc443881747" w:id="17"/>
      <w:bookmarkStart w:name="_Toc451592236" w:id="18"/>
      <w:bookmarkStart w:name="_Toc5610277" w:id="19"/>
      <w:bookmarkStart w:name="_Toc99178783" w:id="20"/>
      <w:r w:rsidRPr="005F281E">
        <w:rPr>
          <w:rFonts w:asciiTheme="minorHAnsi" w:hAnsiTheme="minorHAnsi" w:cstheme="minorHAnsi"/>
          <w:szCs w:val="22"/>
        </w:rPr>
        <w:t>A.6</w:t>
      </w:r>
      <w:r w:rsidRPr="005F281E">
        <w:rPr>
          <w:rFonts w:asciiTheme="minorHAnsi" w:hAnsiTheme="minorHAnsi" w:cstheme="minorHAnsi"/>
          <w:szCs w:val="22"/>
        </w:rPr>
        <w:tab/>
        <w:t>Consequences of Collecting the Information Less Frequently</w:t>
      </w:r>
      <w:bookmarkEnd w:id="17"/>
      <w:bookmarkEnd w:id="18"/>
      <w:bookmarkEnd w:id="19"/>
      <w:bookmarkEnd w:id="20"/>
    </w:p>
    <w:p w:rsidR="009F10C7" w:rsidP="005F281E" w:rsidRDefault="00356CE4" w14:paraId="683FCC1F" w14:textId="7A46176A">
      <w:pPr>
        <w:rPr>
          <w:rFonts w:asciiTheme="minorHAnsi" w:hAnsiTheme="minorHAnsi" w:cstheme="minorHAnsi"/>
          <w:sz w:val="22"/>
          <w:szCs w:val="22"/>
        </w:rPr>
      </w:pPr>
      <w:r w:rsidRPr="005F281E">
        <w:rPr>
          <w:rFonts w:asciiTheme="minorHAnsi" w:hAnsiTheme="minorHAnsi" w:cstheme="minorHAnsi"/>
          <w:sz w:val="22"/>
          <w:szCs w:val="22"/>
        </w:rPr>
        <w:t xml:space="preserve">The information collected with the on-line </w:t>
      </w:r>
      <w:r w:rsidRPr="005F281E" w:rsidR="001465A0">
        <w:rPr>
          <w:rFonts w:asciiTheme="minorHAnsi" w:hAnsiTheme="minorHAnsi" w:cstheme="minorHAnsi"/>
          <w:sz w:val="22"/>
          <w:szCs w:val="22"/>
        </w:rPr>
        <w:t>request</w:t>
      </w:r>
      <w:r w:rsidRPr="005F281E">
        <w:rPr>
          <w:rFonts w:asciiTheme="minorHAnsi" w:hAnsiTheme="minorHAnsi" w:cstheme="minorHAnsi"/>
          <w:sz w:val="22"/>
          <w:szCs w:val="22"/>
        </w:rPr>
        <w:t xml:space="preserve"> is a onetime collection to request a </w:t>
      </w:r>
      <w:proofErr w:type="spellStart"/>
      <w:r w:rsidRPr="005F281E">
        <w:rPr>
          <w:rFonts w:asciiTheme="minorHAnsi" w:hAnsiTheme="minorHAnsi" w:cstheme="minorHAnsi"/>
          <w:sz w:val="22"/>
          <w:szCs w:val="22"/>
        </w:rPr>
        <w:t>CoC</w:t>
      </w:r>
      <w:proofErr w:type="spellEnd"/>
      <w:r w:rsidRPr="005F281E">
        <w:rPr>
          <w:rFonts w:asciiTheme="minorHAnsi" w:hAnsiTheme="minorHAnsi" w:cstheme="minorHAnsi"/>
          <w:sz w:val="22"/>
          <w:szCs w:val="22"/>
        </w:rPr>
        <w:t xml:space="preserve"> for a specific research project.  </w:t>
      </w:r>
      <w:r w:rsidRPr="005F281E" w:rsidR="001465A0">
        <w:rPr>
          <w:rFonts w:asciiTheme="minorHAnsi" w:hAnsiTheme="minorHAnsi" w:cstheme="minorHAnsi"/>
          <w:sz w:val="22"/>
          <w:szCs w:val="22"/>
        </w:rPr>
        <w:t>Requests</w:t>
      </w:r>
      <w:r w:rsidRPr="005F281E" w:rsidR="006D5220">
        <w:rPr>
          <w:rFonts w:asciiTheme="minorHAnsi" w:hAnsiTheme="minorHAnsi" w:cstheme="minorHAnsi"/>
          <w:sz w:val="22"/>
          <w:szCs w:val="22"/>
        </w:rPr>
        <w:t xml:space="preserve"> to NIH for a </w:t>
      </w:r>
      <w:proofErr w:type="spellStart"/>
      <w:r w:rsidRPr="005F281E" w:rsidR="006D5220">
        <w:rPr>
          <w:rFonts w:asciiTheme="minorHAnsi" w:hAnsiTheme="minorHAnsi" w:cstheme="minorHAnsi"/>
          <w:sz w:val="22"/>
          <w:szCs w:val="22"/>
        </w:rPr>
        <w:t>CoC</w:t>
      </w:r>
      <w:proofErr w:type="spellEnd"/>
      <w:r w:rsidRPr="005F281E" w:rsidR="006D5220">
        <w:rPr>
          <w:rFonts w:asciiTheme="minorHAnsi" w:hAnsiTheme="minorHAnsi" w:cstheme="minorHAnsi"/>
          <w:sz w:val="22"/>
          <w:szCs w:val="22"/>
        </w:rPr>
        <w:t xml:space="preserve"> are submitted as necessary to obtain a </w:t>
      </w:r>
      <w:proofErr w:type="spellStart"/>
      <w:r w:rsidRPr="005F281E" w:rsidR="006D5220">
        <w:rPr>
          <w:rFonts w:asciiTheme="minorHAnsi" w:hAnsiTheme="minorHAnsi" w:cstheme="minorHAnsi"/>
          <w:sz w:val="22"/>
          <w:szCs w:val="22"/>
        </w:rPr>
        <w:t>CoC</w:t>
      </w:r>
      <w:proofErr w:type="spellEnd"/>
      <w:r w:rsidRPr="005F281E" w:rsidR="006D5220">
        <w:rPr>
          <w:rFonts w:asciiTheme="minorHAnsi" w:hAnsiTheme="minorHAnsi" w:cstheme="minorHAnsi"/>
          <w:sz w:val="22"/>
          <w:szCs w:val="22"/>
        </w:rPr>
        <w:t>.  There are no</w:t>
      </w:r>
      <w:r w:rsidRPr="005F281E" w:rsidR="009F10C7">
        <w:rPr>
          <w:rFonts w:asciiTheme="minorHAnsi" w:hAnsiTheme="minorHAnsi" w:cstheme="minorHAnsi"/>
          <w:sz w:val="22"/>
          <w:szCs w:val="22"/>
        </w:rPr>
        <w:t xml:space="preserve"> </w:t>
      </w:r>
      <w:r w:rsidRPr="005F281E" w:rsidR="001465A0">
        <w:rPr>
          <w:rFonts w:asciiTheme="minorHAnsi" w:hAnsiTheme="minorHAnsi" w:cstheme="minorHAnsi"/>
          <w:sz w:val="22"/>
          <w:szCs w:val="22"/>
        </w:rPr>
        <w:t>request</w:t>
      </w:r>
      <w:r w:rsidRPr="005F281E" w:rsidR="009F10C7">
        <w:rPr>
          <w:rFonts w:asciiTheme="minorHAnsi" w:hAnsiTheme="minorHAnsi" w:cstheme="minorHAnsi"/>
          <w:sz w:val="22"/>
          <w:szCs w:val="22"/>
        </w:rPr>
        <w:t xml:space="preserve"> deadli</w:t>
      </w:r>
      <w:r w:rsidRPr="005F281E">
        <w:rPr>
          <w:rFonts w:asciiTheme="minorHAnsi" w:hAnsiTheme="minorHAnsi" w:cstheme="minorHAnsi"/>
          <w:sz w:val="22"/>
          <w:szCs w:val="22"/>
        </w:rPr>
        <w:t>nes.</w:t>
      </w:r>
    </w:p>
    <w:p w:rsidRPr="00134BC5" w:rsidR="00B41EC6" w:rsidP="005F281E" w:rsidRDefault="00B41EC6" w14:paraId="0612DD37" w14:textId="576A21C5">
      <w:pPr>
        <w:pStyle w:val="Heading2"/>
        <w:spacing w:after="160" w:line="259" w:lineRule="auto"/>
        <w:ind w:left="0" w:firstLine="0"/>
        <w:rPr>
          <w:rFonts w:asciiTheme="minorHAnsi" w:hAnsiTheme="minorHAnsi" w:cstheme="minorHAnsi"/>
          <w:szCs w:val="22"/>
        </w:rPr>
      </w:pPr>
      <w:bookmarkStart w:name="_Toc443881748" w:id="21"/>
      <w:bookmarkStart w:name="_Toc451592237" w:id="22"/>
      <w:bookmarkStart w:name="_Toc5610278" w:id="23"/>
      <w:bookmarkStart w:name="_Toc99178784" w:id="24"/>
      <w:r w:rsidRPr="00134BC5">
        <w:rPr>
          <w:rFonts w:asciiTheme="minorHAnsi" w:hAnsiTheme="minorHAnsi" w:cstheme="minorHAnsi"/>
          <w:szCs w:val="22"/>
        </w:rPr>
        <w:t>A.7</w:t>
      </w:r>
      <w:r w:rsidRPr="00134BC5" w:rsidR="00CC4EEE">
        <w:rPr>
          <w:rFonts w:asciiTheme="minorHAnsi" w:hAnsiTheme="minorHAnsi" w:cstheme="minorHAnsi"/>
          <w:szCs w:val="22"/>
        </w:rPr>
        <w:t xml:space="preserve">      </w:t>
      </w:r>
      <w:r w:rsidRPr="00134BC5">
        <w:rPr>
          <w:rFonts w:asciiTheme="minorHAnsi" w:hAnsiTheme="minorHAnsi" w:cstheme="minorHAnsi"/>
          <w:szCs w:val="22"/>
        </w:rPr>
        <w:t xml:space="preserve">Special Circumstances Relating to the Guidelines of 5 </w:t>
      </w:r>
      <w:smartTag w:uri="urn:schemas-microsoft-com:office:smarttags" w:element="stockticker">
        <w:r w:rsidRPr="00134BC5">
          <w:rPr>
            <w:rFonts w:asciiTheme="minorHAnsi" w:hAnsiTheme="minorHAnsi" w:cstheme="minorHAnsi"/>
            <w:szCs w:val="22"/>
          </w:rPr>
          <w:t>CFR</w:t>
        </w:r>
      </w:smartTag>
      <w:r w:rsidRPr="00134BC5">
        <w:rPr>
          <w:rFonts w:asciiTheme="minorHAnsi" w:hAnsiTheme="minorHAnsi" w:cstheme="minorHAnsi"/>
          <w:szCs w:val="22"/>
        </w:rPr>
        <w:t xml:space="preserve"> 1320.5</w:t>
      </w:r>
      <w:bookmarkEnd w:id="21"/>
      <w:bookmarkEnd w:id="22"/>
      <w:bookmarkEnd w:id="23"/>
      <w:bookmarkEnd w:id="24"/>
    </w:p>
    <w:p w:rsidR="00B41EC6" w:rsidP="005F281E" w:rsidRDefault="006D5220" w14:paraId="1CBD2E05" w14:textId="77777777">
      <w:r>
        <w:t xml:space="preserve">There are no special circumstances related to the electronic </w:t>
      </w:r>
      <w:proofErr w:type="spellStart"/>
      <w:r>
        <w:t>CoC</w:t>
      </w:r>
      <w:proofErr w:type="spellEnd"/>
      <w:r>
        <w:t xml:space="preserve"> </w:t>
      </w:r>
      <w:r w:rsidR="001465A0">
        <w:t>request</w:t>
      </w:r>
      <w:r>
        <w:t>.</w:t>
      </w:r>
    </w:p>
    <w:p w:rsidR="00B41EC6" w:rsidP="005F281E" w:rsidRDefault="00B41EC6" w14:paraId="209B41A5" w14:textId="77777777"/>
    <w:p w:rsidR="0005035B" w:rsidP="005F281E" w:rsidRDefault="0005035B" w14:paraId="427DC63A" w14:textId="5D85F305">
      <w:pPr>
        <w:pStyle w:val="Heading2"/>
        <w:spacing w:after="160" w:line="259" w:lineRule="auto"/>
        <w:ind w:left="720" w:hanging="720"/>
        <w:rPr>
          <w:sz w:val="24"/>
          <w:szCs w:val="24"/>
        </w:rPr>
      </w:pPr>
      <w:bookmarkStart w:name="_Toc443881749" w:id="25"/>
      <w:bookmarkStart w:name="_Toc451592238" w:id="26"/>
      <w:bookmarkStart w:name="_Toc5610279" w:id="27"/>
      <w:bookmarkStart w:name="_Toc99178785" w:id="28"/>
      <w:r>
        <w:rPr>
          <w:sz w:val="24"/>
          <w:szCs w:val="24"/>
        </w:rPr>
        <w:lastRenderedPageBreak/>
        <w:t>A.8</w:t>
      </w:r>
      <w:r w:rsidR="009A28AB">
        <w:rPr>
          <w:sz w:val="24"/>
          <w:szCs w:val="24"/>
        </w:rPr>
        <w:t>.1</w:t>
      </w:r>
      <w:r w:rsidRPr="00D61E21">
        <w:rPr>
          <w:sz w:val="24"/>
          <w:szCs w:val="24"/>
        </w:rPr>
        <w:tab/>
        <w:t xml:space="preserve">Comments in Response to the Federal Register Notice </w:t>
      </w:r>
      <w:bookmarkEnd w:id="25"/>
      <w:bookmarkEnd w:id="26"/>
      <w:bookmarkEnd w:id="27"/>
      <w:bookmarkEnd w:id="28"/>
    </w:p>
    <w:p w:rsidRPr="00535D4E" w:rsidR="003F5AD9" w:rsidP="005F281E" w:rsidRDefault="00CA68A2" w14:paraId="3E255125" w14:textId="0A476403">
      <w:pPr>
        <w:rPr>
          <w:rFonts w:asciiTheme="minorHAnsi" w:hAnsiTheme="minorHAnsi" w:cstheme="minorHAnsi"/>
        </w:rPr>
      </w:pPr>
      <w:r w:rsidRPr="00535D4E">
        <w:rPr>
          <w:rFonts w:asciiTheme="minorHAnsi" w:hAnsiTheme="minorHAnsi" w:cstheme="minorHAnsi"/>
        </w:rPr>
        <w:t xml:space="preserve">This proposed information collection was previously published in the </w:t>
      </w:r>
      <w:r w:rsidRPr="00535D4E">
        <w:rPr>
          <w:rFonts w:asciiTheme="minorHAnsi" w:hAnsiTheme="minorHAnsi" w:cstheme="minorHAnsi"/>
          <w:u w:val="single"/>
        </w:rPr>
        <w:t>Federal Register</w:t>
      </w:r>
      <w:r w:rsidRPr="00535D4E">
        <w:rPr>
          <w:rFonts w:asciiTheme="minorHAnsi" w:hAnsiTheme="minorHAnsi" w:cstheme="minorHAnsi"/>
        </w:rPr>
        <w:t xml:space="preserve"> on August 14, 2019, page 40426-40427 (84 FR 40426) and allowed 60 days for public comment.  No public comments were received.</w:t>
      </w:r>
    </w:p>
    <w:p w:rsidRPr="00535D4E" w:rsidR="00892809" w:rsidP="005F281E" w:rsidRDefault="00892809" w14:paraId="521CC518" w14:textId="77777777">
      <w:pPr>
        <w:rPr>
          <w:rFonts w:asciiTheme="minorHAnsi" w:hAnsiTheme="minorHAnsi" w:cstheme="minorHAnsi"/>
          <w:b/>
        </w:rPr>
      </w:pPr>
    </w:p>
    <w:p w:rsidRPr="00535D4E" w:rsidR="004F7DC3" w:rsidP="005F281E" w:rsidRDefault="00097B16" w14:paraId="38A6DBCC" w14:textId="5FB2C326">
      <w:pPr>
        <w:rPr>
          <w:rFonts w:asciiTheme="minorHAnsi" w:hAnsiTheme="minorHAnsi" w:cstheme="minorHAnsi"/>
          <w:b/>
        </w:rPr>
      </w:pPr>
      <w:r w:rsidRPr="00535D4E">
        <w:rPr>
          <w:rFonts w:asciiTheme="minorHAnsi" w:hAnsiTheme="minorHAnsi" w:cstheme="minorHAnsi"/>
          <w:b/>
        </w:rPr>
        <w:t>A.</w:t>
      </w:r>
      <w:r w:rsidRPr="00535D4E" w:rsidR="00A567D6">
        <w:rPr>
          <w:rFonts w:asciiTheme="minorHAnsi" w:hAnsiTheme="minorHAnsi" w:cstheme="minorHAnsi"/>
          <w:b/>
        </w:rPr>
        <w:t>8.2</w:t>
      </w:r>
      <w:r w:rsidRPr="00535D4E" w:rsidR="004F7DC3">
        <w:rPr>
          <w:rFonts w:asciiTheme="minorHAnsi" w:hAnsiTheme="minorHAnsi" w:cstheme="minorHAnsi"/>
          <w:b/>
        </w:rPr>
        <w:t xml:space="preserve"> Efforts to Consult Outside Agency</w:t>
      </w:r>
    </w:p>
    <w:p w:rsidRPr="00535D4E" w:rsidR="001D7747" w:rsidP="005F281E" w:rsidRDefault="00672A3B" w14:paraId="744AF567" w14:textId="77777777">
      <w:pPr>
        <w:rPr>
          <w:rFonts w:asciiTheme="minorHAnsi" w:hAnsiTheme="minorHAnsi" w:cstheme="minorHAnsi"/>
        </w:rPr>
      </w:pPr>
      <w:r w:rsidRPr="00535D4E">
        <w:rPr>
          <w:rFonts w:asciiTheme="minorHAnsi" w:hAnsiTheme="minorHAnsi" w:cstheme="minorHAnsi"/>
        </w:rPr>
        <w:t>NIH ma</w:t>
      </w:r>
      <w:r w:rsidRPr="00535D4E" w:rsidR="00A852A5">
        <w:rPr>
          <w:rFonts w:asciiTheme="minorHAnsi" w:hAnsiTheme="minorHAnsi" w:cstheme="minorHAnsi"/>
        </w:rPr>
        <w:t xml:space="preserve">intains contact with other DHHS agencies </w:t>
      </w:r>
      <w:r w:rsidRPr="00535D4E" w:rsidR="00836C26">
        <w:rPr>
          <w:rFonts w:asciiTheme="minorHAnsi" w:hAnsiTheme="minorHAnsi" w:cstheme="minorHAnsi"/>
        </w:rPr>
        <w:t xml:space="preserve">(see Attachment 2) </w:t>
      </w:r>
      <w:r w:rsidRPr="00535D4E" w:rsidR="00A852A5">
        <w:rPr>
          <w:rFonts w:asciiTheme="minorHAnsi" w:hAnsiTheme="minorHAnsi" w:cstheme="minorHAnsi"/>
        </w:rPr>
        <w:t xml:space="preserve">which issue </w:t>
      </w:r>
      <w:proofErr w:type="spellStart"/>
      <w:r w:rsidRPr="00535D4E" w:rsidR="00A852A5">
        <w:rPr>
          <w:rFonts w:asciiTheme="minorHAnsi" w:hAnsiTheme="minorHAnsi" w:cstheme="minorHAnsi"/>
        </w:rPr>
        <w:t>CoCs</w:t>
      </w:r>
      <w:proofErr w:type="spellEnd"/>
      <w:r w:rsidRPr="00535D4E" w:rsidR="00A852A5">
        <w:rPr>
          <w:rFonts w:asciiTheme="minorHAnsi" w:hAnsiTheme="minorHAnsi" w:cstheme="minorHAnsi"/>
        </w:rPr>
        <w:t xml:space="preserve">.  Centers for Disease Control and Prevention (CDC), Substance Abuse and Mental Health Services Administration (SAMHSA), Health Resources and Services Administration (HRSA), Indian Health Service (IHS), Agency for Healthcare Research &amp; Quality (AHRQ), and Food and Drug Administration (FDA) issue their own Certificates of Confidentiality.  Department of Justice also issues its own Certificates of Confidentiality.  NIH issues </w:t>
      </w:r>
      <w:proofErr w:type="spellStart"/>
      <w:r w:rsidRPr="00535D4E" w:rsidR="00A852A5">
        <w:rPr>
          <w:rFonts w:asciiTheme="minorHAnsi" w:hAnsiTheme="minorHAnsi" w:cstheme="minorHAnsi"/>
        </w:rPr>
        <w:t>CoCs</w:t>
      </w:r>
      <w:proofErr w:type="spellEnd"/>
      <w:r w:rsidRPr="00535D4E" w:rsidR="00A852A5">
        <w:rPr>
          <w:rFonts w:asciiTheme="minorHAnsi" w:hAnsiTheme="minorHAnsi" w:cstheme="minorHAnsi"/>
        </w:rPr>
        <w:t xml:space="preserve"> for other DHHS and non-DHHS agencies.</w:t>
      </w:r>
      <w:r w:rsidRPr="00535D4E">
        <w:rPr>
          <w:rFonts w:asciiTheme="minorHAnsi" w:hAnsiTheme="minorHAnsi" w:cstheme="minorHAnsi"/>
        </w:rPr>
        <w:t xml:space="preserve"> </w:t>
      </w:r>
    </w:p>
    <w:p w:rsidRPr="00134BC5" w:rsidR="0005035B" w:rsidP="005F281E" w:rsidRDefault="0005035B" w14:paraId="75EBCB6A" w14:textId="77777777">
      <w:pPr>
        <w:pStyle w:val="Heading2"/>
        <w:spacing w:after="160" w:line="259" w:lineRule="auto"/>
        <w:ind w:left="720" w:hanging="720"/>
        <w:rPr>
          <w:rFonts w:ascii="Calibri" w:hAnsi="Calibri" w:cs="Calibri"/>
          <w:szCs w:val="22"/>
        </w:rPr>
      </w:pPr>
      <w:bookmarkStart w:name="_Toc443881750" w:id="29"/>
      <w:bookmarkStart w:name="_Toc451592239" w:id="30"/>
      <w:bookmarkStart w:name="_Toc5610280" w:id="31"/>
      <w:bookmarkStart w:name="_Toc99178786" w:id="32"/>
      <w:r w:rsidRPr="00134BC5">
        <w:rPr>
          <w:rFonts w:ascii="Calibri" w:hAnsi="Calibri" w:cs="Calibri"/>
          <w:szCs w:val="22"/>
        </w:rPr>
        <w:t>A.9</w:t>
      </w:r>
      <w:r w:rsidRPr="00134BC5">
        <w:rPr>
          <w:rFonts w:ascii="Calibri" w:hAnsi="Calibri" w:cs="Calibri"/>
          <w:szCs w:val="22"/>
        </w:rPr>
        <w:tab/>
        <w:t>Explanation of Any Payment of Gift to Respondents</w:t>
      </w:r>
      <w:bookmarkEnd w:id="29"/>
      <w:bookmarkEnd w:id="30"/>
      <w:bookmarkEnd w:id="31"/>
      <w:bookmarkEnd w:id="32"/>
    </w:p>
    <w:p w:rsidRPr="00B3199B" w:rsidR="00B3199B" w:rsidP="005F281E" w:rsidRDefault="00B3199B" w14:paraId="023D5E66" w14:textId="77777777">
      <w:pPr>
        <w:pStyle w:val="P1-StandPara"/>
        <w:spacing w:line="259" w:lineRule="auto"/>
        <w:ind w:firstLine="0"/>
        <w:rPr>
          <w:rFonts w:eastAsiaTheme="minorHAnsi"/>
          <w:sz w:val="24"/>
          <w:szCs w:val="24"/>
        </w:rPr>
      </w:pPr>
      <w:bookmarkStart w:name="_Toc443881751" w:id="33"/>
      <w:bookmarkStart w:name="_Toc451592240" w:id="34"/>
      <w:bookmarkStart w:name="_Toc5610281" w:id="35"/>
      <w:bookmarkStart w:name="_Toc99178787" w:id="36"/>
      <w:r w:rsidRPr="00B3199B">
        <w:rPr>
          <w:rFonts w:eastAsiaTheme="minorHAnsi"/>
          <w:sz w:val="24"/>
          <w:szCs w:val="24"/>
        </w:rPr>
        <w:t xml:space="preserve">No payment or gifts are provided to respondents. </w:t>
      </w:r>
    </w:p>
    <w:p w:rsidRPr="00134BC5" w:rsidR="0005035B" w:rsidP="005F281E" w:rsidRDefault="0005035B" w14:paraId="669C7E90" w14:textId="77777777">
      <w:pPr>
        <w:pStyle w:val="Heading2"/>
        <w:spacing w:after="160" w:line="259" w:lineRule="auto"/>
        <w:ind w:left="720" w:hanging="720"/>
        <w:rPr>
          <w:rFonts w:asciiTheme="minorHAnsi" w:hAnsiTheme="minorHAnsi" w:cstheme="minorHAnsi"/>
          <w:szCs w:val="22"/>
        </w:rPr>
      </w:pPr>
      <w:r w:rsidRPr="00134BC5">
        <w:rPr>
          <w:rFonts w:asciiTheme="minorHAnsi" w:hAnsiTheme="minorHAnsi" w:cstheme="minorHAnsi"/>
          <w:szCs w:val="22"/>
        </w:rPr>
        <w:t>A.10</w:t>
      </w:r>
      <w:r w:rsidRPr="00134BC5">
        <w:rPr>
          <w:rFonts w:asciiTheme="minorHAnsi" w:hAnsiTheme="minorHAnsi" w:cstheme="minorHAnsi"/>
          <w:szCs w:val="22"/>
        </w:rPr>
        <w:tab/>
        <w:t>Assurance of Confidentiality Provided to Respondents</w:t>
      </w:r>
      <w:bookmarkEnd w:id="33"/>
      <w:bookmarkEnd w:id="34"/>
      <w:bookmarkEnd w:id="35"/>
      <w:bookmarkEnd w:id="36"/>
    </w:p>
    <w:p w:rsidRPr="005F281E" w:rsidR="0005035B" w:rsidP="005F281E" w:rsidRDefault="00844E1B" w14:paraId="1CB04F0E" w14:textId="396BC827">
      <w:pPr>
        <w:rPr>
          <w:rFonts w:ascii="Calibri" w:hAnsi="Calibri" w:cs="Calibri"/>
          <w:sz w:val="22"/>
          <w:szCs w:val="22"/>
        </w:rPr>
      </w:pPr>
      <w:r w:rsidRPr="005F281E">
        <w:rPr>
          <w:rFonts w:ascii="Calibri" w:hAnsi="Calibri" w:cs="Calibri"/>
          <w:sz w:val="22"/>
          <w:szCs w:val="22"/>
        </w:rPr>
        <w:t xml:space="preserve">NIH protects the privacy of </w:t>
      </w:r>
      <w:proofErr w:type="spellStart"/>
      <w:r w:rsidRPr="005F281E">
        <w:rPr>
          <w:rFonts w:ascii="Calibri" w:hAnsi="Calibri" w:cs="Calibri"/>
          <w:sz w:val="22"/>
          <w:szCs w:val="22"/>
        </w:rPr>
        <w:t>CoC</w:t>
      </w:r>
      <w:proofErr w:type="spellEnd"/>
      <w:r w:rsidRPr="005F281E">
        <w:rPr>
          <w:rFonts w:ascii="Calibri" w:hAnsi="Calibri" w:cs="Calibri"/>
          <w:sz w:val="22"/>
          <w:szCs w:val="22"/>
        </w:rPr>
        <w:t xml:space="preserve"> requestors </w:t>
      </w:r>
      <w:r w:rsidRPr="005F281E" w:rsidR="00AB10B2">
        <w:rPr>
          <w:rFonts w:ascii="Calibri" w:hAnsi="Calibri" w:cs="Calibri"/>
          <w:sz w:val="22"/>
          <w:szCs w:val="22"/>
        </w:rPr>
        <w:t>to the extent allowable by law</w:t>
      </w:r>
      <w:r w:rsidRPr="005F281E" w:rsidR="003A316F">
        <w:rPr>
          <w:rFonts w:ascii="Calibri" w:hAnsi="Calibri" w:cs="Calibri"/>
          <w:sz w:val="22"/>
          <w:szCs w:val="22"/>
        </w:rPr>
        <w:t>.</w:t>
      </w:r>
      <w:r w:rsidRPr="005F281E" w:rsidR="000B76B4">
        <w:rPr>
          <w:rFonts w:ascii="Calibri" w:hAnsi="Calibri" w:cs="Calibri"/>
          <w:sz w:val="22"/>
          <w:szCs w:val="22"/>
        </w:rPr>
        <w:t xml:space="preserve"> </w:t>
      </w:r>
      <w:r w:rsidRPr="005F281E" w:rsidR="004276E1">
        <w:rPr>
          <w:rFonts w:ascii="Calibri" w:hAnsi="Calibri" w:cs="Calibri"/>
          <w:sz w:val="22"/>
          <w:szCs w:val="22"/>
        </w:rPr>
        <w:t>T</w:t>
      </w:r>
      <w:r w:rsidRPr="005F281E" w:rsidR="00B47B3E">
        <w:rPr>
          <w:rFonts w:ascii="Calibri" w:hAnsi="Calibri" w:cs="Calibri"/>
          <w:sz w:val="22"/>
          <w:szCs w:val="22"/>
        </w:rPr>
        <w:t xml:space="preserve">he information collected in the NIH </w:t>
      </w:r>
      <w:proofErr w:type="spellStart"/>
      <w:r w:rsidRPr="005F281E" w:rsidR="00B47B3E">
        <w:rPr>
          <w:rFonts w:ascii="Calibri" w:hAnsi="Calibri" w:cs="Calibri"/>
          <w:sz w:val="22"/>
          <w:szCs w:val="22"/>
        </w:rPr>
        <w:t>CoC</w:t>
      </w:r>
      <w:proofErr w:type="spellEnd"/>
      <w:r w:rsidRPr="005F281E" w:rsidR="00B47B3E">
        <w:rPr>
          <w:rFonts w:ascii="Calibri" w:hAnsi="Calibri" w:cs="Calibri"/>
          <w:sz w:val="22"/>
          <w:szCs w:val="22"/>
        </w:rPr>
        <w:t xml:space="preserve"> electronic application </w:t>
      </w:r>
      <w:r w:rsidRPr="005F281E" w:rsidR="00A51456">
        <w:rPr>
          <w:rFonts w:ascii="Calibri" w:hAnsi="Calibri" w:cs="Calibri"/>
          <w:sz w:val="22"/>
          <w:szCs w:val="22"/>
        </w:rPr>
        <w:t>is</w:t>
      </w:r>
      <w:r w:rsidRPr="005F281E" w:rsidR="00B47B3E">
        <w:rPr>
          <w:rFonts w:ascii="Calibri" w:hAnsi="Calibri" w:cs="Calibri"/>
          <w:sz w:val="22"/>
          <w:szCs w:val="22"/>
        </w:rPr>
        <w:t xml:space="preserve"> maintained on </w:t>
      </w:r>
      <w:r w:rsidRPr="005F281E" w:rsidR="00F73FCF">
        <w:rPr>
          <w:rFonts w:ascii="Calibri" w:hAnsi="Calibri" w:cs="Calibri"/>
          <w:sz w:val="22"/>
          <w:szCs w:val="22"/>
        </w:rPr>
        <w:t xml:space="preserve">a </w:t>
      </w:r>
      <w:r w:rsidRPr="005F281E" w:rsidR="00B47B3E">
        <w:rPr>
          <w:rFonts w:ascii="Calibri" w:hAnsi="Calibri" w:cs="Calibri"/>
          <w:sz w:val="22"/>
          <w:szCs w:val="22"/>
        </w:rPr>
        <w:t>secure NIH sever</w:t>
      </w:r>
      <w:r w:rsidRPr="005F281E" w:rsidR="00984025">
        <w:rPr>
          <w:rFonts w:ascii="Calibri" w:hAnsi="Calibri" w:cs="Calibri"/>
          <w:sz w:val="22"/>
          <w:szCs w:val="22"/>
        </w:rPr>
        <w:t xml:space="preserve"> and require</w:t>
      </w:r>
      <w:r w:rsidRPr="005F281E" w:rsidR="00A51456">
        <w:rPr>
          <w:rFonts w:ascii="Calibri" w:hAnsi="Calibri" w:cs="Calibri"/>
          <w:sz w:val="22"/>
          <w:szCs w:val="22"/>
        </w:rPr>
        <w:t>s the</w:t>
      </w:r>
      <w:r w:rsidRPr="005F281E" w:rsidR="00984025">
        <w:rPr>
          <w:rFonts w:ascii="Calibri" w:hAnsi="Calibri" w:cs="Calibri"/>
          <w:sz w:val="22"/>
          <w:szCs w:val="22"/>
        </w:rPr>
        <w:t xml:space="preserve"> use of NIH login for access</w:t>
      </w:r>
      <w:r w:rsidRPr="005F281E" w:rsidR="00B47B3E">
        <w:rPr>
          <w:rFonts w:ascii="Calibri" w:hAnsi="Calibri" w:cs="Calibri"/>
          <w:sz w:val="22"/>
          <w:szCs w:val="22"/>
        </w:rPr>
        <w:t xml:space="preserve">.  </w:t>
      </w:r>
      <w:r w:rsidRPr="005F281E" w:rsidR="00F73FCF">
        <w:rPr>
          <w:rFonts w:ascii="Calibri" w:hAnsi="Calibri" w:cs="Calibri"/>
          <w:sz w:val="22"/>
          <w:szCs w:val="22"/>
        </w:rPr>
        <w:t xml:space="preserve">The information </w:t>
      </w:r>
      <w:r w:rsidRPr="005F281E" w:rsidR="00A51456">
        <w:rPr>
          <w:rFonts w:ascii="Calibri" w:hAnsi="Calibri" w:cs="Calibri"/>
          <w:sz w:val="22"/>
          <w:szCs w:val="22"/>
        </w:rPr>
        <w:t>is</w:t>
      </w:r>
      <w:r w:rsidRPr="005F281E" w:rsidR="00F73FCF">
        <w:rPr>
          <w:rFonts w:ascii="Calibri" w:hAnsi="Calibri" w:cs="Calibri"/>
          <w:sz w:val="22"/>
          <w:szCs w:val="22"/>
        </w:rPr>
        <w:t xml:space="preserve"> only used internally and </w:t>
      </w:r>
      <w:r w:rsidRPr="005F281E" w:rsidR="00A51456">
        <w:rPr>
          <w:rFonts w:ascii="Calibri" w:hAnsi="Calibri" w:cs="Calibri"/>
          <w:sz w:val="22"/>
          <w:szCs w:val="22"/>
        </w:rPr>
        <w:t xml:space="preserve">is </w:t>
      </w:r>
      <w:r w:rsidRPr="005F281E" w:rsidR="00F73FCF">
        <w:rPr>
          <w:rFonts w:ascii="Calibri" w:hAnsi="Calibri" w:cs="Calibri"/>
          <w:sz w:val="22"/>
          <w:szCs w:val="22"/>
        </w:rPr>
        <w:t>controlled via role</w:t>
      </w:r>
      <w:r w:rsidRPr="005F281E" w:rsidR="008754F5">
        <w:rPr>
          <w:rFonts w:ascii="Calibri" w:hAnsi="Calibri" w:cs="Calibri"/>
          <w:sz w:val="22"/>
          <w:szCs w:val="22"/>
        </w:rPr>
        <w:t>-</w:t>
      </w:r>
      <w:r w:rsidRPr="005F281E" w:rsidR="00F73FCF">
        <w:rPr>
          <w:rFonts w:ascii="Calibri" w:hAnsi="Calibri" w:cs="Calibri"/>
          <w:sz w:val="22"/>
          <w:szCs w:val="22"/>
        </w:rPr>
        <w:t>based access controls (i.e., o</w:t>
      </w:r>
      <w:r w:rsidRPr="005F281E" w:rsidR="00B47B3E">
        <w:rPr>
          <w:rFonts w:ascii="Calibri" w:hAnsi="Calibri" w:cs="Calibri"/>
          <w:sz w:val="22"/>
          <w:szCs w:val="22"/>
        </w:rPr>
        <w:t xml:space="preserve">nly </w:t>
      </w:r>
      <w:r w:rsidRPr="005F281E" w:rsidR="00984025">
        <w:rPr>
          <w:rFonts w:ascii="Calibri" w:hAnsi="Calibri" w:cs="Calibri"/>
          <w:sz w:val="22"/>
          <w:szCs w:val="22"/>
        </w:rPr>
        <w:t>OER</w:t>
      </w:r>
      <w:r w:rsidRPr="005F281E" w:rsidR="00A72127">
        <w:rPr>
          <w:rFonts w:ascii="Calibri" w:hAnsi="Calibri" w:cs="Calibri"/>
          <w:sz w:val="22"/>
          <w:szCs w:val="22"/>
        </w:rPr>
        <w:t xml:space="preserve"> </w:t>
      </w:r>
      <w:r w:rsidRPr="005F281E" w:rsidR="00984025">
        <w:rPr>
          <w:rFonts w:ascii="Calibri" w:hAnsi="Calibri" w:cs="Calibri"/>
          <w:sz w:val="22"/>
          <w:szCs w:val="22"/>
        </w:rPr>
        <w:t xml:space="preserve">staff involved </w:t>
      </w:r>
      <w:r w:rsidRPr="005F281E" w:rsidR="00F73FCF">
        <w:rPr>
          <w:rFonts w:ascii="Calibri" w:hAnsi="Calibri" w:cs="Calibri"/>
          <w:sz w:val="22"/>
          <w:szCs w:val="22"/>
        </w:rPr>
        <w:t xml:space="preserve">in </w:t>
      </w:r>
      <w:proofErr w:type="spellStart"/>
      <w:r w:rsidRPr="005F281E" w:rsidR="00F73FCF">
        <w:rPr>
          <w:rFonts w:ascii="Calibri" w:hAnsi="Calibri" w:cs="Calibri"/>
          <w:sz w:val="22"/>
          <w:szCs w:val="22"/>
        </w:rPr>
        <w:t>CoC</w:t>
      </w:r>
      <w:proofErr w:type="spellEnd"/>
      <w:r w:rsidRPr="005F281E" w:rsidR="00F73FCF">
        <w:rPr>
          <w:rFonts w:ascii="Calibri" w:hAnsi="Calibri" w:cs="Calibri"/>
          <w:sz w:val="22"/>
          <w:szCs w:val="22"/>
        </w:rPr>
        <w:t xml:space="preserve"> administration </w:t>
      </w:r>
      <w:r w:rsidRPr="005F281E" w:rsidR="00A852A5">
        <w:rPr>
          <w:rFonts w:ascii="Calibri" w:hAnsi="Calibri" w:cs="Calibri"/>
          <w:sz w:val="22"/>
          <w:szCs w:val="22"/>
        </w:rPr>
        <w:t xml:space="preserve">and NIH IT staff </w:t>
      </w:r>
      <w:r w:rsidRPr="005F281E" w:rsidR="000129FA">
        <w:rPr>
          <w:rFonts w:ascii="Calibri" w:hAnsi="Calibri" w:cs="Calibri"/>
          <w:sz w:val="22"/>
          <w:szCs w:val="22"/>
        </w:rPr>
        <w:t xml:space="preserve">have </w:t>
      </w:r>
      <w:r w:rsidRPr="005F281E" w:rsidR="00F73FCF">
        <w:rPr>
          <w:rFonts w:ascii="Calibri" w:hAnsi="Calibri" w:cs="Calibri"/>
          <w:sz w:val="22"/>
          <w:szCs w:val="22"/>
        </w:rPr>
        <w:t xml:space="preserve">permission to access </w:t>
      </w:r>
      <w:r w:rsidRPr="005F281E" w:rsidR="00984025">
        <w:rPr>
          <w:rFonts w:ascii="Calibri" w:hAnsi="Calibri" w:cs="Calibri"/>
          <w:sz w:val="22"/>
          <w:szCs w:val="22"/>
        </w:rPr>
        <w:t xml:space="preserve">the </w:t>
      </w:r>
      <w:proofErr w:type="spellStart"/>
      <w:r w:rsidRPr="005F281E" w:rsidR="001465A0">
        <w:rPr>
          <w:rFonts w:ascii="Calibri" w:hAnsi="Calibri" w:cs="Calibri"/>
          <w:sz w:val="22"/>
          <w:szCs w:val="22"/>
        </w:rPr>
        <w:t>CoC</w:t>
      </w:r>
      <w:proofErr w:type="spellEnd"/>
      <w:r w:rsidRPr="005F281E" w:rsidR="001465A0">
        <w:rPr>
          <w:rFonts w:ascii="Calibri" w:hAnsi="Calibri" w:cs="Calibri"/>
          <w:sz w:val="22"/>
          <w:szCs w:val="22"/>
        </w:rPr>
        <w:t xml:space="preserve"> request</w:t>
      </w:r>
      <w:r w:rsidRPr="005F281E" w:rsidR="00984025">
        <w:rPr>
          <w:rFonts w:ascii="Calibri" w:hAnsi="Calibri" w:cs="Calibri"/>
          <w:sz w:val="22"/>
          <w:szCs w:val="22"/>
        </w:rPr>
        <w:t xml:space="preserve"> information</w:t>
      </w:r>
      <w:r w:rsidRPr="005F281E" w:rsidR="00F73FCF">
        <w:rPr>
          <w:rFonts w:ascii="Calibri" w:hAnsi="Calibri" w:cs="Calibri"/>
          <w:sz w:val="22"/>
          <w:szCs w:val="22"/>
        </w:rPr>
        <w:t>)</w:t>
      </w:r>
      <w:r w:rsidRPr="005F281E" w:rsidR="00984025">
        <w:rPr>
          <w:rFonts w:ascii="Calibri" w:hAnsi="Calibri" w:cs="Calibri"/>
          <w:sz w:val="22"/>
          <w:szCs w:val="22"/>
        </w:rPr>
        <w:t xml:space="preserve">.  The same NIH security standards </w:t>
      </w:r>
      <w:r w:rsidRPr="005F281E" w:rsidR="00A51456">
        <w:rPr>
          <w:rFonts w:ascii="Calibri" w:hAnsi="Calibri" w:cs="Calibri"/>
          <w:sz w:val="22"/>
          <w:szCs w:val="22"/>
        </w:rPr>
        <w:t xml:space="preserve">are </w:t>
      </w:r>
      <w:r w:rsidRPr="005F281E" w:rsidR="00984025">
        <w:rPr>
          <w:rFonts w:ascii="Calibri" w:hAnsi="Calibri" w:cs="Calibri"/>
          <w:sz w:val="22"/>
          <w:szCs w:val="22"/>
        </w:rPr>
        <w:t xml:space="preserve">applied to the </w:t>
      </w:r>
      <w:proofErr w:type="spellStart"/>
      <w:r w:rsidRPr="005F281E" w:rsidR="00984025">
        <w:rPr>
          <w:rFonts w:ascii="Calibri" w:hAnsi="Calibri" w:cs="Calibri"/>
          <w:sz w:val="22"/>
          <w:szCs w:val="22"/>
        </w:rPr>
        <w:t>CoC</w:t>
      </w:r>
      <w:proofErr w:type="spellEnd"/>
      <w:r w:rsidRPr="005F281E" w:rsidR="00984025">
        <w:rPr>
          <w:rFonts w:ascii="Calibri" w:hAnsi="Calibri" w:cs="Calibri"/>
          <w:sz w:val="22"/>
          <w:szCs w:val="22"/>
        </w:rPr>
        <w:t xml:space="preserve"> </w:t>
      </w:r>
      <w:r w:rsidRPr="005F281E" w:rsidR="001465A0">
        <w:rPr>
          <w:rFonts w:ascii="Calibri" w:hAnsi="Calibri" w:cs="Calibri"/>
          <w:sz w:val="22"/>
          <w:szCs w:val="22"/>
        </w:rPr>
        <w:t>request</w:t>
      </w:r>
      <w:r w:rsidRPr="005F281E" w:rsidR="00984025">
        <w:rPr>
          <w:rFonts w:ascii="Calibri" w:hAnsi="Calibri" w:cs="Calibri"/>
          <w:sz w:val="22"/>
          <w:szCs w:val="22"/>
        </w:rPr>
        <w:t xml:space="preserve"> information as to other grant information that NIH maintains.</w:t>
      </w:r>
      <w:r w:rsidRPr="005F281E" w:rsidR="00A717B4">
        <w:rPr>
          <w:rFonts w:ascii="Calibri" w:hAnsi="Calibri" w:cs="Calibri"/>
          <w:sz w:val="22"/>
          <w:szCs w:val="22"/>
        </w:rPr>
        <w:t xml:space="preserve">  </w:t>
      </w:r>
    </w:p>
    <w:p w:rsidRPr="00134BC5" w:rsidR="0005035B" w:rsidP="005F281E" w:rsidRDefault="0005035B" w14:paraId="4385C93E" w14:textId="77777777">
      <w:pPr>
        <w:pStyle w:val="Heading2"/>
        <w:spacing w:after="160" w:line="259" w:lineRule="auto"/>
        <w:ind w:left="0" w:firstLine="0"/>
        <w:rPr>
          <w:rFonts w:asciiTheme="minorHAnsi" w:hAnsiTheme="minorHAnsi" w:cstheme="minorHAnsi"/>
          <w:szCs w:val="22"/>
        </w:rPr>
      </w:pPr>
      <w:bookmarkStart w:name="_Toc443881752" w:id="37"/>
      <w:bookmarkStart w:name="_Toc451592241" w:id="38"/>
      <w:bookmarkStart w:name="_Toc5610282" w:id="39"/>
      <w:bookmarkStart w:name="_Toc99178788" w:id="40"/>
      <w:r w:rsidRPr="00134BC5">
        <w:rPr>
          <w:rFonts w:asciiTheme="minorHAnsi" w:hAnsiTheme="minorHAnsi" w:cstheme="minorHAnsi"/>
          <w:szCs w:val="22"/>
        </w:rPr>
        <w:t>A.11</w:t>
      </w:r>
      <w:r w:rsidRPr="00134BC5">
        <w:rPr>
          <w:rFonts w:asciiTheme="minorHAnsi" w:hAnsiTheme="minorHAnsi" w:cstheme="minorHAnsi"/>
          <w:szCs w:val="22"/>
        </w:rPr>
        <w:tab/>
        <w:t>Justification for Sensitive Questions</w:t>
      </w:r>
      <w:bookmarkEnd w:id="37"/>
      <w:bookmarkEnd w:id="38"/>
      <w:bookmarkEnd w:id="39"/>
      <w:bookmarkEnd w:id="40"/>
    </w:p>
    <w:p w:rsidRPr="005F281E" w:rsidR="00984025" w:rsidP="005F281E" w:rsidRDefault="00984025" w14:paraId="7E863127" w14:textId="77777777">
      <w:pPr>
        <w:rPr>
          <w:rFonts w:asciiTheme="minorHAnsi" w:hAnsiTheme="minorHAnsi" w:cstheme="minorHAnsi"/>
          <w:sz w:val="22"/>
          <w:szCs w:val="22"/>
        </w:rPr>
      </w:pPr>
      <w:r w:rsidRPr="005F281E">
        <w:rPr>
          <w:rFonts w:asciiTheme="minorHAnsi" w:hAnsiTheme="minorHAnsi" w:cstheme="minorHAnsi"/>
          <w:sz w:val="22"/>
          <w:szCs w:val="22"/>
        </w:rPr>
        <w:t xml:space="preserve">The </w:t>
      </w:r>
      <w:proofErr w:type="spellStart"/>
      <w:r w:rsidRPr="005F281E" w:rsidR="001465A0">
        <w:rPr>
          <w:rFonts w:asciiTheme="minorHAnsi" w:hAnsiTheme="minorHAnsi" w:cstheme="minorHAnsi"/>
          <w:sz w:val="22"/>
          <w:szCs w:val="22"/>
        </w:rPr>
        <w:t>CoC</w:t>
      </w:r>
      <w:proofErr w:type="spellEnd"/>
      <w:r w:rsidRPr="005F281E" w:rsidR="001465A0">
        <w:rPr>
          <w:rFonts w:asciiTheme="minorHAnsi" w:hAnsiTheme="minorHAnsi" w:cstheme="minorHAnsi"/>
          <w:sz w:val="22"/>
          <w:szCs w:val="22"/>
        </w:rPr>
        <w:t xml:space="preserve"> request</w:t>
      </w:r>
      <w:r w:rsidRPr="005F281E">
        <w:rPr>
          <w:rFonts w:asciiTheme="minorHAnsi" w:hAnsiTheme="minorHAnsi" w:cstheme="minorHAnsi"/>
          <w:sz w:val="22"/>
          <w:szCs w:val="22"/>
        </w:rPr>
        <w:t xml:space="preserve"> collects </w:t>
      </w:r>
      <w:r w:rsidRPr="005F281E" w:rsidR="003A316F">
        <w:rPr>
          <w:rFonts w:asciiTheme="minorHAnsi" w:hAnsiTheme="minorHAnsi" w:cstheme="minorHAnsi"/>
          <w:sz w:val="22"/>
          <w:szCs w:val="22"/>
        </w:rPr>
        <w:t xml:space="preserve">only </w:t>
      </w:r>
      <w:r w:rsidRPr="005F281E">
        <w:rPr>
          <w:rFonts w:asciiTheme="minorHAnsi" w:hAnsiTheme="minorHAnsi" w:cstheme="minorHAnsi"/>
          <w:sz w:val="22"/>
          <w:szCs w:val="22"/>
        </w:rPr>
        <w:t>information as required</w:t>
      </w:r>
      <w:r w:rsidRPr="005F281E" w:rsidR="00071EB2">
        <w:rPr>
          <w:rFonts w:asciiTheme="minorHAnsi" w:hAnsiTheme="minorHAnsi" w:cstheme="minorHAnsi"/>
          <w:sz w:val="22"/>
          <w:szCs w:val="22"/>
        </w:rPr>
        <w:t xml:space="preserve"> by the authorizing legislation</w:t>
      </w:r>
      <w:r w:rsidRPr="005F281E">
        <w:rPr>
          <w:rFonts w:asciiTheme="minorHAnsi" w:hAnsiTheme="minorHAnsi" w:cstheme="minorHAnsi"/>
          <w:sz w:val="22"/>
          <w:szCs w:val="22"/>
        </w:rPr>
        <w:t xml:space="preserve"> to help NIH determine whether the appl</w:t>
      </w:r>
      <w:r w:rsidRPr="005F281E" w:rsidR="003B34C4">
        <w:rPr>
          <w:rFonts w:asciiTheme="minorHAnsi" w:hAnsiTheme="minorHAnsi" w:cstheme="minorHAnsi"/>
          <w:sz w:val="22"/>
          <w:szCs w:val="22"/>
        </w:rPr>
        <w:t xml:space="preserve">icant is eligible for a </w:t>
      </w:r>
      <w:proofErr w:type="spellStart"/>
      <w:r w:rsidRPr="005F281E" w:rsidR="003B34C4">
        <w:rPr>
          <w:rFonts w:asciiTheme="minorHAnsi" w:hAnsiTheme="minorHAnsi" w:cstheme="minorHAnsi"/>
          <w:sz w:val="22"/>
          <w:szCs w:val="22"/>
        </w:rPr>
        <w:t>CoC</w:t>
      </w:r>
      <w:proofErr w:type="spellEnd"/>
      <w:r w:rsidRPr="005F281E" w:rsidR="003B34C4">
        <w:rPr>
          <w:rFonts w:asciiTheme="minorHAnsi" w:hAnsiTheme="minorHAnsi" w:cstheme="minorHAnsi"/>
          <w:sz w:val="22"/>
          <w:szCs w:val="22"/>
        </w:rPr>
        <w:t xml:space="preserve"> and</w:t>
      </w:r>
      <w:r w:rsidRPr="005F281E" w:rsidR="00071EB2">
        <w:rPr>
          <w:rFonts w:asciiTheme="minorHAnsi" w:hAnsiTheme="minorHAnsi" w:cstheme="minorHAnsi"/>
          <w:sz w:val="22"/>
          <w:szCs w:val="22"/>
        </w:rPr>
        <w:t xml:space="preserve"> for administrative purposes.  </w:t>
      </w:r>
      <w:r w:rsidRPr="005F281E" w:rsidR="0075622E">
        <w:rPr>
          <w:rFonts w:asciiTheme="minorHAnsi" w:hAnsiTheme="minorHAnsi" w:cstheme="minorHAnsi"/>
          <w:sz w:val="22"/>
          <w:szCs w:val="22"/>
        </w:rPr>
        <w:t>The information collected related to the P</w:t>
      </w:r>
      <w:r w:rsidRPr="005F281E" w:rsidR="00053407">
        <w:rPr>
          <w:rFonts w:asciiTheme="minorHAnsi" w:hAnsiTheme="minorHAnsi" w:cstheme="minorHAnsi"/>
          <w:sz w:val="22"/>
          <w:szCs w:val="22"/>
        </w:rPr>
        <w:t>rincip</w:t>
      </w:r>
      <w:r w:rsidRPr="005F281E" w:rsidR="00844E1B">
        <w:rPr>
          <w:rFonts w:asciiTheme="minorHAnsi" w:hAnsiTheme="minorHAnsi" w:cstheme="minorHAnsi"/>
          <w:sz w:val="22"/>
          <w:szCs w:val="22"/>
        </w:rPr>
        <w:t>al</w:t>
      </w:r>
      <w:r w:rsidRPr="005F281E" w:rsidR="00053407">
        <w:rPr>
          <w:rFonts w:asciiTheme="minorHAnsi" w:hAnsiTheme="minorHAnsi" w:cstheme="minorHAnsi"/>
          <w:sz w:val="22"/>
          <w:szCs w:val="22"/>
        </w:rPr>
        <w:t xml:space="preserve"> </w:t>
      </w:r>
      <w:r w:rsidRPr="005F281E" w:rsidR="0075622E">
        <w:rPr>
          <w:rFonts w:asciiTheme="minorHAnsi" w:hAnsiTheme="minorHAnsi" w:cstheme="minorHAnsi"/>
          <w:sz w:val="22"/>
          <w:szCs w:val="22"/>
        </w:rPr>
        <w:t>I</w:t>
      </w:r>
      <w:r w:rsidRPr="005F281E" w:rsidR="00053407">
        <w:rPr>
          <w:rFonts w:asciiTheme="minorHAnsi" w:hAnsiTheme="minorHAnsi" w:cstheme="minorHAnsi"/>
          <w:sz w:val="22"/>
          <w:szCs w:val="22"/>
        </w:rPr>
        <w:t>nvestigator</w:t>
      </w:r>
      <w:r w:rsidRPr="005F281E" w:rsidR="0075622E">
        <w:rPr>
          <w:rFonts w:asciiTheme="minorHAnsi" w:hAnsiTheme="minorHAnsi" w:cstheme="minorHAnsi"/>
          <w:sz w:val="22"/>
          <w:szCs w:val="22"/>
        </w:rPr>
        <w:t xml:space="preserve"> and requesting institution is information that would be available publicly; t</w:t>
      </w:r>
      <w:r w:rsidRPr="005F281E" w:rsidR="003A316F">
        <w:rPr>
          <w:rFonts w:asciiTheme="minorHAnsi" w:hAnsiTheme="minorHAnsi" w:cstheme="minorHAnsi"/>
          <w:sz w:val="22"/>
          <w:szCs w:val="22"/>
        </w:rPr>
        <w:t>here is no sensitive information collected.</w:t>
      </w:r>
    </w:p>
    <w:p w:rsidRPr="00134BC5" w:rsidR="007C16BD" w:rsidP="005F281E" w:rsidRDefault="007C16BD" w14:paraId="33B2B4AC" w14:textId="77777777">
      <w:pPr>
        <w:pStyle w:val="Heading2"/>
        <w:tabs>
          <w:tab w:val="clear" w:pos="1152"/>
          <w:tab w:val="left" w:pos="450"/>
        </w:tabs>
        <w:spacing w:after="160" w:line="259" w:lineRule="auto"/>
        <w:ind w:left="720" w:hanging="720"/>
        <w:jc w:val="left"/>
        <w:rPr>
          <w:rFonts w:asciiTheme="minorHAnsi" w:hAnsiTheme="minorHAnsi" w:cstheme="minorHAnsi"/>
          <w:szCs w:val="22"/>
        </w:rPr>
      </w:pPr>
      <w:r w:rsidRPr="00134BC5">
        <w:rPr>
          <w:rFonts w:asciiTheme="minorHAnsi" w:hAnsiTheme="minorHAnsi" w:cstheme="minorHAnsi"/>
          <w:szCs w:val="22"/>
        </w:rPr>
        <w:t>A.12</w:t>
      </w:r>
      <w:r w:rsidRPr="00134BC5" w:rsidR="00AA640E">
        <w:rPr>
          <w:rFonts w:asciiTheme="minorHAnsi" w:hAnsiTheme="minorHAnsi" w:cstheme="minorHAnsi"/>
          <w:szCs w:val="22"/>
        </w:rPr>
        <w:t>.1</w:t>
      </w:r>
      <w:r w:rsidRPr="00134BC5">
        <w:rPr>
          <w:rFonts w:asciiTheme="minorHAnsi" w:hAnsiTheme="minorHAnsi" w:cstheme="minorHAnsi"/>
          <w:szCs w:val="22"/>
        </w:rPr>
        <w:tab/>
        <w:t xml:space="preserve">Estimates of Hour Burden Including Annualized Hourly Costs </w:t>
      </w:r>
    </w:p>
    <w:p w:rsidRPr="005F281E" w:rsidR="008F7BDC" w:rsidP="005F281E" w:rsidRDefault="00A852A5" w14:paraId="69CA0751" w14:textId="42186FED">
      <w:pPr>
        <w:rPr>
          <w:rFonts w:asciiTheme="minorHAnsi" w:hAnsiTheme="minorHAnsi" w:cstheme="minorHAnsi"/>
          <w:sz w:val="22"/>
          <w:szCs w:val="22"/>
        </w:rPr>
      </w:pPr>
      <w:r w:rsidRPr="005F281E">
        <w:rPr>
          <w:rFonts w:asciiTheme="minorHAnsi" w:hAnsiTheme="minorHAnsi" w:cstheme="minorHAnsi"/>
          <w:sz w:val="22"/>
          <w:szCs w:val="22"/>
        </w:rPr>
        <w:t xml:space="preserve">NIH received 529 requests for </w:t>
      </w:r>
      <w:proofErr w:type="spellStart"/>
      <w:r w:rsidRPr="005F281E">
        <w:rPr>
          <w:rFonts w:asciiTheme="minorHAnsi" w:hAnsiTheme="minorHAnsi" w:cstheme="minorHAnsi"/>
          <w:sz w:val="22"/>
          <w:szCs w:val="22"/>
        </w:rPr>
        <w:t>CoCs</w:t>
      </w:r>
      <w:proofErr w:type="spellEnd"/>
      <w:r w:rsidRPr="005F281E">
        <w:rPr>
          <w:rFonts w:asciiTheme="minorHAnsi" w:hAnsiTheme="minorHAnsi" w:cstheme="minorHAnsi"/>
          <w:sz w:val="22"/>
          <w:szCs w:val="22"/>
        </w:rPr>
        <w:t xml:space="preserve"> between April 2017 and March 2018.  We estimate the number of COC requests will remain constant over the next 3 years.</w:t>
      </w:r>
      <w:r w:rsidRPr="005F281E" w:rsidR="00A717B4">
        <w:rPr>
          <w:rFonts w:asciiTheme="minorHAnsi" w:hAnsiTheme="minorHAnsi" w:cstheme="minorHAnsi"/>
          <w:sz w:val="22"/>
          <w:szCs w:val="22"/>
        </w:rPr>
        <w:t xml:space="preserve">  Based on </w:t>
      </w:r>
      <w:r w:rsidRPr="005F281E" w:rsidR="006E12BE">
        <w:rPr>
          <w:rFonts w:asciiTheme="minorHAnsi" w:hAnsiTheme="minorHAnsi" w:cstheme="minorHAnsi"/>
          <w:sz w:val="22"/>
          <w:szCs w:val="22"/>
        </w:rPr>
        <w:t xml:space="preserve">our </w:t>
      </w:r>
      <w:r w:rsidRPr="005F281E" w:rsidR="008754F5">
        <w:rPr>
          <w:rFonts w:asciiTheme="minorHAnsi" w:hAnsiTheme="minorHAnsi" w:cstheme="minorHAnsi"/>
          <w:sz w:val="22"/>
          <w:szCs w:val="22"/>
        </w:rPr>
        <w:t xml:space="preserve">prior </w:t>
      </w:r>
      <w:r w:rsidRPr="005F281E" w:rsidR="006E12BE">
        <w:rPr>
          <w:rFonts w:asciiTheme="minorHAnsi" w:hAnsiTheme="minorHAnsi" w:cstheme="minorHAnsi"/>
          <w:sz w:val="22"/>
          <w:szCs w:val="22"/>
        </w:rPr>
        <w:t xml:space="preserve">experience </w:t>
      </w:r>
      <w:r w:rsidRPr="005F281E" w:rsidR="008754F5">
        <w:rPr>
          <w:rFonts w:asciiTheme="minorHAnsi" w:hAnsiTheme="minorHAnsi" w:cstheme="minorHAnsi"/>
          <w:sz w:val="22"/>
          <w:szCs w:val="22"/>
        </w:rPr>
        <w:t>collecting</w:t>
      </w:r>
      <w:r w:rsidRPr="005F281E">
        <w:rPr>
          <w:rFonts w:asciiTheme="minorHAnsi" w:hAnsiTheme="minorHAnsi" w:cstheme="minorHAnsi"/>
          <w:sz w:val="22"/>
          <w:szCs w:val="22"/>
        </w:rPr>
        <w:t xml:space="preserve"> COC request data</w:t>
      </w:r>
      <w:r w:rsidRPr="005F281E" w:rsidR="008754F5">
        <w:rPr>
          <w:rFonts w:asciiTheme="minorHAnsi" w:hAnsiTheme="minorHAnsi" w:cstheme="minorHAnsi"/>
          <w:sz w:val="22"/>
          <w:szCs w:val="22"/>
        </w:rPr>
        <w:t xml:space="preserve"> and similar information in NIH systems</w:t>
      </w:r>
      <w:r w:rsidRPr="005F281E" w:rsidR="00A717B4">
        <w:rPr>
          <w:rFonts w:asciiTheme="minorHAnsi" w:hAnsiTheme="minorHAnsi" w:cstheme="minorHAnsi"/>
          <w:sz w:val="22"/>
          <w:szCs w:val="22"/>
        </w:rPr>
        <w:t>, we estimate that</w:t>
      </w:r>
      <w:r w:rsidRPr="005F281E" w:rsidR="0075622E">
        <w:rPr>
          <w:rFonts w:asciiTheme="minorHAnsi" w:hAnsiTheme="minorHAnsi" w:cstheme="minorHAnsi"/>
          <w:sz w:val="22"/>
          <w:szCs w:val="22"/>
        </w:rPr>
        <w:t xml:space="preserve"> each </w:t>
      </w:r>
      <w:r w:rsidRPr="005F281E" w:rsidR="001465A0">
        <w:rPr>
          <w:rFonts w:asciiTheme="minorHAnsi" w:hAnsiTheme="minorHAnsi" w:cstheme="minorHAnsi"/>
          <w:sz w:val="22"/>
          <w:szCs w:val="22"/>
        </w:rPr>
        <w:t>request</w:t>
      </w:r>
      <w:r w:rsidRPr="005F281E" w:rsidR="00CD5E4B">
        <w:rPr>
          <w:rFonts w:asciiTheme="minorHAnsi" w:hAnsiTheme="minorHAnsi" w:cstheme="minorHAnsi"/>
          <w:sz w:val="22"/>
          <w:szCs w:val="22"/>
        </w:rPr>
        <w:t xml:space="preserve"> t</w:t>
      </w:r>
      <w:r w:rsidRPr="005F281E" w:rsidR="0075622E">
        <w:rPr>
          <w:rFonts w:asciiTheme="minorHAnsi" w:hAnsiTheme="minorHAnsi" w:cstheme="minorHAnsi"/>
          <w:sz w:val="22"/>
          <w:szCs w:val="22"/>
        </w:rPr>
        <w:t>ake</w:t>
      </w:r>
      <w:r w:rsidRPr="005F281E" w:rsidR="006E12BE">
        <w:rPr>
          <w:rFonts w:asciiTheme="minorHAnsi" w:hAnsiTheme="minorHAnsi" w:cstheme="minorHAnsi"/>
          <w:sz w:val="22"/>
          <w:szCs w:val="22"/>
        </w:rPr>
        <w:t>s</w:t>
      </w:r>
      <w:r w:rsidRPr="005F281E" w:rsidR="0075622E">
        <w:rPr>
          <w:rFonts w:asciiTheme="minorHAnsi" w:hAnsiTheme="minorHAnsi" w:cstheme="minorHAnsi"/>
          <w:sz w:val="22"/>
          <w:szCs w:val="22"/>
        </w:rPr>
        <w:t xml:space="preserve"> </w:t>
      </w:r>
      <w:r w:rsidRPr="00B36383" w:rsidR="00620565">
        <w:rPr>
          <w:rFonts w:asciiTheme="minorHAnsi" w:hAnsiTheme="minorHAnsi" w:cstheme="minorHAnsi"/>
          <w:sz w:val="22"/>
          <w:szCs w:val="22"/>
          <w:highlight w:val="yellow"/>
        </w:rPr>
        <w:t>9</w:t>
      </w:r>
      <w:r w:rsidRPr="00B36383" w:rsidR="008F7B7E">
        <w:rPr>
          <w:rFonts w:asciiTheme="minorHAnsi" w:hAnsiTheme="minorHAnsi" w:cstheme="minorHAnsi"/>
          <w:sz w:val="22"/>
          <w:szCs w:val="22"/>
          <w:highlight w:val="yellow"/>
        </w:rPr>
        <w:t>0</w:t>
      </w:r>
      <w:r w:rsidRPr="00B36383" w:rsidR="009E3657">
        <w:rPr>
          <w:rFonts w:asciiTheme="minorHAnsi" w:hAnsiTheme="minorHAnsi" w:cstheme="minorHAnsi"/>
          <w:sz w:val="22"/>
          <w:szCs w:val="22"/>
          <w:highlight w:val="yellow"/>
        </w:rPr>
        <w:t xml:space="preserve"> </w:t>
      </w:r>
      <w:r w:rsidRPr="00B36383" w:rsidR="00CD5E4B">
        <w:rPr>
          <w:rFonts w:asciiTheme="minorHAnsi" w:hAnsiTheme="minorHAnsi" w:cstheme="minorHAnsi"/>
          <w:sz w:val="22"/>
          <w:szCs w:val="22"/>
          <w:highlight w:val="yellow"/>
        </w:rPr>
        <w:t>minutes</w:t>
      </w:r>
      <w:r w:rsidRPr="005F281E" w:rsidR="00CD5E4B">
        <w:rPr>
          <w:rFonts w:asciiTheme="minorHAnsi" w:hAnsiTheme="minorHAnsi" w:cstheme="minorHAnsi"/>
          <w:sz w:val="22"/>
          <w:szCs w:val="22"/>
        </w:rPr>
        <w:t xml:space="preserve"> to complete</w:t>
      </w:r>
      <w:r w:rsidRPr="005F281E" w:rsidR="0097134D">
        <w:rPr>
          <w:rFonts w:asciiTheme="minorHAnsi" w:hAnsiTheme="minorHAnsi" w:cstheme="minorHAnsi"/>
          <w:sz w:val="22"/>
          <w:szCs w:val="22"/>
        </w:rPr>
        <w:t>, including time needed to gather the necessary documents</w:t>
      </w:r>
      <w:r w:rsidRPr="005F281E" w:rsidR="008F7BDC">
        <w:rPr>
          <w:rFonts w:asciiTheme="minorHAnsi" w:hAnsiTheme="minorHAnsi" w:cstheme="minorHAnsi"/>
          <w:sz w:val="22"/>
          <w:szCs w:val="22"/>
        </w:rPr>
        <w:t>.</w:t>
      </w:r>
      <w:r w:rsidRPr="005F281E" w:rsidR="0075622E">
        <w:rPr>
          <w:rFonts w:asciiTheme="minorHAnsi" w:hAnsiTheme="minorHAnsi" w:cstheme="minorHAnsi"/>
          <w:sz w:val="22"/>
          <w:szCs w:val="22"/>
        </w:rPr>
        <w:t xml:space="preserve">  </w:t>
      </w:r>
      <w:r w:rsidRPr="005F281E" w:rsidR="00B94864">
        <w:rPr>
          <w:rFonts w:asciiTheme="minorHAnsi" w:hAnsiTheme="minorHAnsi" w:cstheme="minorHAnsi"/>
          <w:sz w:val="22"/>
          <w:szCs w:val="22"/>
        </w:rPr>
        <w:t xml:space="preserve">Based on </w:t>
      </w:r>
      <w:r w:rsidRPr="005F281E" w:rsidR="001465A0">
        <w:rPr>
          <w:rFonts w:asciiTheme="minorHAnsi" w:hAnsiTheme="minorHAnsi" w:cstheme="minorHAnsi"/>
          <w:sz w:val="22"/>
          <w:szCs w:val="22"/>
        </w:rPr>
        <w:t>requests</w:t>
      </w:r>
      <w:r w:rsidRPr="005F281E" w:rsidR="00B94864">
        <w:rPr>
          <w:rFonts w:asciiTheme="minorHAnsi" w:hAnsiTheme="minorHAnsi" w:cstheme="minorHAnsi"/>
          <w:sz w:val="22"/>
          <w:szCs w:val="22"/>
        </w:rPr>
        <w:t xml:space="preserve"> submitted between</w:t>
      </w:r>
      <w:r w:rsidRPr="005F281E" w:rsidR="009E3657">
        <w:rPr>
          <w:rFonts w:asciiTheme="minorHAnsi" w:hAnsiTheme="minorHAnsi" w:cstheme="minorHAnsi"/>
          <w:sz w:val="22"/>
          <w:szCs w:val="22"/>
        </w:rPr>
        <w:t xml:space="preserve"> </w:t>
      </w:r>
      <w:r w:rsidRPr="005F281E" w:rsidR="005576CB">
        <w:rPr>
          <w:rFonts w:asciiTheme="minorHAnsi" w:hAnsiTheme="minorHAnsi" w:cstheme="minorHAnsi"/>
          <w:sz w:val="22"/>
          <w:szCs w:val="22"/>
        </w:rPr>
        <w:t>April 1</w:t>
      </w:r>
      <w:r w:rsidRPr="005F281E" w:rsidR="009E3657">
        <w:rPr>
          <w:rFonts w:asciiTheme="minorHAnsi" w:hAnsiTheme="minorHAnsi" w:cstheme="minorHAnsi"/>
          <w:sz w:val="22"/>
          <w:szCs w:val="22"/>
        </w:rPr>
        <w:t xml:space="preserve">, </w:t>
      </w:r>
      <w:r w:rsidRPr="005F281E" w:rsidR="005576CB">
        <w:rPr>
          <w:rFonts w:asciiTheme="minorHAnsi" w:hAnsiTheme="minorHAnsi" w:cstheme="minorHAnsi"/>
          <w:sz w:val="22"/>
          <w:szCs w:val="22"/>
        </w:rPr>
        <w:t>2017 and March 31</w:t>
      </w:r>
      <w:r w:rsidRPr="005F281E" w:rsidR="009E3657">
        <w:rPr>
          <w:rFonts w:asciiTheme="minorHAnsi" w:hAnsiTheme="minorHAnsi" w:cstheme="minorHAnsi"/>
          <w:sz w:val="22"/>
          <w:szCs w:val="22"/>
        </w:rPr>
        <w:t>,</w:t>
      </w:r>
      <w:r w:rsidRPr="005F281E" w:rsidR="005576CB">
        <w:rPr>
          <w:rFonts w:asciiTheme="minorHAnsi" w:hAnsiTheme="minorHAnsi" w:cstheme="minorHAnsi"/>
          <w:sz w:val="22"/>
          <w:szCs w:val="22"/>
        </w:rPr>
        <w:t xml:space="preserve"> 2018</w:t>
      </w:r>
      <w:r w:rsidRPr="005F281E" w:rsidR="009E3657">
        <w:rPr>
          <w:rFonts w:asciiTheme="minorHAnsi" w:hAnsiTheme="minorHAnsi" w:cstheme="minorHAnsi"/>
          <w:sz w:val="22"/>
          <w:szCs w:val="22"/>
        </w:rPr>
        <w:t xml:space="preserve"> </w:t>
      </w:r>
      <w:r w:rsidRPr="005F281E" w:rsidR="00B94864">
        <w:rPr>
          <w:rFonts w:asciiTheme="minorHAnsi" w:hAnsiTheme="minorHAnsi" w:cstheme="minorHAnsi"/>
          <w:sz w:val="22"/>
          <w:szCs w:val="22"/>
        </w:rPr>
        <w:t>w</w:t>
      </w:r>
      <w:r w:rsidRPr="005F281E" w:rsidR="0097134D">
        <w:rPr>
          <w:rFonts w:asciiTheme="minorHAnsi" w:hAnsiTheme="minorHAnsi" w:cstheme="minorHAnsi"/>
          <w:sz w:val="22"/>
          <w:szCs w:val="22"/>
        </w:rPr>
        <w:t xml:space="preserve">e estimate that </w:t>
      </w:r>
      <w:r w:rsidRPr="005F281E" w:rsidR="005576CB">
        <w:rPr>
          <w:rFonts w:asciiTheme="minorHAnsi" w:hAnsiTheme="minorHAnsi" w:cstheme="minorHAnsi"/>
          <w:sz w:val="22"/>
          <w:szCs w:val="22"/>
        </w:rPr>
        <w:t>70</w:t>
      </w:r>
      <w:r w:rsidRPr="005F281E" w:rsidR="0097134D">
        <w:rPr>
          <w:rFonts w:asciiTheme="minorHAnsi" w:hAnsiTheme="minorHAnsi" w:cstheme="minorHAnsi"/>
          <w:sz w:val="22"/>
          <w:szCs w:val="22"/>
        </w:rPr>
        <w:t>%</w:t>
      </w:r>
      <w:r w:rsidRPr="005F281E" w:rsidR="008F7BDC">
        <w:rPr>
          <w:rFonts w:asciiTheme="minorHAnsi" w:hAnsiTheme="minorHAnsi" w:cstheme="minorHAnsi"/>
          <w:sz w:val="22"/>
          <w:szCs w:val="22"/>
        </w:rPr>
        <w:t xml:space="preserve"> </w:t>
      </w:r>
      <w:r w:rsidRPr="005F281E" w:rsidR="0075622E">
        <w:rPr>
          <w:rFonts w:asciiTheme="minorHAnsi" w:hAnsiTheme="minorHAnsi" w:cstheme="minorHAnsi"/>
          <w:sz w:val="22"/>
          <w:szCs w:val="22"/>
        </w:rPr>
        <w:t xml:space="preserve">of requests </w:t>
      </w:r>
      <w:r w:rsidRPr="005F281E" w:rsidR="008F7BDC">
        <w:rPr>
          <w:rFonts w:asciiTheme="minorHAnsi" w:hAnsiTheme="minorHAnsi" w:cstheme="minorHAnsi"/>
          <w:sz w:val="22"/>
          <w:szCs w:val="22"/>
        </w:rPr>
        <w:t>will be from private research ins</w:t>
      </w:r>
      <w:r w:rsidRPr="005F281E" w:rsidR="0097134D">
        <w:rPr>
          <w:rFonts w:asciiTheme="minorHAnsi" w:hAnsiTheme="minorHAnsi" w:cstheme="minorHAnsi"/>
          <w:sz w:val="22"/>
          <w:szCs w:val="22"/>
        </w:rPr>
        <w:t>titutions and organizations, 5%</w:t>
      </w:r>
      <w:r w:rsidRPr="005F281E" w:rsidR="008F7BDC">
        <w:rPr>
          <w:rFonts w:asciiTheme="minorHAnsi" w:hAnsiTheme="minorHAnsi" w:cstheme="minorHAnsi"/>
          <w:sz w:val="22"/>
          <w:szCs w:val="22"/>
        </w:rPr>
        <w:t xml:space="preserve"> will be from state/local research institutions/organ</w:t>
      </w:r>
      <w:r w:rsidRPr="005F281E" w:rsidR="0097134D">
        <w:rPr>
          <w:rFonts w:asciiTheme="minorHAnsi" w:hAnsiTheme="minorHAnsi" w:cstheme="minorHAnsi"/>
          <w:sz w:val="22"/>
          <w:szCs w:val="22"/>
        </w:rPr>
        <w:t xml:space="preserve">izations, </w:t>
      </w:r>
      <w:r w:rsidRPr="005F281E" w:rsidR="00B94864">
        <w:rPr>
          <w:rFonts w:asciiTheme="minorHAnsi" w:hAnsiTheme="minorHAnsi" w:cstheme="minorHAnsi"/>
          <w:sz w:val="22"/>
          <w:szCs w:val="22"/>
        </w:rPr>
        <w:t>10</w:t>
      </w:r>
      <w:r w:rsidRPr="005F281E" w:rsidR="0097134D">
        <w:rPr>
          <w:rFonts w:asciiTheme="minorHAnsi" w:hAnsiTheme="minorHAnsi" w:cstheme="minorHAnsi"/>
          <w:sz w:val="22"/>
          <w:szCs w:val="22"/>
        </w:rPr>
        <w:t>%</w:t>
      </w:r>
      <w:r w:rsidRPr="005F281E" w:rsidR="008F7BDC">
        <w:rPr>
          <w:rFonts w:asciiTheme="minorHAnsi" w:hAnsiTheme="minorHAnsi" w:cstheme="minorHAnsi"/>
          <w:sz w:val="22"/>
          <w:szCs w:val="22"/>
        </w:rPr>
        <w:t xml:space="preserve"> will be from small business research organizations</w:t>
      </w:r>
      <w:r w:rsidRPr="005F281E" w:rsidR="0097134D">
        <w:rPr>
          <w:rFonts w:asciiTheme="minorHAnsi" w:hAnsiTheme="minorHAnsi" w:cstheme="minorHAnsi"/>
          <w:sz w:val="22"/>
          <w:szCs w:val="22"/>
        </w:rPr>
        <w:t xml:space="preserve">, and </w:t>
      </w:r>
      <w:r w:rsidRPr="005F281E" w:rsidR="005576CB">
        <w:rPr>
          <w:rFonts w:asciiTheme="minorHAnsi" w:hAnsiTheme="minorHAnsi" w:cstheme="minorHAnsi"/>
          <w:sz w:val="22"/>
          <w:szCs w:val="22"/>
        </w:rPr>
        <w:t>15</w:t>
      </w:r>
      <w:r w:rsidRPr="005F281E" w:rsidR="0097134D">
        <w:rPr>
          <w:rFonts w:asciiTheme="minorHAnsi" w:hAnsiTheme="minorHAnsi" w:cstheme="minorHAnsi"/>
          <w:sz w:val="22"/>
          <w:szCs w:val="22"/>
        </w:rPr>
        <w:t>% will be from federal research organizations such as the VA.</w:t>
      </w:r>
    </w:p>
    <w:p w:rsidR="005B592C" w:rsidP="007C16BD" w:rsidRDefault="005B592C" w14:paraId="6ADA3E4D" w14:textId="34C1F805"/>
    <w:p w:rsidR="005B592C" w:rsidP="005B592C" w:rsidRDefault="005B592C" w14:paraId="597B9B11" w14:textId="0502C62D">
      <w:pPr>
        <w:jc w:val="center"/>
        <w:rPr>
          <w:rFonts w:asciiTheme="minorHAnsi" w:hAnsiTheme="minorHAnsi" w:cstheme="minorHAnsi"/>
          <w:smallCaps/>
          <w:sz w:val="22"/>
          <w:szCs w:val="22"/>
        </w:rPr>
      </w:pPr>
      <w:r w:rsidRPr="005B592C">
        <w:rPr>
          <w:rFonts w:asciiTheme="minorHAnsi" w:hAnsiTheme="minorHAnsi" w:cstheme="minorHAnsi"/>
          <w:sz w:val="22"/>
          <w:szCs w:val="22"/>
        </w:rPr>
        <w:t xml:space="preserve">Table 12-1   </w:t>
      </w:r>
      <w:r w:rsidRPr="005B592C">
        <w:rPr>
          <w:rFonts w:asciiTheme="minorHAnsi" w:hAnsiTheme="minorHAnsi" w:cstheme="minorHAnsi"/>
          <w:smallCaps/>
          <w:sz w:val="22"/>
          <w:szCs w:val="22"/>
        </w:rPr>
        <w:t>Estimated Annualized Burden Hours</w:t>
      </w:r>
    </w:p>
    <w:p w:rsidRPr="005B592C" w:rsidR="00BB499D" w:rsidP="005B592C" w:rsidRDefault="00BB499D" w14:paraId="302F1153" w14:textId="77777777">
      <w:pPr>
        <w:jc w:val="center"/>
        <w:rPr>
          <w:rFonts w:asciiTheme="minorHAnsi" w:hAnsiTheme="minorHAnsi" w:cstheme="minorHAnsi"/>
          <w:sz w:val="22"/>
          <w:szCs w:val="22"/>
        </w:rPr>
      </w:pPr>
    </w:p>
    <w:tbl>
      <w:tblPr>
        <w:tblW w:w="9878" w:type="dxa"/>
        <w:jc w:val="center"/>
        <w:tblLayout w:type="fixed"/>
        <w:tblCellMar>
          <w:left w:w="120" w:type="dxa"/>
          <w:right w:w="120" w:type="dxa"/>
        </w:tblCellMar>
        <w:tblLook w:val="0000" w:firstRow="0" w:lastRow="0" w:firstColumn="0" w:lastColumn="0" w:noHBand="0" w:noVBand="0"/>
      </w:tblPr>
      <w:tblGrid>
        <w:gridCol w:w="2124"/>
        <w:gridCol w:w="2324"/>
        <w:gridCol w:w="2021"/>
        <w:gridCol w:w="2139"/>
        <w:gridCol w:w="1270"/>
      </w:tblGrid>
      <w:tr w:rsidRPr="00BB499D" w:rsidR="00C420D3" w:rsidTr="00D46AA5" w14:paraId="1D508A19" w14:textId="77777777">
        <w:trPr>
          <w:cantSplit/>
          <w:trHeight w:val="403"/>
          <w:jc w:val="center"/>
        </w:trPr>
        <w:tc>
          <w:tcPr>
            <w:tcW w:w="2124" w:type="dxa"/>
            <w:tcBorders>
              <w:top w:val="single" w:color="auto" w:sz="6" w:space="0"/>
              <w:left w:val="single" w:color="auto" w:sz="20" w:space="0"/>
            </w:tcBorders>
            <w:shd w:val="clear" w:color="auto" w:fill="FFFFFF"/>
          </w:tcPr>
          <w:p w:rsidRPr="00BB499D" w:rsidR="007C16BD" w:rsidP="00BB499D" w:rsidRDefault="007C16BD" w14:paraId="44AFF868" w14:textId="77777777">
            <w:pPr>
              <w:spacing w:after="0" w:line="240" w:lineRule="auto"/>
              <w:rPr>
                <w:sz w:val="18"/>
                <w:szCs w:val="18"/>
              </w:rPr>
            </w:pPr>
            <w:r w:rsidRPr="00BB499D">
              <w:rPr>
                <w:sz w:val="18"/>
                <w:szCs w:val="18"/>
              </w:rPr>
              <w:t>Type of</w:t>
            </w:r>
          </w:p>
          <w:p w:rsidRPr="00BB499D" w:rsidR="007C16BD" w:rsidP="00BB499D" w:rsidRDefault="007C16BD" w14:paraId="2DD98A18" w14:textId="77777777">
            <w:pPr>
              <w:spacing w:after="0" w:line="240" w:lineRule="auto"/>
              <w:rPr>
                <w:sz w:val="18"/>
                <w:szCs w:val="18"/>
              </w:rPr>
            </w:pPr>
            <w:r w:rsidRPr="00BB499D">
              <w:rPr>
                <w:sz w:val="18"/>
                <w:szCs w:val="18"/>
              </w:rPr>
              <w:t>Respondents</w:t>
            </w:r>
          </w:p>
        </w:tc>
        <w:tc>
          <w:tcPr>
            <w:tcW w:w="2324" w:type="dxa"/>
            <w:tcBorders>
              <w:top w:val="single" w:color="auto" w:sz="6" w:space="0"/>
              <w:left w:val="single" w:color="auto" w:sz="6" w:space="0"/>
            </w:tcBorders>
          </w:tcPr>
          <w:p w:rsidRPr="00BB499D" w:rsidR="007C16BD" w:rsidP="00BB499D" w:rsidRDefault="007C16BD" w14:paraId="0D938C2B" w14:textId="77777777">
            <w:pPr>
              <w:spacing w:after="0" w:line="240" w:lineRule="auto"/>
              <w:rPr>
                <w:sz w:val="18"/>
                <w:szCs w:val="18"/>
              </w:rPr>
            </w:pPr>
            <w:r w:rsidRPr="00BB499D">
              <w:rPr>
                <w:sz w:val="18"/>
                <w:szCs w:val="18"/>
              </w:rPr>
              <w:t>Number of</w:t>
            </w:r>
          </w:p>
          <w:p w:rsidRPr="00BB499D" w:rsidR="007C16BD" w:rsidP="00BB499D" w:rsidRDefault="007C16BD" w14:paraId="7075121A" w14:textId="77777777">
            <w:pPr>
              <w:spacing w:after="0" w:line="240" w:lineRule="auto"/>
              <w:rPr>
                <w:sz w:val="18"/>
                <w:szCs w:val="18"/>
              </w:rPr>
            </w:pPr>
            <w:r w:rsidRPr="00BB499D">
              <w:rPr>
                <w:sz w:val="18"/>
                <w:szCs w:val="18"/>
              </w:rPr>
              <w:t>Respondents</w:t>
            </w:r>
          </w:p>
        </w:tc>
        <w:tc>
          <w:tcPr>
            <w:tcW w:w="2021" w:type="dxa"/>
            <w:tcBorders>
              <w:top w:val="single" w:color="auto" w:sz="6" w:space="0"/>
              <w:left w:val="single" w:color="auto" w:sz="6" w:space="0"/>
            </w:tcBorders>
          </w:tcPr>
          <w:p w:rsidRPr="00BB499D" w:rsidR="00DA1D7E" w:rsidP="00BB499D" w:rsidRDefault="00DA1D7E" w14:paraId="719AC6FC" w14:textId="77777777">
            <w:pPr>
              <w:pStyle w:val="P1-StandPara"/>
              <w:spacing w:after="0" w:line="240" w:lineRule="auto"/>
              <w:ind w:firstLine="0"/>
              <w:rPr>
                <w:sz w:val="18"/>
                <w:szCs w:val="18"/>
              </w:rPr>
            </w:pPr>
            <w:r w:rsidRPr="00BB499D">
              <w:rPr>
                <w:sz w:val="18"/>
                <w:szCs w:val="18"/>
              </w:rPr>
              <w:t>Number of Responses per Respondent</w:t>
            </w:r>
          </w:p>
        </w:tc>
        <w:tc>
          <w:tcPr>
            <w:tcW w:w="2139" w:type="dxa"/>
            <w:tcBorders>
              <w:top w:val="single" w:color="auto" w:sz="6" w:space="0"/>
              <w:left w:val="single" w:color="auto" w:sz="6" w:space="0"/>
            </w:tcBorders>
          </w:tcPr>
          <w:p w:rsidRPr="00BB499D" w:rsidR="007C16BD" w:rsidP="00BB499D" w:rsidRDefault="007C16BD" w14:paraId="59D0A5C2" w14:textId="77777777">
            <w:pPr>
              <w:spacing w:after="0" w:line="240" w:lineRule="auto"/>
              <w:rPr>
                <w:sz w:val="18"/>
                <w:szCs w:val="18"/>
              </w:rPr>
            </w:pPr>
            <w:r w:rsidRPr="00BB499D">
              <w:rPr>
                <w:sz w:val="18"/>
                <w:szCs w:val="18"/>
              </w:rPr>
              <w:t>Average</w:t>
            </w:r>
          </w:p>
          <w:p w:rsidRPr="00BB499D" w:rsidR="007C16BD" w:rsidP="00BB499D" w:rsidRDefault="00DA1D7E" w14:paraId="3473F931" w14:textId="2806B604">
            <w:pPr>
              <w:spacing w:after="0" w:line="240" w:lineRule="auto"/>
              <w:rPr>
                <w:sz w:val="18"/>
                <w:szCs w:val="18"/>
              </w:rPr>
            </w:pPr>
            <w:r w:rsidRPr="00BB499D">
              <w:rPr>
                <w:sz w:val="18"/>
                <w:szCs w:val="18"/>
              </w:rPr>
              <w:t xml:space="preserve">Burden </w:t>
            </w:r>
            <w:r w:rsidRPr="00BB499D" w:rsidR="007C16BD">
              <w:rPr>
                <w:sz w:val="18"/>
                <w:szCs w:val="18"/>
              </w:rPr>
              <w:t>per</w:t>
            </w:r>
          </w:p>
          <w:p w:rsidRPr="00BB499D" w:rsidR="007C16BD" w:rsidP="00BB499D" w:rsidRDefault="007C16BD" w14:paraId="602B8DFD" w14:textId="77777777">
            <w:pPr>
              <w:spacing w:after="0" w:line="240" w:lineRule="auto"/>
              <w:rPr>
                <w:sz w:val="18"/>
                <w:szCs w:val="18"/>
              </w:rPr>
            </w:pPr>
            <w:r w:rsidRPr="00BB499D">
              <w:rPr>
                <w:sz w:val="18"/>
                <w:szCs w:val="18"/>
              </w:rPr>
              <w:t>Response</w:t>
            </w:r>
            <w:r w:rsidRPr="00BB499D" w:rsidR="00DA1D7E">
              <w:rPr>
                <w:sz w:val="18"/>
                <w:szCs w:val="18"/>
              </w:rPr>
              <w:t xml:space="preserve"> (in hours)</w:t>
            </w:r>
          </w:p>
        </w:tc>
        <w:tc>
          <w:tcPr>
            <w:tcW w:w="1270" w:type="dxa"/>
            <w:tcBorders>
              <w:top w:val="single" w:color="auto" w:sz="6" w:space="0"/>
              <w:left w:val="single" w:color="auto" w:sz="6" w:space="0"/>
              <w:right w:val="single" w:color="auto" w:sz="20" w:space="0"/>
            </w:tcBorders>
          </w:tcPr>
          <w:p w:rsidRPr="00BB499D" w:rsidR="007C16BD" w:rsidP="00BB499D" w:rsidRDefault="00DA1D7E" w14:paraId="01F2FDCD" w14:textId="77777777">
            <w:pPr>
              <w:spacing w:after="0" w:line="240" w:lineRule="auto"/>
              <w:rPr>
                <w:sz w:val="18"/>
                <w:szCs w:val="18"/>
              </w:rPr>
            </w:pPr>
            <w:r w:rsidRPr="00BB499D">
              <w:rPr>
                <w:sz w:val="18"/>
                <w:szCs w:val="18"/>
              </w:rPr>
              <w:t xml:space="preserve">Total </w:t>
            </w:r>
            <w:r w:rsidRPr="00BB499D" w:rsidR="007C16BD">
              <w:rPr>
                <w:sz w:val="18"/>
                <w:szCs w:val="18"/>
              </w:rPr>
              <w:t xml:space="preserve">Annual </w:t>
            </w:r>
            <w:r w:rsidRPr="00BB499D">
              <w:rPr>
                <w:sz w:val="18"/>
                <w:szCs w:val="18"/>
              </w:rPr>
              <w:t xml:space="preserve">Burden </w:t>
            </w:r>
            <w:r w:rsidRPr="00BB499D" w:rsidR="007C16BD">
              <w:rPr>
                <w:sz w:val="18"/>
                <w:szCs w:val="18"/>
              </w:rPr>
              <w:t>Hour</w:t>
            </w:r>
            <w:r w:rsidRPr="00BB499D">
              <w:rPr>
                <w:sz w:val="18"/>
                <w:szCs w:val="18"/>
              </w:rPr>
              <w:t>s</w:t>
            </w:r>
          </w:p>
          <w:p w:rsidRPr="00BB499D" w:rsidR="007C16BD" w:rsidP="00BB499D" w:rsidRDefault="007C16BD" w14:paraId="61FF619C" w14:textId="24817D4A">
            <w:pPr>
              <w:spacing w:after="0" w:line="240" w:lineRule="auto"/>
              <w:rPr>
                <w:sz w:val="18"/>
                <w:szCs w:val="18"/>
              </w:rPr>
            </w:pPr>
          </w:p>
        </w:tc>
      </w:tr>
      <w:tr w:rsidRPr="00BB499D" w:rsidR="00C420D3" w:rsidTr="00D46AA5" w14:paraId="23FD5C80" w14:textId="77777777">
        <w:trPr>
          <w:cantSplit/>
          <w:trHeight w:val="403"/>
          <w:jc w:val="center"/>
        </w:trPr>
        <w:tc>
          <w:tcPr>
            <w:tcW w:w="2124" w:type="dxa"/>
            <w:tcBorders>
              <w:top w:val="single" w:color="auto" w:sz="6" w:space="0"/>
              <w:left w:val="single" w:color="auto" w:sz="20" w:space="0"/>
            </w:tcBorders>
            <w:shd w:val="clear" w:color="auto" w:fill="FFFFFF"/>
          </w:tcPr>
          <w:p w:rsidRPr="00BB499D" w:rsidR="00F561E4" w:rsidP="00966673" w:rsidRDefault="00F561E4" w14:paraId="35CEA531" w14:textId="40663F22">
            <w:pPr>
              <w:spacing w:after="0" w:line="240" w:lineRule="auto"/>
              <w:jc w:val="center"/>
              <w:rPr>
                <w:sz w:val="18"/>
                <w:szCs w:val="18"/>
              </w:rPr>
            </w:pPr>
            <w:proofErr w:type="spellStart"/>
            <w:r w:rsidRPr="00BB499D">
              <w:rPr>
                <w:sz w:val="18"/>
                <w:szCs w:val="18"/>
              </w:rPr>
              <w:t>CoC</w:t>
            </w:r>
            <w:proofErr w:type="spellEnd"/>
            <w:r w:rsidRPr="00BB499D">
              <w:rPr>
                <w:sz w:val="18"/>
                <w:szCs w:val="18"/>
              </w:rPr>
              <w:t xml:space="preserve"> Applicants-</w:t>
            </w:r>
          </w:p>
          <w:p w:rsidRPr="00BB499D" w:rsidR="00F561E4" w:rsidP="00966673" w:rsidRDefault="00F561E4" w14:paraId="53A426E9" w14:textId="77777777">
            <w:pPr>
              <w:spacing w:after="0" w:line="240" w:lineRule="auto"/>
              <w:jc w:val="center"/>
              <w:rPr>
                <w:sz w:val="18"/>
                <w:szCs w:val="18"/>
              </w:rPr>
            </w:pPr>
            <w:r w:rsidRPr="00BB499D">
              <w:rPr>
                <w:sz w:val="18"/>
                <w:szCs w:val="18"/>
              </w:rPr>
              <w:t>Private</w:t>
            </w:r>
          </w:p>
        </w:tc>
        <w:tc>
          <w:tcPr>
            <w:tcW w:w="2324" w:type="dxa"/>
            <w:tcBorders>
              <w:top w:val="single" w:color="auto" w:sz="6" w:space="0"/>
              <w:left w:val="single" w:color="auto" w:sz="6" w:space="0"/>
            </w:tcBorders>
          </w:tcPr>
          <w:p w:rsidRPr="00BB499D" w:rsidR="00F561E4" w:rsidP="00966673" w:rsidRDefault="00D5099C" w14:paraId="5B7597E1" w14:textId="77777777">
            <w:pPr>
              <w:jc w:val="center"/>
              <w:rPr>
                <w:sz w:val="18"/>
                <w:szCs w:val="18"/>
              </w:rPr>
            </w:pPr>
            <w:r w:rsidRPr="00BB499D">
              <w:rPr>
                <w:sz w:val="18"/>
                <w:szCs w:val="18"/>
              </w:rPr>
              <w:t>372</w:t>
            </w:r>
          </w:p>
        </w:tc>
        <w:tc>
          <w:tcPr>
            <w:tcW w:w="2021" w:type="dxa"/>
            <w:tcBorders>
              <w:top w:val="single" w:color="auto" w:sz="6" w:space="0"/>
              <w:left w:val="single" w:color="auto" w:sz="6" w:space="0"/>
            </w:tcBorders>
          </w:tcPr>
          <w:p w:rsidRPr="00BB499D" w:rsidR="00F561E4" w:rsidP="00966673" w:rsidRDefault="00F561E4" w14:paraId="49506768" w14:textId="77777777">
            <w:pPr>
              <w:jc w:val="center"/>
              <w:rPr>
                <w:sz w:val="18"/>
                <w:szCs w:val="18"/>
              </w:rPr>
            </w:pPr>
            <w:r w:rsidRPr="00BB499D">
              <w:rPr>
                <w:sz w:val="18"/>
                <w:szCs w:val="18"/>
              </w:rPr>
              <w:t>1</w:t>
            </w:r>
          </w:p>
        </w:tc>
        <w:tc>
          <w:tcPr>
            <w:tcW w:w="2139" w:type="dxa"/>
            <w:tcBorders>
              <w:top w:val="single" w:color="auto" w:sz="6" w:space="0"/>
              <w:left w:val="single" w:color="auto" w:sz="6" w:space="0"/>
            </w:tcBorders>
          </w:tcPr>
          <w:p w:rsidRPr="00BB499D" w:rsidR="00F561E4" w:rsidP="00966673" w:rsidRDefault="003B35EA" w14:paraId="2C9BE45D" w14:textId="02588EF5">
            <w:pPr>
              <w:jc w:val="center"/>
              <w:rPr>
                <w:sz w:val="18"/>
                <w:szCs w:val="18"/>
              </w:rPr>
            </w:pPr>
            <w:r w:rsidRPr="00BB499D">
              <w:rPr>
                <w:sz w:val="18"/>
                <w:szCs w:val="18"/>
              </w:rPr>
              <w:t>90</w:t>
            </w:r>
            <w:r w:rsidRPr="00BB499D" w:rsidR="002F6122">
              <w:rPr>
                <w:sz w:val="18"/>
                <w:szCs w:val="18"/>
              </w:rPr>
              <w:t>/60</w:t>
            </w:r>
          </w:p>
        </w:tc>
        <w:tc>
          <w:tcPr>
            <w:tcW w:w="1270" w:type="dxa"/>
            <w:tcBorders>
              <w:top w:val="single" w:color="auto" w:sz="6" w:space="0"/>
              <w:left w:val="single" w:color="auto" w:sz="6" w:space="0"/>
              <w:right w:val="single" w:color="auto" w:sz="20" w:space="0"/>
            </w:tcBorders>
          </w:tcPr>
          <w:p w:rsidRPr="00BB499D" w:rsidR="00F561E4" w:rsidP="00966673" w:rsidRDefault="00762F00" w14:paraId="7394869E" w14:textId="1A7103EE">
            <w:pPr>
              <w:jc w:val="center"/>
              <w:rPr>
                <w:sz w:val="18"/>
                <w:szCs w:val="18"/>
              </w:rPr>
            </w:pPr>
            <w:r w:rsidRPr="00BB499D">
              <w:rPr>
                <w:sz w:val="18"/>
                <w:szCs w:val="18"/>
              </w:rPr>
              <w:t>558</w:t>
            </w:r>
          </w:p>
        </w:tc>
      </w:tr>
      <w:tr w:rsidRPr="00BB499D" w:rsidR="00C420D3" w:rsidTr="00D46AA5" w14:paraId="73D0F223" w14:textId="77777777">
        <w:trPr>
          <w:cantSplit/>
          <w:trHeight w:val="403"/>
          <w:jc w:val="center"/>
        </w:trPr>
        <w:tc>
          <w:tcPr>
            <w:tcW w:w="2124" w:type="dxa"/>
            <w:tcBorders>
              <w:top w:val="single" w:color="auto" w:sz="6" w:space="0"/>
              <w:left w:val="single" w:color="auto" w:sz="20" w:space="0"/>
            </w:tcBorders>
            <w:shd w:val="clear" w:color="auto" w:fill="FFFFFF"/>
          </w:tcPr>
          <w:p w:rsidRPr="00BB499D" w:rsidR="00F561E4" w:rsidP="00966673" w:rsidRDefault="00F561E4" w14:paraId="49D27324" w14:textId="259AC9A4">
            <w:pPr>
              <w:spacing w:after="0" w:line="240" w:lineRule="auto"/>
              <w:jc w:val="center"/>
              <w:rPr>
                <w:sz w:val="18"/>
                <w:szCs w:val="18"/>
              </w:rPr>
            </w:pPr>
            <w:proofErr w:type="spellStart"/>
            <w:r w:rsidRPr="00BB499D">
              <w:rPr>
                <w:sz w:val="18"/>
                <w:szCs w:val="18"/>
              </w:rPr>
              <w:t>CoC</w:t>
            </w:r>
            <w:proofErr w:type="spellEnd"/>
            <w:r w:rsidRPr="00BB499D">
              <w:rPr>
                <w:sz w:val="18"/>
                <w:szCs w:val="18"/>
              </w:rPr>
              <w:t xml:space="preserve"> Applicants-</w:t>
            </w:r>
          </w:p>
          <w:p w:rsidRPr="00BB499D" w:rsidR="00F561E4" w:rsidP="00966673" w:rsidRDefault="00F561E4" w14:paraId="29980159" w14:textId="77777777">
            <w:pPr>
              <w:spacing w:after="0" w:line="240" w:lineRule="auto"/>
              <w:jc w:val="center"/>
              <w:rPr>
                <w:sz w:val="18"/>
                <w:szCs w:val="18"/>
              </w:rPr>
            </w:pPr>
            <w:r w:rsidRPr="00BB499D">
              <w:rPr>
                <w:sz w:val="18"/>
                <w:szCs w:val="18"/>
              </w:rPr>
              <w:t>State/local</w:t>
            </w:r>
          </w:p>
        </w:tc>
        <w:tc>
          <w:tcPr>
            <w:tcW w:w="2324" w:type="dxa"/>
            <w:tcBorders>
              <w:top w:val="single" w:color="auto" w:sz="6" w:space="0"/>
              <w:left w:val="single" w:color="auto" w:sz="6" w:space="0"/>
            </w:tcBorders>
          </w:tcPr>
          <w:p w:rsidRPr="00BB499D" w:rsidR="00F561E4" w:rsidP="00966673" w:rsidRDefault="00D5099C" w14:paraId="477881EF" w14:textId="77777777">
            <w:pPr>
              <w:jc w:val="center"/>
              <w:rPr>
                <w:sz w:val="18"/>
                <w:szCs w:val="18"/>
              </w:rPr>
            </w:pPr>
            <w:r w:rsidRPr="00BB499D">
              <w:rPr>
                <w:sz w:val="18"/>
                <w:szCs w:val="18"/>
              </w:rPr>
              <w:t>26</w:t>
            </w:r>
          </w:p>
        </w:tc>
        <w:tc>
          <w:tcPr>
            <w:tcW w:w="2021" w:type="dxa"/>
            <w:tcBorders>
              <w:top w:val="single" w:color="auto" w:sz="6" w:space="0"/>
              <w:left w:val="single" w:color="auto" w:sz="6" w:space="0"/>
            </w:tcBorders>
          </w:tcPr>
          <w:p w:rsidRPr="00BB499D" w:rsidR="00F561E4" w:rsidP="00966673" w:rsidRDefault="00F561E4" w14:paraId="751D760D" w14:textId="77777777">
            <w:pPr>
              <w:jc w:val="center"/>
              <w:rPr>
                <w:sz w:val="18"/>
                <w:szCs w:val="18"/>
              </w:rPr>
            </w:pPr>
            <w:r w:rsidRPr="00BB499D">
              <w:rPr>
                <w:sz w:val="18"/>
                <w:szCs w:val="18"/>
              </w:rPr>
              <w:t>1</w:t>
            </w:r>
          </w:p>
        </w:tc>
        <w:tc>
          <w:tcPr>
            <w:tcW w:w="2139" w:type="dxa"/>
            <w:tcBorders>
              <w:top w:val="single" w:color="auto" w:sz="6" w:space="0"/>
              <w:left w:val="single" w:color="auto" w:sz="6" w:space="0"/>
            </w:tcBorders>
          </w:tcPr>
          <w:p w:rsidRPr="00BB499D" w:rsidR="00F561E4" w:rsidP="00966673" w:rsidRDefault="003B35EA" w14:paraId="0646D4D3" w14:textId="1954DA6D">
            <w:pPr>
              <w:jc w:val="center"/>
              <w:rPr>
                <w:sz w:val="18"/>
                <w:szCs w:val="18"/>
              </w:rPr>
            </w:pPr>
            <w:r w:rsidRPr="00BB499D">
              <w:rPr>
                <w:smallCaps/>
                <w:sz w:val="18"/>
                <w:szCs w:val="18"/>
              </w:rPr>
              <w:t>90</w:t>
            </w:r>
            <w:r w:rsidRPr="00BB499D" w:rsidR="002F6122">
              <w:rPr>
                <w:smallCaps/>
                <w:sz w:val="18"/>
                <w:szCs w:val="18"/>
              </w:rPr>
              <w:t>/60</w:t>
            </w:r>
          </w:p>
        </w:tc>
        <w:tc>
          <w:tcPr>
            <w:tcW w:w="1270" w:type="dxa"/>
            <w:tcBorders>
              <w:top w:val="single" w:color="auto" w:sz="6" w:space="0"/>
              <w:left w:val="single" w:color="auto" w:sz="6" w:space="0"/>
              <w:right w:val="single" w:color="auto" w:sz="20" w:space="0"/>
            </w:tcBorders>
          </w:tcPr>
          <w:p w:rsidRPr="00BB499D" w:rsidR="00F561E4" w:rsidP="00966673" w:rsidRDefault="00762F00" w14:paraId="665F5F1E" w14:textId="674C37C6">
            <w:pPr>
              <w:jc w:val="center"/>
              <w:rPr>
                <w:sz w:val="18"/>
                <w:szCs w:val="18"/>
              </w:rPr>
            </w:pPr>
            <w:r w:rsidRPr="00BB499D">
              <w:rPr>
                <w:sz w:val="18"/>
                <w:szCs w:val="18"/>
              </w:rPr>
              <w:t>39</w:t>
            </w:r>
          </w:p>
        </w:tc>
      </w:tr>
      <w:tr w:rsidRPr="00BB499D" w:rsidR="00C420D3" w:rsidTr="00D46AA5" w14:paraId="651C8190" w14:textId="77777777">
        <w:trPr>
          <w:cantSplit/>
          <w:trHeight w:val="403"/>
          <w:jc w:val="center"/>
        </w:trPr>
        <w:tc>
          <w:tcPr>
            <w:tcW w:w="2124" w:type="dxa"/>
            <w:tcBorders>
              <w:top w:val="single" w:color="auto" w:sz="6" w:space="0"/>
              <w:left w:val="single" w:color="auto" w:sz="20" w:space="0"/>
            </w:tcBorders>
            <w:shd w:val="clear" w:color="auto" w:fill="FFFFFF"/>
          </w:tcPr>
          <w:p w:rsidRPr="00BB499D" w:rsidR="00F561E4" w:rsidP="00966673" w:rsidRDefault="00F561E4" w14:paraId="31E62CAA" w14:textId="3E366DB2">
            <w:pPr>
              <w:spacing w:after="0" w:line="240" w:lineRule="auto"/>
              <w:jc w:val="center"/>
              <w:rPr>
                <w:sz w:val="18"/>
                <w:szCs w:val="18"/>
              </w:rPr>
            </w:pPr>
            <w:proofErr w:type="spellStart"/>
            <w:r w:rsidRPr="00BB499D">
              <w:rPr>
                <w:sz w:val="18"/>
                <w:szCs w:val="18"/>
              </w:rPr>
              <w:t>CoC</w:t>
            </w:r>
            <w:proofErr w:type="spellEnd"/>
            <w:r w:rsidRPr="00BB499D">
              <w:rPr>
                <w:sz w:val="18"/>
                <w:szCs w:val="18"/>
              </w:rPr>
              <w:t xml:space="preserve"> Applicants-</w:t>
            </w:r>
          </w:p>
          <w:p w:rsidRPr="00BB499D" w:rsidR="00F561E4" w:rsidP="00966673" w:rsidRDefault="00F561E4" w14:paraId="664C4AA6" w14:textId="77777777">
            <w:pPr>
              <w:spacing w:after="0" w:line="240" w:lineRule="auto"/>
              <w:jc w:val="center"/>
              <w:rPr>
                <w:sz w:val="18"/>
                <w:szCs w:val="18"/>
              </w:rPr>
            </w:pPr>
            <w:r w:rsidRPr="00BB499D">
              <w:rPr>
                <w:sz w:val="18"/>
                <w:szCs w:val="18"/>
              </w:rPr>
              <w:t>Small business</w:t>
            </w:r>
          </w:p>
        </w:tc>
        <w:tc>
          <w:tcPr>
            <w:tcW w:w="2324" w:type="dxa"/>
            <w:tcBorders>
              <w:top w:val="single" w:color="auto" w:sz="6" w:space="0"/>
              <w:left w:val="single" w:color="auto" w:sz="6" w:space="0"/>
            </w:tcBorders>
          </w:tcPr>
          <w:p w:rsidRPr="00BB499D" w:rsidR="00F561E4" w:rsidP="00966673" w:rsidRDefault="00D5099C" w14:paraId="17D8BACB" w14:textId="77777777">
            <w:pPr>
              <w:jc w:val="center"/>
              <w:rPr>
                <w:sz w:val="18"/>
                <w:szCs w:val="18"/>
              </w:rPr>
            </w:pPr>
            <w:r w:rsidRPr="00BB499D">
              <w:rPr>
                <w:sz w:val="18"/>
                <w:szCs w:val="18"/>
              </w:rPr>
              <w:t>53</w:t>
            </w:r>
          </w:p>
        </w:tc>
        <w:tc>
          <w:tcPr>
            <w:tcW w:w="2021" w:type="dxa"/>
            <w:tcBorders>
              <w:top w:val="single" w:color="auto" w:sz="6" w:space="0"/>
              <w:left w:val="single" w:color="auto" w:sz="6" w:space="0"/>
            </w:tcBorders>
          </w:tcPr>
          <w:p w:rsidRPr="00BB499D" w:rsidR="00F561E4" w:rsidP="00966673" w:rsidRDefault="00F561E4" w14:paraId="7082B437" w14:textId="77777777">
            <w:pPr>
              <w:jc w:val="center"/>
              <w:rPr>
                <w:sz w:val="18"/>
                <w:szCs w:val="18"/>
              </w:rPr>
            </w:pPr>
            <w:r w:rsidRPr="00BB499D">
              <w:rPr>
                <w:sz w:val="18"/>
                <w:szCs w:val="18"/>
              </w:rPr>
              <w:t>1</w:t>
            </w:r>
          </w:p>
        </w:tc>
        <w:tc>
          <w:tcPr>
            <w:tcW w:w="2139" w:type="dxa"/>
            <w:tcBorders>
              <w:top w:val="single" w:color="auto" w:sz="6" w:space="0"/>
              <w:left w:val="single" w:color="auto" w:sz="6" w:space="0"/>
            </w:tcBorders>
          </w:tcPr>
          <w:p w:rsidRPr="00BB499D" w:rsidR="00F561E4" w:rsidP="00966673" w:rsidRDefault="003B35EA" w14:paraId="6148A434" w14:textId="365EC29B">
            <w:pPr>
              <w:jc w:val="center"/>
              <w:rPr>
                <w:sz w:val="18"/>
                <w:szCs w:val="18"/>
              </w:rPr>
            </w:pPr>
            <w:r w:rsidRPr="00BB499D">
              <w:rPr>
                <w:smallCaps/>
                <w:sz w:val="18"/>
                <w:szCs w:val="18"/>
              </w:rPr>
              <w:t>90</w:t>
            </w:r>
            <w:r w:rsidRPr="00BB499D" w:rsidR="002F6122">
              <w:rPr>
                <w:smallCaps/>
                <w:sz w:val="18"/>
                <w:szCs w:val="18"/>
              </w:rPr>
              <w:t>/60</w:t>
            </w:r>
          </w:p>
        </w:tc>
        <w:tc>
          <w:tcPr>
            <w:tcW w:w="1270" w:type="dxa"/>
            <w:tcBorders>
              <w:top w:val="single" w:color="auto" w:sz="6" w:space="0"/>
              <w:left w:val="single" w:color="auto" w:sz="6" w:space="0"/>
              <w:right w:val="single" w:color="auto" w:sz="20" w:space="0"/>
            </w:tcBorders>
          </w:tcPr>
          <w:p w:rsidRPr="00BB499D" w:rsidR="00F561E4" w:rsidP="00966673" w:rsidRDefault="00620565" w14:paraId="3AD05368" w14:textId="319309D8">
            <w:pPr>
              <w:jc w:val="center"/>
              <w:rPr>
                <w:sz w:val="18"/>
                <w:szCs w:val="18"/>
              </w:rPr>
            </w:pPr>
            <w:r w:rsidRPr="00BB499D">
              <w:rPr>
                <w:sz w:val="18"/>
                <w:szCs w:val="18"/>
              </w:rPr>
              <w:t>80</w:t>
            </w:r>
          </w:p>
        </w:tc>
      </w:tr>
      <w:tr w:rsidRPr="00BB499D" w:rsidR="00C420D3" w:rsidTr="00D46AA5" w14:paraId="5A11A9ED" w14:textId="77777777">
        <w:trPr>
          <w:cantSplit/>
          <w:trHeight w:val="403"/>
          <w:jc w:val="center"/>
        </w:trPr>
        <w:tc>
          <w:tcPr>
            <w:tcW w:w="2124" w:type="dxa"/>
            <w:tcBorders>
              <w:top w:val="single" w:color="auto" w:sz="6" w:space="0"/>
              <w:left w:val="single" w:color="auto" w:sz="20" w:space="0"/>
            </w:tcBorders>
            <w:shd w:val="clear" w:color="auto" w:fill="FFFFFF"/>
          </w:tcPr>
          <w:p w:rsidRPr="00BB499D" w:rsidR="0097134D" w:rsidP="00966673" w:rsidRDefault="0097134D" w14:paraId="11A367C7" w14:textId="491B2CB1">
            <w:pPr>
              <w:spacing w:after="0" w:line="240" w:lineRule="auto"/>
              <w:jc w:val="center"/>
              <w:rPr>
                <w:sz w:val="18"/>
                <w:szCs w:val="18"/>
              </w:rPr>
            </w:pPr>
            <w:proofErr w:type="spellStart"/>
            <w:r w:rsidRPr="00BB499D">
              <w:rPr>
                <w:sz w:val="18"/>
                <w:szCs w:val="18"/>
              </w:rPr>
              <w:t>CoC</w:t>
            </w:r>
            <w:proofErr w:type="spellEnd"/>
            <w:r w:rsidRPr="00BB499D">
              <w:rPr>
                <w:sz w:val="18"/>
                <w:szCs w:val="18"/>
              </w:rPr>
              <w:t xml:space="preserve"> Applicants-</w:t>
            </w:r>
          </w:p>
          <w:p w:rsidRPr="00BB499D" w:rsidR="0097134D" w:rsidP="00966673" w:rsidRDefault="0097134D" w14:paraId="44D0F770" w14:textId="77777777">
            <w:pPr>
              <w:spacing w:after="0" w:line="240" w:lineRule="auto"/>
              <w:jc w:val="center"/>
              <w:rPr>
                <w:sz w:val="18"/>
                <w:szCs w:val="18"/>
              </w:rPr>
            </w:pPr>
            <w:r w:rsidRPr="00BB499D">
              <w:rPr>
                <w:sz w:val="18"/>
                <w:szCs w:val="18"/>
              </w:rPr>
              <w:t>Federal</w:t>
            </w:r>
          </w:p>
        </w:tc>
        <w:tc>
          <w:tcPr>
            <w:tcW w:w="2324" w:type="dxa"/>
            <w:tcBorders>
              <w:top w:val="single" w:color="auto" w:sz="6" w:space="0"/>
              <w:left w:val="single" w:color="auto" w:sz="6" w:space="0"/>
            </w:tcBorders>
          </w:tcPr>
          <w:p w:rsidRPr="00BB499D" w:rsidR="0097134D" w:rsidP="00966673" w:rsidRDefault="00D5099C" w14:paraId="1FB15BBB" w14:textId="77777777">
            <w:pPr>
              <w:jc w:val="center"/>
              <w:rPr>
                <w:sz w:val="18"/>
                <w:szCs w:val="18"/>
              </w:rPr>
            </w:pPr>
            <w:r w:rsidRPr="00BB499D">
              <w:rPr>
                <w:sz w:val="18"/>
                <w:szCs w:val="18"/>
              </w:rPr>
              <w:t>78</w:t>
            </w:r>
          </w:p>
        </w:tc>
        <w:tc>
          <w:tcPr>
            <w:tcW w:w="2021" w:type="dxa"/>
            <w:tcBorders>
              <w:top w:val="single" w:color="auto" w:sz="6" w:space="0"/>
              <w:left w:val="single" w:color="auto" w:sz="6" w:space="0"/>
            </w:tcBorders>
          </w:tcPr>
          <w:p w:rsidRPr="00BB499D" w:rsidR="0097134D" w:rsidP="00966673" w:rsidRDefault="0097134D" w14:paraId="7218D8D1" w14:textId="77777777">
            <w:pPr>
              <w:jc w:val="center"/>
              <w:rPr>
                <w:sz w:val="18"/>
                <w:szCs w:val="18"/>
              </w:rPr>
            </w:pPr>
            <w:r w:rsidRPr="00BB499D">
              <w:rPr>
                <w:sz w:val="18"/>
                <w:szCs w:val="18"/>
              </w:rPr>
              <w:t>1</w:t>
            </w:r>
          </w:p>
        </w:tc>
        <w:tc>
          <w:tcPr>
            <w:tcW w:w="2139" w:type="dxa"/>
            <w:tcBorders>
              <w:top w:val="single" w:color="auto" w:sz="6" w:space="0"/>
              <w:left w:val="single" w:color="auto" w:sz="6" w:space="0"/>
            </w:tcBorders>
          </w:tcPr>
          <w:p w:rsidRPr="00BB499D" w:rsidR="0097134D" w:rsidP="00966673" w:rsidRDefault="003B35EA" w14:paraId="3E42B97F" w14:textId="62DE8682">
            <w:pPr>
              <w:jc w:val="center"/>
              <w:rPr>
                <w:smallCaps/>
                <w:sz w:val="18"/>
                <w:szCs w:val="18"/>
              </w:rPr>
            </w:pPr>
            <w:r w:rsidRPr="00BB499D">
              <w:rPr>
                <w:smallCaps/>
                <w:sz w:val="18"/>
                <w:szCs w:val="18"/>
              </w:rPr>
              <w:t>90</w:t>
            </w:r>
            <w:r w:rsidRPr="00BB499D" w:rsidR="002F6122">
              <w:rPr>
                <w:smallCaps/>
                <w:sz w:val="18"/>
                <w:szCs w:val="18"/>
              </w:rPr>
              <w:t>/60</w:t>
            </w:r>
          </w:p>
        </w:tc>
        <w:tc>
          <w:tcPr>
            <w:tcW w:w="1270" w:type="dxa"/>
            <w:tcBorders>
              <w:top w:val="single" w:color="auto" w:sz="6" w:space="0"/>
              <w:left w:val="single" w:color="auto" w:sz="6" w:space="0"/>
              <w:right w:val="single" w:color="auto" w:sz="20" w:space="0"/>
            </w:tcBorders>
          </w:tcPr>
          <w:p w:rsidRPr="00BB499D" w:rsidR="0097134D" w:rsidP="00966673" w:rsidRDefault="005535A2" w14:paraId="20D30273" w14:textId="0DDB01DF">
            <w:pPr>
              <w:jc w:val="center"/>
              <w:rPr>
                <w:sz w:val="18"/>
                <w:szCs w:val="18"/>
              </w:rPr>
            </w:pPr>
            <w:r w:rsidRPr="00BB499D">
              <w:rPr>
                <w:sz w:val="18"/>
                <w:szCs w:val="18"/>
              </w:rPr>
              <w:t>117</w:t>
            </w:r>
          </w:p>
        </w:tc>
      </w:tr>
      <w:tr w:rsidRPr="00BB499D" w:rsidR="00C420D3" w:rsidTr="00D46AA5" w14:paraId="6629C163" w14:textId="77777777">
        <w:trPr>
          <w:cantSplit/>
          <w:trHeight w:val="403"/>
          <w:jc w:val="center"/>
        </w:trPr>
        <w:tc>
          <w:tcPr>
            <w:tcW w:w="2124" w:type="dxa"/>
            <w:tcBorders>
              <w:top w:val="single" w:color="auto" w:sz="6" w:space="0"/>
              <w:left w:val="single" w:color="auto" w:sz="20" w:space="0"/>
              <w:bottom w:val="single" w:color="auto" w:sz="20" w:space="0"/>
            </w:tcBorders>
            <w:shd w:val="clear" w:color="auto" w:fill="FFFFFF"/>
          </w:tcPr>
          <w:p w:rsidRPr="00BB499D" w:rsidR="00F561E4" w:rsidP="00966673" w:rsidRDefault="00F561E4" w14:paraId="72B0D31E" w14:textId="77777777">
            <w:pPr>
              <w:pStyle w:val="Heading2"/>
              <w:jc w:val="center"/>
              <w:rPr>
                <w:b w:val="0"/>
                <w:sz w:val="18"/>
                <w:szCs w:val="18"/>
              </w:rPr>
            </w:pPr>
            <w:r w:rsidRPr="00BB499D">
              <w:rPr>
                <w:b w:val="0"/>
                <w:sz w:val="18"/>
                <w:szCs w:val="18"/>
              </w:rPr>
              <w:t>Total</w:t>
            </w:r>
          </w:p>
        </w:tc>
        <w:tc>
          <w:tcPr>
            <w:tcW w:w="2324" w:type="dxa"/>
            <w:tcBorders>
              <w:top w:val="single" w:color="auto" w:sz="6" w:space="0"/>
              <w:left w:val="single" w:color="auto" w:sz="6" w:space="0"/>
              <w:bottom w:val="single" w:color="auto" w:sz="20" w:space="0"/>
            </w:tcBorders>
          </w:tcPr>
          <w:p w:rsidRPr="00BB499D" w:rsidR="00F561E4" w:rsidP="00966673" w:rsidRDefault="00F561E4" w14:paraId="04A026EE" w14:textId="25E376EB">
            <w:pPr>
              <w:jc w:val="center"/>
              <w:rPr>
                <w:sz w:val="18"/>
                <w:szCs w:val="18"/>
              </w:rPr>
            </w:pPr>
          </w:p>
        </w:tc>
        <w:tc>
          <w:tcPr>
            <w:tcW w:w="2021" w:type="dxa"/>
            <w:tcBorders>
              <w:top w:val="single" w:color="auto" w:sz="6" w:space="0"/>
              <w:left w:val="single" w:color="auto" w:sz="6" w:space="0"/>
              <w:bottom w:val="single" w:color="auto" w:sz="20" w:space="0"/>
            </w:tcBorders>
            <w:shd w:val="pct10" w:color="auto" w:fill="FFFFFF"/>
          </w:tcPr>
          <w:p w:rsidRPr="00BB499D" w:rsidR="00F561E4" w:rsidP="00966673" w:rsidRDefault="00175324" w14:paraId="0F0223D9" w14:textId="77777777">
            <w:pPr>
              <w:jc w:val="center"/>
              <w:rPr>
                <w:sz w:val="18"/>
                <w:szCs w:val="18"/>
              </w:rPr>
            </w:pPr>
            <w:r w:rsidRPr="00BB499D">
              <w:rPr>
                <w:sz w:val="18"/>
                <w:szCs w:val="18"/>
              </w:rPr>
              <w:t>529</w:t>
            </w:r>
          </w:p>
        </w:tc>
        <w:tc>
          <w:tcPr>
            <w:tcW w:w="2139" w:type="dxa"/>
            <w:tcBorders>
              <w:top w:val="single" w:color="auto" w:sz="6" w:space="0"/>
              <w:left w:val="single" w:color="auto" w:sz="6" w:space="0"/>
              <w:bottom w:val="single" w:color="auto" w:sz="20" w:space="0"/>
            </w:tcBorders>
            <w:shd w:val="pct10" w:color="auto" w:fill="FFFFFF"/>
          </w:tcPr>
          <w:p w:rsidRPr="00BB499D" w:rsidR="00F561E4" w:rsidP="00966673" w:rsidRDefault="00F561E4" w14:paraId="6025F5D3" w14:textId="328E52C6">
            <w:pPr>
              <w:jc w:val="center"/>
              <w:rPr>
                <w:sz w:val="18"/>
                <w:szCs w:val="18"/>
              </w:rPr>
            </w:pPr>
          </w:p>
        </w:tc>
        <w:tc>
          <w:tcPr>
            <w:tcW w:w="1270" w:type="dxa"/>
            <w:tcBorders>
              <w:top w:val="single" w:color="auto" w:sz="6" w:space="0"/>
              <w:left w:val="single" w:color="auto" w:sz="6" w:space="0"/>
              <w:bottom w:val="single" w:color="auto" w:sz="20" w:space="0"/>
              <w:right w:val="single" w:color="auto" w:sz="20" w:space="0"/>
            </w:tcBorders>
          </w:tcPr>
          <w:p w:rsidRPr="00BB499D" w:rsidR="00F561E4" w:rsidP="00966673" w:rsidRDefault="00620565" w14:paraId="2B54901F" w14:textId="54178FB0">
            <w:pPr>
              <w:jc w:val="center"/>
              <w:rPr>
                <w:sz w:val="18"/>
                <w:szCs w:val="18"/>
              </w:rPr>
            </w:pPr>
            <w:r w:rsidRPr="00BB499D">
              <w:rPr>
                <w:sz w:val="18"/>
                <w:szCs w:val="18"/>
              </w:rPr>
              <w:t>794</w:t>
            </w:r>
          </w:p>
        </w:tc>
      </w:tr>
    </w:tbl>
    <w:p w:rsidRPr="00BB499D" w:rsidR="007C16BD" w:rsidP="007C16BD" w:rsidRDefault="007C16BD" w14:paraId="6AECE1C8" w14:textId="77777777">
      <w:pPr>
        <w:rPr>
          <w:smallCaps/>
          <w:sz w:val="18"/>
          <w:szCs w:val="18"/>
        </w:rPr>
      </w:pPr>
    </w:p>
    <w:p w:rsidRPr="00EE245F" w:rsidR="00AD5D9C" w:rsidP="00AD5D9C" w:rsidRDefault="00AD5D9C" w14:paraId="7BE88EE9" w14:textId="77777777">
      <w:pPr>
        <w:spacing w:after="0" w:line="240" w:lineRule="auto"/>
        <w:rPr>
          <w:b/>
          <w:smallCaps/>
          <w:color w:val="000000" w:themeColor="text1"/>
        </w:rPr>
      </w:pPr>
      <w:r w:rsidRPr="00717158">
        <w:rPr>
          <w:b/>
          <w:smallCaps/>
          <w:color w:val="000000" w:themeColor="text1"/>
        </w:rPr>
        <w:t>A.12-2</w:t>
      </w:r>
      <w:r>
        <w:rPr>
          <w:b/>
          <w:smallCaps/>
          <w:color w:val="000000" w:themeColor="text1"/>
        </w:rPr>
        <w:t xml:space="preserve">   </w:t>
      </w:r>
      <w:r w:rsidRPr="00717158">
        <w:rPr>
          <w:b/>
          <w:smallCaps/>
          <w:color w:val="000000" w:themeColor="text1"/>
        </w:rPr>
        <w:t>Annual Cost to respondent</w:t>
      </w:r>
    </w:p>
    <w:p w:rsidR="007F3E31" w:rsidP="005F281E" w:rsidRDefault="007F3E31" w14:paraId="62D03AEB" w14:textId="03C5CFEE">
      <w:pPr>
        <w:rPr>
          <w:rFonts w:asciiTheme="minorHAnsi" w:hAnsiTheme="minorHAnsi" w:cstheme="minorHAnsi"/>
          <w:bCs/>
          <w:sz w:val="22"/>
          <w:szCs w:val="22"/>
        </w:rPr>
      </w:pPr>
      <w:r w:rsidRPr="005F281E">
        <w:rPr>
          <w:rFonts w:asciiTheme="minorHAnsi" w:hAnsiTheme="minorHAnsi" w:cstheme="minorHAnsi"/>
          <w:sz w:val="22"/>
          <w:szCs w:val="22"/>
        </w:rPr>
        <w:t xml:space="preserve">Regardless of the type of research organization, </w:t>
      </w:r>
      <w:proofErr w:type="spellStart"/>
      <w:r w:rsidRPr="005F281E">
        <w:rPr>
          <w:rFonts w:asciiTheme="minorHAnsi" w:hAnsiTheme="minorHAnsi" w:cstheme="minorHAnsi"/>
          <w:sz w:val="22"/>
          <w:szCs w:val="22"/>
        </w:rPr>
        <w:t>CoC</w:t>
      </w:r>
      <w:proofErr w:type="spellEnd"/>
      <w:r w:rsidRPr="005F281E">
        <w:rPr>
          <w:rFonts w:asciiTheme="minorHAnsi" w:hAnsiTheme="minorHAnsi" w:cstheme="minorHAnsi"/>
          <w:sz w:val="22"/>
          <w:szCs w:val="22"/>
        </w:rPr>
        <w:t xml:space="preserve"> requests are generally completed by researchers or research staff.  </w:t>
      </w:r>
      <w:r w:rsidRPr="005F281E">
        <w:rPr>
          <w:rFonts w:asciiTheme="minorHAnsi" w:hAnsiTheme="minorHAnsi" w:cstheme="minorHAnsi"/>
          <w:bCs/>
          <w:sz w:val="22"/>
          <w:szCs w:val="22"/>
        </w:rPr>
        <w:t>The hourly wage rate used for all burden hours ($38) was estimated as an average of the mean hourly wage figures published in May 201</w:t>
      </w:r>
      <w:r w:rsidR="00AD5D9C">
        <w:rPr>
          <w:rFonts w:asciiTheme="minorHAnsi" w:hAnsiTheme="minorHAnsi" w:cstheme="minorHAnsi"/>
          <w:bCs/>
          <w:sz w:val="22"/>
          <w:szCs w:val="22"/>
        </w:rPr>
        <w:t>8</w:t>
      </w:r>
      <w:r w:rsidRPr="005F281E">
        <w:rPr>
          <w:rFonts w:asciiTheme="minorHAnsi" w:hAnsiTheme="minorHAnsi" w:cstheme="minorHAnsi"/>
          <w:bCs/>
          <w:sz w:val="22"/>
          <w:szCs w:val="22"/>
        </w:rPr>
        <w:t xml:space="preserve"> by the Bureau of Labor Statistics (</w:t>
      </w:r>
      <w:hyperlink w:history="1" w:anchor="19-0000" r:id="rId12">
        <w:r w:rsidRPr="005F281E">
          <w:rPr>
            <w:rStyle w:val="Hyperlink"/>
            <w:rFonts w:asciiTheme="minorHAnsi" w:hAnsiTheme="minorHAnsi" w:cstheme="minorHAnsi"/>
            <w:bCs/>
            <w:sz w:val="22"/>
            <w:szCs w:val="22"/>
          </w:rPr>
          <w:t>http://www.bls.gov/oes/current/oes_nat.htm#19-0000</w:t>
        </w:r>
      </w:hyperlink>
      <w:r w:rsidRPr="005F281E">
        <w:rPr>
          <w:rFonts w:asciiTheme="minorHAnsi" w:hAnsiTheme="minorHAnsi" w:cstheme="minorHAnsi"/>
          <w:bCs/>
          <w:sz w:val="22"/>
          <w:szCs w:val="22"/>
        </w:rPr>
        <w:t xml:space="preserve"> ) </w:t>
      </w:r>
    </w:p>
    <w:p w:rsidR="00966673" w:rsidP="005F281E" w:rsidRDefault="00966673" w14:paraId="389E3E3C" w14:textId="23BF6AE5">
      <w:pPr>
        <w:rPr>
          <w:rFonts w:asciiTheme="minorHAnsi" w:hAnsiTheme="minorHAnsi" w:cstheme="minorHAnsi"/>
          <w:sz w:val="22"/>
          <w:szCs w:val="22"/>
        </w:rPr>
      </w:pPr>
    </w:p>
    <w:p w:rsidR="00C2565F" w:rsidP="00967AAE" w:rsidRDefault="00917F4A" w14:paraId="284B915B" w14:textId="7DAA964F">
      <w:pPr>
        <w:jc w:val="center"/>
        <w:rPr>
          <w:rFonts w:ascii="Calibri" w:hAnsi="Calibri" w:cs="Calibri"/>
          <w:smallCaps/>
          <w:sz w:val="22"/>
          <w:szCs w:val="22"/>
        </w:rPr>
      </w:pPr>
      <w:r w:rsidRPr="005B592C">
        <w:rPr>
          <w:rFonts w:ascii="Calibri" w:hAnsi="Calibri" w:cs="Calibri"/>
          <w:smallCaps/>
          <w:sz w:val="22"/>
          <w:szCs w:val="22"/>
        </w:rPr>
        <w:t xml:space="preserve">Table </w:t>
      </w:r>
      <w:r w:rsidRPr="005B592C" w:rsidR="00967AAE">
        <w:rPr>
          <w:rFonts w:ascii="Calibri" w:hAnsi="Calibri" w:cs="Calibri"/>
          <w:smallCaps/>
          <w:sz w:val="22"/>
          <w:szCs w:val="22"/>
        </w:rPr>
        <w:t>12 - 2   Annual Cost To Respondent</w:t>
      </w:r>
      <w:r w:rsidR="00966673">
        <w:rPr>
          <w:rFonts w:ascii="Calibri" w:hAnsi="Calibri" w:cs="Calibri"/>
          <w:smallCaps/>
          <w:sz w:val="22"/>
          <w:szCs w:val="22"/>
        </w:rPr>
        <w:t>s</w:t>
      </w:r>
    </w:p>
    <w:tbl>
      <w:tblPr>
        <w:tblW w:w="8010"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2"/>
        <w:gridCol w:w="1661"/>
        <w:gridCol w:w="1909"/>
        <w:gridCol w:w="2748"/>
      </w:tblGrid>
      <w:tr w:rsidRPr="00CC667A" w:rsidR="0093244C" w:rsidTr="00535D4E" w14:paraId="32E977B0" w14:textId="77777777">
        <w:tc>
          <w:tcPr>
            <w:tcW w:w="1692" w:type="dxa"/>
          </w:tcPr>
          <w:p w:rsidRPr="00CC667A" w:rsidR="0093244C" w:rsidP="00B06047" w:rsidRDefault="0093244C" w14:paraId="0A7A2111" w14:textId="77777777">
            <w:r w:rsidRPr="00CC667A">
              <w:t>Type of Respondents</w:t>
            </w:r>
          </w:p>
        </w:tc>
        <w:tc>
          <w:tcPr>
            <w:tcW w:w="1661" w:type="dxa"/>
          </w:tcPr>
          <w:p w:rsidRPr="00CC667A" w:rsidR="0093244C" w:rsidP="00B06047" w:rsidRDefault="0093244C" w14:paraId="0A5350A9" w14:textId="19FB0157">
            <w:r>
              <w:t xml:space="preserve">Total Annual Burden Hours </w:t>
            </w:r>
          </w:p>
        </w:tc>
        <w:tc>
          <w:tcPr>
            <w:tcW w:w="1909" w:type="dxa"/>
          </w:tcPr>
          <w:p w:rsidRPr="00CC667A" w:rsidR="0093244C" w:rsidP="00B06047" w:rsidRDefault="0093244C" w14:paraId="536C8900" w14:textId="0CB7EE96">
            <w:r w:rsidRPr="00CC667A">
              <w:t>Hourly</w:t>
            </w:r>
            <w:r>
              <w:t xml:space="preserve"> Respondent </w:t>
            </w:r>
            <w:r w:rsidRPr="00CC667A">
              <w:t>Wage Rate</w:t>
            </w:r>
            <w:r>
              <w:t>*</w:t>
            </w:r>
          </w:p>
        </w:tc>
        <w:tc>
          <w:tcPr>
            <w:tcW w:w="2748" w:type="dxa"/>
          </w:tcPr>
          <w:p w:rsidRPr="00CC667A" w:rsidR="0093244C" w:rsidP="00966673" w:rsidRDefault="0093244C" w14:paraId="05D0A3A3" w14:textId="77777777">
            <w:pPr>
              <w:spacing w:after="0" w:line="240" w:lineRule="auto"/>
            </w:pPr>
            <w:r w:rsidRPr="00CC667A">
              <w:t>Respondent</w:t>
            </w:r>
          </w:p>
          <w:p w:rsidRPr="00CC667A" w:rsidR="0093244C" w:rsidP="00966673" w:rsidRDefault="0093244C" w14:paraId="30226780" w14:textId="77777777">
            <w:pPr>
              <w:spacing w:after="0" w:line="240" w:lineRule="auto"/>
            </w:pPr>
            <w:r w:rsidRPr="00CC667A">
              <w:t>Cost</w:t>
            </w:r>
          </w:p>
        </w:tc>
      </w:tr>
      <w:tr w:rsidRPr="00CC667A" w:rsidR="0093244C" w:rsidTr="00535D4E" w14:paraId="2DBBAA16" w14:textId="77777777">
        <w:tc>
          <w:tcPr>
            <w:tcW w:w="1692" w:type="dxa"/>
          </w:tcPr>
          <w:p w:rsidRPr="00CC667A" w:rsidR="0093244C" w:rsidP="002F77A7" w:rsidRDefault="0093244C" w14:paraId="41A15AC7" w14:textId="77777777">
            <w:r w:rsidRPr="00CC667A">
              <w:t>Researcher</w:t>
            </w:r>
          </w:p>
        </w:tc>
        <w:tc>
          <w:tcPr>
            <w:tcW w:w="1661" w:type="dxa"/>
          </w:tcPr>
          <w:p w:rsidRPr="00CC667A" w:rsidR="0093244C" w:rsidP="00B06047" w:rsidRDefault="0093244C" w14:paraId="662454D7" w14:textId="07489549">
            <w:r>
              <w:t>794</w:t>
            </w:r>
          </w:p>
        </w:tc>
        <w:tc>
          <w:tcPr>
            <w:tcW w:w="1909" w:type="dxa"/>
          </w:tcPr>
          <w:p w:rsidRPr="00CC667A" w:rsidR="0093244C" w:rsidP="00B06047" w:rsidRDefault="0093244C" w14:paraId="537CC91F" w14:textId="77777777">
            <w:r w:rsidRPr="00CC667A">
              <w:t>$</w:t>
            </w:r>
            <w:r>
              <w:t>38</w:t>
            </w:r>
          </w:p>
        </w:tc>
        <w:tc>
          <w:tcPr>
            <w:tcW w:w="2748" w:type="dxa"/>
          </w:tcPr>
          <w:p w:rsidRPr="00CC667A" w:rsidR="0093244C" w:rsidP="009408D5" w:rsidRDefault="0093244C" w14:paraId="753C84B2" w14:textId="2DEF6303">
            <w:r>
              <w:t>$30,153</w:t>
            </w:r>
          </w:p>
        </w:tc>
      </w:tr>
      <w:tr w:rsidRPr="00CC667A" w:rsidR="00535D4E" w:rsidTr="00535D4E" w14:paraId="1F0573ED" w14:textId="77777777">
        <w:tc>
          <w:tcPr>
            <w:tcW w:w="1692" w:type="dxa"/>
          </w:tcPr>
          <w:p w:rsidRPr="00CC667A" w:rsidR="00535D4E" w:rsidP="002F77A7" w:rsidRDefault="00AD5D9C" w14:paraId="19ED2D85" w14:textId="2BC45F10">
            <w:r>
              <w:t>Total</w:t>
            </w:r>
          </w:p>
        </w:tc>
        <w:tc>
          <w:tcPr>
            <w:tcW w:w="1661" w:type="dxa"/>
          </w:tcPr>
          <w:p w:rsidR="00535D4E" w:rsidP="00B06047" w:rsidRDefault="00535D4E" w14:paraId="3AF80489" w14:textId="77777777"/>
        </w:tc>
        <w:tc>
          <w:tcPr>
            <w:tcW w:w="1909" w:type="dxa"/>
          </w:tcPr>
          <w:p w:rsidRPr="00CC667A" w:rsidR="00535D4E" w:rsidP="00B06047" w:rsidRDefault="00535D4E" w14:paraId="57D2BE9B" w14:textId="77777777"/>
        </w:tc>
        <w:tc>
          <w:tcPr>
            <w:tcW w:w="2748" w:type="dxa"/>
          </w:tcPr>
          <w:p w:rsidR="00535D4E" w:rsidP="009408D5" w:rsidRDefault="00AD5D9C" w14:paraId="4AE71B0C" w14:textId="01A3EB08">
            <w:r>
              <w:t>$30, 153</w:t>
            </w:r>
          </w:p>
        </w:tc>
      </w:tr>
    </w:tbl>
    <w:p w:rsidR="0093431F" w:rsidP="005F281E" w:rsidRDefault="00C420D3" w14:paraId="1B666179" w14:textId="3C2FBE12">
      <w:pPr>
        <w:spacing w:line="240" w:lineRule="auto"/>
        <w:rPr>
          <w:bCs/>
          <w:sz w:val="20"/>
        </w:rPr>
      </w:pPr>
      <w:r>
        <w:rPr>
          <w:szCs w:val="32"/>
        </w:rPr>
        <w:t>*</w:t>
      </w:r>
      <w:r w:rsidR="00D920A6">
        <w:rPr>
          <w:szCs w:val="32"/>
        </w:rPr>
        <w:t xml:space="preserve">source: </w:t>
      </w:r>
      <w:r w:rsidR="00D920A6">
        <w:rPr>
          <w:bCs/>
          <w:sz w:val="20"/>
        </w:rPr>
        <w:t>May 201</w:t>
      </w:r>
      <w:r w:rsidR="00D83A8B">
        <w:rPr>
          <w:bCs/>
          <w:sz w:val="20"/>
        </w:rPr>
        <w:t>8</w:t>
      </w:r>
      <w:r w:rsidRPr="00D920A6" w:rsidR="00D920A6">
        <w:rPr>
          <w:bCs/>
          <w:sz w:val="20"/>
        </w:rPr>
        <w:t xml:space="preserve"> Bureau of Labor Statistics (</w:t>
      </w:r>
      <w:hyperlink w:history="1" w:anchor="19-0000" r:id="rId13">
        <w:r w:rsidRPr="00D920A6" w:rsidR="00D920A6">
          <w:rPr>
            <w:rStyle w:val="Hyperlink"/>
            <w:bCs/>
            <w:sz w:val="20"/>
          </w:rPr>
          <w:t>http://www.bls.gov/oes/current/oes_nat.htm#19-0000</w:t>
        </w:r>
      </w:hyperlink>
      <w:r w:rsidRPr="00D920A6" w:rsidR="00D920A6">
        <w:rPr>
          <w:bCs/>
          <w:sz w:val="20"/>
        </w:rPr>
        <w:t>)</w:t>
      </w:r>
    </w:p>
    <w:p w:rsidRPr="005F281E" w:rsidR="0093244C" w:rsidP="005F281E" w:rsidRDefault="0093244C" w14:paraId="5FF6BE75" w14:textId="77777777">
      <w:pPr>
        <w:spacing w:after="0" w:line="240" w:lineRule="auto"/>
        <w:rPr>
          <w:rFonts w:ascii="Calibri" w:hAnsi="Calibri" w:cs="Calibri"/>
          <w:sz w:val="22"/>
          <w:szCs w:val="22"/>
        </w:rPr>
      </w:pPr>
    </w:p>
    <w:p w:rsidRPr="005F281E" w:rsidR="0093431F" w:rsidP="005F281E" w:rsidRDefault="0093431F" w14:paraId="04DC10BC" w14:textId="77777777">
      <w:pPr>
        <w:pStyle w:val="Heading2"/>
        <w:tabs>
          <w:tab w:val="clear" w:pos="1152"/>
          <w:tab w:val="left" w:pos="720"/>
        </w:tabs>
        <w:spacing w:after="160" w:line="259" w:lineRule="auto"/>
        <w:ind w:left="0" w:firstLine="0"/>
        <w:rPr>
          <w:rFonts w:asciiTheme="minorHAnsi" w:hAnsiTheme="minorHAnsi" w:cstheme="minorHAnsi"/>
          <w:szCs w:val="22"/>
        </w:rPr>
      </w:pPr>
      <w:bookmarkStart w:name="_Toc443881756" w:id="41"/>
      <w:bookmarkStart w:name="_Toc451592243" w:id="42"/>
      <w:bookmarkStart w:name="_Toc5610284" w:id="43"/>
      <w:bookmarkStart w:name="_Toc99178790" w:id="44"/>
      <w:r w:rsidRPr="005F281E">
        <w:rPr>
          <w:rFonts w:asciiTheme="minorHAnsi" w:hAnsiTheme="minorHAnsi" w:cstheme="minorHAnsi"/>
          <w:szCs w:val="22"/>
        </w:rPr>
        <w:t>A.13</w:t>
      </w:r>
      <w:r w:rsidRPr="005F281E">
        <w:rPr>
          <w:rFonts w:asciiTheme="minorHAnsi" w:hAnsiTheme="minorHAnsi" w:cstheme="minorHAnsi"/>
          <w:szCs w:val="22"/>
        </w:rPr>
        <w:tab/>
        <w:t>Estimate of Other Total Annual Cost</w:t>
      </w:r>
      <w:r w:rsidRPr="005F281E" w:rsidR="00BC4E67">
        <w:rPr>
          <w:rFonts w:asciiTheme="minorHAnsi" w:hAnsiTheme="minorHAnsi" w:cstheme="minorHAnsi"/>
          <w:szCs w:val="22"/>
        </w:rPr>
        <w:t xml:space="preserve"> Burden to Respondents or Record </w:t>
      </w:r>
      <w:r w:rsidRPr="005F281E">
        <w:rPr>
          <w:rFonts w:asciiTheme="minorHAnsi" w:hAnsiTheme="minorHAnsi" w:cstheme="minorHAnsi"/>
          <w:szCs w:val="22"/>
        </w:rPr>
        <w:t>Keepers</w:t>
      </w:r>
      <w:bookmarkEnd w:id="41"/>
      <w:bookmarkEnd w:id="42"/>
      <w:bookmarkEnd w:id="43"/>
      <w:bookmarkEnd w:id="44"/>
    </w:p>
    <w:p w:rsidR="00500AF8" w:rsidP="005F281E" w:rsidRDefault="00500AF8" w14:paraId="097ABEC3" w14:textId="17F58352">
      <w:pPr>
        <w:rPr>
          <w:rFonts w:asciiTheme="minorHAnsi" w:hAnsiTheme="minorHAnsi" w:cstheme="minorHAnsi"/>
          <w:sz w:val="22"/>
          <w:szCs w:val="22"/>
        </w:rPr>
      </w:pPr>
      <w:r w:rsidRPr="005F281E">
        <w:rPr>
          <w:rFonts w:asciiTheme="minorHAnsi" w:hAnsiTheme="minorHAnsi" w:cstheme="minorHAnsi"/>
          <w:sz w:val="22"/>
          <w:szCs w:val="22"/>
        </w:rPr>
        <w:t xml:space="preserve">There are no special requirements for using the online </w:t>
      </w:r>
      <w:proofErr w:type="spellStart"/>
      <w:r w:rsidRPr="005F281E">
        <w:rPr>
          <w:rFonts w:asciiTheme="minorHAnsi" w:hAnsiTheme="minorHAnsi" w:cstheme="minorHAnsi"/>
          <w:sz w:val="22"/>
          <w:szCs w:val="22"/>
        </w:rPr>
        <w:t>CoC</w:t>
      </w:r>
      <w:proofErr w:type="spellEnd"/>
      <w:r w:rsidRPr="005F281E">
        <w:rPr>
          <w:rFonts w:asciiTheme="minorHAnsi" w:hAnsiTheme="minorHAnsi" w:cstheme="minorHAnsi"/>
          <w:sz w:val="22"/>
          <w:szCs w:val="22"/>
        </w:rPr>
        <w:t xml:space="preserve"> </w:t>
      </w:r>
      <w:r w:rsidRPr="005F281E" w:rsidR="001465A0">
        <w:rPr>
          <w:rFonts w:asciiTheme="minorHAnsi" w:hAnsiTheme="minorHAnsi" w:cstheme="minorHAnsi"/>
          <w:sz w:val="22"/>
          <w:szCs w:val="22"/>
        </w:rPr>
        <w:t>request</w:t>
      </w:r>
      <w:r w:rsidRPr="005F281E">
        <w:rPr>
          <w:rFonts w:asciiTheme="minorHAnsi" w:hAnsiTheme="minorHAnsi" w:cstheme="minorHAnsi"/>
          <w:sz w:val="22"/>
          <w:szCs w:val="22"/>
        </w:rPr>
        <w:t xml:space="preserve"> system beyond internet access.  Thus, there are no other costs to users.</w:t>
      </w:r>
    </w:p>
    <w:p w:rsidRPr="005F281E" w:rsidR="005E66C6" w:rsidP="005F281E" w:rsidRDefault="005E66C6" w14:paraId="04AA7779" w14:textId="77777777">
      <w:pPr>
        <w:pStyle w:val="Heading2"/>
        <w:tabs>
          <w:tab w:val="clear" w:pos="1152"/>
          <w:tab w:val="left" w:pos="720"/>
        </w:tabs>
        <w:spacing w:after="160" w:line="259" w:lineRule="auto"/>
        <w:ind w:left="0" w:firstLine="0"/>
        <w:rPr>
          <w:rFonts w:asciiTheme="minorHAnsi" w:hAnsiTheme="minorHAnsi" w:cstheme="minorHAnsi"/>
          <w:szCs w:val="22"/>
        </w:rPr>
      </w:pPr>
      <w:bookmarkStart w:name="_Toc359938803" w:id="45"/>
      <w:r w:rsidRPr="005F281E">
        <w:rPr>
          <w:rFonts w:asciiTheme="minorHAnsi" w:hAnsiTheme="minorHAnsi" w:cstheme="minorHAnsi"/>
          <w:szCs w:val="22"/>
        </w:rPr>
        <w:t>A.14</w:t>
      </w:r>
      <w:r w:rsidRPr="005F281E">
        <w:rPr>
          <w:rFonts w:asciiTheme="minorHAnsi" w:hAnsiTheme="minorHAnsi" w:cstheme="minorHAnsi"/>
          <w:szCs w:val="22"/>
        </w:rPr>
        <w:tab/>
        <w:t xml:space="preserve">Annualized Cost to the Federal Government  </w:t>
      </w:r>
    </w:p>
    <w:p w:rsidR="005E66C6" w:rsidP="005F281E" w:rsidRDefault="005E66C6" w14:paraId="1AB60306" w14:textId="20390B71">
      <w:pPr>
        <w:rPr>
          <w:rFonts w:asciiTheme="minorHAnsi" w:hAnsiTheme="minorHAnsi" w:cstheme="minorHAnsi"/>
          <w:sz w:val="22"/>
          <w:szCs w:val="22"/>
        </w:rPr>
      </w:pPr>
      <w:r w:rsidRPr="005F281E">
        <w:rPr>
          <w:rFonts w:asciiTheme="minorHAnsi" w:hAnsiTheme="minorHAnsi" w:cstheme="minorHAnsi"/>
          <w:sz w:val="22"/>
          <w:szCs w:val="22"/>
        </w:rPr>
        <w:t xml:space="preserve">The total costs to the Federal Government for the next three years of the </w:t>
      </w:r>
      <w:proofErr w:type="spellStart"/>
      <w:r w:rsidRPr="005F281E">
        <w:rPr>
          <w:rFonts w:asciiTheme="minorHAnsi" w:hAnsiTheme="minorHAnsi" w:cstheme="minorHAnsi"/>
          <w:sz w:val="22"/>
          <w:szCs w:val="22"/>
        </w:rPr>
        <w:t>CoC</w:t>
      </w:r>
      <w:proofErr w:type="spellEnd"/>
      <w:r w:rsidRPr="005F281E">
        <w:rPr>
          <w:rFonts w:asciiTheme="minorHAnsi" w:hAnsiTheme="minorHAnsi" w:cstheme="minorHAnsi"/>
          <w:sz w:val="22"/>
          <w:szCs w:val="22"/>
        </w:rPr>
        <w:t xml:space="preserve"> electronic request system is $352,848.  This includes the costs of correction of minor system problems ($5,000 per year), annual maintenance costs ($6,000 per year), annual NIH IT security assessment costs ($5,000 per year), 5% annually of a GS 14-3FTE for oversight ($6,446 per year), 10% annually of a GS 12-7 </w:t>
      </w:r>
      <w:r w:rsidRPr="005F281E">
        <w:rPr>
          <w:rFonts w:asciiTheme="minorHAnsi" w:hAnsiTheme="minorHAnsi" w:cstheme="minorHAnsi"/>
          <w:sz w:val="22"/>
          <w:szCs w:val="22"/>
        </w:rPr>
        <w:lastRenderedPageBreak/>
        <w:t>FTE ($9,786) and 40% annually of Human Subjects Research Program Manager contractor ($85,383) for coordination.  The average annual cost for the 3-year period is $117,616.</w:t>
      </w:r>
    </w:p>
    <w:p w:rsidRPr="005F281E" w:rsidR="000266F6" w:rsidP="005F281E" w:rsidRDefault="000266F6" w14:paraId="4B2D14EE" w14:textId="77777777">
      <w:pPr>
        <w:rPr>
          <w:rFonts w:asciiTheme="minorHAnsi" w:hAnsiTheme="minorHAnsi" w:cstheme="minorHAnsi"/>
          <w:sz w:val="22"/>
          <w:szCs w:val="22"/>
        </w:rPr>
      </w:pPr>
    </w:p>
    <w:tbl>
      <w:tblPr>
        <w:tblW w:w="9522" w:type="dxa"/>
        <w:tblInd w:w="-465"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2F6122" w:rsidTr="0081778E" w14:paraId="54EA2957"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bookmarkEnd w:id="45"/>
          <w:p w:rsidRPr="001249FF" w:rsidR="002F6122" w:rsidP="00CD3ED9" w:rsidRDefault="002F6122" w14:paraId="09B3317A" w14:textId="77777777">
            <w:pPr>
              <w:rPr>
                <w:rFonts w:eastAsia="Calibri"/>
                <w:b/>
                <w:bCs/>
                <w:color w:val="000000"/>
                <w:sz w:val="22"/>
                <w:szCs w:val="22"/>
              </w:rPr>
            </w:pPr>
            <w:r>
              <w:rPr>
                <w:b/>
                <w:bCs/>
                <w:color w:val="000000"/>
                <w:sz w:val="22"/>
                <w:szCs w:val="22"/>
              </w:rPr>
              <w:t>Cost Descriptions</w:t>
            </w:r>
          </w:p>
        </w:tc>
        <w:tc>
          <w:tcPr>
            <w:tcW w:w="1440" w:type="dxa"/>
            <w:tcBorders>
              <w:top w:val="single" w:color="auto" w:sz="8" w:space="0"/>
              <w:left w:val="nil"/>
              <w:bottom w:val="single" w:color="auto" w:sz="8" w:space="0"/>
              <w:right w:val="single" w:color="auto" w:sz="8" w:space="0"/>
            </w:tcBorders>
            <w:shd w:val="clear" w:color="auto" w:fill="auto"/>
            <w:vAlign w:val="bottom"/>
          </w:tcPr>
          <w:p w:rsidRPr="001249FF" w:rsidR="002F6122" w:rsidP="00CD3ED9" w:rsidRDefault="002F6122" w14:paraId="3A7DCB45" w14:textId="77777777">
            <w:pPr>
              <w:rPr>
                <w:rFonts w:eastAsia="Calibri"/>
                <w:b/>
                <w:bCs/>
                <w:color w:val="1F497D"/>
                <w:sz w:val="22"/>
                <w:szCs w:val="22"/>
              </w:rPr>
            </w:pPr>
          </w:p>
          <w:p w:rsidRPr="001249FF" w:rsidR="002F6122" w:rsidP="00CD3ED9" w:rsidRDefault="002F6122" w14:paraId="06EBE784" w14:textId="77777777">
            <w:pPr>
              <w:rPr>
                <w:rFonts w:eastAsia="Calibri"/>
                <w:b/>
                <w:bCs/>
                <w:color w:val="000000"/>
                <w:sz w:val="22"/>
                <w:szCs w:val="22"/>
              </w:rPr>
            </w:pPr>
            <w:r w:rsidRPr="001249FF">
              <w:rPr>
                <w:b/>
                <w:bCs/>
                <w:color w:val="000000"/>
                <w:sz w:val="22"/>
                <w:szCs w:val="22"/>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1249FF" w:rsidR="002F6122" w:rsidP="00CD3ED9" w:rsidRDefault="002F6122" w14:paraId="231D7771" w14:textId="2881EAF4">
            <w:pPr>
              <w:rPr>
                <w:rFonts w:eastAsia="Calibri"/>
                <w:b/>
                <w:bCs/>
                <w:sz w:val="22"/>
                <w:szCs w:val="22"/>
              </w:rPr>
            </w:pPr>
            <w:r w:rsidRPr="001249FF">
              <w:rPr>
                <w:b/>
                <w:bCs/>
                <w:sz w:val="22"/>
                <w:szCs w:val="22"/>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1249FF" w:rsidR="002F6122" w:rsidP="00CD3ED9" w:rsidRDefault="002F6122" w14:paraId="3C7BDE47" w14:textId="77777777">
            <w:pPr>
              <w:rPr>
                <w:rFonts w:eastAsia="Calibri"/>
                <w:b/>
                <w:bCs/>
                <w:sz w:val="22"/>
                <w:szCs w:val="22"/>
              </w:rPr>
            </w:pPr>
            <w:r w:rsidRPr="001249FF">
              <w:rPr>
                <w:b/>
                <w:bCs/>
                <w:sz w:val="22"/>
                <w:szCs w:val="22"/>
              </w:rPr>
              <w:t>% of Effort</w:t>
            </w:r>
          </w:p>
        </w:tc>
        <w:tc>
          <w:tcPr>
            <w:tcW w:w="1363" w:type="dxa"/>
            <w:tcBorders>
              <w:top w:val="single" w:color="auto" w:sz="8" w:space="0"/>
              <w:left w:val="nil"/>
              <w:bottom w:val="single" w:color="auto" w:sz="8" w:space="0"/>
              <w:right w:val="single" w:color="auto" w:sz="8" w:space="0"/>
            </w:tcBorders>
            <w:shd w:val="clear" w:color="auto" w:fill="auto"/>
          </w:tcPr>
          <w:p w:rsidRPr="001249FF" w:rsidR="002F6122" w:rsidP="00CD3ED9" w:rsidRDefault="002F6122" w14:paraId="770B146B" w14:textId="77777777">
            <w:pPr>
              <w:rPr>
                <w:b/>
                <w:bCs/>
                <w:sz w:val="22"/>
                <w:szCs w:val="22"/>
              </w:rPr>
            </w:pPr>
            <w:r w:rsidRPr="001249FF">
              <w:rPr>
                <w:b/>
                <w:bCs/>
                <w:sz w:val="22"/>
                <w:szCs w:val="22"/>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1249FF" w:rsidR="002F6122" w:rsidP="00CD3ED9" w:rsidRDefault="002F6122" w14:paraId="7F1B49C6" w14:textId="77777777">
            <w:pPr>
              <w:rPr>
                <w:b/>
                <w:bCs/>
                <w:sz w:val="22"/>
                <w:szCs w:val="22"/>
              </w:rPr>
            </w:pPr>
            <w:r>
              <w:rPr>
                <w:b/>
                <w:bCs/>
                <w:sz w:val="22"/>
                <w:szCs w:val="22"/>
              </w:rPr>
              <w:t>Total C</w:t>
            </w:r>
            <w:r w:rsidRPr="001249FF">
              <w:rPr>
                <w:b/>
                <w:bCs/>
                <w:sz w:val="22"/>
                <w:szCs w:val="22"/>
              </w:rPr>
              <w:t>ost to Gov’t</w:t>
            </w:r>
          </w:p>
        </w:tc>
      </w:tr>
      <w:tr w:rsidR="002F6122" w:rsidTr="0081778E" w14:paraId="1952838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249FF" w:rsidR="002F6122" w:rsidP="002D2E20" w:rsidRDefault="002F6122" w14:paraId="3640C48D" w14:textId="77777777">
            <w:pPr>
              <w:rPr>
                <w:rFonts w:eastAsia="Calibri"/>
                <w:b/>
                <w:color w:val="000000"/>
                <w:sz w:val="22"/>
                <w:szCs w:val="22"/>
                <w:highlight w:val="yellow"/>
              </w:rPr>
            </w:pPr>
            <w:r w:rsidRPr="001249FF">
              <w:rPr>
                <w:rFonts w:eastAsia="Calibri"/>
                <w:b/>
                <w:color w:val="000000"/>
                <w:sz w:val="22"/>
                <w:szCs w:val="22"/>
              </w:rPr>
              <w:t>Federal Oversight</w:t>
            </w:r>
          </w:p>
        </w:tc>
        <w:tc>
          <w:tcPr>
            <w:tcW w:w="1440" w:type="dxa"/>
            <w:tcBorders>
              <w:top w:val="nil"/>
              <w:left w:val="nil"/>
              <w:bottom w:val="single" w:color="auto" w:sz="8" w:space="0"/>
              <w:right w:val="single" w:color="auto" w:sz="8" w:space="0"/>
            </w:tcBorders>
            <w:shd w:val="pct20" w:color="auto" w:fill="auto"/>
          </w:tcPr>
          <w:p w:rsidRPr="001249FF" w:rsidR="002F6122" w:rsidP="00CD3ED9" w:rsidRDefault="002F6122" w14:paraId="6DC115CF" w14:textId="77777777">
            <w:pPr>
              <w:rPr>
                <w:rFonts w:eastAsia="Calibri"/>
                <w:color w:val="000000"/>
                <w:sz w:val="22"/>
                <w:szCs w:val="22"/>
                <w:highlight w:val="yellow"/>
              </w:rPr>
            </w:pPr>
          </w:p>
        </w:tc>
        <w:tc>
          <w:tcPr>
            <w:tcW w:w="1260" w:type="dxa"/>
            <w:tcBorders>
              <w:top w:val="nil"/>
              <w:left w:val="nil"/>
              <w:bottom w:val="single" w:color="auto" w:sz="8" w:space="0"/>
              <w:right w:val="single" w:color="auto" w:sz="8" w:space="0"/>
            </w:tcBorders>
            <w:shd w:val="pct20" w:color="auto" w:fill="auto"/>
            <w:noWrap/>
            <w:tcMar>
              <w:top w:w="0" w:type="dxa"/>
              <w:left w:w="108" w:type="dxa"/>
              <w:bottom w:w="0" w:type="dxa"/>
              <w:right w:w="108" w:type="dxa"/>
            </w:tcMar>
            <w:vAlign w:val="bottom"/>
          </w:tcPr>
          <w:p w:rsidRPr="001249FF" w:rsidR="002F6122" w:rsidP="002D2E20" w:rsidRDefault="002F6122" w14:paraId="236E9612" w14:textId="77777777">
            <w:pPr>
              <w:rPr>
                <w:sz w:val="22"/>
                <w:szCs w:val="22"/>
              </w:rPr>
            </w:pPr>
          </w:p>
        </w:tc>
        <w:tc>
          <w:tcPr>
            <w:tcW w:w="1363" w:type="dxa"/>
            <w:tcBorders>
              <w:top w:val="nil"/>
              <w:left w:val="nil"/>
              <w:bottom w:val="single" w:color="auto" w:sz="8" w:space="0"/>
              <w:right w:val="single" w:color="auto" w:sz="8" w:space="0"/>
            </w:tcBorders>
            <w:shd w:val="pct20" w:color="auto" w:fill="auto"/>
            <w:noWrap/>
            <w:tcMar>
              <w:top w:w="0" w:type="dxa"/>
              <w:left w:w="108" w:type="dxa"/>
              <w:bottom w:w="0" w:type="dxa"/>
              <w:right w:w="108" w:type="dxa"/>
            </w:tcMar>
            <w:vAlign w:val="bottom"/>
          </w:tcPr>
          <w:p w:rsidRPr="001249FF" w:rsidR="002F6122" w:rsidP="002D2E20" w:rsidRDefault="002F6122" w14:paraId="647FEB5B" w14:textId="77777777">
            <w:pPr>
              <w:rPr>
                <w:sz w:val="22"/>
                <w:szCs w:val="22"/>
              </w:rPr>
            </w:pPr>
          </w:p>
        </w:tc>
        <w:tc>
          <w:tcPr>
            <w:tcW w:w="1363" w:type="dxa"/>
            <w:tcBorders>
              <w:top w:val="nil"/>
              <w:left w:val="nil"/>
              <w:bottom w:val="single" w:color="auto" w:sz="8" w:space="0"/>
              <w:right w:val="single" w:color="auto" w:sz="8" w:space="0"/>
            </w:tcBorders>
            <w:shd w:val="clear" w:color="auto" w:fill="BFBFBF"/>
          </w:tcPr>
          <w:p w:rsidRPr="001249FF" w:rsidR="002F6122" w:rsidP="002D2E20" w:rsidRDefault="002F6122" w14:paraId="1A74F274" w14:textId="77777777">
            <w:pPr>
              <w:rPr>
                <w:sz w:val="22"/>
                <w:szCs w:val="22"/>
              </w:rPr>
            </w:pPr>
          </w:p>
        </w:tc>
        <w:tc>
          <w:tcPr>
            <w:tcW w:w="1363" w:type="dxa"/>
            <w:tcBorders>
              <w:top w:val="nil"/>
              <w:left w:val="nil"/>
              <w:bottom w:val="single" w:color="auto" w:sz="8" w:space="0"/>
              <w:right w:val="single" w:color="auto" w:sz="8" w:space="0"/>
            </w:tcBorders>
            <w:shd w:val="pct20" w:color="auto" w:fill="auto"/>
          </w:tcPr>
          <w:p w:rsidRPr="001249FF" w:rsidR="002F6122" w:rsidP="002D2E20" w:rsidRDefault="002F6122" w14:paraId="1386114D" w14:textId="77777777">
            <w:pPr>
              <w:rPr>
                <w:sz w:val="22"/>
                <w:szCs w:val="22"/>
              </w:rPr>
            </w:pPr>
          </w:p>
        </w:tc>
      </w:tr>
      <w:tr w:rsidR="002F6122" w:rsidTr="0081778E" w14:paraId="36966D6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249FF" w:rsidR="002F6122" w:rsidP="002D2E20" w:rsidRDefault="002F6122" w14:paraId="0D8D8421" w14:textId="77777777">
            <w:pPr>
              <w:rPr>
                <w:rFonts w:eastAsia="Calibri"/>
                <w:sz w:val="22"/>
                <w:szCs w:val="22"/>
              </w:rPr>
            </w:pPr>
            <w:r>
              <w:rPr>
                <w:rFonts w:eastAsia="Calibri"/>
                <w:sz w:val="22"/>
                <w:szCs w:val="22"/>
              </w:rPr>
              <w:t xml:space="preserve">NIH Extramural </w:t>
            </w:r>
            <w:proofErr w:type="spellStart"/>
            <w:r>
              <w:rPr>
                <w:rFonts w:eastAsia="Calibri"/>
                <w:sz w:val="22"/>
                <w:szCs w:val="22"/>
              </w:rPr>
              <w:t>CoC</w:t>
            </w:r>
            <w:proofErr w:type="spellEnd"/>
            <w:r>
              <w:rPr>
                <w:rFonts w:eastAsia="Calibri"/>
                <w:sz w:val="22"/>
                <w:szCs w:val="22"/>
              </w:rPr>
              <w:t xml:space="preserve"> Administrator</w:t>
            </w:r>
          </w:p>
        </w:tc>
        <w:tc>
          <w:tcPr>
            <w:tcW w:w="1440" w:type="dxa"/>
            <w:tcBorders>
              <w:top w:val="nil"/>
              <w:left w:val="nil"/>
              <w:bottom w:val="single" w:color="auto" w:sz="8" w:space="0"/>
              <w:right w:val="single" w:color="auto" w:sz="8" w:space="0"/>
            </w:tcBorders>
          </w:tcPr>
          <w:p w:rsidR="002F6122" w:rsidP="002D2E20" w:rsidRDefault="002F6122" w14:paraId="0912998B" w14:textId="77777777">
            <w:pPr>
              <w:rPr>
                <w:rFonts w:eastAsia="Calibri"/>
                <w:sz w:val="22"/>
                <w:szCs w:val="22"/>
              </w:rPr>
            </w:pPr>
          </w:p>
          <w:p w:rsidRPr="001249FF" w:rsidR="002F6122" w:rsidP="002D2E20" w:rsidRDefault="002F6122" w14:paraId="29991BC6" w14:textId="77777777">
            <w:pPr>
              <w:rPr>
                <w:rFonts w:eastAsia="Calibri"/>
                <w:sz w:val="22"/>
                <w:szCs w:val="22"/>
              </w:rPr>
            </w:pPr>
            <w:r>
              <w:rPr>
                <w:rFonts w:eastAsia="Calibri"/>
                <w:sz w:val="22"/>
                <w:szCs w:val="22"/>
              </w:rPr>
              <w:t>GS 1</w:t>
            </w:r>
            <w:r w:rsidR="00C87CB6">
              <w:rPr>
                <w:rFonts w:eastAsia="Calibri"/>
                <w:sz w:val="22"/>
                <w:szCs w:val="22"/>
              </w:rPr>
              <w:t>4</w:t>
            </w:r>
            <w:r>
              <w:rPr>
                <w:rFonts w:eastAsia="Calibri"/>
                <w:sz w:val="22"/>
                <w:szCs w:val="22"/>
              </w:rPr>
              <w:t>-</w:t>
            </w:r>
            <w:r w:rsidR="00742472">
              <w:rPr>
                <w:rFonts w:eastAsia="Calibri"/>
                <w:sz w:val="22"/>
                <w:szCs w:val="22"/>
              </w:rPr>
              <w:t>3</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49FF" w:rsidR="002F6122" w:rsidP="00CD3ED9" w:rsidRDefault="007219F6" w14:paraId="71CB5032" w14:textId="77777777">
            <w:pPr>
              <w:jc w:val="right"/>
              <w:rPr>
                <w:rFonts w:eastAsia="Calibri"/>
                <w:sz w:val="22"/>
                <w:szCs w:val="22"/>
              </w:rPr>
            </w:pPr>
            <w:r>
              <w:rPr>
                <w:rFonts w:eastAsia="Calibri"/>
                <w:sz w:val="22"/>
                <w:szCs w:val="22"/>
              </w:rPr>
              <w:t>$12</w:t>
            </w:r>
            <w:r w:rsidR="00725AC4">
              <w:rPr>
                <w:rFonts w:eastAsia="Calibri"/>
                <w:sz w:val="22"/>
                <w:szCs w:val="22"/>
              </w:rPr>
              <w:t>8</w:t>
            </w:r>
            <w:r>
              <w:rPr>
                <w:rFonts w:eastAsia="Calibri"/>
                <w:sz w:val="22"/>
                <w:szCs w:val="22"/>
              </w:rPr>
              <w:t>,</w:t>
            </w:r>
            <w:r w:rsidR="00725AC4">
              <w:rPr>
                <w:rFonts w:eastAsia="Calibri"/>
                <w:sz w:val="22"/>
                <w:szCs w:val="22"/>
              </w:rPr>
              <w:t>911</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49FF" w:rsidR="002F6122" w:rsidP="00CD3ED9" w:rsidRDefault="001D7F5F" w14:paraId="1FD08321" w14:textId="77777777">
            <w:pPr>
              <w:jc w:val="right"/>
              <w:rPr>
                <w:rFonts w:eastAsia="Calibri"/>
                <w:sz w:val="22"/>
                <w:szCs w:val="22"/>
              </w:rPr>
            </w:pPr>
            <w:r>
              <w:rPr>
                <w:rFonts w:eastAsia="Calibri"/>
                <w:sz w:val="22"/>
                <w:szCs w:val="22"/>
              </w:rPr>
              <w:t>5</w:t>
            </w:r>
            <w:r w:rsidR="00C87CB6">
              <w:rPr>
                <w:rFonts w:eastAsia="Calibri"/>
                <w:sz w:val="22"/>
                <w:szCs w:val="22"/>
              </w:rPr>
              <w:t>%</w:t>
            </w:r>
          </w:p>
        </w:tc>
        <w:tc>
          <w:tcPr>
            <w:tcW w:w="1363" w:type="dxa"/>
            <w:tcBorders>
              <w:top w:val="nil"/>
              <w:left w:val="nil"/>
              <w:bottom w:val="single" w:color="auto" w:sz="8" w:space="0"/>
              <w:right w:val="single" w:color="auto" w:sz="8" w:space="0"/>
            </w:tcBorders>
            <w:shd w:val="clear" w:color="auto" w:fill="BFBFBF"/>
          </w:tcPr>
          <w:p w:rsidRPr="001249FF" w:rsidR="002F6122" w:rsidP="00CD3ED9" w:rsidRDefault="002F6122" w14:paraId="1D43514C" w14:textId="77777777">
            <w:pPr>
              <w:jc w:val="right"/>
              <w:rPr>
                <w:sz w:val="22"/>
                <w:szCs w:val="22"/>
              </w:rPr>
            </w:pPr>
          </w:p>
        </w:tc>
        <w:tc>
          <w:tcPr>
            <w:tcW w:w="1363" w:type="dxa"/>
            <w:tcBorders>
              <w:top w:val="nil"/>
              <w:left w:val="nil"/>
              <w:bottom w:val="single" w:color="auto" w:sz="8" w:space="0"/>
              <w:right w:val="single" w:color="auto" w:sz="8" w:space="0"/>
            </w:tcBorders>
          </w:tcPr>
          <w:p w:rsidR="00687537" w:rsidP="00CD3ED9" w:rsidRDefault="00687537" w14:paraId="3A928EF3" w14:textId="77777777">
            <w:pPr>
              <w:jc w:val="right"/>
              <w:rPr>
                <w:sz w:val="22"/>
                <w:szCs w:val="22"/>
              </w:rPr>
            </w:pPr>
          </w:p>
          <w:p w:rsidR="002F6122" w:rsidP="00CD3ED9" w:rsidRDefault="001D7F5F" w14:paraId="2382DEEA" w14:textId="77777777">
            <w:pPr>
              <w:jc w:val="right"/>
              <w:rPr>
                <w:sz w:val="22"/>
                <w:szCs w:val="22"/>
              </w:rPr>
            </w:pPr>
            <w:r>
              <w:rPr>
                <w:sz w:val="22"/>
                <w:szCs w:val="22"/>
              </w:rPr>
              <w:t>6</w:t>
            </w:r>
            <w:r w:rsidR="002D2E20">
              <w:rPr>
                <w:sz w:val="22"/>
                <w:szCs w:val="22"/>
              </w:rPr>
              <w:t>,</w:t>
            </w:r>
            <w:r w:rsidR="00725AC4">
              <w:rPr>
                <w:sz w:val="22"/>
                <w:szCs w:val="22"/>
              </w:rPr>
              <w:t>446</w:t>
            </w:r>
          </w:p>
          <w:p w:rsidRPr="001249FF" w:rsidR="007219F6" w:rsidP="00CD3ED9" w:rsidRDefault="007219F6" w14:paraId="6EAE7A4A" w14:textId="77777777">
            <w:pPr>
              <w:jc w:val="right"/>
              <w:rPr>
                <w:sz w:val="22"/>
                <w:szCs w:val="22"/>
              </w:rPr>
            </w:pPr>
          </w:p>
        </w:tc>
      </w:tr>
      <w:tr w:rsidR="002F6122" w:rsidTr="0081778E" w14:paraId="4C5963C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249FF" w:rsidR="002F6122" w:rsidP="002D2E20" w:rsidRDefault="002F6122" w14:paraId="43F0FB3D" w14:textId="77777777">
            <w:pPr>
              <w:rPr>
                <w:rFonts w:eastAsia="Calibri"/>
                <w:sz w:val="22"/>
                <w:szCs w:val="22"/>
              </w:rPr>
            </w:pPr>
            <w:r>
              <w:rPr>
                <w:rFonts w:eastAsia="Calibri"/>
                <w:sz w:val="22"/>
                <w:szCs w:val="22"/>
              </w:rPr>
              <w:t>Program Analyst</w:t>
            </w:r>
          </w:p>
        </w:tc>
        <w:tc>
          <w:tcPr>
            <w:tcW w:w="1440" w:type="dxa"/>
            <w:tcBorders>
              <w:top w:val="nil"/>
              <w:left w:val="nil"/>
              <w:bottom w:val="single" w:color="auto" w:sz="8" w:space="0"/>
              <w:right w:val="single" w:color="auto" w:sz="8" w:space="0"/>
            </w:tcBorders>
          </w:tcPr>
          <w:p w:rsidRPr="001249FF" w:rsidR="002F6122" w:rsidP="002D2E20" w:rsidRDefault="002F6122" w14:paraId="0EE32AAE" w14:textId="77777777">
            <w:pPr>
              <w:rPr>
                <w:rFonts w:eastAsia="Calibri"/>
                <w:sz w:val="22"/>
                <w:szCs w:val="22"/>
              </w:rPr>
            </w:pPr>
            <w:r>
              <w:rPr>
                <w:rFonts w:eastAsia="Calibri"/>
                <w:sz w:val="22"/>
                <w:szCs w:val="22"/>
              </w:rPr>
              <w:t>GS 12-7</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49FF" w:rsidR="002F6122" w:rsidP="00CD3ED9" w:rsidRDefault="00720B8A" w14:paraId="3BE90EAE" w14:textId="77777777">
            <w:pPr>
              <w:jc w:val="right"/>
              <w:rPr>
                <w:rFonts w:eastAsia="Calibri"/>
                <w:sz w:val="22"/>
                <w:szCs w:val="22"/>
              </w:rPr>
            </w:pPr>
            <w:r>
              <w:rPr>
                <w:rFonts w:eastAsia="Calibri"/>
                <w:sz w:val="22"/>
                <w:szCs w:val="22"/>
              </w:rPr>
              <w:t>$97,858</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49FF" w:rsidR="002F6122" w:rsidP="00CD3ED9" w:rsidRDefault="00C87CB6" w14:paraId="76E50F43" w14:textId="77777777">
            <w:pPr>
              <w:jc w:val="right"/>
              <w:rPr>
                <w:rFonts w:eastAsia="Calibri"/>
                <w:sz w:val="22"/>
                <w:szCs w:val="22"/>
              </w:rPr>
            </w:pPr>
            <w:r>
              <w:rPr>
                <w:rFonts w:eastAsia="Calibri"/>
                <w:sz w:val="22"/>
                <w:szCs w:val="22"/>
              </w:rPr>
              <w:t>10%</w:t>
            </w:r>
          </w:p>
        </w:tc>
        <w:tc>
          <w:tcPr>
            <w:tcW w:w="1363" w:type="dxa"/>
            <w:tcBorders>
              <w:top w:val="nil"/>
              <w:left w:val="nil"/>
              <w:bottom w:val="single" w:color="auto" w:sz="8" w:space="0"/>
              <w:right w:val="single" w:color="auto" w:sz="8" w:space="0"/>
            </w:tcBorders>
            <w:shd w:val="clear" w:color="auto" w:fill="BFBFBF"/>
          </w:tcPr>
          <w:p w:rsidRPr="001249FF" w:rsidR="002F6122" w:rsidP="00CD3ED9" w:rsidRDefault="002F6122" w14:paraId="4C876650" w14:textId="77777777">
            <w:pPr>
              <w:jc w:val="right"/>
              <w:rPr>
                <w:sz w:val="22"/>
                <w:szCs w:val="22"/>
              </w:rPr>
            </w:pPr>
          </w:p>
        </w:tc>
        <w:tc>
          <w:tcPr>
            <w:tcW w:w="1363" w:type="dxa"/>
            <w:tcBorders>
              <w:top w:val="nil"/>
              <w:left w:val="nil"/>
              <w:bottom w:val="single" w:color="auto" w:sz="8" w:space="0"/>
              <w:right w:val="single" w:color="auto" w:sz="8" w:space="0"/>
            </w:tcBorders>
          </w:tcPr>
          <w:p w:rsidRPr="001249FF" w:rsidR="002F6122" w:rsidP="00CD3ED9" w:rsidRDefault="00E151FE" w14:paraId="016CF757" w14:textId="77777777">
            <w:pPr>
              <w:jc w:val="right"/>
              <w:rPr>
                <w:sz w:val="22"/>
                <w:szCs w:val="22"/>
              </w:rPr>
            </w:pPr>
            <w:r>
              <w:rPr>
                <w:sz w:val="22"/>
                <w:szCs w:val="22"/>
              </w:rPr>
              <w:t>9,78</w:t>
            </w:r>
            <w:r w:rsidR="00E1143C">
              <w:rPr>
                <w:sz w:val="22"/>
                <w:szCs w:val="22"/>
              </w:rPr>
              <w:t>6</w:t>
            </w:r>
          </w:p>
        </w:tc>
      </w:tr>
      <w:tr w:rsidR="002F6122" w:rsidTr="0081778E" w14:paraId="705B70A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249FF" w:rsidR="002F6122" w:rsidP="002D2E20" w:rsidRDefault="002F6122" w14:paraId="1C55925A" w14:textId="77777777">
            <w:pPr>
              <w:rPr>
                <w:rFonts w:eastAsia="Calibri"/>
                <w:b/>
                <w:sz w:val="22"/>
                <w:szCs w:val="22"/>
              </w:rPr>
            </w:pPr>
            <w:r>
              <w:rPr>
                <w:rFonts w:eastAsia="Calibri"/>
                <w:b/>
                <w:sz w:val="22"/>
                <w:szCs w:val="22"/>
              </w:rPr>
              <w:t>Contractor C</w:t>
            </w:r>
            <w:r w:rsidRPr="001249FF">
              <w:rPr>
                <w:rFonts w:eastAsia="Calibri"/>
                <w:b/>
                <w:sz w:val="22"/>
                <w:szCs w:val="22"/>
              </w:rPr>
              <w:t>ost</w:t>
            </w:r>
          </w:p>
        </w:tc>
        <w:tc>
          <w:tcPr>
            <w:tcW w:w="1440" w:type="dxa"/>
            <w:tcBorders>
              <w:top w:val="nil"/>
              <w:left w:val="nil"/>
              <w:bottom w:val="single" w:color="auto" w:sz="8" w:space="0"/>
              <w:right w:val="single" w:color="auto" w:sz="8" w:space="0"/>
            </w:tcBorders>
            <w:shd w:val="clear" w:color="auto" w:fill="BFBFBF"/>
          </w:tcPr>
          <w:p w:rsidRPr="001249FF" w:rsidR="002F6122" w:rsidP="002D2E20" w:rsidRDefault="002F6122" w14:paraId="19DC4976" w14:textId="77777777">
            <w:pPr>
              <w:rPr>
                <w:rFonts w:eastAsia="Calibri"/>
                <w:sz w:val="22"/>
                <w:szCs w:val="22"/>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49FF" w:rsidR="002F6122" w:rsidP="00CD3ED9" w:rsidRDefault="002F6122" w14:paraId="32FAE146" w14:textId="77777777">
            <w:pPr>
              <w:jc w:val="right"/>
              <w:rPr>
                <w:rFonts w:eastAsia="Calibri"/>
                <w:sz w:val="22"/>
                <w:szCs w:val="22"/>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49FF" w:rsidR="002F6122" w:rsidP="00CD3ED9" w:rsidRDefault="002F6122" w14:paraId="5DA1171D" w14:textId="77777777">
            <w:pPr>
              <w:jc w:val="right"/>
              <w:rPr>
                <w:rFonts w:eastAsia="Calibri"/>
                <w:sz w:val="22"/>
                <w:szCs w:val="22"/>
              </w:rPr>
            </w:pPr>
          </w:p>
        </w:tc>
        <w:tc>
          <w:tcPr>
            <w:tcW w:w="1363" w:type="dxa"/>
            <w:tcBorders>
              <w:top w:val="nil"/>
              <w:left w:val="nil"/>
              <w:bottom w:val="single" w:color="auto" w:sz="8" w:space="0"/>
              <w:right w:val="single" w:color="auto" w:sz="8" w:space="0"/>
            </w:tcBorders>
          </w:tcPr>
          <w:p w:rsidRPr="001249FF" w:rsidR="002F6122" w:rsidP="00CD3ED9" w:rsidRDefault="002F6122" w14:paraId="0800A7D4" w14:textId="77777777">
            <w:pPr>
              <w:jc w:val="right"/>
              <w:rPr>
                <w:sz w:val="22"/>
                <w:szCs w:val="22"/>
              </w:rPr>
            </w:pPr>
          </w:p>
        </w:tc>
        <w:tc>
          <w:tcPr>
            <w:tcW w:w="1363" w:type="dxa"/>
            <w:tcBorders>
              <w:top w:val="nil"/>
              <w:left w:val="nil"/>
              <w:bottom w:val="single" w:color="auto" w:sz="8" w:space="0"/>
              <w:right w:val="single" w:color="auto" w:sz="8" w:space="0"/>
            </w:tcBorders>
          </w:tcPr>
          <w:p w:rsidRPr="001249FF" w:rsidR="002F6122" w:rsidP="00CD3ED9" w:rsidRDefault="002F6122" w14:paraId="1C331FE6" w14:textId="77777777">
            <w:pPr>
              <w:jc w:val="right"/>
              <w:rPr>
                <w:sz w:val="22"/>
                <w:szCs w:val="22"/>
              </w:rPr>
            </w:pPr>
          </w:p>
        </w:tc>
      </w:tr>
      <w:tr w:rsidR="00720B8A" w:rsidTr="0081778E" w14:paraId="7B9E8F5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00720B8A" w:rsidP="002D2E20" w:rsidRDefault="00720B8A" w14:paraId="7EFD960C" w14:textId="77777777">
            <w:pPr>
              <w:rPr>
                <w:rFonts w:eastAsia="Calibri"/>
                <w:sz w:val="22"/>
                <w:szCs w:val="22"/>
              </w:rPr>
            </w:pPr>
            <w:r>
              <w:rPr>
                <w:rFonts w:eastAsia="Calibri"/>
                <w:sz w:val="22"/>
                <w:szCs w:val="22"/>
              </w:rPr>
              <w:t>Human Subjects Research Program Manager</w:t>
            </w:r>
          </w:p>
        </w:tc>
        <w:tc>
          <w:tcPr>
            <w:tcW w:w="1440" w:type="dxa"/>
            <w:tcBorders>
              <w:top w:val="nil"/>
              <w:left w:val="nil"/>
              <w:bottom w:val="single" w:color="auto" w:sz="8" w:space="0"/>
              <w:right w:val="single" w:color="auto" w:sz="8" w:space="0"/>
            </w:tcBorders>
          </w:tcPr>
          <w:p w:rsidR="00720B8A" w:rsidP="002D2E20" w:rsidRDefault="00720B8A" w14:paraId="61725367" w14:textId="77777777">
            <w:pPr>
              <w:rPr>
                <w:rFonts w:eastAsia="Calibri"/>
                <w:sz w:val="22"/>
                <w:szCs w:val="22"/>
              </w:rPr>
            </w:pPr>
          </w:p>
          <w:p w:rsidRPr="001249FF" w:rsidR="00720B8A" w:rsidP="002D2E20" w:rsidRDefault="009E3657" w14:paraId="79F678CC" w14:textId="77777777">
            <w:pPr>
              <w:rPr>
                <w:rFonts w:eastAsia="Calibri"/>
                <w:sz w:val="22"/>
                <w:szCs w:val="22"/>
              </w:rPr>
            </w:pPr>
            <w:r>
              <w:rPr>
                <w:rFonts w:eastAsia="Calibri"/>
                <w:sz w:val="22"/>
                <w:szCs w:val="22"/>
              </w:rPr>
              <w:t>N/A</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49FF" w:rsidR="00720B8A" w:rsidP="00CD3ED9" w:rsidRDefault="00720B8A" w14:paraId="7F8516E7" w14:textId="77777777">
            <w:pPr>
              <w:jc w:val="right"/>
              <w:rPr>
                <w:rFonts w:eastAsia="Calibri"/>
                <w:sz w:val="22"/>
                <w:szCs w:val="22"/>
              </w:rPr>
            </w:pPr>
            <w:r>
              <w:rPr>
                <w:rFonts w:eastAsia="Calibri"/>
                <w:sz w:val="22"/>
                <w:szCs w:val="22"/>
              </w:rPr>
              <w:t>$213,460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49FF" w:rsidR="00720B8A" w:rsidP="00CD3ED9" w:rsidRDefault="00720B8A" w14:paraId="2FCC923B" w14:textId="77777777">
            <w:pPr>
              <w:jc w:val="right"/>
              <w:rPr>
                <w:rFonts w:eastAsia="Calibri"/>
                <w:sz w:val="22"/>
                <w:szCs w:val="22"/>
              </w:rPr>
            </w:pPr>
            <w:r>
              <w:rPr>
                <w:rFonts w:eastAsia="Calibri"/>
                <w:sz w:val="22"/>
                <w:szCs w:val="22"/>
              </w:rPr>
              <w:t>40%</w:t>
            </w:r>
          </w:p>
        </w:tc>
        <w:tc>
          <w:tcPr>
            <w:tcW w:w="1363" w:type="dxa"/>
            <w:tcBorders>
              <w:top w:val="nil"/>
              <w:left w:val="nil"/>
              <w:bottom w:val="single" w:color="auto" w:sz="8" w:space="0"/>
              <w:right w:val="single" w:color="auto" w:sz="8" w:space="0"/>
            </w:tcBorders>
          </w:tcPr>
          <w:p w:rsidRPr="001249FF" w:rsidR="00720B8A" w:rsidP="00CD3ED9" w:rsidRDefault="00720B8A" w14:paraId="5612B414" w14:textId="77777777">
            <w:pPr>
              <w:jc w:val="right"/>
              <w:rPr>
                <w:sz w:val="22"/>
                <w:szCs w:val="22"/>
              </w:rPr>
            </w:pPr>
          </w:p>
        </w:tc>
        <w:tc>
          <w:tcPr>
            <w:tcW w:w="1363" w:type="dxa"/>
            <w:tcBorders>
              <w:top w:val="nil"/>
              <w:left w:val="nil"/>
              <w:bottom w:val="single" w:color="auto" w:sz="8" w:space="0"/>
              <w:right w:val="single" w:color="auto" w:sz="8" w:space="0"/>
            </w:tcBorders>
          </w:tcPr>
          <w:p w:rsidRPr="001249FF" w:rsidR="00720B8A" w:rsidP="00CD3ED9" w:rsidRDefault="00E151FE" w14:paraId="26934A85" w14:textId="77777777">
            <w:pPr>
              <w:jc w:val="right"/>
              <w:rPr>
                <w:sz w:val="22"/>
                <w:szCs w:val="22"/>
              </w:rPr>
            </w:pPr>
            <w:r>
              <w:rPr>
                <w:sz w:val="22"/>
                <w:szCs w:val="22"/>
              </w:rPr>
              <w:t>85,384</w:t>
            </w:r>
          </w:p>
        </w:tc>
      </w:tr>
      <w:tr w:rsidR="00720B8A" w:rsidTr="0081778E" w14:paraId="788AA83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249FF" w:rsidR="00720B8A" w:rsidP="002D2E20" w:rsidRDefault="00720B8A" w14:paraId="0CED8081" w14:textId="77777777">
            <w:pPr>
              <w:rPr>
                <w:rFonts w:eastAsia="Calibri"/>
                <w:sz w:val="22"/>
                <w:szCs w:val="22"/>
              </w:rPr>
            </w:pPr>
            <w:r>
              <w:rPr>
                <w:rFonts w:eastAsia="Calibri"/>
                <w:sz w:val="22"/>
                <w:szCs w:val="22"/>
              </w:rPr>
              <w:t>Travel</w:t>
            </w:r>
          </w:p>
        </w:tc>
        <w:tc>
          <w:tcPr>
            <w:tcW w:w="1440" w:type="dxa"/>
            <w:tcBorders>
              <w:top w:val="nil"/>
              <w:left w:val="nil"/>
              <w:bottom w:val="single" w:color="auto" w:sz="8" w:space="0"/>
              <w:right w:val="single" w:color="auto" w:sz="8" w:space="0"/>
            </w:tcBorders>
            <w:shd w:val="clear" w:color="auto" w:fill="BFBFBF"/>
          </w:tcPr>
          <w:p w:rsidRPr="001249FF" w:rsidR="00720B8A" w:rsidP="002D2E20" w:rsidRDefault="00720B8A" w14:paraId="0E67996D" w14:textId="77777777">
            <w:pPr>
              <w:rPr>
                <w:rFonts w:eastAsia="Calibri"/>
                <w:sz w:val="22"/>
                <w:szCs w:val="22"/>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1249FF" w:rsidR="00720B8A" w:rsidP="00CD3ED9" w:rsidRDefault="00720B8A" w14:paraId="3775A5CB" w14:textId="77777777">
            <w:pPr>
              <w:jc w:val="right"/>
              <w:rPr>
                <w:rFonts w:eastAsia="Calibri"/>
                <w:sz w:val="22"/>
                <w:szCs w:val="22"/>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1249FF" w:rsidR="00720B8A" w:rsidP="00CD3ED9" w:rsidRDefault="00720B8A" w14:paraId="37662341" w14:textId="77777777">
            <w:pPr>
              <w:jc w:val="right"/>
              <w:rPr>
                <w:rFonts w:eastAsia="Calibri"/>
                <w:sz w:val="22"/>
                <w:szCs w:val="22"/>
              </w:rPr>
            </w:pPr>
          </w:p>
        </w:tc>
        <w:tc>
          <w:tcPr>
            <w:tcW w:w="1363" w:type="dxa"/>
            <w:tcBorders>
              <w:top w:val="nil"/>
              <w:left w:val="nil"/>
              <w:bottom w:val="single" w:color="auto" w:sz="8" w:space="0"/>
              <w:right w:val="single" w:color="auto" w:sz="8" w:space="0"/>
            </w:tcBorders>
            <w:shd w:val="clear" w:color="auto" w:fill="BFBFBF"/>
          </w:tcPr>
          <w:p w:rsidRPr="001249FF" w:rsidR="00720B8A" w:rsidP="00CD3ED9" w:rsidRDefault="00720B8A" w14:paraId="64634B87" w14:textId="77777777">
            <w:pPr>
              <w:jc w:val="right"/>
              <w:rPr>
                <w:sz w:val="22"/>
                <w:szCs w:val="22"/>
              </w:rPr>
            </w:pPr>
          </w:p>
        </w:tc>
        <w:tc>
          <w:tcPr>
            <w:tcW w:w="1363" w:type="dxa"/>
            <w:tcBorders>
              <w:top w:val="nil"/>
              <w:left w:val="nil"/>
              <w:bottom w:val="single" w:color="auto" w:sz="8" w:space="0"/>
              <w:right w:val="single" w:color="auto" w:sz="8" w:space="0"/>
            </w:tcBorders>
          </w:tcPr>
          <w:p w:rsidRPr="001249FF" w:rsidR="00720B8A" w:rsidP="00CD3ED9" w:rsidRDefault="00720B8A" w14:paraId="50556EDB" w14:textId="77777777">
            <w:pPr>
              <w:jc w:val="right"/>
              <w:rPr>
                <w:sz w:val="22"/>
                <w:szCs w:val="22"/>
              </w:rPr>
            </w:pPr>
          </w:p>
        </w:tc>
      </w:tr>
      <w:tr w:rsidR="00720B8A" w:rsidTr="0081778E" w14:paraId="7D4A312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249FF" w:rsidR="00720B8A" w:rsidP="002D2E20" w:rsidRDefault="00720B8A" w14:paraId="7A642BF4" w14:textId="77777777">
            <w:pPr>
              <w:rPr>
                <w:rFonts w:eastAsia="Calibri"/>
                <w:color w:val="1F497D"/>
                <w:sz w:val="22"/>
                <w:szCs w:val="22"/>
                <w:highlight w:val="yellow"/>
              </w:rPr>
            </w:pPr>
            <w:r w:rsidRPr="0000358B">
              <w:rPr>
                <w:rFonts w:eastAsia="Calibri"/>
                <w:sz w:val="22"/>
                <w:szCs w:val="22"/>
              </w:rPr>
              <w:t>Other Cost</w:t>
            </w:r>
            <w:r>
              <w:rPr>
                <w:rFonts w:eastAsia="Calibri"/>
                <w:sz w:val="22"/>
                <w:szCs w:val="22"/>
              </w:rPr>
              <w:t xml:space="preserve"> (NIH IT security scan</w:t>
            </w:r>
            <w:r w:rsidR="001D7F5F">
              <w:rPr>
                <w:rFonts w:eastAsia="Calibri"/>
                <w:sz w:val="22"/>
                <w:szCs w:val="22"/>
              </w:rPr>
              <w:t xml:space="preserve"> and maintenance</w:t>
            </w:r>
            <w:r>
              <w:rPr>
                <w:rFonts w:eastAsia="Calibri"/>
                <w:sz w:val="22"/>
                <w:szCs w:val="22"/>
              </w:rPr>
              <w:t>)</w:t>
            </w:r>
          </w:p>
        </w:tc>
        <w:tc>
          <w:tcPr>
            <w:tcW w:w="1440" w:type="dxa"/>
            <w:tcBorders>
              <w:top w:val="nil"/>
              <w:left w:val="nil"/>
              <w:bottom w:val="single" w:color="auto" w:sz="8" w:space="0"/>
              <w:right w:val="single" w:color="auto" w:sz="8" w:space="0"/>
            </w:tcBorders>
            <w:shd w:val="clear" w:color="auto" w:fill="BFBFBF"/>
          </w:tcPr>
          <w:p w:rsidRPr="001249FF" w:rsidR="00720B8A" w:rsidP="002D2E20" w:rsidRDefault="00720B8A" w14:paraId="6FF73815" w14:textId="77777777">
            <w:pPr>
              <w:rPr>
                <w:rFonts w:eastAsia="Calibri"/>
                <w:color w:val="000000"/>
                <w:sz w:val="22"/>
                <w:szCs w:val="22"/>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1249FF" w:rsidR="00720B8A" w:rsidP="00CD3ED9" w:rsidRDefault="00720B8A" w14:paraId="7A2F74FD" w14:textId="77777777">
            <w:pPr>
              <w:jc w:val="right"/>
              <w:rPr>
                <w:rFonts w:eastAsia="Calibri"/>
                <w:sz w:val="22"/>
                <w:szCs w:val="22"/>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1249FF" w:rsidR="00720B8A" w:rsidP="00CD3ED9" w:rsidRDefault="00720B8A" w14:paraId="09A7F564" w14:textId="77777777">
            <w:pPr>
              <w:jc w:val="right"/>
              <w:rPr>
                <w:rFonts w:eastAsia="Calibri"/>
                <w:sz w:val="22"/>
                <w:szCs w:val="22"/>
              </w:rPr>
            </w:pPr>
          </w:p>
        </w:tc>
        <w:tc>
          <w:tcPr>
            <w:tcW w:w="1363" w:type="dxa"/>
            <w:tcBorders>
              <w:top w:val="nil"/>
              <w:left w:val="nil"/>
              <w:bottom w:val="single" w:color="auto" w:sz="8" w:space="0"/>
              <w:right w:val="single" w:color="auto" w:sz="8" w:space="0"/>
            </w:tcBorders>
            <w:shd w:val="clear" w:color="auto" w:fill="BFBFBF"/>
          </w:tcPr>
          <w:p w:rsidRPr="001249FF" w:rsidR="00720B8A" w:rsidP="00CD3ED9" w:rsidRDefault="00720B8A" w14:paraId="0B7DAAF7" w14:textId="77777777">
            <w:pPr>
              <w:jc w:val="right"/>
              <w:rPr>
                <w:rFonts w:eastAsia="Calibri"/>
                <w:sz w:val="22"/>
                <w:szCs w:val="22"/>
              </w:rPr>
            </w:pPr>
          </w:p>
        </w:tc>
        <w:tc>
          <w:tcPr>
            <w:tcW w:w="1363" w:type="dxa"/>
            <w:tcBorders>
              <w:top w:val="nil"/>
              <w:left w:val="nil"/>
              <w:bottom w:val="single" w:color="auto" w:sz="8" w:space="0"/>
              <w:right w:val="single" w:color="auto" w:sz="8" w:space="0"/>
            </w:tcBorders>
          </w:tcPr>
          <w:p w:rsidRPr="001249FF" w:rsidR="00720B8A" w:rsidP="00CD3ED9" w:rsidRDefault="001D7F5F" w14:paraId="6F146A98" w14:textId="77777777">
            <w:pPr>
              <w:jc w:val="right"/>
              <w:rPr>
                <w:rFonts w:eastAsia="Calibri"/>
                <w:sz w:val="22"/>
                <w:szCs w:val="22"/>
              </w:rPr>
            </w:pPr>
            <w:r>
              <w:rPr>
                <w:rFonts w:eastAsia="Calibri"/>
                <w:sz w:val="22"/>
                <w:szCs w:val="22"/>
              </w:rPr>
              <w:t>16</w:t>
            </w:r>
            <w:r w:rsidR="007219F6">
              <w:rPr>
                <w:rFonts w:eastAsia="Calibri"/>
                <w:sz w:val="22"/>
                <w:szCs w:val="22"/>
              </w:rPr>
              <w:t>,000</w:t>
            </w:r>
          </w:p>
        </w:tc>
      </w:tr>
      <w:tr w:rsidR="00720B8A" w:rsidTr="0081778E" w14:paraId="5354AF3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249FF" w:rsidR="00720B8A" w:rsidP="002D2E20" w:rsidRDefault="00720B8A" w14:paraId="224C2FE3" w14:textId="77777777">
            <w:pPr>
              <w:rPr>
                <w:rFonts w:eastAsia="Calibri"/>
                <w:bCs/>
                <w:color w:val="000000"/>
                <w:sz w:val="22"/>
                <w:szCs w:val="22"/>
              </w:rPr>
            </w:pPr>
          </w:p>
        </w:tc>
        <w:tc>
          <w:tcPr>
            <w:tcW w:w="1440" w:type="dxa"/>
            <w:tcBorders>
              <w:top w:val="nil"/>
              <w:left w:val="nil"/>
              <w:bottom w:val="single" w:color="auto" w:sz="8" w:space="0"/>
              <w:right w:val="single" w:color="auto" w:sz="8" w:space="0"/>
            </w:tcBorders>
            <w:shd w:val="clear" w:color="auto" w:fill="BFBFBF"/>
          </w:tcPr>
          <w:p w:rsidRPr="001249FF" w:rsidR="00720B8A" w:rsidP="002D2E20" w:rsidRDefault="00720B8A" w14:paraId="5FD5CA0A" w14:textId="77777777">
            <w:pPr>
              <w:rPr>
                <w:rFonts w:eastAsia="Calibri"/>
                <w:sz w:val="22"/>
                <w:szCs w:val="22"/>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1249FF" w:rsidR="00720B8A" w:rsidP="00CD3ED9" w:rsidRDefault="00720B8A" w14:paraId="27B4D2C7" w14:textId="77777777">
            <w:pPr>
              <w:jc w:val="right"/>
              <w:rPr>
                <w:sz w:val="22"/>
                <w:szCs w:val="22"/>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1249FF" w:rsidR="00720B8A" w:rsidP="00CD3ED9" w:rsidRDefault="00720B8A" w14:paraId="5F06DA68" w14:textId="77777777">
            <w:pPr>
              <w:jc w:val="right"/>
              <w:rPr>
                <w:rFonts w:eastAsia="Calibri"/>
                <w:b/>
                <w:sz w:val="22"/>
                <w:szCs w:val="22"/>
              </w:rPr>
            </w:pPr>
          </w:p>
        </w:tc>
        <w:tc>
          <w:tcPr>
            <w:tcW w:w="1363" w:type="dxa"/>
            <w:tcBorders>
              <w:top w:val="nil"/>
              <w:left w:val="nil"/>
              <w:bottom w:val="single" w:color="auto" w:sz="8" w:space="0"/>
              <w:right w:val="single" w:color="auto" w:sz="8" w:space="0"/>
            </w:tcBorders>
            <w:shd w:val="clear" w:color="auto" w:fill="BFBFBF"/>
          </w:tcPr>
          <w:p w:rsidRPr="001249FF" w:rsidR="00720B8A" w:rsidP="00CD3ED9" w:rsidRDefault="00720B8A" w14:paraId="24F5B7E0" w14:textId="77777777">
            <w:pPr>
              <w:jc w:val="right"/>
              <w:rPr>
                <w:b/>
                <w:sz w:val="22"/>
                <w:szCs w:val="22"/>
              </w:rPr>
            </w:pPr>
          </w:p>
        </w:tc>
        <w:tc>
          <w:tcPr>
            <w:tcW w:w="1363" w:type="dxa"/>
            <w:tcBorders>
              <w:top w:val="nil"/>
              <w:left w:val="nil"/>
              <w:bottom w:val="single" w:color="auto" w:sz="8" w:space="0"/>
              <w:right w:val="single" w:color="auto" w:sz="8" w:space="0"/>
            </w:tcBorders>
          </w:tcPr>
          <w:p w:rsidRPr="001249FF" w:rsidR="00720B8A" w:rsidP="00CD3ED9" w:rsidRDefault="00720B8A" w14:paraId="019BDC07" w14:textId="77777777">
            <w:pPr>
              <w:jc w:val="right"/>
              <w:rPr>
                <w:b/>
                <w:sz w:val="22"/>
                <w:szCs w:val="22"/>
              </w:rPr>
            </w:pPr>
          </w:p>
        </w:tc>
      </w:tr>
      <w:tr w:rsidR="00720B8A" w:rsidTr="0081778E" w14:paraId="07D8B4B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F1228D" w:rsidR="00720B8A" w:rsidP="002D2E20" w:rsidRDefault="00720B8A" w14:paraId="72D3A7ED" w14:textId="77777777">
            <w:pPr>
              <w:rPr>
                <w:sz w:val="20"/>
                <w:szCs w:val="20"/>
              </w:rPr>
            </w:pPr>
            <w:r>
              <w:rPr>
                <w:sz w:val="20"/>
                <w:szCs w:val="20"/>
              </w:rPr>
              <w:t>TOTAL</w:t>
            </w:r>
          </w:p>
        </w:tc>
        <w:tc>
          <w:tcPr>
            <w:tcW w:w="1440" w:type="dxa"/>
            <w:tcBorders>
              <w:top w:val="nil"/>
              <w:left w:val="nil"/>
              <w:bottom w:val="single" w:color="auto" w:sz="8" w:space="0"/>
              <w:right w:val="single" w:color="auto" w:sz="8" w:space="0"/>
            </w:tcBorders>
          </w:tcPr>
          <w:p w:rsidRPr="0013116C" w:rsidR="00720B8A" w:rsidP="002D2E20" w:rsidRDefault="00720B8A" w14:paraId="3CDE2290" w14:textId="77777777">
            <w:pPr>
              <w:rPr>
                <w:rFonts w:eastAsia="Calibri"/>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720B8A" w:rsidP="00CD3ED9" w:rsidRDefault="00720B8A" w14:paraId="30E0C4B5" w14:textId="77777777">
            <w:pPr>
              <w:jc w:val="right"/>
              <w:rPr>
                <w:sz w:val="20"/>
                <w:szCs w:val="20"/>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720B8A" w:rsidP="00CD3ED9" w:rsidRDefault="00720B8A" w14:paraId="39E717CA" w14:textId="77777777">
            <w:pPr>
              <w:jc w:val="right"/>
              <w:rPr>
                <w:sz w:val="20"/>
                <w:szCs w:val="20"/>
              </w:rPr>
            </w:pPr>
          </w:p>
        </w:tc>
        <w:tc>
          <w:tcPr>
            <w:tcW w:w="1363" w:type="dxa"/>
            <w:tcBorders>
              <w:top w:val="nil"/>
              <w:left w:val="nil"/>
              <w:bottom w:val="single" w:color="auto" w:sz="8" w:space="0"/>
              <w:right w:val="single" w:color="auto" w:sz="8" w:space="0"/>
            </w:tcBorders>
          </w:tcPr>
          <w:p w:rsidR="00720B8A" w:rsidP="00CD3ED9" w:rsidRDefault="00720B8A" w14:paraId="71887786" w14:textId="77777777">
            <w:pPr>
              <w:jc w:val="right"/>
              <w:rPr>
                <w:sz w:val="20"/>
                <w:szCs w:val="20"/>
              </w:rPr>
            </w:pPr>
          </w:p>
        </w:tc>
        <w:tc>
          <w:tcPr>
            <w:tcW w:w="1363" w:type="dxa"/>
            <w:tcBorders>
              <w:top w:val="nil"/>
              <w:left w:val="nil"/>
              <w:bottom w:val="single" w:color="auto" w:sz="8" w:space="0"/>
              <w:right w:val="single" w:color="auto" w:sz="8" w:space="0"/>
            </w:tcBorders>
          </w:tcPr>
          <w:p w:rsidR="00720B8A" w:rsidP="00CD3ED9" w:rsidRDefault="00720B8A" w14:paraId="1B5E330A" w14:textId="77777777">
            <w:pPr>
              <w:jc w:val="right"/>
              <w:rPr>
                <w:sz w:val="20"/>
                <w:szCs w:val="20"/>
              </w:rPr>
            </w:pPr>
            <w:r>
              <w:rPr>
                <w:sz w:val="20"/>
                <w:szCs w:val="20"/>
              </w:rPr>
              <w:t>$</w:t>
            </w:r>
            <w:r w:rsidR="002D2E20">
              <w:rPr>
                <w:sz w:val="20"/>
                <w:szCs w:val="20"/>
              </w:rPr>
              <w:t>117,</w:t>
            </w:r>
            <w:r w:rsidR="00725AC4">
              <w:rPr>
                <w:sz w:val="20"/>
                <w:szCs w:val="20"/>
              </w:rPr>
              <w:t>616</w:t>
            </w:r>
          </w:p>
        </w:tc>
      </w:tr>
    </w:tbl>
    <w:p w:rsidR="00535D4E" w:rsidP="00535D4E" w:rsidRDefault="000266F6" w14:paraId="077BD11C" w14:textId="77777777">
      <w:pPr>
        <w:pStyle w:val="Heading2"/>
        <w:tabs>
          <w:tab w:val="clear" w:pos="1152"/>
          <w:tab w:val="left" w:pos="720"/>
        </w:tabs>
        <w:spacing w:after="0" w:line="240" w:lineRule="auto"/>
        <w:ind w:left="0" w:firstLine="0"/>
        <w:rPr>
          <w:rStyle w:val="Hyperlink"/>
        </w:rPr>
      </w:pPr>
      <w:r>
        <w:t>*</w:t>
      </w:r>
      <w:r w:rsidRPr="009747F4">
        <w:rPr>
          <w:sz w:val="18"/>
          <w:szCs w:val="18"/>
        </w:rPr>
        <w:t>the</w:t>
      </w:r>
      <w:r>
        <w:t xml:space="preserve"> </w:t>
      </w:r>
      <w:r w:rsidRPr="009747F4">
        <w:rPr>
          <w:sz w:val="18"/>
          <w:szCs w:val="18"/>
        </w:rPr>
        <w:t>Salary in table above is cited from</w:t>
      </w:r>
      <w:r>
        <w:t xml:space="preserve"> </w:t>
      </w:r>
      <w:hyperlink w:history="1" r:id="rId14">
        <w:r>
          <w:rPr>
            <w:rStyle w:val="Hyperlink"/>
          </w:rPr>
          <w:t>https://www.opm.gov/policy-data-oversight/pay-leave/salaries-wages/salary-tables/18Tables/html/DCB.aspx</w:t>
        </w:r>
      </w:hyperlink>
      <w:bookmarkStart w:name="_Toc443881758" w:id="46"/>
      <w:bookmarkStart w:name="_Toc451592245" w:id="47"/>
      <w:bookmarkStart w:name="_Toc5610286" w:id="48"/>
      <w:bookmarkStart w:name="_Toc99178792" w:id="49"/>
    </w:p>
    <w:p w:rsidR="00535D4E" w:rsidP="00535D4E" w:rsidRDefault="00535D4E" w14:paraId="29D986D7" w14:textId="77777777">
      <w:pPr>
        <w:pStyle w:val="Heading2"/>
        <w:tabs>
          <w:tab w:val="clear" w:pos="1152"/>
          <w:tab w:val="left" w:pos="720"/>
        </w:tabs>
        <w:spacing w:after="0" w:line="240" w:lineRule="auto"/>
        <w:ind w:left="0" w:firstLine="0"/>
        <w:rPr>
          <w:rStyle w:val="Hyperlink"/>
        </w:rPr>
      </w:pPr>
    </w:p>
    <w:p w:rsidRPr="00535D4E" w:rsidR="00E36A07" w:rsidP="00535D4E" w:rsidRDefault="00E36A07" w14:paraId="69E9E9DB" w14:textId="3411CC5B">
      <w:pPr>
        <w:pStyle w:val="Heading2"/>
        <w:tabs>
          <w:tab w:val="clear" w:pos="1152"/>
          <w:tab w:val="left" w:pos="720"/>
        </w:tabs>
        <w:spacing w:after="0" w:line="240" w:lineRule="auto"/>
        <w:ind w:left="0" w:firstLine="0"/>
        <w:rPr>
          <w:color w:val="0000FF"/>
          <w:u w:val="single"/>
        </w:rPr>
      </w:pPr>
      <w:r>
        <w:rPr>
          <w:sz w:val="24"/>
          <w:szCs w:val="24"/>
        </w:rPr>
        <w:t>A.</w:t>
      </w:r>
      <w:r w:rsidRPr="00D61E21">
        <w:rPr>
          <w:sz w:val="24"/>
          <w:szCs w:val="24"/>
        </w:rPr>
        <w:t>15</w:t>
      </w:r>
      <w:r w:rsidRPr="00D61E21">
        <w:rPr>
          <w:sz w:val="24"/>
          <w:szCs w:val="24"/>
        </w:rPr>
        <w:tab/>
        <w:t>Explanation for Program Changes or Adjustments</w:t>
      </w:r>
      <w:bookmarkEnd w:id="46"/>
      <w:bookmarkEnd w:id="47"/>
      <w:bookmarkEnd w:id="48"/>
      <w:bookmarkEnd w:id="49"/>
    </w:p>
    <w:p w:rsidRPr="000266F6" w:rsidR="003577B3" w:rsidP="000266F6" w:rsidRDefault="005C757C" w14:paraId="4DBD733D" w14:textId="7A76C66B">
      <w:pPr>
        <w:rPr>
          <w:rFonts w:asciiTheme="minorHAnsi" w:hAnsiTheme="minorHAnsi" w:cstheme="minorHAnsi"/>
          <w:sz w:val="22"/>
          <w:szCs w:val="22"/>
        </w:rPr>
      </w:pPr>
      <w:r w:rsidRPr="000266F6">
        <w:rPr>
          <w:rFonts w:asciiTheme="minorHAnsi" w:hAnsiTheme="minorHAnsi" w:cstheme="minorHAnsi"/>
          <w:sz w:val="22"/>
          <w:szCs w:val="22"/>
        </w:rPr>
        <w:t>The 21st Century Cures Act</w:t>
      </w:r>
      <w:r w:rsidRPr="000266F6" w:rsidR="003577B3">
        <w:rPr>
          <w:rFonts w:asciiTheme="minorHAnsi" w:hAnsiTheme="minorHAnsi" w:cstheme="minorHAnsi"/>
          <w:sz w:val="22"/>
          <w:szCs w:val="22"/>
        </w:rPr>
        <w:t>, enacted December 13, 2016</w:t>
      </w:r>
      <w:r w:rsidRPr="000266F6">
        <w:rPr>
          <w:rFonts w:asciiTheme="minorHAnsi" w:hAnsiTheme="minorHAnsi" w:cstheme="minorHAnsi"/>
          <w:sz w:val="22"/>
          <w:szCs w:val="22"/>
        </w:rPr>
        <w:t xml:space="preserve"> require</w:t>
      </w:r>
      <w:r w:rsidRPr="000266F6" w:rsidR="003577B3">
        <w:rPr>
          <w:rFonts w:asciiTheme="minorHAnsi" w:hAnsiTheme="minorHAnsi" w:cstheme="minorHAnsi"/>
          <w:sz w:val="22"/>
          <w:szCs w:val="22"/>
        </w:rPr>
        <w:t xml:space="preserve">s the DHHS Secretary to issue to investigators or institutions engaged in biomedical, behavioral, clinical, or other research in which identifiable, sensitive information is collected (“Covered Information”), a Certificate to protect the privacy of individuals who are subjects of such research, if the research is funded wholly or in part by the Federal Government.  As a result, NIH now deems all NIH-funded research within the scope of the law and the NIH </w:t>
      </w:r>
      <w:proofErr w:type="spellStart"/>
      <w:r w:rsidRPr="000266F6" w:rsidR="003577B3">
        <w:rPr>
          <w:rFonts w:asciiTheme="minorHAnsi" w:hAnsiTheme="minorHAnsi" w:cstheme="minorHAnsi"/>
          <w:sz w:val="22"/>
          <w:szCs w:val="22"/>
        </w:rPr>
        <w:t>CoC</w:t>
      </w:r>
      <w:proofErr w:type="spellEnd"/>
      <w:r w:rsidRPr="000266F6" w:rsidR="003577B3">
        <w:rPr>
          <w:rFonts w:asciiTheme="minorHAnsi" w:hAnsiTheme="minorHAnsi" w:cstheme="minorHAnsi"/>
          <w:sz w:val="22"/>
          <w:szCs w:val="22"/>
        </w:rPr>
        <w:t xml:space="preserve"> policy issued a Certificate, thus a </w:t>
      </w:r>
      <w:proofErr w:type="spellStart"/>
      <w:r w:rsidRPr="000266F6" w:rsidR="003577B3">
        <w:rPr>
          <w:rFonts w:asciiTheme="minorHAnsi" w:hAnsiTheme="minorHAnsi" w:cstheme="minorHAnsi"/>
          <w:sz w:val="22"/>
          <w:szCs w:val="22"/>
        </w:rPr>
        <w:t>CoC</w:t>
      </w:r>
      <w:proofErr w:type="spellEnd"/>
      <w:r w:rsidRPr="000266F6" w:rsidR="003577B3">
        <w:rPr>
          <w:rFonts w:asciiTheme="minorHAnsi" w:hAnsiTheme="minorHAnsi" w:cstheme="minorHAnsi"/>
          <w:sz w:val="22"/>
          <w:szCs w:val="22"/>
        </w:rPr>
        <w:t xml:space="preserve"> request is no longer needed</w:t>
      </w:r>
      <w:r w:rsidR="009157CC">
        <w:rPr>
          <w:rFonts w:asciiTheme="minorHAnsi" w:hAnsiTheme="minorHAnsi" w:cstheme="minorHAnsi"/>
          <w:sz w:val="22"/>
          <w:szCs w:val="22"/>
        </w:rPr>
        <w:t xml:space="preserve"> </w:t>
      </w:r>
      <w:r w:rsidRPr="00B36383" w:rsidR="009157CC">
        <w:rPr>
          <w:rFonts w:asciiTheme="minorHAnsi" w:hAnsiTheme="minorHAnsi" w:cstheme="minorHAnsi"/>
          <w:sz w:val="22"/>
          <w:szCs w:val="22"/>
          <w:highlight w:val="yellow"/>
        </w:rPr>
        <w:t>and no information is collected from NIH recipients</w:t>
      </w:r>
      <w:r w:rsidRPr="000266F6" w:rsidR="003577B3">
        <w:rPr>
          <w:rFonts w:asciiTheme="minorHAnsi" w:hAnsiTheme="minorHAnsi" w:cstheme="minorHAnsi"/>
          <w:sz w:val="22"/>
          <w:szCs w:val="22"/>
        </w:rPr>
        <w:t xml:space="preserve">.  </w:t>
      </w:r>
      <w:r w:rsidRPr="00B36383" w:rsidR="003577B3">
        <w:rPr>
          <w:rFonts w:asciiTheme="minorHAnsi" w:hAnsiTheme="minorHAnsi" w:cstheme="minorHAnsi"/>
          <w:sz w:val="22"/>
          <w:szCs w:val="22"/>
          <w:highlight w:val="yellow"/>
        </w:rPr>
        <w:t>Total burden hours have decreased</w:t>
      </w:r>
      <w:r w:rsidRPr="00B36383" w:rsidR="00C5649C">
        <w:rPr>
          <w:rFonts w:asciiTheme="minorHAnsi" w:hAnsiTheme="minorHAnsi" w:cstheme="minorHAnsi"/>
          <w:sz w:val="22"/>
          <w:szCs w:val="22"/>
          <w:highlight w:val="yellow"/>
        </w:rPr>
        <w:t xml:space="preserve"> from 1951 to 794</w:t>
      </w:r>
      <w:r w:rsidRPr="00B36383" w:rsidR="00AD5D9C">
        <w:rPr>
          <w:rFonts w:asciiTheme="minorHAnsi" w:hAnsiTheme="minorHAnsi" w:cstheme="minorHAnsi"/>
          <w:sz w:val="22"/>
          <w:szCs w:val="22"/>
          <w:highlight w:val="yellow"/>
        </w:rPr>
        <w:t xml:space="preserve"> </w:t>
      </w:r>
      <w:r w:rsidRPr="00B36383" w:rsidR="00C5649C">
        <w:rPr>
          <w:rFonts w:asciiTheme="minorHAnsi" w:hAnsiTheme="minorHAnsi" w:cstheme="minorHAnsi"/>
          <w:sz w:val="22"/>
          <w:szCs w:val="22"/>
          <w:highlight w:val="yellow"/>
        </w:rPr>
        <w:t>from the previous</w:t>
      </w:r>
      <w:r w:rsidRPr="00B36383" w:rsidR="003577B3">
        <w:rPr>
          <w:rFonts w:asciiTheme="minorHAnsi" w:hAnsiTheme="minorHAnsi" w:cstheme="minorHAnsi"/>
          <w:sz w:val="22"/>
          <w:szCs w:val="22"/>
          <w:highlight w:val="yellow"/>
        </w:rPr>
        <w:t xml:space="preserve"> submission due to automatic issuance of NIH-funded </w:t>
      </w:r>
      <w:proofErr w:type="spellStart"/>
      <w:r w:rsidRPr="00B36383" w:rsidR="003577B3">
        <w:rPr>
          <w:rFonts w:asciiTheme="minorHAnsi" w:hAnsiTheme="minorHAnsi" w:cstheme="minorHAnsi"/>
          <w:sz w:val="22"/>
          <w:szCs w:val="22"/>
          <w:highlight w:val="yellow"/>
        </w:rPr>
        <w:t>CoCs</w:t>
      </w:r>
      <w:proofErr w:type="spellEnd"/>
      <w:r w:rsidRPr="00B36383" w:rsidR="003577B3">
        <w:rPr>
          <w:rFonts w:asciiTheme="minorHAnsi" w:hAnsiTheme="minorHAnsi" w:cstheme="minorHAnsi"/>
          <w:sz w:val="22"/>
          <w:szCs w:val="22"/>
          <w:highlight w:val="yellow"/>
        </w:rPr>
        <w:t>.</w:t>
      </w:r>
    </w:p>
    <w:p w:rsidRPr="000266F6" w:rsidR="00F97417" w:rsidP="000266F6" w:rsidRDefault="003577B3" w14:paraId="77FACE96" w14:textId="56D3C076">
      <w:pPr>
        <w:rPr>
          <w:rFonts w:asciiTheme="minorHAnsi" w:hAnsiTheme="minorHAnsi" w:cstheme="minorHAnsi"/>
          <w:sz w:val="22"/>
          <w:szCs w:val="22"/>
        </w:rPr>
      </w:pPr>
      <w:r w:rsidRPr="000266F6">
        <w:rPr>
          <w:rFonts w:asciiTheme="minorHAnsi" w:hAnsiTheme="minorHAnsi" w:cstheme="minorHAnsi"/>
          <w:sz w:val="22"/>
          <w:szCs w:val="22"/>
        </w:rPr>
        <w:t>The Act also requires</w:t>
      </w:r>
      <w:r w:rsidRPr="000266F6" w:rsidR="005C757C">
        <w:rPr>
          <w:rFonts w:asciiTheme="minorHAnsi" w:hAnsiTheme="minorHAnsi" w:cstheme="minorHAnsi"/>
          <w:sz w:val="22"/>
          <w:szCs w:val="22"/>
        </w:rPr>
        <w:t xml:space="preserve"> the Secretary take steps to increase the efficiency of the process of obtaining a Certificate of Confidentiality including:  1) minimizing the burden to researchers; 2) streamlining the process; and 3) reducing the time it takes to comply with the requirements associated with applying for a Certificate.  NIH </w:t>
      </w:r>
      <w:r w:rsidRPr="000266F6">
        <w:rPr>
          <w:rFonts w:asciiTheme="minorHAnsi" w:hAnsiTheme="minorHAnsi" w:cstheme="minorHAnsi"/>
          <w:sz w:val="22"/>
          <w:szCs w:val="22"/>
        </w:rPr>
        <w:t xml:space="preserve">plans to further implement these requirements with a </w:t>
      </w:r>
      <w:r w:rsidRPr="000266F6" w:rsidR="005C757C">
        <w:rPr>
          <w:rFonts w:asciiTheme="minorHAnsi" w:hAnsiTheme="minorHAnsi" w:cstheme="minorHAnsi"/>
          <w:sz w:val="22"/>
          <w:szCs w:val="22"/>
        </w:rPr>
        <w:t xml:space="preserve">streamlined </w:t>
      </w:r>
      <w:r w:rsidRPr="000266F6" w:rsidR="005C757C">
        <w:rPr>
          <w:rFonts w:asciiTheme="minorHAnsi" w:hAnsiTheme="minorHAnsi" w:cstheme="minorHAnsi"/>
          <w:sz w:val="22"/>
          <w:szCs w:val="22"/>
        </w:rPr>
        <w:lastRenderedPageBreak/>
        <w:t xml:space="preserve">form and enhanced electronic system </w:t>
      </w:r>
      <w:r w:rsidRPr="000266F6">
        <w:rPr>
          <w:rFonts w:asciiTheme="minorHAnsi" w:hAnsiTheme="minorHAnsi" w:cstheme="minorHAnsi"/>
          <w:sz w:val="22"/>
          <w:szCs w:val="22"/>
        </w:rPr>
        <w:t>in 2020</w:t>
      </w:r>
      <w:r w:rsidRPr="000266F6" w:rsidR="005C757C">
        <w:rPr>
          <w:rFonts w:asciiTheme="minorHAnsi" w:hAnsiTheme="minorHAnsi" w:cstheme="minorHAnsi"/>
          <w:sz w:val="22"/>
          <w:szCs w:val="22"/>
        </w:rPr>
        <w:t xml:space="preserve">.  </w:t>
      </w:r>
      <w:r w:rsidRPr="000266F6">
        <w:rPr>
          <w:rFonts w:asciiTheme="minorHAnsi" w:hAnsiTheme="minorHAnsi" w:cstheme="minorHAnsi"/>
          <w:sz w:val="22"/>
          <w:szCs w:val="22"/>
        </w:rPr>
        <w:t xml:space="preserve">Due to the timeline and resources needed for system development, the system will not be functional prior to expiration of the current clearance.  </w:t>
      </w:r>
    </w:p>
    <w:p w:rsidRPr="000266F6" w:rsidR="00807E31" w:rsidP="000266F6" w:rsidRDefault="00807E31" w14:paraId="4B5F2C07" w14:textId="77777777">
      <w:pPr>
        <w:pStyle w:val="Heading2"/>
        <w:tabs>
          <w:tab w:val="clear" w:pos="1152"/>
          <w:tab w:val="left" w:pos="720"/>
        </w:tabs>
        <w:spacing w:after="160" w:line="259" w:lineRule="auto"/>
        <w:ind w:left="0" w:firstLine="0"/>
        <w:rPr>
          <w:rFonts w:asciiTheme="minorHAnsi" w:hAnsiTheme="minorHAnsi" w:cstheme="minorHAnsi"/>
          <w:szCs w:val="22"/>
        </w:rPr>
      </w:pPr>
      <w:bookmarkStart w:name="_Toc443881759" w:id="50"/>
      <w:bookmarkStart w:name="_Toc451592246" w:id="51"/>
      <w:bookmarkStart w:name="_Toc5610287" w:id="52"/>
      <w:bookmarkStart w:name="_Toc99178793" w:id="53"/>
      <w:r w:rsidRPr="000266F6">
        <w:rPr>
          <w:rFonts w:asciiTheme="minorHAnsi" w:hAnsiTheme="minorHAnsi" w:cstheme="minorHAnsi"/>
          <w:szCs w:val="22"/>
        </w:rPr>
        <w:t>A.16</w:t>
      </w:r>
      <w:r w:rsidRPr="000266F6">
        <w:rPr>
          <w:rFonts w:asciiTheme="minorHAnsi" w:hAnsiTheme="minorHAnsi" w:cstheme="minorHAnsi"/>
          <w:szCs w:val="22"/>
        </w:rPr>
        <w:tab/>
        <w:t>Plans for Tabulation and Publication and Project Time Schedule</w:t>
      </w:r>
      <w:bookmarkEnd w:id="50"/>
      <w:bookmarkEnd w:id="51"/>
      <w:bookmarkEnd w:id="52"/>
      <w:bookmarkEnd w:id="53"/>
    </w:p>
    <w:p w:rsidRPr="000266F6" w:rsidR="00ED225D" w:rsidP="000266F6" w:rsidRDefault="00ED225D" w14:paraId="1D28EE5F" w14:textId="77777777">
      <w:pPr>
        <w:pStyle w:val="P1-StandPara"/>
        <w:spacing w:line="259" w:lineRule="auto"/>
        <w:ind w:firstLine="0"/>
        <w:rPr>
          <w:rFonts w:asciiTheme="minorHAnsi" w:hAnsiTheme="minorHAnsi" w:cstheme="minorHAnsi"/>
          <w:szCs w:val="22"/>
        </w:rPr>
      </w:pPr>
      <w:r w:rsidRPr="000266F6">
        <w:rPr>
          <w:rFonts w:asciiTheme="minorHAnsi" w:hAnsiTheme="minorHAnsi" w:cstheme="minorHAnsi"/>
          <w:szCs w:val="22"/>
        </w:rPr>
        <w:t xml:space="preserve">NIH will </w:t>
      </w:r>
      <w:r w:rsidRPr="000266F6" w:rsidR="00881C7F">
        <w:rPr>
          <w:rFonts w:asciiTheme="minorHAnsi" w:hAnsiTheme="minorHAnsi" w:cstheme="minorHAnsi"/>
          <w:szCs w:val="22"/>
        </w:rPr>
        <w:t xml:space="preserve">only use the </w:t>
      </w:r>
      <w:proofErr w:type="spellStart"/>
      <w:r w:rsidRPr="000266F6" w:rsidR="001465A0">
        <w:rPr>
          <w:rFonts w:asciiTheme="minorHAnsi" w:hAnsiTheme="minorHAnsi" w:cstheme="minorHAnsi"/>
          <w:szCs w:val="22"/>
        </w:rPr>
        <w:t>CoC</w:t>
      </w:r>
      <w:proofErr w:type="spellEnd"/>
      <w:r w:rsidRPr="000266F6" w:rsidR="001465A0">
        <w:rPr>
          <w:rFonts w:asciiTheme="minorHAnsi" w:hAnsiTheme="minorHAnsi" w:cstheme="minorHAnsi"/>
          <w:szCs w:val="22"/>
        </w:rPr>
        <w:t xml:space="preserve"> request</w:t>
      </w:r>
      <w:r w:rsidRPr="000266F6" w:rsidR="00881C7F">
        <w:rPr>
          <w:rFonts w:asciiTheme="minorHAnsi" w:hAnsiTheme="minorHAnsi" w:cstheme="minorHAnsi"/>
          <w:szCs w:val="22"/>
        </w:rPr>
        <w:t xml:space="preserve"> information to </w:t>
      </w:r>
      <w:r w:rsidRPr="000266F6" w:rsidR="0076598F">
        <w:rPr>
          <w:rFonts w:asciiTheme="minorHAnsi" w:hAnsiTheme="minorHAnsi" w:cstheme="minorHAnsi"/>
          <w:szCs w:val="22"/>
        </w:rPr>
        <w:t>tabulate internal statistics</w:t>
      </w:r>
      <w:r w:rsidRPr="000266F6" w:rsidR="00881C7F">
        <w:rPr>
          <w:rFonts w:asciiTheme="minorHAnsi" w:hAnsiTheme="minorHAnsi" w:cstheme="minorHAnsi"/>
          <w:szCs w:val="22"/>
        </w:rPr>
        <w:t xml:space="preserve"> for administrative purposes only.  No publications of this information are planned.  </w:t>
      </w:r>
      <w:r w:rsidRPr="000266F6" w:rsidR="00881C7F">
        <w:rPr>
          <w:rFonts w:asciiTheme="minorHAnsi" w:hAnsiTheme="minorHAnsi" w:cstheme="minorHAnsi"/>
          <w:szCs w:val="22"/>
        </w:rPr>
        <w:tab/>
      </w:r>
    </w:p>
    <w:p w:rsidR="00CE47AF" w:rsidP="00645E6D" w:rsidRDefault="00CE47AF" w14:paraId="464D8695" w14:textId="77777777">
      <w:pPr>
        <w:pStyle w:val="P1-StandPara"/>
        <w:ind w:firstLine="0"/>
      </w:pPr>
    </w:p>
    <w:tbl>
      <w:tblPr>
        <w:tblW w:w="0" w:type="auto"/>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Look w:val="0000" w:firstRow="0" w:lastRow="0" w:firstColumn="0" w:lastColumn="0" w:noHBand="0" w:noVBand="0"/>
      </w:tblPr>
      <w:tblGrid>
        <w:gridCol w:w="3618"/>
        <w:gridCol w:w="3150"/>
      </w:tblGrid>
      <w:tr w:rsidRPr="00B75D2E" w:rsidR="00881C7F" w:rsidTr="00D46AA5" w14:paraId="62FB52C3" w14:textId="77777777">
        <w:trPr>
          <w:trHeight w:val="403"/>
        </w:trPr>
        <w:tc>
          <w:tcPr>
            <w:tcW w:w="6768" w:type="dxa"/>
            <w:gridSpan w:val="2"/>
            <w:shd w:val="clear" w:color="auto" w:fill="auto"/>
          </w:tcPr>
          <w:p w:rsidRPr="000266F6" w:rsidR="00881C7F" w:rsidP="00B75D2E" w:rsidRDefault="00881C7F" w14:paraId="2730D454" w14:textId="77777777">
            <w:pPr>
              <w:jc w:val="center"/>
            </w:pPr>
          </w:p>
          <w:p w:rsidRPr="000266F6" w:rsidR="00881C7F" w:rsidP="00B75D2E" w:rsidRDefault="00881C7F" w14:paraId="174E57F6" w14:textId="77777777">
            <w:pPr>
              <w:jc w:val="center"/>
            </w:pPr>
            <w:r w:rsidRPr="000266F6">
              <w:t>A.16 - 1 Project Time Schedule</w:t>
            </w:r>
          </w:p>
          <w:p w:rsidRPr="000266F6" w:rsidR="00881C7F" w:rsidP="00B75D2E" w:rsidRDefault="00881C7F" w14:paraId="339129BF" w14:textId="77777777">
            <w:pPr>
              <w:jc w:val="center"/>
            </w:pPr>
          </w:p>
        </w:tc>
      </w:tr>
      <w:tr w:rsidRPr="00B75D2E" w:rsidR="00881C7F" w:rsidTr="00D46AA5" w14:paraId="0FE573B7" w14:textId="77777777">
        <w:trPr>
          <w:trHeight w:val="403"/>
        </w:trPr>
        <w:tc>
          <w:tcPr>
            <w:tcW w:w="3618" w:type="dxa"/>
            <w:shd w:val="clear" w:color="auto" w:fill="auto"/>
          </w:tcPr>
          <w:p w:rsidRPr="000266F6" w:rsidR="00881C7F" w:rsidP="00B75D2E" w:rsidRDefault="00881C7F" w14:paraId="5EA2DC87" w14:textId="77777777">
            <w:r w:rsidRPr="000266F6">
              <w:tab/>
              <w:t>Activity</w:t>
            </w:r>
          </w:p>
        </w:tc>
        <w:tc>
          <w:tcPr>
            <w:tcW w:w="3150" w:type="dxa"/>
            <w:shd w:val="clear" w:color="auto" w:fill="auto"/>
          </w:tcPr>
          <w:p w:rsidRPr="000266F6" w:rsidR="00881C7F" w:rsidP="00B75D2E" w:rsidRDefault="00E90DB7" w14:paraId="28F31125" w14:textId="1DC90FA1">
            <w:r w:rsidRPr="000266F6">
              <w:t>Time S</w:t>
            </w:r>
            <w:r w:rsidRPr="000266F6" w:rsidR="00881C7F">
              <w:t>chedule</w:t>
            </w:r>
          </w:p>
        </w:tc>
      </w:tr>
      <w:tr w:rsidRPr="00B75D2E" w:rsidR="00881C7F" w:rsidTr="00D46AA5" w14:paraId="2FA9845B" w14:textId="77777777">
        <w:trPr>
          <w:trHeight w:val="403"/>
        </w:trPr>
        <w:tc>
          <w:tcPr>
            <w:tcW w:w="3618" w:type="dxa"/>
            <w:shd w:val="clear" w:color="auto" w:fill="auto"/>
          </w:tcPr>
          <w:p w:rsidRPr="00CC667A" w:rsidR="00881C7F" w:rsidP="00035178" w:rsidRDefault="00035178" w14:paraId="7094DA97" w14:textId="77777777">
            <w:r w:rsidRPr="00CC667A">
              <w:t>Contin</w:t>
            </w:r>
            <w:r w:rsidR="00F7144F">
              <w:t>u</w:t>
            </w:r>
            <w:r w:rsidRPr="00CC667A">
              <w:t>e to m</w:t>
            </w:r>
            <w:r w:rsidRPr="00CC667A" w:rsidR="00881C7F">
              <w:t xml:space="preserve">ake researchers aware of on-line </w:t>
            </w:r>
            <w:r w:rsidR="001465A0">
              <w:t>request</w:t>
            </w:r>
            <w:r w:rsidRPr="00CC667A" w:rsidR="00881C7F">
              <w:t xml:space="preserve"> system for all </w:t>
            </w:r>
            <w:proofErr w:type="spellStart"/>
            <w:r w:rsidRPr="00CC667A" w:rsidR="00881C7F">
              <w:t>CoC</w:t>
            </w:r>
            <w:proofErr w:type="spellEnd"/>
            <w:r w:rsidRPr="00CC667A" w:rsidR="00881C7F">
              <w:t xml:space="preserve"> requests to NIH</w:t>
            </w:r>
          </w:p>
        </w:tc>
        <w:tc>
          <w:tcPr>
            <w:tcW w:w="3150" w:type="dxa"/>
            <w:shd w:val="clear" w:color="auto" w:fill="auto"/>
          </w:tcPr>
          <w:p w:rsidRPr="00CC667A" w:rsidR="00881C7F" w:rsidP="00035178" w:rsidRDefault="00035178" w14:paraId="1992CC04" w14:textId="77777777">
            <w:r w:rsidRPr="00CC667A">
              <w:t>ongoing</w:t>
            </w:r>
          </w:p>
        </w:tc>
      </w:tr>
      <w:tr w:rsidRPr="00B75D2E" w:rsidR="00881C7F" w:rsidTr="00D46AA5" w14:paraId="79BAE275" w14:textId="77777777">
        <w:trPr>
          <w:trHeight w:val="403"/>
        </w:trPr>
        <w:tc>
          <w:tcPr>
            <w:tcW w:w="3618" w:type="dxa"/>
            <w:shd w:val="clear" w:color="auto" w:fill="auto"/>
          </w:tcPr>
          <w:p w:rsidRPr="00CC667A" w:rsidR="00881C7F" w:rsidP="00B75D2E" w:rsidRDefault="00035178" w14:paraId="154754CD" w14:textId="77777777">
            <w:r w:rsidRPr="00CC667A">
              <w:t>Conti</w:t>
            </w:r>
            <w:r w:rsidR="00F7144F">
              <w:t>n</w:t>
            </w:r>
            <w:r w:rsidRPr="00CC667A">
              <w:t>ue to e</w:t>
            </w:r>
            <w:r w:rsidRPr="00CC667A" w:rsidR="000B7AAD">
              <w:t xml:space="preserve">nable system access for </w:t>
            </w:r>
            <w:r w:rsidRPr="00CC667A" w:rsidR="00881C7F">
              <w:t xml:space="preserve">researchers who wish to request a </w:t>
            </w:r>
            <w:proofErr w:type="spellStart"/>
            <w:r w:rsidRPr="00CC667A" w:rsidR="00881C7F">
              <w:t>CoC</w:t>
            </w:r>
            <w:proofErr w:type="spellEnd"/>
            <w:r w:rsidRPr="00CC667A" w:rsidR="00881C7F">
              <w:t xml:space="preserve"> </w:t>
            </w:r>
          </w:p>
        </w:tc>
        <w:tc>
          <w:tcPr>
            <w:tcW w:w="3150" w:type="dxa"/>
            <w:shd w:val="clear" w:color="auto" w:fill="auto"/>
          </w:tcPr>
          <w:p w:rsidRPr="00CC667A" w:rsidR="00881C7F" w:rsidP="00881C7F" w:rsidRDefault="00035178" w14:paraId="6C8D09B9" w14:textId="77777777">
            <w:r w:rsidRPr="00CC667A">
              <w:t>ongoing</w:t>
            </w:r>
          </w:p>
        </w:tc>
      </w:tr>
      <w:tr w:rsidRPr="00B75D2E" w:rsidR="00881C7F" w:rsidTr="00D46AA5" w14:paraId="788013AB" w14:textId="77777777">
        <w:trPr>
          <w:trHeight w:val="403"/>
        </w:trPr>
        <w:tc>
          <w:tcPr>
            <w:tcW w:w="3618" w:type="dxa"/>
            <w:shd w:val="clear" w:color="auto" w:fill="auto"/>
          </w:tcPr>
          <w:p w:rsidRPr="00CC667A" w:rsidR="00881C7F" w:rsidP="00B75D2E" w:rsidRDefault="00881C7F" w14:paraId="118EA435" w14:textId="77777777">
            <w:r w:rsidRPr="00CC667A">
              <w:t>Monitor system and correct any unrecognized system errors</w:t>
            </w:r>
          </w:p>
        </w:tc>
        <w:tc>
          <w:tcPr>
            <w:tcW w:w="3150" w:type="dxa"/>
            <w:shd w:val="clear" w:color="auto" w:fill="auto"/>
          </w:tcPr>
          <w:p w:rsidRPr="00CC667A" w:rsidR="00881C7F" w:rsidP="00790F17" w:rsidRDefault="00F7144F" w14:paraId="283E48EA" w14:textId="77777777">
            <w:r>
              <w:t>on</w:t>
            </w:r>
            <w:r w:rsidRPr="00CC667A" w:rsidR="00881C7F">
              <w:t xml:space="preserve">going </w:t>
            </w:r>
          </w:p>
        </w:tc>
      </w:tr>
      <w:tr w:rsidRPr="00B75D2E" w:rsidR="00881C7F" w:rsidTr="00D46AA5" w14:paraId="188C73F1" w14:textId="77777777">
        <w:trPr>
          <w:trHeight w:val="403"/>
        </w:trPr>
        <w:tc>
          <w:tcPr>
            <w:tcW w:w="3618" w:type="dxa"/>
            <w:shd w:val="clear" w:color="auto" w:fill="auto"/>
          </w:tcPr>
          <w:p w:rsidRPr="00CC667A" w:rsidR="00881C7F" w:rsidP="00B75D2E" w:rsidRDefault="00881C7F" w14:paraId="647F7F14" w14:textId="77777777">
            <w:r w:rsidRPr="00CC667A">
              <w:t>Tabulate annual system administrative metrics for internal NIH use</w:t>
            </w:r>
          </w:p>
        </w:tc>
        <w:tc>
          <w:tcPr>
            <w:tcW w:w="3150" w:type="dxa"/>
            <w:shd w:val="clear" w:color="auto" w:fill="auto"/>
          </w:tcPr>
          <w:p w:rsidRPr="00CC667A" w:rsidR="00881C7F" w:rsidP="00035178" w:rsidRDefault="00035178" w14:paraId="0A3B1B21" w14:textId="77777777">
            <w:r w:rsidRPr="00CC667A">
              <w:t>annually</w:t>
            </w:r>
          </w:p>
        </w:tc>
      </w:tr>
    </w:tbl>
    <w:p w:rsidRPr="00AD5D9C" w:rsidR="0093431F" w:rsidP="00645E6D" w:rsidRDefault="0093431F" w14:paraId="01F3F414" w14:textId="77777777">
      <w:pPr>
        <w:spacing w:line="480" w:lineRule="auto"/>
        <w:rPr>
          <w:rFonts w:asciiTheme="minorHAnsi" w:hAnsiTheme="minorHAnsi" w:cstheme="minorHAnsi"/>
        </w:rPr>
      </w:pPr>
    </w:p>
    <w:p w:rsidRPr="00AD5D9C" w:rsidR="00807E31" w:rsidP="00645E6D" w:rsidRDefault="00807E31" w14:paraId="06E74882" w14:textId="77777777">
      <w:pPr>
        <w:pStyle w:val="Heading2"/>
        <w:tabs>
          <w:tab w:val="clear" w:pos="1152"/>
          <w:tab w:val="left" w:pos="720"/>
        </w:tabs>
        <w:spacing w:after="0" w:line="480" w:lineRule="auto"/>
        <w:ind w:left="0" w:firstLine="0"/>
        <w:rPr>
          <w:rFonts w:asciiTheme="minorHAnsi" w:hAnsiTheme="minorHAnsi" w:cstheme="minorHAnsi"/>
          <w:sz w:val="24"/>
          <w:szCs w:val="24"/>
        </w:rPr>
      </w:pPr>
      <w:bookmarkStart w:name="_Toc443881760" w:id="54"/>
      <w:bookmarkStart w:name="_Toc451592247" w:id="55"/>
      <w:bookmarkStart w:name="_Toc5610288" w:id="56"/>
      <w:bookmarkStart w:name="_Toc99178794" w:id="57"/>
      <w:r w:rsidRPr="00AD5D9C">
        <w:rPr>
          <w:rFonts w:asciiTheme="minorHAnsi" w:hAnsiTheme="minorHAnsi" w:cstheme="minorHAnsi"/>
          <w:sz w:val="24"/>
          <w:szCs w:val="24"/>
        </w:rPr>
        <w:t>A.17</w:t>
      </w:r>
      <w:r w:rsidRPr="00AD5D9C">
        <w:rPr>
          <w:rFonts w:asciiTheme="minorHAnsi" w:hAnsiTheme="minorHAnsi" w:cstheme="minorHAnsi"/>
          <w:sz w:val="24"/>
          <w:szCs w:val="24"/>
        </w:rPr>
        <w:tab/>
        <w:t>Reason(s) Display of OMB Expiration Date is Inappropriate</w:t>
      </w:r>
      <w:bookmarkEnd w:id="54"/>
      <w:bookmarkEnd w:id="55"/>
      <w:bookmarkEnd w:id="56"/>
      <w:bookmarkEnd w:id="57"/>
    </w:p>
    <w:p w:rsidR="00D83A8B" w:rsidP="00D83A8B" w:rsidRDefault="00D83A8B" w14:paraId="392D95E5" w14:textId="1B55DB8D">
      <w:pPr>
        <w:rPr>
          <w:rFonts w:asciiTheme="minorHAnsi" w:hAnsiTheme="minorHAnsi" w:cstheme="minorHAnsi"/>
        </w:rPr>
      </w:pPr>
      <w:r w:rsidRPr="00AD5D9C">
        <w:rPr>
          <w:rFonts w:asciiTheme="minorHAnsi" w:hAnsiTheme="minorHAnsi" w:cstheme="minorHAnsi"/>
        </w:rPr>
        <w:t>The OMB control number will be displayed with an expiration date.</w:t>
      </w:r>
    </w:p>
    <w:p w:rsidRPr="00AD5D9C" w:rsidR="00AD5D9C" w:rsidP="00D83A8B" w:rsidRDefault="00AD5D9C" w14:paraId="47D4820B" w14:textId="77777777">
      <w:pPr>
        <w:rPr>
          <w:rFonts w:asciiTheme="minorHAnsi" w:hAnsiTheme="minorHAnsi" w:cstheme="minorHAnsi"/>
        </w:rPr>
      </w:pPr>
    </w:p>
    <w:p w:rsidRPr="00AD5D9C" w:rsidR="00807E31" w:rsidP="00645E6D" w:rsidRDefault="00807E31" w14:paraId="2BDEF339" w14:textId="77777777">
      <w:pPr>
        <w:pStyle w:val="Heading2"/>
        <w:tabs>
          <w:tab w:val="clear" w:pos="1152"/>
          <w:tab w:val="left" w:pos="720"/>
        </w:tabs>
        <w:spacing w:after="0" w:line="480" w:lineRule="auto"/>
        <w:ind w:left="0" w:firstLine="0"/>
        <w:rPr>
          <w:rFonts w:asciiTheme="minorHAnsi" w:hAnsiTheme="minorHAnsi" w:cstheme="minorHAnsi"/>
          <w:sz w:val="24"/>
          <w:szCs w:val="24"/>
        </w:rPr>
      </w:pPr>
      <w:bookmarkStart w:name="_Toc443881761" w:id="58"/>
      <w:bookmarkStart w:name="_Toc451592248" w:id="59"/>
      <w:bookmarkStart w:name="_Toc5610289" w:id="60"/>
      <w:bookmarkStart w:name="_Toc99178795" w:id="61"/>
      <w:r w:rsidRPr="00AD5D9C">
        <w:rPr>
          <w:rFonts w:asciiTheme="minorHAnsi" w:hAnsiTheme="minorHAnsi" w:cstheme="minorHAnsi"/>
          <w:sz w:val="24"/>
          <w:szCs w:val="24"/>
        </w:rPr>
        <w:t>A.18</w:t>
      </w:r>
      <w:r w:rsidRPr="00AD5D9C">
        <w:rPr>
          <w:rFonts w:asciiTheme="minorHAnsi" w:hAnsiTheme="minorHAnsi" w:cstheme="minorHAnsi"/>
          <w:sz w:val="24"/>
          <w:szCs w:val="24"/>
        </w:rPr>
        <w:tab/>
        <w:t>Exceptions to Certification for Paperwork Reduction Act Submissions</w:t>
      </w:r>
      <w:bookmarkEnd w:id="58"/>
      <w:bookmarkEnd w:id="59"/>
      <w:bookmarkEnd w:id="60"/>
      <w:bookmarkEnd w:id="61"/>
    </w:p>
    <w:p w:rsidR="0093431F" w:rsidP="00202B4E" w:rsidRDefault="00D83A8B" w14:paraId="6BFA1873" w14:textId="551F4053">
      <w:pPr>
        <w:spacing w:line="480" w:lineRule="auto"/>
      </w:pPr>
      <w:r w:rsidRPr="00AD5D9C">
        <w:rPr>
          <w:rFonts w:asciiTheme="minorHAnsi" w:hAnsiTheme="minorHAnsi" w:cstheme="minorHAnsi"/>
        </w:rPr>
        <w:t>None</w:t>
      </w:r>
    </w:p>
    <w:sectPr w:rsidR="0093431F" w:rsidSect="009B25A0">
      <w:footerReference w:type="even" r:id="rId15"/>
      <w:footerReference w:type="default" r:id="rId16"/>
      <w:pgSz w:w="12240" w:h="15840"/>
      <w:pgMar w:top="1440" w:right="1530" w:bottom="1440" w:left="1800" w:header="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182C8" w14:textId="77777777" w:rsidR="00474CD4" w:rsidRDefault="00474CD4">
      <w:r>
        <w:separator/>
      </w:r>
    </w:p>
  </w:endnote>
  <w:endnote w:type="continuationSeparator" w:id="0">
    <w:p w14:paraId="252BCF45" w14:textId="77777777" w:rsidR="00474CD4" w:rsidRDefault="0047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CC6AF" w14:textId="77777777" w:rsidR="00FF1C30" w:rsidRDefault="00FF1C30"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AEE0E6" w14:textId="77777777" w:rsidR="00FF1C30" w:rsidRDefault="00FF1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3960"/>
      <w:docPartObj>
        <w:docPartGallery w:val="Page Numbers (Bottom of Page)"/>
        <w:docPartUnique/>
      </w:docPartObj>
    </w:sdtPr>
    <w:sdtEndPr>
      <w:rPr>
        <w:noProof/>
      </w:rPr>
    </w:sdtEndPr>
    <w:sdtContent>
      <w:p w14:paraId="635FF655" w14:textId="2C208E73" w:rsidR="00E17A1F" w:rsidRDefault="00E17A1F">
        <w:pPr>
          <w:pStyle w:val="Footer"/>
          <w:jc w:val="center"/>
        </w:pPr>
        <w:r>
          <w:fldChar w:fldCharType="begin"/>
        </w:r>
        <w:r>
          <w:instrText xml:space="preserve"> PAGE   \* MERGEFORMAT </w:instrText>
        </w:r>
        <w:r>
          <w:fldChar w:fldCharType="separate"/>
        </w:r>
        <w:r w:rsidR="00A20EBA">
          <w:rPr>
            <w:noProof/>
          </w:rPr>
          <w:t>1</w:t>
        </w:r>
        <w:r>
          <w:rPr>
            <w:noProof/>
          </w:rPr>
          <w:fldChar w:fldCharType="end"/>
        </w:r>
      </w:p>
    </w:sdtContent>
  </w:sdt>
  <w:p w14:paraId="15B11AAC" w14:textId="77777777" w:rsidR="00FF1C30" w:rsidRDefault="00FF1C30" w:rsidP="004A70E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53E1D" w14:textId="77777777" w:rsidR="00474CD4" w:rsidRDefault="00474CD4">
      <w:r>
        <w:separator/>
      </w:r>
    </w:p>
  </w:footnote>
  <w:footnote w:type="continuationSeparator" w:id="0">
    <w:p w14:paraId="037B6CE2" w14:textId="77777777" w:rsidR="00474CD4" w:rsidRDefault="00474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013D2"/>
    <w:multiLevelType w:val="hybridMultilevel"/>
    <w:tmpl w:val="21E25D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36C8D"/>
    <w:multiLevelType w:val="hybridMultilevel"/>
    <w:tmpl w:val="D5F6EE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5375C0"/>
    <w:multiLevelType w:val="hybridMultilevel"/>
    <w:tmpl w:val="DC0AE3DE"/>
    <w:lvl w:ilvl="0" w:tplc="2654A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273C25"/>
    <w:multiLevelType w:val="hybridMultilevel"/>
    <w:tmpl w:val="3B84B58A"/>
    <w:lvl w:ilvl="0" w:tplc="910023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4C65132"/>
    <w:multiLevelType w:val="hybridMultilevel"/>
    <w:tmpl w:val="5D24B4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13D7D92"/>
    <w:multiLevelType w:val="hybridMultilevel"/>
    <w:tmpl w:val="AB2EA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5A0AFB"/>
    <w:multiLevelType w:val="hybridMultilevel"/>
    <w:tmpl w:val="946A4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9"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B223AA1"/>
    <w:multiLevelType w:val="hybridMultilevel"/>
    <w:tmpl w:val="5F304D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3"/>
  </w:num>
  <w:num w:numId="4">
    <w:abstractNumId w:val="5"/>
  </w:num>
  <w:num w:numId="5">
    <w:abstractNumId w:val="2"/>
  </w:num>
  <w:num w:numId="6">
    <w:abstractNumId w:val="0"/>
  </w:num>
  <w:num w:numId="7">
    <w:abstractNumId w:val="10"/>
  </w:num>
  <w:num w:numId="8">
    <w:abstractNumId w:val="1"/>
  </w:num>
  <w:num w:numId="9">
    <w:abstractNumId w:val="7"/>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10E"/>
    <w:rsid w:val="00005144"/>
    <w:rsid w:val="000057D9"/>
    <w:rsid w:val="000129FA"/>
    <w:rsid w:val="000215E6"/>
    <w:rsid w:val="00021D4F"/>
    <w:rsid w:val="000222EE"/>
    <w:rsid w:val="00022CD2"/>
    <w:rsid w:val="000266F6"/>
    <w:rsid w:val="00030E92"/>
    <w:rsid w:val="0003506D"/>
    <w:rsid w:val="00035178"/>
    <w:rsid w:val="000355A2"/>
    <w:rsid w:val="00037BE4"/>
    <w:rsid w:val="000414C0"/>
    <w:rsid w:val="00041715"/>
    <w:rsid w:val="00041730"/>
    <w:rsid w:val="00044E61"/>
    <w:rsid w:val="0005035B"/>
    <w:rsid w:val="0005038E"/>
    <w:rsid w:val="00050F9B"/>
    <w:rsid w:val="00053407"/>
    <w:rsid w:val="00053D8D"/>
    <w:rsid w:val="00067402"/>
    <w:rsid w:val="00071EB2"/>
    <w:rsid w:val="000835A5"/>
    <w:rsid w:val="000860E2"/>
    <w:rsid w:val="00092BC6"/>
    <w:rsid w:val="00097B16"/>
    <w:rsid w:val="000A5B92"/>
    <w:rsid w:val="000B0D46"/>
    <w:rsid w:val="000B76B4"/>
    <w:rsid w:val="000B7AAD"/>
    <w:rsid w:val="000C3D31"/>
    <w:rsid w:val="000C55CE"/>
    <w:rsid w:val="000C6D61"/>
    <w:rsid w:val="000D1C31"/>
    <w:rsid w:val="000D2FA4"/>
    <w:rsid w:val="000E4ACE"/>
    <w:rsid w:val="001023FD"/>
    <w:rsid w:val="00103510"/>
    <w:rsid w:val="001044E9"/>
    <w:rsid w:val="00107FC3"/>
    <w:rsid w:val="00110BED"/>
    <w:rsid w:val="001300B7"/>
    <w:rsid w:val="00133B7D"/>
    <w:rsid w:val="001343FD"/>
    <w:rsid w:val="0013496C"/>
    <w:rsid w:val="00134BC5"/>
    <w:rsid w:val="001465A0"/>
    <w:rsid w:val="00150C09"/>
    <w:rsid w:val="0016182C"/>
    <w:rsid w:val="001624C0"/>
    <w:rsid w:val="001647ED"/>
    <w:rsid w:val="00164B47"/>
    <w:rsid w:val="00175324"/>
    <w:rsid w:val="00180EAA"/>
    <w:rsid w:val="001825A4"/>
    <w:rsid w:val="001844D3"/>
    <w:rsid w:val="001905EB"/>
    <w:rsid w:val="00193AF7"/>
    <w:rsid w:val="0019625E"/>
    <w:rsid w:val="001A0B25"/>
    <w:rsid w:val="001A307E"/>
    <w:rsid w:val="001A46B7"/>
    <w:rsid w:val="001A46E5"/>
    <w:rsid w:val="001A64D6"/>
    <w:rsid w:val="001A7D7A"/>
    <w:rsid w:val="001B2454"/>
    <w:rsid w:val="001C142B"/>
    <w:rsid w:val="001C2B5C"/>
    <w:rsid w:val="001C529B"/>
    <w:rsid w:val="001C6244"/>
    <w:rsid w:val="001D6787"/>
    <w:rsid w:val="001D7747"/>
    <w:rsid w:val="001D7F5F"/>
    <w:rsid w:val="001E2C04"/>
    <w:rsid w:val="001E67BD"/>
    <w:rsid w:val="00202B4E"/>
    <w:rsid w:val="00215843"/>
    <w:rsid w:val="00215F80"/>
    <w:rsid w:val="00216EC8"/>
    <w:rsid w:val="002335B5"/>
    <w:rsid w:val="0024029C"/>
    <w:rsid w:val="00244137"/>
    <w:rsid w:val="0025059F"/>
    <w:rsid w:val="00253C78"/>
    <w:rsid w:val="0026021E"/>
    <w:rsid w:val="0026289C"/>
    <w:rsid w:val="00265373"/>
    <w:rsid w:val="00265BD9"/>
    <w:rsid w:val="002766E0"/>
    <w:rsid w:val="00282216"/>
    <w:rsid w:val="00282DE2"/>
    <w:rsid w:val="002855EE"/>
    <w:rsid w:val="002912B5"/>
    <w:rsid w:val="00297EA1"/>
    <w:rsid w:val="002A17B8"/>
    <w:rsid w:val="002A5B21"/>
    <w:rsid w:val="002B705F"/>
    <w:rsid w:val="002B786C"/>
    <w:rsid w:val="002C2946"/>
    <w:rsid w:val="002D0F8F"/>
    <w:rsid w:val="002D2CA0"/>
    <w:rsid w:val="002D2E20"/>
    <w:rsid w:val="002E1650"/>
    <w:rsid w:val="002F6122"/>
    <w:rsid w:val="002F77A7"/>
    <w:rsid w:val="00307787"/>
    <w:rsid w:val="00307E67"/>
    <w:rsid w:val="00313614"/>
    <w:rsid w:val="003162E5"/>
    <w:rsid w:val="003209BA"/>
    <w:rsid w:val="00322D98"/>
    <w:rsid w:val="00324E9F"/>
    <w:rsid w:val="00326840"/>
    <w:rsid w:val="003353F4"/>
    <w:rsid w:val="00341705"/>
    <w:rsid w:val="003532BF"/>
    <w:rsid w:val="00356C75"/>
    <w:rsid w:val="00356CE4"/>
    <w:rsid w:val="00357164"/>
    <w:rsid w:val="003577B3"/>
    <w:rsid w:val="003579BE"/>
    <w:rsid w:val="00370EDE"/>
    <w:rsid w:val="00371EE3"/>
    <w:rsid w:val="00375591"/>
    <w:rsid w:val="0038462D"/>
    <w:rsid w:val="003863D5"/>
    <w:rsid w:val="0039411C"/>
    <w:rsid w:val="003945CA"/>
    <w:rsid w:val="00395C47"/>
    <w:rsid w:val="003A316F"/>
    <w:rsid w:val="003B0959"/>
    <w:rsid w:val="003B34C4"/>
    <w:rsid w:val="003B3547"/>
    <w:rsid w:val="003B35EA"/>
    <w:rsid w:val="003C32F8"/>
    <w:rsid w:val="003C586C"/>
    <w:rsid w:val="003C7CE3"/>
    <w:rsid w:val="003D27D9"/>
    <w:rsid w:val="003D3BF5"/>
    <w:rsid w:val="003D712D"/>
    <w:rsid w:val="003E1B7C"/>
    <w:rsid w:val="003E5D3E"/>
    <w:rsid w:val="003E65CC"/>
    <w:rsid w:val="003E6A35"/>
    <w:rsid w:val="003F16EE"/>
    <w:rsid w:val="003F3EBE"/>
    <w:rsid w:val="003F5AA9"/>
    <w:rsid w:val="003F5AD9"/>
    <w:rsid w:val="00402E4B"/>
    <w:rsid w:val="00403B82"/>
    <w:rsid w:val="00407532"/>
    <w:rsid w:val="00407DB0"/>
    <w:rsid w:val="00415F9C"/>
    <w:rsid w:val="00420795"/>
    <w:rsid w:val="00421492"/>
    <w:rsid w:val="00422938"/>
    <w:rsid w:val="004276E1"/>
    <w:rsid w:val="00436D36"/>
    <w:rsid w:val="00437FEA"/>
    <w:rsid w:val="00441C06"/>
    <w:rsid w:val="00450822"/>
    <w:rsid w:val="004547B7"/>
    <w:rsid w:val="00454E8F"/>
    <w:rsid w:val="00460BCD"/>
    <w:rsid w:val="00472887"/>
    <w:rsid w:val="00472BB3"/>
    <w:rsid w:val="00474CD4"/>
    <w:rsid w:val="00475B77"/>
    <w:rsid w:val="004811A7"/>
    <w:rsid w:val="00486F08"/>
    <w:rsid w:val="0049085E"/>
    <w:rsid w:val="004915F9"/>
    <w:rsid w:val="004A32C4"/>
    <w:rsid w:val="004A70E1"/>
    <w:rsid w:val="004B7A4F"/>
    <w:rsid w:val="004C078C"/>
    <w:rsid w:val="004C16AD"/>
    <w:rsid w:val="004C628E"/>
    <w:rsid w:val="004C6ABF"/>
    <w:rsid w:val="004D02DF"/>
    <w:rsid w:val="004D0DAC"/>
    <w:rsid w:val="004E16E5"/>
    <w:rsid w:val="004F072C"/>
    <w:rsid w:val="004F1B37"/>
    <w:rsid w:val="004F7DC3"/>
    <w:rsid w:val="00500230"/>
    <w:rsid w:val="00500AF8"/>
    <w:rsid w:val="0050384D"/>
    <w:rsid w:val="0052071B"/>
    <w:rsid w:val="0052543E"/>
    <w:rsid w:val="00526FA8"/>
    <w:rsid w:val="005312AE"/>
    <w:rsid w:val="005348CA"/>
    <w:rsid w:val="00535D4E"/>
    <w:rsid w:val="00546CDE"/>
    <w:rsid w:val="005535A2"/>
    <w:rsid w:val="005576CB"/>
    <w:rsid w:val="00563174"/>
    <w:rsid w:val="0057120C"/>
    <w:rsid w:val="00572FE5"/>
    <w:rsid w:val="00574953"/>
    <w:rsid w:val="005764EE"/>
    <w:rsid w:val="005772D2"/>
    <w:rsid w:val="005836F7"/>
    <w:rsid w:val="00594CDE"/>
    <w:rsid w:val="005974BD"/>
    <w:rsid w:val="005A555B"/>
    <w:rsid w:val="005A6919"/>
    <w:rsid w:val="005A7ECF"/>
    <w:rsid w:val="005B1B9A"/>
    <w:rsid w:val="005B2167"/>
    <w:rsid w:val="005B249A"/>
    <w:rsid w:val="005B592C"/>
    <w:rsid w:val="005C3DC2"/>
    <w:rsid w:val="005C757C"/>
    <w:rsid w:val="005D3103"/>
    <w:rsid w:val="005E35D6"/>
    <w:rsid w:val="005E66C6"/>
    <w:rsid w:val="005F281E"/>
    <w:rsid w:val="00600460"/>
    <w:rsid w:val="006070A1"/>
    <w:rsid w:val="00620565"/>
    <w:rsid w:val="006342E7"/>
    <w:rsid w:val="00635E47"/>
    <w:rsid w:val="006446D9"/>
    <w:rsid w:val="006452E1"/>
    <w:rsid w:val="00645E6D"/>
    <w:rsid w:val="00650074"/>
    <w:rsid w:val="006525BC"/>
    <w:rsid w:val="00654B9D"/>
    <w:rsid w:val="00664F2E"/>
    <w:rsid w:val="00666CBD"/>
    <w:rsid w:val="00672A3B"/>
    <w:rsid w:val="00680E77"/>
    <w:rsid w:val="00681B82"/>
    <w:rsid w:val="00687537"/>
    <w:rsid w:val="006905A0"/>
    <w:rsid w:val="00690C70"/>
    <w:rsid w:val="006A40D3"/>
    <w:rsid w:val="006D0635"/>
    <w:rsid w:val="006D5220"/>
    <w:rsid w:val="006D5382"/>
    <w:rsid w:val="006E12BE"/>
    <w:rsid w:val="006E557B"/>
    <w:rsid w:val="006E5924"/>
    <w:rsid w:val="006E751C"/>
    <w:rsid w:val="006F01AC"/>
    <w:rsid w:val="00707D84"/>
    <w:rsid w:val="0071520F"/>
    <w:rsid w:val="00715947"/>
    <w:rsid w:val="00720B8A"/>
    <w:rsid w:val="007219F6"/>
    <w:rsid w:val="00722E26"/>
    <w:rsid w:val="00725AC4"/>
    <w:rsid w:val="007265D1"/>
    <w:rsid w:val="00727E56"/>
    <w:rsid w:val="007301DC"/>
    <w:rsid w:val="007336B1"/>
    <w:rsid w:val="00740996"/>
    <w:rsid w:val="00741EE3"/>
    <w:rsid w:val="00742472"/>
    <w:rsid w:val="0074568E"/>
    <w:rsid w:val="007512C6"/>
    <w:rsid w:val="0075622E"/>
    <w:rsid w:val="00762F00"/>
    <w:rsid w:val="00763EAC"/>
    <w:rsid w:val="0076598F"/>
    <w:rsid w:val="00772123"/>
    <w:rsid w:val="00782271"/>
    <w:rsid w:val="00783CF9"/>
    <w:rsid w:val="00787FAF"/>
    <w:rsid w:val="00790F17"/>
    <w:rsid w:val="00793C42"/>
    <w:rsid w:val="007B5463"/>
    <w:rsid w:val="007C16BD"/>
    <w:rsid w:val="007C4C0F"/>
    <w:rsid w:val="007D00C3"/>
    <w:rsid w:val="007D2D19"/>
    <w:rsid w:val="007D7F41"/>
    <w:rsid w:val="007E6299"/>
    <w:rsid w:val="007F2CD7"/>
    <w:rsid w:val="007F3E31"/>
    <w:rsid w:val="007F510A"/>
    <w:rsid w:val="007F77CE"/>
    <w:rsid w:val="00800AEB"/>
    <w:rsid w:val="00807E31"/>
    <w:rsid w:val="00811132"/>
    <w:rsid w:val="0081186A"/>
    <w:rsid w:val="008158CF"/>
    <w:rsid w:val="0081778E"/>
    <w:rsid w:val="00827F46"/>
    <w:rsid w:val="00835A43"/>
    <w:rsid w:val="00836C26"/>
    <w:rsid w:val="00837501"/>
    <w:rsid w:val="00841051"/>
    <w:rsid w:val="00844E1B"/>
    <w:rsid w:val="00855F52"/>
    <w:rsid w:val="0085671F"/>
    <w:rsid w:val="00856E5B"/>
    <w:rsid w:val="00871760"/>
    <w:rsid w:val="00873E09"/>
    <w:rsid w:val="00874814"/>
    <w:rsid w:val="008754F5"/>
    <w:rsid w:val="00875AAE"/>
    <w:rsid w:val="008773D4"/>
    <w:rsid w:val="00881C7F"/>
    <w:rsid w:val="0088409A"/>
    <w:rsid w:val="0088475E"/>
    <w:rsid w:val="00891613"/>
    <w:rsid w:val="00892809"/>
    <w:rsid w:val="0089317E"/>
    <w:rsid w:val="008A1444"/>
    <w:rsid w:val="008A1AA6"/>
    <w:rsid w:val="008A4948"/>
    <w:rsid w:val="008B14D2"/>
    <w:rsid w:val="008C1134"/>
    <w:rsid w:val="008C25E8"/>
    <w:rsid w:val="008C310E"/>
    <w:rsid w:val="008D07E2"/>
    <w:rsid w:val="008D4742"/>
    <w:rsid w:val="008E1C23"/>
    <w:rsid w:val="008F048F"/>
    <w:rsid w:val="008F69F6"/>
    <w:rsid w:val="008F7B7E"/>
    <w:rsid w:val="008F7BDC"/>
    <w:rsid w:val="0090090F"/>
    <w:rsid w:val="0090614D"/>
    <w:rsid w:val="009113CF"/>
    <w:rsid w:val="009157CC"/>
    <w:rsid w:val="00917AD9"/>
    <w:rsid w:val="00917F4A"/>
    <w:rsid w:val="00925B4A"/>
    <w:rsid w:val="00931337"/>
    <w:rsid w:val="0093244C"/>
    <w:rsid w:val="0093431F"/>
    <w:rsid w:val="009408D5"/>
    <w:rsid w:val="00946C63"/>
    <w:rsid w:val="009478BA"/>
    <w:rsid w:val="009508F6"/>
    <w:rsid w:val="009519D0"/>
    <w:rsid w:val="00954082"/>
    <w:rsid w:val="009611BC"/>
    <w:rsid w:val="0096439E"/>
    <w:rsid w:val="00965362"/>
    <w:rsid w:val="00966673"/>
    <w:rsid w:val="00967AAE"/>
    <w:rsid w:val="0097134D"/>
    <w:rsid w:val="00974981"/>
    <w:rsid w:val="00975638"/>
    <w:rsid w:val="009812FB"/>
    <w:rsid w:val="009814EE"/>
    <w:rsid w:val="00984025"/>
    <w:rsid w:val="00984765"/>
    <w:rsid w:val="0099574C"/>
    <w:rsid w:val="009965F7"/>
    <w:rsid w:val="009A24C3"/>
    <w:rsid w:val="009A28AB"/>
    <w:rsid w:val="009A7AF8"/>
    <w:rsid w:val="009B01FB"/>
    <w:rsid w:val="009B25A0"/>
    <w:rsid w:val="009C144E"/>
    <w:rsid w:val="009C2538"/>
    <w:rsid w:val="009D36A4"/>
    <w:rsid w:val="009E3657"/>
    <w:rsid w:val="009E39BB"/>
    <w:rsid w:val="009E7F09"/>
    <w:rsid w:val="009F0AAD"/>
    <w:rsid w:val="009F10C7"/>
    <w:rsid w:val="009F5751"/>
    <w:rsid w:val="009F794A"/>
    <w:rsid w:val="00A10AC6"/>
    <w:rsid w:val="00A16E92"/>
    <w:rsid w:val="00A20EBA"/>
    <w:rsid w:val="00A21B52"/>
    <w:rsid w:val="00A23CB4"/>
    <w:rsid w:val="00A32FB2"/>
    <w:rsid w:val="00A3336F"/>
    <w:rsid w:val="00A335B9"/>
    <w:rsid w:val="00A37688"/>
    <w:rsid w:val="00A42228"/>
    <w:rsid w:val="00A43952"/>
    <w:rsid w:val="00A45288"/>
    <w:rsid w:val="00A51456"/>
    <w:rsid w:val="00A567D6"/>
    <w:rsid w:val="00A666D5"/>
    <w:rsid w:val="00A71760"/>
    <w:rsid w:val="00A717B4"/>
    <w:rsid w:val="00A72127"/>
    <w:rsid w:val="00A77027"/>
    <w:rsid w:val="00A84EFF"/>
    <w:rsid w:val="00A852A5"/>
    <w:rsid w:val="00A93822"/>
    <w:rsid w:val="00A95917"/>
    <w:rsid w:val="00AA0A3B"/>
    <w:rsid w:val="00AA245E"/>
    <w:rsid w:val="00AA640E"/>
    <w:rsid w:val="00AA6B27"/>
    <w:rsid w:val="00AA6D4D"/>
    <w:rsid w:val="00AB10B2"/>
    <w:rsid w:val="00AB50E9"/>
    <w:rsid w:val="00AC2AB6"/>
    <w:rsid w:val="00AC39E0"/>
    <w:rsid w:val="00AC5CEB"/>
    <w:rsid w:val="00AC5F21"/>
    <w:rsid w:val="00AC6844"/>
    <w:rsid w:val="00AC79BD"/>
    <w:rsid w:val="00AD285E"/>
    <w:rsid w:val="00AD3206"/>
    <w:rsid w:val="00AD5D9C"/>
    <w:rsid w:val="00AE4487"/>
    <w:rsid w:val="00AE6568"/>
    <w:rsid w:val="00AE6CD7"/>
    <w:rsid w:val="00AF509C"/>
    <w:rsid w:val="00B05D1F"/>
    <w:rsid w:val="00B06047"/>
    <w:rsid w:val="00B079F2"/>
    <w:rsid w:val="00B10847"/>
    <w:rsid w:val="00B1262C"/>
    <w:rsid w:val="00B3199B"/>
    <w:rsid w:val="00B36383"/>
    <w:rsid w:val="00B40341"/>
    <w:rsid w:val="00B41EC6"/>
    <w:rsid w:val="00B439CA"/>
    <w:rsid w:val="00B4591C"/>
    <w:rsid w:val="00B46117"/>
    <w:rsid w:val="00B46756"/>
    <w:rsid w:val="00B47183"/>
    <w:rsid w:val="00B47B3E"/>
    <w:rsid w:val="00B5157A"/>
    <w:rsid w:val="00B51933"/>
    <w:rsid w:val="00B56401"/>
    <w:rsid w:val="00B62BE0"/>
    <w:rsid w:val="00B63D26"/>
    <w:rsid w:val="00B64FEA"/>
    <w:rsid w:val="00B670AB"/>
    <w:rsid w:val="00B71031"/>
    <w:rsid w:val="00B75D2E"/>
    <w:rsid w:val="00B75D30"/>
    <w:rsid w:val="00B8511D"/>
    <w:rsid w:val="00B87D8A"/>
    <w:rsid w:val="00B94864"/>
    <w:rsid w:val="00BA4413"/>
    <w:rsid w:val="00BA551A"/>
    <w:rsid w:val="00BB3D9A"/>
    <w:rsid w:val="00BB499D"/>
    <w:rsid w:val="00BB7984"/>
    <w:rsid w:val="00BB7D8D"/>
    <w:rsid w:val="00BC37AF"/>
    <w:rsid w:val="00BC4E67"/>
    <w:rsid w:val="00BC6942"/>
    <w:rsid w:val="00BD2FEB"/>
    <w:rsid w:val="00BD6179"/>
    <w:rsid w:val="00BE3E01"/>
    <w:rsid w:val="00BE49A1"/>
    <w:rsid w:val="00BF050D"/>
    <w:rsid w:val="00BF1474"/>
    <w:rsid w:val="00BF4042"/>
    <w:rsid w:val="00BF4ED9"/>
    <w:rsid w:val="00BF7343"/>
    <w:rsid w:val="00C03AB6"/>
    <w:rsid w:val="00C04A79"/>
    <w:rsid w:val="00C2565F"/>
    <w:rsid w:val="00C261A0"/>
    <w:rsid w:val="00C36A65"/>
    <w:rsid w:val="00C420D3"/>
    <w:rsid w:val="00C468FD"/>
    <w:rsid w:val="00C5649C"/>
    <w:rsid w:val="00C56FC3"/>
    <w:rsid w:val="00C72A82"/>
    <w:rsid w:val="00C74C74"/>
    <w:rsid w:val="00C76F78"/>
    <w:rsid w:val="00C82884"/>
    <w:rsid w:val="00C848AF"/>
    <w:rsid w:val="00C87CB6"/>
    <w:rsid w:val="00C94EE3"/>
    <w:rsid w:val="00C97E5F"/>
    <w:rsid w:val="00CA02BF"/>
    <w:rsid w:val="00CA375E"/>
    <w:rsid w:val="00CA5E71"/>
    <w:rsid w:val="00CA68A2"/>
    <w:rsid w:val="00CB21B1"/>
    <w:rsid w:val="00CB28E5"/>
    <w:rsid w:val="00CC1166"/>
    <w:rsid w:val="00CC4EEE"/>
    <w:rsid w:val="00CC667A"/>
    <w:rsid w:val="00CD3ED9"/>
    <w:rsid w:val="00CD51A6"/>
    <w:rsid w:val="00CD5AB6"/>
    <w:rsid w:val="00CD5E4B"/>
    <w:rsid w:val="00CD679B"/>
    <w:rsid w:val="00CE286C"/>
    <w:rsid w:val="00CE47AF"/>
    <w:rsid w:val="00CF0358"/>
    <w:rsid w:val="00CF1D71"/>
    <w:rsid w:val="00CF55FF"/>
    <w:rsid w:val="00CF577C"/>
    <w:rsid w:val="00D05880"/>
    <w:rsid w:val="00D13299"/>
    <w:rsid w:val="00D23882"/>
    <w:rsid w:val="00D25C76"/>
    <w:rsid w:val="00D26541"/>
    <w:rsid w:val="00D304E3"/>
    <w:rsid w:val="00D30D71"/>
    <w:rsid w:val="00D33489"/>
    <w:rsid w:val="00D345D7"/>
    <w:rsid w:val="00D4305A"/>
    <w:rsid w:val="00D44DBB"/>
    <w:rsid w:val="00D46AA5"/>
    <w:rsid w:val="00D5053E"/>
    <w:rsid w:val="00D5099C"/>
    <w:rsid w:val="00D511FB"/>
    <w:rsid w:val="00D54747"/>
    <w:rsid w:val="00D55E45"/>
    <w:rsid w:val="00D576BA"/>
    <w:rsid w:val="00D60A98"/>
    <w:rsid w:val="00D60BD2"/>
    <w:rsid w:val="00D627F5"/>
    <w:rsid w:val="00D67A0C"/>
    <w:rsid w:val="00D75280"/>
    <w:rsid w:val="00D82006"/>
    <w:rsid w:val="00D83A8B"/>
    <w:rsid w:val="00D8667B"/>
    <w:rsid w:val="00D86862"/>
    <w:rsid w:val="00D920A6"/>
    <w:rsid w:val="00D9376E"/>
    <w:rsid w:val="00D9693F"/>
    <w:rsid w:val="00D97067"/>
    <w:rsid w:val="00DA0F7C"/>
    <w:rsid w:val="00DA1D7E"/>
    <w:rsid w:val="00DA37E6"/>
    <w:rsid w:val="00DA5C44"/>
    <w:rsid w:val="00DA6E01"/>
    <w:rsid w:val="00DC00D9"/>
    <w:rsid w:val="00DC1786"/>
    <w:rsid w:val="00DC5B89"/>
    <w:rsid w:val="00DD2AF9"/>
    <w:rsid w:val="00DD70AD"/>
    <w:rsid w:val="00DF0C00"/>
    <w:rsid w:val="00DF62A9"/>
    <w:rsid w:val="00DF7150"/>
    <w:rsid w:val="00E043A3"/>
    <w:rsid w:val="00E1143C"/>
    <w:rsid w:val="00E151FE"/>
    <w:rsid w:val="00E17A1F"/>
    <w:rsid w:val="00E17EAF"/>
    <w:rsid w:val="00E2637A"/>
    <w:rsid w:val="00E26625"/>
    <w:rsid w:val="00E317EF"/>
    <w:rsid w:val="00E33563"/>
    <w:rsid w:val="00E33CEE"/>
    <w:rsid w:val="00E35600"/>
    <w:rsid w:val="00E36A07"/>
    <w:rsid w:val="00E407F0"/>
    <w:rsid w:val="00E5131E"/>
    <w:rsid w:val="00E53972"/>
    <w:rsid w:val="00E55153"/>
    <w:rsid w:val="00E55975"/>
    <w:rsid w:val="00E761C3"/>
    <w:rsid w:val="00E85311"/>
    <w:rsid w:val="00E90DB7"/>
    <w:rsid w:val="00E9355E"/>
    <w:rsid w:val="00E96D0F"/>
    <w:rsid w:val="00EB0D0B"/>
    <w:rsid w:val="00EB46B3"/>
    <w:rsid w:val="00EC080B"/>
    <w:rsid w:val="00EC378A"/>
    <w:rsid w:val="00EC5638"/>
    <w:rsid w:val="00EC5780"/>
    <w:rsid w:val="00EC72DD"/>
    <w:rsid w:val="00EC7925"/>
    <w:rsid w:val="00ED225D"/>
    <w:rsid w:val="00ED273A"/>
    <w:rsid w:val="00ED777E"/>
    <w:rsid w:val="00EE10E4"/>
    <w:rsid w:val="00EE2EC9"/>
    <w:rsid w:val="00EE6211"/>
    <w:rsid w:val="00EF5CAC"/>
    <w:rsid w:val="00EF6347"/>
    <w:rsid w:val="00F0628E"/>
    <w:rsid w:val="00F16EF2"/>
    <w:rsid w:val="00F23A50"/>
    <w:rsid w:val="00F272E5"/>
    <w:rsid w:val="00F45919"/>
    <w:rsid w:val="00F460A8"/>
    <w:rsid w:val="00F5618A"/>
    <w:rsid w:val="00F561E4"/>
    <w:rsid w:val="00F60D16"/>
    <w:rsid w:val="00F62334"/>
    <w:rsid w:val="00F6381D"/>
    <w:rsid w:val="00F7144F"/>
    <w:rsid w:val="00F73FCF"/>
    <w:rsid w:val="00F777F9"/>
    <w:rsid w:val="00F97417"/>
    <w:rsid w:val="00FA39AA"/>
    <w:rsid w:val="00FB465A"/>
    <w:rsid w:val="00FB4F04"/>
    <w:rsid w:val="00FB5B4A"/>
    <w:rsid w:val="00FC706F"/>
    <w:rsid w:val="00FC74AC"/>
    <w:rsid w:val="00FD11FD"/>
    <w:rsid w:val="00FD1EC1"/>
    <w:rsid w:val="00FE0553"/>
    <w:rsid w:val="00FE10E9"/>
    <w:rsid w:val="00FF1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5DDE9F9"/>
  <w15:docId w15:val="{9AAB3EA0-F561-40D2-A27D-4CD3E7DA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paragraph" w:styleId="Heading4">
    <w:name w:val="heading 4"/>
    <w:basedOn w:val="Normal"/>
    <w:next w:val="Normal"/>
    <w:link w:val="Heading4Char"/>
    <w:semiHidden/>
    <w:unhideWhenUsed/>
    <w:qFormat/>
    <w:rsid w:val="00C97E5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link w:val="FooterChar"/>
    <w:uiPriority w:val="99"/>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sz w:val="20"/>
      <w:szCs w:val="20"/>
      <w:lang w:val="x-none" w:eastAsia="x-none"/>
    </w:rPr>
  </w:style>
  <w:style w:type="character" w:customStyle="1" w:styleId="PlainTextChar">
    <w:name w:val="Plain Text Char"/>
    <w:link w:val="PlainText"/>
    <w:uiPriority w:val="99"/>
    <w:rsid w:val="00F23A50"/>
    <w:rPr>
      <w:rFonts w:ascii="Courier New" w:eastAsia="Calibri" w:hAnsi="Courier New" w:cs="Courier New"/>
    </w:rPr>
  </w:style>
  <w:style w:type="character" w:styleId="CommentReference">
    <w:name w:val="annotation reference"/>
    <w:uiPriority w:val="99"/>
    <w:rsid w:val="00A77027"/>
    <w:rPr>
      <w:sz w:val="16"/>
      <w:szCs w:val="16"/>
    </w:rPr>
  </w:style>
  <w:style w:type="paragraph" w:styleId="CommentText">
    <w:name w:val="annotation text"/>
    <w:basedOn w:val="Normal"/>
    <w:link w:val="CommentTextChar"/>
    <w:uiPriority w:val="99"/>
    <w:rsid w:val="00A77027"/>
    <w:rPr>
      <w:sz w:val="20"/>
      <w:szCs w:val="20"/>
    </w:rPr>
  </w:style>
  <w:style w:type="character" w:customStyle="1" w:styleId="CommentTextChar">
    <w:name w:val="Comment Text Char"/>
    <w:basedOn w:val="DefaultParagraphFont"/>
    <w:link w:val="CommentText"/>
    <w:uiPriority w:val="99"/>
    <w:rsid w:val="00A77027"/>
  </w:style>
  <w:style w:type="paragraph" w:styleId="CommentSubject">
    <w:name w:val="annotation subject"/>
    <w:basedOn w:val="CommentText"/>
    <w:next w:val="CommentText"/>
    <w:link w:val="CommentSubjectChar"/>
    <w:rsid w:val="00A77027"/>
    <w:rPr>
      <w:b/>
      <w:bCs/>
      <w:lang w:val="x-none" w:eastAsia="x-none"/>
    </w:rPr>
  </w:style>
  <w:style w:type="character" w:customStyle="1" w:styleId="CommentSubjectChar">
    <w:name w:val="Comment Subject Char"/>
    <w:link w:val="CommentSubject"/>
    <w:rsid w:val="00A77027"/>
    <w:rPr>
      <w:b/>
      <w:bCs/>
    </w:rPr>
  </w:style>
  <w:style w:type="paragraph" w:styleId="BalloonText">
    <w:name w:val="Balloon Text"/>
    <w:basedOn w:val="Normal"/>
    <w:link w:val="BalloonTextChar"/>
    <w:rsid w:val="00A77027"/>
    <w:rPr>
      <w:rFonts w:ascii="Tahoma" w:hAnsi="Tahoma"/>
      <w:sz w:val="16"/>
      <w:szCs w:val="16"/>
      <w:lang w:val="x-none" w:eastAsia="x-none"/>
    </w:rPr>
  </w:style>
  <w:style w:type="character" w:customStyle="1" w:styleId="BalloonTextChar">
    <w:name w:val="Balloon Text Char"/>
    <w:link w:val="BalloonText"/>
    <w:rsid w:val="00A77027"/>
    <w:rPr>
      <w:rFonts w:ascii="Tahoma" w:hAnsi="Tahoma" w:cs="Tahoma"/>
      <w:sz w:val="16"/>
      <w:szCs w:val="16"/>
    </w:rPr>
  </w:style>
  <w:style w:type="character" w:styleId="FollowedHyperlink">
    <w:name w:val="FollowedHyperlink"/>
    <w:rsid w:val="00E17EAF"/>
    <w:rPr>
      <w:color w:val="800080"/>
      <w:u w:val="single"/>
    </w:rPr>
  </w:style>
  <w:style w:type="paragraph" w:styleId="NormalWeb">
    <w:name w:val="Normal (Web)"/>
    <w:basedOn w:val="Normal"/>
    <w:uiPriority w:val="99"/>
    <w:unhideWhenUsed/>
    <w:rsid w:val="0026289C"/>
    <w:pPr>
      <w:spacing w:after="180"/>
      <w:ind w:right="75"/>
    </w:pPr>
  </w:style>
  <w:style w:type="table" w:styleId="TableClassic4">
    <w:name w:val="Table Classic 4"/>
    <w:basedOn w:val="TableNormal"/>
    <w:rsid w:val="00EC378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5">
    <w:name w:val="Table Grid 5"/>
    <w:basedOn w:val="TableNormal"/>
    <w:rsid w:val="007512C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ListParagraph">
    <w:name w:val="List Paragraph"/>
    <w:basedOn w:val="Normal"/>
    <w:uiPriority w:val="34"/>
    <w:qFormat/>
    <w:rsid w:val="008B14D2"/>
    <w:pPr>
      <w:spacing w:after="200" w:line="276" w:lineRule="auto"/>
      <w:ind w:left="720"/>
      <w:contextualSpacing/>
    </w:pPr>
    <w:rPr>
      <w:rFonts w:ascii="Calibri" w:eastAsia="Calibri" w:hAnsi="Calibri"/>
      <w:sz w:val="22"/>
      <w:szCs w:val="22"/>
    </w:rPr>
  </w:style>
  <w:style w:type="paragraph" w:styleId="E-mailSignature">
    <w:name w:val="E-mail Signature"/>
    <w:basedOn w:val="Normal"/>
    <w:link w:val="E-mailSignatureChar"/>
    <w:uiPriority w:val="99"/>
    <w:rsid w:val="00841051"/>
  </w:style>
  <w:style w:type="character" w:customStyle="1" w:styleId="E-mailSignatureChar">
    <w:name w:val="E-mail Signature Char"/>
    <w:link w:val="E-mailSignature"/>
    <w:uiPriority w:val="99"/>
    <w:rsid w:val="00841051"/>
    <w:rPr>
      <w:sz w:val="24"/>
      <w:szCs w:val="24"/>
    </w:rPr>
  </w:style>
  <w:style w:type="character" w:customStyle="1" w:styleId="Heading4Char">
    <w:name w:val="Heading 4 Char"/>
    <w:link w:val="Heading4"/>
    <w:semiHidden/>
    <w:rsid w:val="00C97E5F"/>
    <w:rPr>
      <w:rFonts w:ascii="Calibri" w:eastAsia="Times New Roman" w:hAnsi="Calibri" w:cs="Times New Roman"/>
      <w:b/>
      <w:bCs/>
      <w:sz w:val="28"/>
      <w:szCs w:val="28"/>
    </w:rPr>
  </w:style>
  <w:style w:type="paragraph" w:styleId="Revision">
    <w:name w:val="Revision"/>
    <w:hidden/>
    <w:uiPriority w:val="99"/>
    <w:semiHidden/>
    <w:rsid w:val="00A3336F"/>
    <w:rPr>
      <w:sz w:val="24"/>
      <w:szCs w:val="24"/>
    </w:rPr>
  </w:style>
  <w:style w:type="paragraph" w:styleId="Header">
    <w:name w:val="header"/>
    <w:basedOn w:val="Normal"/>
    <w:link w:val="HeaderChar"/>
    <w:rsid w:val="00AC79BD"/>
    <w:pPr>
      <w:tabs>
        <w:tab w:val="center" w:pos="4680"/>
        <w:tab w:val="right" w:pos="9360"/>
      </w:tabs>
    </w:pPr>
  </w:style>
  <w:style w:type="character" w:customStyle="1" w:styleId="HeaderChar">
    <w:name w:val="Header Char"/>
    <w:basedOn w:val="DefaultParagraphFont"/>
    <w:link w:val="Header"/>
    <w:rsid w:val="00AC79BD"/>
    <w:rPr>
      <w:sz w:val="24"/>
      <w:szCs w:val="24"/>
    </w:rPr>
  </w:style>
  <w:style w:type="character" w:customStyle="1" w:styleId="FooterChar">
    <w:name w:val="Footer Char"/>
    <w:basedOn w:val="DefaultParagraphFont"/>
    <w:link w:val="Footer"/>
    <w:uiPriority w:val="99"/>
    <w:rsid w:val="00AC79B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194695">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1220751259">
      <w:bodyDiv w:val="1"/>
      <w:marLeft w:val="750"/>
      <w:marRight w:val="750"/>
      <w:marTop w:val="0"/>
      <w:marBottom w:val="0"/>
      <w:divBdr>
        <w:top w:val="none" w:sz="0" w:space="0" w:color="auto"/>
        <w:left w:val="none" w:sz="0" w:space="0" w:color="auto"/>
        <w:bottom w:val="none" w:sz="0" w:space="0" w:color="auto"/>
        <w:right w:val="none" w:sz="0" w:space="0" w:color="auto"/>
      </w:divBdr>
      <w:divsChild>
        <w:div w:id="1489858096">
          <w:marLeft w:val="0"/>
          <w:marRight w:val="0"/>
          <w:marTop w:val="0"/>
          <w:marBottom w:val="0"/>
          <w:divBdr>
            <w:top w:val="none" w:sz="0" w:space="0" w:color="auto"/>
            <w:left w:val="none" w:sz="0" w:space="0" w:color="auto"/>
            <w:bottom w:val="none" w:sz="0" w:space="0" w:color="auto"/>
            <w:right w:val="none" w:sz="0" w:space="0" w:color="auto"/>
          </w:divBdr>
          <w:divsChild>
            <w:div w:id="111441150">
              <w:marLeft w:val="0"/>
              <w:marRight w:val="0"/>
              <w:marTop w:val="0"/>
              <w:marBottom w:val="0"/>
              <w:divBdr>
                <w:top w:val="none" w:sz="0" w:space="0" w:color="auto"/>
                <w:left w:val="none" w:sz="0" w:space="0" w:color="auto"/>
                <w:bottom w:val="none" w:sz="0" w:space="0" w:color="auto"/>
                <w:right w:val="none" w:sz="0" w:space="0" w:color="auto"/>
              </w:divBdr>
              <w:divsChild>
                <w:div w:id="16275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5551">
      <w:bodyDiv w:val="1"/>
      <w:marLeft w:val="0"/>
      <w:marRight w:val="0"/>
      <w:marTop w:val="0"/>
      <w:marBottom w:val="0"/>
      <w:divBdr>
        <w:top w:val="none" w:sz="0" w:space="0" w:color="auto"/>
        <w:left w:val="none" w:sz="0" w:space="0" w:color="auto"/>
        <w:bottom w:val="none" w:sz="0" w:space="0" w:color="auto"/>
        <w:right w:val="none" w:sz="0" w:space="0" w:color="auto"/>
      </w:divBdr>
    </w:div>
    <w:div w:id="2021078642">
      <w:bodyDiv w:val="1"/>
      <w:marLeft w:val="750"/>
      <w:marRight w:val="750"/>
      <w:marTop w:val="0"/>
      <w:marBottom w:val="0"/>
      <w:divBdr>
        <w:top w:val="none" w:sz="0" w:space="0" w:color="auto"/>
        <w:left w:val="none" w:sz="0" w:space="0" w:color="auto"/>
        <w:bottom w:val="none" w:sz="0" w:space="0" w:color="auto"/>
        <w:right w:val="none" w:sz="0" w:space="0" w:color="auto"/>
      </w:divBdr>
      <w:divsChild>
        <w:div w:id="1580868987">
          <w:marLeft w:val="0"/>
          <w:marRight w:val="0"/>
          <w:marTop w:val="0"/>
          <w:marBottom w:val="0"/>
          <w:divBdr>
            <w:top w:val="none" w:sz="0" w:space="0" w:color="auto"/>
            <w:left w:val="none" w:sz="0" w:space="0" w:color="auto"/>
            <w:bottom w:val="none" w:sz="0" w:space="0" w:color="auto"/>
            <w:right w:val="none" w:sz="0" w:space="0" w:color="auto"/>
          </w:divBdr>
          <w:divsChild>
            <w:div w:id="725569387">
              <w:marLeft w:val="0"/>
              <w:marRight w:val="0"/>
              <w:marTop w:val="0"/>
              <w:marBottom w:val="0"/>
              <w:divBdr>
                <w:top w:val="none" w:sz="0" w:space="0" w:color="auto"/>
                <w:left w:val="none" w:sz="0" w:space="0" w:color="auto"/>
                <w:bottom w:val="none" w:sz="0" w:space="0" w:color="auto"/>
                <w:right w:val="none" w:sz="0" w:space="0" w:color="auto"/>
              </w:divBdr>
              <w:divsChild>
                <w:div w:id="201105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8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oes/current/oes_nat.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oes/current/oes_nat.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rants.nih.gov/grants/policy/co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m.gov/policy-data-oversight/pay-leave/salaries-wages/salary-tables/18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8" ma:contentTypeDescription="Create a new document." ma:contentTypeScope="" ma:versionID="3f0bf7ef196c12a68cf05c9127006239">
  <xsd:schema xmlns:xsd="http://www.w3.org/2001/XMLSchema" xmlns:xs="http://www.w3.org/2001/XMLSchema" xmlns:p="http://schemas.microsoft.com/office/2006/metadata/properties" xmlns:ns1="http://schemas.microsoft.com/sharepoint/v3" xmlns:ns3="0b516ab0-04e4-4c88-99cd-523706b96b1a" targetNamespace="http://schemas.microsoft.com/office/2006/metadata/properties" ma:root="true" ma:fieldsID="bb776a7859e34299d44f541a9fc45ffd" ns1:_="" ns3:_="">
    <xsd:import namespace="http://schemas.microsoft.com/sharepoint/v3"/>
    <xsd:import namespace="0b516ab0-04e4-4c88-99cd-523706b96b1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D937A-AFA5-4B41-ADD3-73FB9972A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85A708-92CC-4B48-A18B-2C7FE3139567}">
  <ds:schemaRefs>
    <ds:schemaRef ds:uri="http://schemas.microsoft.com/sharepoint/v3/contenttype/forms"/>
  </ds:schemaRefs>
</ds:datastoreItem>
</file>

<file path=customXml/itemProps3.xml><?xml version="1.0" encoding="utf-8"?>
<ds:datastoreItem xmlns:ds="http://schemas.openxmlformats.org/officeDocument/2006/customXml" ds:itemID="{B579CA17-8B79-42A1-9801-D2D743A4D33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61F7B1F-FB12-4062-8BA2-A5BC1CA19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2898</Words>
  <Characters>16521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'A' Preparation - 04/05/2011</vt:lpstr>
    </vt:vector>
  </TitlesOfParts>
  <Company>NIH\OD</Company>
  <LinksUpToDate>false</LinksUpToDate>
  <CharactersWithSpaces>19381</CharactersWithSpaces>
  <SharedDoc>false</SharedDoc>
  <HLinks>
    <vt:vector size="18" baseType="variant">
      <vt:variant>
        <vt:i4>852083</vt:i4>
      </vt:variant>
      <vt:variant>
        <vt:i4>9</vt:i4>
      </vt:variant>
      <vt:variant>
        <vt:i4>0</vt:i4>
      </vt:variant>
      <vt:variant>
        <vt:i4>5</vt:i4>
      </vt:variant>
      <vt:variant>
        <vt:lpwstr>http://www.bls.gov/oes/current/oes_nat.htm</vt:lpwstr>
      </vt:variant>
      <vt:variant>
        <vt:lpwstr>19-0000</vt:lpwstr>
      </vt:variant>
      <vt:variant>
        <vt:i4>852083</vt:i4>
      </vt:variant>
      <vt:variant>
        <vt:i4>6</vt:i4>
      </vt:variant>
      <vt:variant>
        <vt:i4>0</vt:i4>
      </vt:variant>
      <vt:variant>
        <vt:i4>5</vt:i4>
      </vt:variant>
      <vt:variant>
        <vt:lpwstr>http://www.bls.gov/oes/current/oes_nat.htm</vt:lpwstr>
      </vt:variant>
      <vt:variant>
        <vt:lpwstr>19-0000</vt:lpwstr>
      </vt:variant>
      <vt:variant>
        <vt:i4>983123</vt:i4>
      </vt:variant>
      <vt:variant>
        <vt:i4>3</vt:i4>
      </vt:variant>
      <vt:variant>
        <vt:i4>0</vt:i4>
      </vt:variant>
      <vt:variant>
        <vt:i4>5</vt:i4>
      </vt:variant>
      <vt:variant>
        <vt:lpwstr>http://grants.nih.gov/grants/policy/coc/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- 04/05/2011</dc:title>
  <dc:subject>Supporting Statement 'A' Preparation - 04/05/2011</dc:subject>
  <dc:creator>OD/USER</dc:creator>
  <cp:keywords>Supporting Statement 'A' Preparation - 04/05/2011</cp:keywords>
  <cp:lastModifiedBy>Abdelmouti, Tawanda (NIH/OD) [E]</cp:lastModifiedBy>
  <cp:revision>2</cp:revision>
  <cp:lastPrinted>2019-11-15T19:56:00Z</cp:lastPrinted>
  <dcterms:created xsi:type="dcterms:W3CDTF">2020-01-27T15:54:00Z</dcterms:created>
  <dcterms:modified xsi:type="dcterms:W3CDTF">2020-01-27T15:54:00Z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ies>
</file>