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305" w:rsidRDefault="00815728" w14:paraId="46B10BE3" w14:textId="77777777">
      <w:pPr>
        <w:pStyle w:val="Heading1"/>
        <w:spacing w:before="60"/>
        <w:ind w:left="3451"/>
      </w:pPr>
      <w:bookmarkStart w:name="Supporting_Statement_Part_A" w:id="0"/>
      <w:bookmarkEnd w:id="0"/>
      <w:r>
        <w:t>Supporting Statement Part A</w:t>
      </w:r>
    </w:p>
    <w:p w:rsidR="00952305" w:rsidRDefault="00815728" w14:paraId="1121F06A" w14:textId="77777777">
      <w:pPr>
        <w:spacing w:before="40"/>
        <w:ind w:left="772" w:hanging="94"/>
        <w:rPr>
          <w:b/>
          <w:sz w:val="24"/>
        </w:rPr>
      </w:pPr>
      <w:bookmarkStart w:name="Proposed_Repetitive,_Scheduled_Non-Emerg" w:id="1"/>
      <w:bookmarkEnd w:id="1"/>
      <w:r>
        <w:rPr>
          <w:b/>
          <w:sz w:val="24"/>
        </w:rPr>
        <w:t>Proposed Repetitive, Scheduled Non-Emergent Ambulance Transport (RSNAT)</w:t>
      </w:r>
    </w:p>
    <w:p w:rsidR="00952305" w:rsidRDefault="00815728" w14:paraId="5E10CA07" w14:textId="77777777">
      <w:pPr>
        <w:spacing w:line="273" w:lineRule="auto"/>
        <w:ind w:left="2443" w:right="1039" w:hanging="1671"/>
        <w:rPr>
          <w:b/>
          <w:sz w:val="24"/>
        </w:rPr>
      </w:pPr>
      <w:bookmarkStart w:name="(CMS-10708/OMB_control_number:_0938-NEW)" w:id="2"/>
      <w:bookmarkEnd w:id="2"/>
      <w:r>
        <w:rPr>
          <w:b/>
          <w:sz w:val="24"/>
        </w:rPr>
        <w:t>Prior Authorization Process and Requirements for a Potential National Model (CMS-10708/OMB control number: 0938-NEW)</w:t>
      </w:r>
    </w:p>
    <w:p w:rsidR="00952305" w:rsidRDefault="00952305" w14:paraId="45235F3C" w14:textId="77777777">
      <w:pPr>
        <w:pStyle w:val="BodyText"/>
        <w:spacing w:before="9"/>
        <w:rPr>
          <w:b/>
        </w:rPr>
      </w:pPr>
    </w:p>
    <w:p w:rsidR="00952305" w:rsidRDefault="00815728" w14:paraId="790961D3" w14:textId="77777777">
      <w:pPr>
        <w:ind w:left="120"/>
        <w:rPr>
          <w:b/>
          <w:sz w:val="24"/>
        </w:rPr>
      </w:pPr>
      <w:bookmarkStart w:name="BACKGROUND" w:id="3"/>
      <w:bookmarkEnd w:id="3"/>
      <w:r>
        <w:rPr>
          <w:b/>
          <w:sz w:val="24"/>
        </w:rPr>
        <w:t>BACKGROUND</w:t>
      </w:r>
    </w:p>
    <w:p w:rsidR="00952305" w:rsidRDefault="00952305" w14:paraId="77FAE478" w14:textId="77777777">
      <w:pPr>
        <w:pStyle w:val="BodyText"/>
        <w:spacing w:before="9"/>
        <w:rPr>
          <w:b/>
          <w:sz w:val="23"/>
        </w:rPr>
      </w:pPr>
    </w:p>
    <w:p w:rsidR="00952305" w:rsidRDefault="00815728" w14:paraId="6F1BC381" w14:textId="77777777">
      <w:pPr>
        <w:pStyle w:val="BodyText"/>
        <w:ind w:left="119" w:right="221"/>
      </w:pPr>
      <w:r>
        <w:t xml:space="preserve">The Centers for Medicare &amp; Medicaid Services (CMS) is currently testing the Repetitive, Scheduled Non-Emergent Ambulance Transport (RSNAT) Prior Authorization Model, in limited states, under the authority of section 1115A of the Social Security Act (the Act). This model tests whether prior authorization of RSNAT services covered under Medicare Part B lowers program spending, while maintaining or improving the quality of care. </w:t>
      </w:r>
      <w:r>
        <w:rPr>
          <w:spacing w:val="-4"/>
        </w:rPr>
        <w:t xml:space="preserve">Prior </w:t>
      </w:r>
      <w:r>
        <w:rPr>
          <w:spacing w:val="-5"/>
        </w:rPr>
        <w:t xml:space="preserve">authorization </w:t>
      </w:r>
      <w:r>
        <w:rPr>
          <w:spacing w:val="-3"/>
        </w:rPr>
        <w:t xml:space="preserve">is </w:t>
      </w:r>
      <w:r>
        <w:t xml:space="preserve">a </w:t>
      </w:r>
      <w:r>
        <w:rPr>
          <w:spacing w:val="-4"/>
        </w:rPr>
        <w:t xml:space="preserve">process through which </w:t>
      </w:r>
      <w:r>
        <w:t xml:space="preserve">a </w:t>
      </w:r>
      <w:r>
        <w:rPr>
          <w:spacing w:val="-4"/>
        </w:rPr>
        <w:t xml:space="preserve">request </w:t>
      </w:r>
      <w:r>
        <w:rPr>
          <w:spacing w:val="-3"/>
        </w:rPr>
        <w:t xml:space="preserve">for </w:t>
      </w:r>
      <w:r>
        <w:rPr>
          <w:spacing w:val="-5"/>
        </w:rPr>
        <w:t xml:space="preserve">provisional affirmation </w:t>
      </w:r>
      <w:r>
        <w:t xml:space="preserve">of </w:t>
      </w:r>
      <w:r>
        <w:rPr>
          <w:spacing w:val="-4"/>
        </w:rPr>
        <w:t xml:space="preserve">coverage </w:t>
      </w:r>
      <w:r>
        <w:rPr>
          <w:spacing w:val="-3"/>
        </w:rPr>
        <w:t xml:space="preserve">is </w:t>
      </w:r>
      <w:r>
        <w:rPr>
          <w:spacing w:val="-5"/>
        </w:rPr>
        <w:t xml:space="preserve">submitted </w:t>
      </w:r>
      <w:r>
        <w:rPr>
          <w:spacing w:val="-4"/>
        </w:rPr>
        <w:t xml:space="preserve">for review before </w:t>
      </w:r>
      <w:r>
        <w:rPr>
          <w:spacing w:val="-3"/>
        </w:rPr>
        <w:t xml:space="preserve">the </w:t>
      </w:r>
      <w:r>
        <w:rPr>
          <w:spacing w:val="-4"/>
        </w:rPr>
        <w:t xml:space="preserve">service </w:t>
      </w:r>
      <w:r>
        <w:rPr>
          <w:spacing w:val="-3"/>
        </w:rPr>
        <w:t xml:space="preserve">is </w:t>
      </w:r>
      <w:r>
        <w:rPr>
          <w:spacing w:val="-4"/>
        </w:rPr>
        <w:t xml:space="preserve">rendered </w:t>
      </w:r>
      <w:r>
        <w:t xml:space="preserve">to a </w:t>
      </w:r>
      <w:r>
        <w:rPr>
          <w:spacing w:val="-5"/>
        </w:rPr>
        <w:t xml:space="preserve">beneficiary </w:t>
      </w:r>
      <w:r>
        <w:rPr>
          <w:spacing w:val="-3"/>
        </w:rPr>
        <w:t xml:space="preserve">and </w:t>
      </w:r>
      <w:r>
        <w:rPr>
          <w:spacing w:val="-4"/>
        </w:rPr>
        <w:t xml:space="preserve">before </w:t>
      </w:r>
      <w:r>
        <w:t xml:space="preserve">a </w:t>
      </w:r>
      <w:r>
        <w:rPr>
          <w:spacing w:val="-4"/>
        </w:rPr>
        <w:t xml:space="preserve">claim </w:t>
      </w:r>
      <w:r>
        <w:t xml:space="preserve">is </w:t>
      </w:r>
      <w:r>
        <w:rPr>
          <w:spacing w:val="-5"/>
        </w:rPr>
        <w:t xml:space="preserve">submitted </w:t>
      </w:r>
      <w:r>
        <w:rPr>
          <w:spacing w:val="-4"/>
        </w:rPr>
        <w:t xml:space="preserve">for payment. </w:t>
      </w:r>
      <w:r>
        <w:t>It helps ensure that all relevant coverage, coding, and payment requirements are met before the service is rendered to the beneficiary and before the claim is submitted for payment. The RSNAT Prior Authorization Model began in the states of New Jersey, Pennsylvania, and South Carolina on December 1, 2014. Section 515(a) of the Medicare Access and CHIP Reauthorization Act of 2015 (MACRA) (Pub. L. 114-10), added six states to the model as of January 1, 2016: North Carolina, Virginia, West Virginia, Maryland, Delaware, and the District of Columbia.</w:t>
      </w:r>
    </w:p>
    <w:p w:rsidR="00952305" w:rsidRDefault="00952305" w14:paraId="17282C12" w14:textId="77777777">
      <w:pPr>
        <w:pStyle w:val="BodyText"/>
      </w:pPr>
    </w:p>
    <w:p w:rsidR="00952305" w:rsidRDefault="00815728" w14:paraId="7B2F59EB" w14:textId="77777777">
      <w:pPr>
        <w:pStyle w:val="BodyText"/>
        <w:ind w:left="120"/>
      </w:pPr>
      <w:r>
        <w:rPr>
          <w:u w:val="single"/>
        </w:rPr>
        <w:t>Medicare Coverage</w:t>
      </w:r>
    </w:p>
    <w:p w:rsidR="00952305" w:rsidRDefault="00815728" w14:paraId="62999317" w14:textId="77777777">
      <w:pPr>
        <w:pStyle w:val="BodyText"/>
        <w:ind w:left="120" w:right="131"/>
      </w:pPr>
      <w:r>
        <w:t>Medicare may cover ambulance services, including air ambulance (fixed-wing and rotary-wing) services, if the ambulance service is furnished to a beneficiary whose medical condition is such</w:t>
      </w:r>
      <w:r>
        <w:rPr>
          <w:spacing w:val="-22"/>
        </w:rPr>
        <w:t xml:space="preserve"> </w:t>
      </w:r>
      <w:r>
        <w:t>that other means of transportation are contraindicated. The beneficiary’s condition must require both the ambulance transportation itself and the level of service provided in order for the billed service to be considered medically</w:t>
      </w:r>
      <w:r>
        <w:rPr>
          <w:spacing w:val="-2"/>
        </w:rPr>
        <w:t xml:space="preserve"> </w:t>
      </w:r>
      <w:r>
        <w:t>necessary.</w:t>
      </w:r>
    </w:p>
    <w:p w:rsidR="00952305" w:rsidRDefault="00952305" w14:paraId="38ACC9F9" w14:textId="77777777">
      <w:pPr>
        <w:pStyle w:val="BodyText"/>
        <w:spacing w:before="11"/>
        <w:rPr>
          <w:sz w:val="23"/>
        </w:rPr>
      </w:pPr>
    </w:p>
    <w:p w:rsidR="00952305" w:rsidRDefault="00815728" w14:paraId="57CD2F85" w14:textId="77777777">
      <w:pPr>
        <w:pStyle w:val="BodyText"/>
        <w:ind w:left="120"/>
      </w:pPr>
      <w:r>
        <w:t>Non-emergent transportation by ambulance is appropriate if either the-- (1) beneficiary is</w:t>
      </w:r>
    </w:p>
    <w:p w:rsidR="00952305" w:rsidRDefault="00815728" w14:paraId="75A4E7E4" w14:textId="77777777">
      <w:pPr>
        <w:pStyle w:val="BodyText"/>
        <w:spacing w:before="2" w:line="237" w:lineRule="auto"/>
        <w:ind w:left="120" w:right="482"/>
        <w:rPr>
          <w:sz w:val="16"/>
        </w:rPr>
      </w:pPr>
      <w:r>
        <w:t>bed-confined and it is documented that the beneficiary’s condition is such that other methods of transportation are contraindicated; or (2) beneficiary’s medical condition, regardless of bed confinement, is such that transportation by ambulance is medically required. Thus, bed confinement is not the sole criterion in determining the medical necessity of non-emergent ambulance transportation; rather, it is one factor that is considered in medical necessity determinations.</w:t>
      </w:r>
      <w:hyperlink w:history="1" w:anchor="_bookmark0">
        <w:r>
          <w:rPr>
            <w:position w:val="9"/>
            <w:sz w:val="16"/>
          </w:rPr>
          <w:t>1</w:t>
        </w:r>
      </w:hyperlink>
    </w:p>
    <w:p w:rsidR="00952305" w:rsidRDefault="00952305" w14:paraId="52610938" w14:textId="77777777">
      <w:pPr>
        <w:pStyle w:val="BodyText"/>
        <w:spacing w:before="4"/>
      </w:pPr>
    </w:p>
    <w:p w:rsidR="00952305" w:rsidRDefault="00815728" w14:paraId="6FAB78B1" w14:textId="77777777">
      <w:pPr>
        <w:pStyle w:val="BodyText"/>
        <w:spacing w:line="235" w:lineRule="auto"/>
        <w:ind w:left="120" w:right="221"/>
      </w:pPr>
      <w:r>
        <w:t>A repetitive ambulance service is defined as medically necessary ambulance transportation that is furnished in 3 or more round trips during a 10-day period, or at least 1 round trip per week for at least 3 weeks.</w:t>
      </w:r>
      <w:hyperlink w:history="1" w:anchor="_bookmark1">
        <w:r>
          <w:rPr>
            <w:position w:val="9"/>
            <w:sz w:val="16"/>
          </w:rPr>
          <w:t>2</w:t>
        </w:r>
      </w:hyperlink>
      <w:r>
        <w:rPr>
          <w:position w:val="9"/>
          <w:sz w:val="16"/>
        </w:rPr>
        <w:t xml:space="preserve"> </w:t>
      </w:r>
      <w:r>
        <w:t>Repetitive ambulance services are often needed by beneficiaries receiving dialysis or cancer treatment.</w:t>
      </w:r>
    </w:p>
    <w:p w:rsidR="00952305" w:rsidRDefault="00952305" w14:paraId="204205DB" w14:textId="77777777">
      <w:pPr>
        <w:pStyle w:val="BodyText"/>
        <w:spacing w:before="2"/>
      </w:pPr>
    </w:p>
    <w:p w:rsidR="00952305" w:rsidRDefault="00815728" w14:paraId="1FE7573C" w14:textId="77777777">
      <w:pPr>
        <w:pStyle w:val="BodyText"/>
        <w:ind w:left="120" w:right="363"/>
      </w:pPr>
      <w:r>
        <w:t>Medicare may cover repetitive, scheduled non-emergent transportation by ambulance if the-- (1) medical necessity requirements described previously are met; and (2) ambulance supplier, before</w:t>
      </w:r>
    </w:p>
    <w:p w:rsidR="00952305" w:rsidRDefault="00815728" w14:paraId="090A66E0" w14:textId="77777777">
      <w:pPr>
        <w:pStyle w:val="BodyText"/>
        <w:spacing w:before="3"/>
        <w:rPr>
          <w:sz w:val="28"/>
        </w:rPr>
      </w:pPr>
      <w:r>
        <w:rPr>
          <w:noProof/>
          <w:lang w:bidi="ar-SA"/>
        </w:rPr>
        <mc:AlternateContent>
          <mc:Choice Requires="wps">
            <w:drawing>
              <wp:anchor distT="0" distB="0" distL="0" distR="0" simplePos="0" relativeHeight="251656192" behindDoc="1" locked="0" layoutInCell="1" allowOverlap="1" wp14:editId="7EC65582" wp14:anchorId="5500122E">
                <wp:simplePos x="0" y="0"/>
                <wp:positionH relativeFrom="page">
                  <wp:posOffset>838200</wp:posOffset>
                </wp:positionH>
                <wp:positionV relativeFrom="paragraph">
                  <wp:posOffset>236220</wp:posOffset>
                </wp:positionV>
                <wp:extent cx="1828800" cy="0"/>
                <wp:effectExtent l="9525" t="6985" r="9525" b="1206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66pt,18.6pt" to="210pt,18.6pt" w14:anchorId="3076FE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">
                <w10:wrap type="topAndBottom" anchorx="page"/>
              </v:line>
            </w:pict>
          </mc:Fallback>
        </mc:AlternateContent>
      </w:r>
    </w:p>
    <w:p w:rsidR="00952305" w:rsidRDefault="00815728" w14:paraId="6F195D30" w14:textId="77777777">
      <w:pPr>
        <w:spacing w:before="62" w:line="233" w:lineRule="exact"/>
        <w:ind w:left="120"/>
        <w:rPr>
          <w:sz w:val="20"/>
        </w:rPr>
      </w:pPr>
      <w:bookmarkStart w:name="_bookmark0" w:id="4"/>
      <w:bookmarkEnd w:id="4"/>
      <w:r>
        <w:rPr>
          <w:position w:val="7"/>
          <w:sz w:val="13"/>
        </w:rPr>
        <w:t xml:space="preserve">1 </w:t>
      </w:r>
      <w:r>
        <w:rPr>
          <w:sz w:val="20"/>
        </w:rPr>
        <w:t>42 CFR 410.40(d)(1).</w:t>
      </w:r>
    </w:p>
    <w:p w:rsidR="00952305" w:rsidRDefault="00815728" w14:paraId="3B18F505" w14:textId="77777777">
      <w:pPr>
        <w:spacing w:line="233" w:lineRule="exact"/>
        <w:ind w:left="120"/>
        <w:rPr>
          <w:sz w:val="20"/>
        </w:rPr>
      </w:pPr>
      <w:bookmarkStart w:name="_bookmark1" w:id="5"/>
      <w:bookmarkEnd w:id="5"/>
      <w:r>
        <w:rPr>
          <w:position w:val="7"/>
          <w:sz w:val="13"/>
        </w:rPr>
        <w:t xml:space="preserve">2 </w:t>
      </w:r>
      <w:r>
        <w:rPr>
          <w:sz w:val="20"/>
        </w:rPr>
        <w:t>Program Memorandum Intermediaries/Carriers, Transmittal AB-03-106</w:t>
      </w:r>
    </w:p>
    <w:p w:rsidR="00952305" w:rsidRDefault="00952305" w14:paraId="477CA0F3" w14:textId="77777777">
      <w:pPr>
        <w:spacing w:line="233" w:lineRule="exact"/>
        <w:rPr>
          <w:sz w:val="20"/>
        </w:rPr>
        <w:sectPr w:rsidR="00952305">
          <w:footerReference w:type="default" r:id="rId8"/>
          <w:type w:val="continuous"/>
          <w:pgSz w:w="12240" w:h="15840"/>
          <w:pgMar w:top="1260" w:right="1220" w:bottom="1240" w:left="1200" w:header="720" w:footer="1045" w:gutter="0"/>
          <w:pgNumType w:start="1"/>
          <w:cols w:space="720"/>
        </w:sectPr>
      </w:pPr>
    </w:p>
    <w:p w:rsidR="00952305" w:rsidRDefault="00815728" w14:paraId="133765D8" w14:textId="77777777">
      <w:pPr>
        <w:pStyle w:val="BodyText"/>
        <w:spacing w:before="84" w:line="232" w:lineRule="auto"/>
        <w:ind w:left="120" w:right="202"/>
        <w:rPr>
          <w:sz w:val="16"/>
        </w:rPr>
      </w:pPr>
      <w:r>
        <w:lastRenderedPageBreak/>
        <w:t>furnishing the service to the beneficiary, obtains a written order from the beneficiary’s attending physician certifying that the medical necessity requirements are met (see 42 CFR 410.40(d)(1) and (2)).</w:t>
      </w:r>
      <w:hyperlink w:history="1" w:anchor="_bookmark2">
        <w:r>
          <w:rPr>
            <w:position w:val="9"/>
            <w:sz w:val="16"/>
          </w:rPr>
          <w:t>3</w:t>
        </w:r>
      </w:hyperlink>
    </w:p>
    <w:p w:rsidR="00952305" w:rsidRDefault="00952305" w14:paraId="4F4AC198" w14:textId="77777777">
      <w:pPr>
        <w:pStyle w:val="BodyText"/>
        <w:spacing w:before="3"/>
      </w:pPr>
    </w:p>
    <w:p w:rsidR="00952305" w:rsidRDefault="00815728" w14:paraId="01F1D1EB" w14:textId="77777777">
      <w:pPr>
        <w:pStyle w:val="BodyText"/>
        <w:ind w:left="120" w:right="302"/>
      </w:pPr>
      <w:r>
        <w:t xml:space="preserve">In addition to the medical necessity requirements, the service must meet all other Medicare coverage and payment requirements, including requirements relating to the origin and destination of the transportation, vehicle and staff, and billing and reporting. Additional information about Medicare coverage of ambulance services can be found in 42 CFR 410.40, 410.41, and in the Medicare Benefit Policy Manual (Pub. 100-02), Chapter 10, at </w:t>
      </w:r>
      <w:hyperlink r:id="rId9">
        <w:r>
          <w:rPr>
            <w:color w:val="0000FF"/>
            <w:u w:val="single" w:color="0000FF"/>
          </w:rPr>
          <w:t>http://www.cms.gov/Regulations-</w:t>
        </w:r>
      </w:hyperlink>
      <w:r>
        <w:rPr>
          <w:color w:val="0000FF"/>
        </w:rPr>
        <w:t xml:space="preserve"> </w:t>
      </w:r>
      <w:hyperlink r:id="rId10">
        <w:r>
          <w:rPr>
            <w:color w:val="0000FF"/>
            <w:u w:val="single" w:color="0000FF"/>
          </w:rPr>
          <w:t>and-Guidance/Guidance/Manuals/downloads/bp102c10.pdf</w:t>
        </w:r>
        <w:r>
          <w:t>.</w:t>
        </w:r>
      </w:hyperlink>
    </w:p>
    <w:p w:rsidR="00952305" w:rsidRDefault="00952305" w14:paraId="350ED4DA" w14:textId="77777777">
      <w:pPr>
        <w:pStyle w:val="BodyText"/>
        <w:spacing w:before="2"/>
        <w:rPr>
          <w:sz w:val="16"/>
        </w:rPr>
      </w:pPr>
    </w:p>
    <w:p w:rsidR="00952305" w:rsidRDefault="00815728" w14:paraId="150876AF" w14:textId="77777777">
      <w:pPr>
        <w:pStyle w:val="BodyText"/>
        <w:spacing w:before="90"/>
        <w:ind w:left="120"/>
      </w:pPr>
      <w:r>
        <w:rPr>
          <w:u w:val="single"/>
        </w:rPr>
        <w:t>Model History</w:t>
      </w:r>
    </w:p>
    <w:p w:rsidR="00952305" w:rsidRDefault="00815728" w14:paraId="00BDC6A2" w14:textId="77777777">
      <w:pPr>
        <w:pStyle w:val="BodyText"/>
        <w:ind w:left="119" w:right="104"/>
      </w:pPr>
      <w:r>
        <w:t xml:space="preserve">In the November 14, 2014 </w:t>
      </w:r>
      <w:r>
        <w:rPr>
          <w:b/>
        </w:rPr>
        <w:t xml:space="preserve">Federal Register </w:t>
      </w:r>
      <w:r>
        <w:t>(</w:t>
      </w:r>
      <w:hyperlink r:id="rId11">
        <w:r>
          <w:rPr>
            <w:color w:val="0000FF"/>
            <w:u w:val="single" w:color="0000FF"/>
          </w:rPr>
          <w:t>79 FR 68271</w:t>
        </w:r>
      </w:hyperlink>
      <w:r>
        <w:t>), CMS published a notice entitled “Medicare Program; Prior Authorization of Repetitive Scheduled Non-emergent Ambulance Transports,” which announced the implementation of a 3-year Medicare Prior Authorization model under the authority of section 1115A of the Act that established a process for requesting prior authorization for repetitive, scheduled non-emergent ambulance transport rendered by ambulance suppliers garaged in three states (New Jersey, Pennsylvania, and South Carolina). These states were selected as the initial states for the model because of their high utilization and improper payment rates for these services. The model began on December 1, 2014, and was originally scheduled to end in all three states on December 1, 2017.</w:t>
      </w:r>
    </w:p>
    <w:p w:rsidR="00952305" w:rsidRDefault="00952305" w14:paraId="0B79EB07" w14:textId="77777777">
      <w:pPr>
        <w:pStyle w:val="BodyText"/>
      </w:pPr>
    </w:p>
    <w:p w:rsidR="00952305" w:rsidRDefault="00815728" w14:paraId="5F3A2B88" w14:textId="77777777">
      <w:pPr>
        <w:pStyle w:val="BodyText"/>
        <w:spacing w:before="1"/>
        <w:ind w:left="120" w:right="102"/>
      </w:pPr>
      <w:r>
        <w:t xml:space="preserve">In the October 23, 2015 </w:t>
      </w:r>
      <w:r>
        <w:rPr>
          <w:b/>
        </w:rPr>
        <w:t xml:space="preserve">Federal Register </w:t>
      </w:r>
      <w:r>
        <w:t>(</w:t>
      </w:r>
      <w:hyperlink r:id="rId12">
        <w:r>
          <w:rPr>
            <w:color w:val="0000FF"/>
            <w:u w:val="single" w:color="0000FF"/>
          </w:rPr>
          <w:t>80 FR 64418</w:t>
        </w:r>
      </w:hyperlink>
      <w:r>
        <w:t>), CMS published a notice titled “Medicare Program; Expansion of Prior Authorization of Repetitive Scheduled Non-emergent Ambulance Transports,” which announced the inclusion of six additional states (Delaware, the District of Columbia, Maryland, North Carolina, West Virginia, and Virginia) in the RSNAT Prior Authorization Model in accordance with section 515(a) of the Medicare Access and CHIP Reauthorization Act of 2015 (MACRA) (</w:t>
      </w:r>
      <w:hyperlink r:id="rId13">
        <w:r>
          <w:rPr>
            <w:color w:val="0000FF"/>
            <w:u w:val="single" w:color="0000FF"/>
          </w:rPr>
          <w:t>Pub. L. 114-10</w:t>
        </w:r>
      </w:hyperlink>
      <w:r>
        <w:t>). These six states began participation on January 1, 2016, and the model was originally scheduled to end in all nine model states on December 1, 2017.</w:t>
      </w:r>
    </w:p>
    <w:p w:rsidR="00952305" w:rsidRDefault="00952305" w14:paraId="55A4EA64" w14:textId="77777777">
      <w:pPr>
        <w:pStyle w:val="BodyText"/>
        <w:spacing w:before="10"/>
        <w:rPr>
          <w:sz w:val="23"/>
        </w:rPr>
      </w:pPr>
    </w:p>
    <w:p w:rsidR="00952305" w:rsidRDefault="00815728" w14:paraId="32C0E8BA" w14:textId="77777777">
      <w:pPr>
        <w:pStyle w:val="BodyText"/>
        <w:ind w:left="120" w:right="83"/>
      </w:pPr>
      <w:r>
        <w:t xml:space="preserve">In the December 12, 2017 </w:t>
      </w:r>
      <w:r>
        <w:rPr>
          <w:b/>
        </w:rPr>
        <w:t xml:space="preserve">Federal Register </w:t>
      </w:r>
      <w:r>
        <w:t>(</w:t>
      </w:r>
      <w:hyperlink r:id="rId14">
        <w:r>
          <w:rPr>
            <w:color w:val="0000FF"/>
            <w:u w:val="single" w:color="0000FF"/>
          </w:rPr>
          <w:t>82 FR 58400</w:t>
        </w:r>
      </w:hyperlink>
      <w:r>
        <w:t>), CMS published a notice titled “Medicare Program; Extension of Prior Authorization for Repetitive Scheduled Non-Emergent Ambulance Transports,” which announced a 1-year extension of the prior authorization model in all states through December 1, 2018.</w:t>
      </w:r>
    </w:p>
    <w:p w:rsidR="00952305" w:rsidRDefault="00952305" w14:paraId="2DACFEB7" w14:textId="77777777">
      <w:pPr>
        <w:pStyle w:val="BodyText"/>
      </w:pPr>
    </w:p>
    <w:p w:rsidR="00952305" w:rsidRDefault="00815728" w14:paraId="60B46F78" w14:textId="77777777">
      <w:pPr>
        <w:pStyle w:val="BodyText"/>
        <w:ind w:left="120" w:right="89"/>
      </w:pPr>
      <w:r>
        <w:t xml:space="preserve">In the December 4, 2018 </w:t>
      </w:r>
      <w:r>
        <w:rPr>
          <w:b/>
        </w:rPr>
        <w:t xml:space="preserve">Federal Register </w:t>
      </w:r>
      <w:r>
        <w:t>(</w:t>
      </w:r>
      <w:hyperlink r:id="rId15">
        <w:r>
          <w:rPr>
            <w:color w:val="0000FF"/>
            <w:u w:val="single" w:color="0000FF"/>
          </w:rPr>
          <w:t>83 FR 62577</w:t>
        </w:r>
      </w:hyperlink>
      <w:r>
        <w:t>), CMS published a notice titled “Medicare Program; Extension of Prior Authorization for Repetitive Scheduled Non-Emergent Ambulance Transports,” which announced a 1-year extension of the prior authorization model in all states through December 1, 2019.</w:t>
      </w:r>
    </w:p>
    <w:p w:rsidR="00952305" w:rsidRDefault="00952305" w14:paraId="05254941" w14:textId="77777777">
      <w:pPr>
        <w:pStyle w:val="BodyText"/>
      </w:pPr>
    </w:p>
    <w:p w:rsidR="00952305" w:rsidRDefault="00815728" w14:paraId="0278035B" w14:textId="77777777">
      <w:pPr>
        <w:pStyle w:val="BodyText"/>
        <w:ind w:left="120" w:right="83"/>
      </w:pPr>
      <w:r>
        <w:t xml:space="preserve">In the September 16, 2019 </w:t>
      </w:r>
      <w:r>
        <w:rPr>
          <w:b/>
        </w:rPr>
        <w:t xml:space="preserve">Federal Register </w:t>
      </w:r>
      <w:r>
        <w:t>(</w:t>
      </w:r>
      <w:hyperlink r:id="rId16">
        <w:r>
          <w:rPr>
            <w:color w:val="0000FF"/>
            <w:u w:val="single" w:color="0000FF"/>
          </w:rPr>
          <w:t>84 FR 48620</w:t>
        </w:r>
      </w:hyperlink>
      <w:r>
        <w:t>), CMS published a notice titled “Medicare Program; Extension of Prior Authorization for Repetitive Scheduled Non-Emergent Ambulance Transports,” which announced a 1-year extension of the prior authorization model in all states through December 1, 2020.</w:t>
      </w:r>
    </w:p>
    <w:p w:rsidR="00952305" w:rsidRDefault="00815728" w14:paraId="51256B23" w14:textId="77777777">
      <w:pPr>
        <w:pStyle w:val="BodyText"/>
        <w:spacing w:before="6"/>
        <w:rPr>
          <w:sz w:val="14"/>
        </w:rPr>
      </w:pPr>
      <w:r>
        <w:rPr>
          <w:noProof/>
          <w:lang w:bidi="ar-SA"/>
        </w:rPr>
        <mc:AlternateContent>
          <mc:Choice Requires="wps">
            <w:drawing>
              <wp:anchor distT="0" distB="0" distL="0" distR="0" simplePos="0" relativeHeight="251657216" behindDoc="1" locked="0" layoutInCell="1" allowOverlap="1" wp14:editId="2ADC2BBE" wp14:anchorId="19CB6486">
                <wp:simplePos x="0" y="0"/>
                <wp:positionH relativeFrom="page">
                  <wp:posOffset>838200</wp:posOffset>
                </wp:positionH>
                <wp:positionV relativeFrom="paragraph">
                  <wp:posOffset>135890</wp:posOffset>
                </wp:positionV>
                <wp:extent cx="1828800" cy="0"/>
                <wp:effectExtent l="9525" t="7620" r="9525" b="1143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66pt,10.7pt" to="210pt,10.7pt" w14:anchorId="3E6B2F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ce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">
                <w10:wrap type="topAndBottom" anchorx="page"/>
              </v:line>
            </w:pict>
          </mc:Fallback>
        </mc:AlternateContent>
      </w:r>
    </w:p>
    <w:p w:rsidR="00952305" w:rsidRDefault="00815728" w14:paraId="238BF696" w14:textId="77777777">
      <w:pPr>
        <w:spacing w:before="63"/>
        <w:ind w:left="120" w:hanging="1"/>
        <w:rPr>
          <w:sz w:val="20"/>
        </w:rPr>
      </w:pPr>
      <w:bookmarkStart w:name="_bookmark2" w:id="6"/>
      <w:bookmarkEnd w:id="6"/>
      <w:r>
        <w:rPr>
          <w:position w:val="7"/>
          <w:sz w:val="13"/>
        </w:rPr>
        <w:t xml:space="preserve">3 </w:t>
      </w:r>
      <w:r>
        <w:rPr>
          <w:sz w:val="20"/>
        </w:rPr>
        <w:t>Per 42 CFR 410.40(d)(2), the physician’s order must be dated no earlier than 60 days before the date the service is furnished.</w:t>
      </w:r>
    </w:p>
    <w:p w:rsidR="00952305" w:rsidRDefault="00952305" w14:paraId="4B7F8CF1" w14:textId="77777777">
      <w:pPr>
        <w:rPr>
          <w:sz w:val="20"/>
        </w:rPr>
        <w:sectPr w:rsidR="00952305">
          <w:pgSz w:w="12240" w:h="15840"/>
          <w:pgMar w:top="1240" w:right="1220" w:bottom="1240" w:left="1200" w:header="0" w:footer="1045" w:gutter="0"/>
          <w:cols w:space="720"/>
        </w:sectPr>
      </w:pPr>
    </w:p>
    <w:p w:rsidR="00952305" w:rsidRDefault="00815728" w14:paraId="774ED915" w14:textId="77777777">
      <w:pPr>
        <w:pStyle w:val="BodyText"/>
        <w:spacing w:before="94"/>
        <w:ind w:left="120"/>
      </w:pPr>
      <w:r>
        <w:rPr>
          <w:u w:val="single"/>
        </w:rPr>
        <w:lastRenderedPageBreak/>
        <w:t>Requirements for Nationwide Expansion</w:t>
      </w:r>
    </w:p>
    <w:p w:rsidR="00952305" w:rsidRDefault="00815728" w14:paraId="26EAEB2C" w14:textId="77777777">
      <w:pPr>
        <w:pStyle w:val="BodyText"/>
        <w:ind w:left="119" w:right="148"/>
      </w:pPr>
      <w:r>
        <w:t>Section 515(b) of MACRA added paragraph (16) to section 1834(l) of the Act, which requires that, beginning January 1, 2017, the Secretary expand the model to all states if the model expansion meets certain statutory requirements for expanding models that are tested by the Center for Medicare and Medicaid Innovation (Innovation Center) under the authority of section 1115A of the Act. The expansion criteria, described in paragraphs (1) through (3) of section 1115A(c) of the Act, require</w:t>
      </w:r>
      <w:r>
        <w:rPr>
          <w:spacing w:val="-2"/>
        </w:rPr>
        <w:t xml:space="preserve"> </w:t>
      </w:r>
      <w:r>
        <w:t>that:</w:t>
      </w:r>
    </w:p>
    <w:p w:rsidR="00952305" w:rsidRDefault="00815728" w14:paraId="1D4CCA3B" w14:textId="77777777">
      <w:pPr>
        <w:pStyle w:val="ListParagraph"/>
        <w:numPr>
          <w:ilvl w:val="0"/>
          <w:numId w:val="3"/>
        </w:numPr>
        <w:tabs>
          <w:tab w:val="left" w:pos="1181"/>
        </w:tabs>
        <w:ind w:hanging="340"/>
        <w:rPr>
          <w:sz w:val="24"/>
        </w:rPr>
      </w:pPr>
      <w:r>
        <w:rPr>
          <w:sz w:val="24"/>
        </w:rPr>
        <w:t>the Secretary determines that such expansion is expected</w:t>
      </w:r>
      <w:r>
        <w:rPr>
          <w:spacing w:val="-4"/>
          <w:sz w:val="24"/>
        </w:rPr>
        <w:t xml:space="preserve"> </w:t>
      </w:r>
      <w:r>
        <w:rPr>
          <w:sz w:val="24"/>
        </w:rPr>
        <w:t>to—</w:t>
      </w:r>
    </w:p>
    <w:p w:rsidR="00952305" w:rsidRDefault="00815728" w14:paraId="25F70BB5" w14:textId="77777777">
      <w:pPr>
        <w:pStyle w:val="ListParagraph"/>
        <w:numPr>
          <w:ilvl w:val="1"/>
          <w:numId w:val="3"/>
        </w:numPr>
        <w:tabs>
          <w:tab w:val="left" w:pos="1954"/>
        </w:tabs>
        <w:ind w:hanging="393"/>
        <w:rPr>
          <w:sz w:val="24"/>
        </w:rPr>
      </w:pPr>
      <w:r>
        <w:rPr>
          <w:sz w:val="24"/>
        </w:rPr>
        <w:t>reduce spending under applicable title without reducing the quality of care;</w:t>
      </w:r>
      <w:r>
        <w:rPr>
          <w:spacing w:val="-12"/>
          <w:sz w:val="24"/>
        </w:rPr>
        <w:t xml:space="preserve"> </w:t>
      </w:r>
      <w:r>
        <w:rPr>
          <w:sz w:val="24"/>
        </w:rPr>
        <w:t>or</w:t>
      </w:r>
    </w:p>
    <w:p w:rsidR="00952305" w:rsidRDefault="00815728" w14:paraId="1188E32B" w14:textId="77777777">
      <w:pPr>
        <w:pStyle w:val="ListParagraph"/>
        <w:numPr>
          <w:ilvl w:val="1"/>
          <w:numId w:val="3"/>
        </w:numPr>
        <w:tabs>
          <w:tab w:val="left" w:pos="1941"/>
        </w:tabs>
        <w:ind w:left="1940" w:hanging="380"/>
        <w:rPr>
          <w:sz w:val="24"/>
        </w:rPr>
      </w:pPr>
      <w:r>
        <w:rPr>
          <w:sz w:val="24"/>
        </w:rPr>
        <w:t>improve the quality of patient care without increasing spending;</w:t>
      </w:r>
      <w:r>
        <w:rPr>
          <w:spacing w:val="-7"/>
          <w:sz w:val="24"/>
        </w:rPr>
        <w:t xml:space="preserve"> </w:t>
      </w:r>
      <w:r>
        <w:rPr>
          <w:sz w:val="24"/>
        </w:rPr>
        <w:t>and</w:t>
      </w:r>
    </w:p>
    <w:p w:rsidR="00952305" w:rsidRDefault="00815728" w14:paraId="4B7F95E1" w14:textId="77777777">
      <w:pPr>
        <w:pStyle w:val="ListParagraph"/>
        <w:numPr>
          <w:ilvl w:val="0"/>
          <w:numId w:val="3"/>
        </w:numPr>
        <w:tabs>
          <w:tab w:val="left" w:pos="1181"/>
        </w:tabs>
        <w:ind w:left="840" w:right="102" w:firstLine="0"/>
        <w:rPr>
          <w:sz w:val="24"/>
        </w:rPr>
      </w:pPr>
      <w:r>
        <w:rPr>
          <w:sz w:val="24"/>
        </w:rPr>
        <w:t>the Chief Actuary of the Centers for Medicare &amp; Medicaid Services certifies that such expansion would reduce (or would not result in any increase in) net program spending</w:t>
      </w:r>
      <w:r>
        <w:rPr>
          <w:spacing w:val="-18"/>
          <w:sz w:val="24"/>
        </w:rPr>
        <w:t xml:space="preserve"> </w:t>
      </w:r>
      <w:r>
        <w:rPr>
          <w:sz w:val="24"/>
        </w:rPr>
        <w:t>under applicable titles;</w:t>
      </w:r>
      <w:r>
        <w:rPr>
          <w:spacing w:val="-2"/>
          <w:sz w:val="24"/>
        </w:rPr>
        <w:t xml:space="preserve"> </w:t>
      </w:r>
      <w:r>
        <w:rPr>
          <w:sz w:val="24"/>
        </w:rPr>
        <w:t>and</w:t>
      </w:r>
    </w:p>
    <w:p w:rsidR="00952305" w:rsidRDefault="00815728" w14:paraId="78A5A77C" w14:textId="77777777">
      <w:pPr>
        <w:pStyle w:val="ListParagraph"/>
        <w:numPr>
          <w:ilvl w:val="0"/>
          <w:numId w:val="3"/>
        </w:numPr>
        <w:tabs>
          <w:tab w:val="left" w:pos="1181"/>
        </w:tabs>
        <w:ind w:left="840" w:right="446" w:firstLine="0"/>
        <w:rPr>
          <w:sz w:val="24"/>
        </w:rPr>
      </w:pPr>
      <w:r>
        <w:rPr>
          <w:sz w:val="24"/>
        </w:rPr>
        <w:t>the Secretary determines that such expansion would not deny or limit the coverage or provision of benefits under the applicable title for applicable</w:t>
      </w:r>
      <w:r>
        <w:rPr>
          <w:spacing w:val="-8"/>
          <w:sz w:val="24"/>
        </w:rPr>
        <w:t xml:space="preserve"> </w:t>
      </w:r>
      <w:r>
        <w:rPr>
          <w:sz w:val="24"/>
        </w:rPr>
        <w:t>individuals.</w:t>
      </w:r>
    </w:p>
    <w:p w:rsidR="00952305" w:rsidRDefault="00952305" w14:paraId="06173C95" w14:textId="77777777">
      <w:pPr>
        <w:pStyle w:val="BodyText"/>
      </w:pPr>
    </w:p>
    <w:p w:rsidR="00952305" w:rsidRDefault="00815728" w14:paraId="447BCF69" w14:textId="77777777">
      <w:pPr>
        <w:pStyle w:val="BodyText"/>
        <w:ind w:left="120" w:right="135"/>
      </w:pPr>
      <w:r>
        <w:t>Because section 1834(l)(16) of the Act requires the Secretary to expand the RSNAT Prior Authorization Model to all States if it meets the statutory expansion criterial in 1115A(c)(1 through</w:t>
      </w:r>
    </w:p>
    <w:p w:rsidR="00952305" w:rsidRDefault="00815728" w14:paraId="5CD0BA39" w14:textId="77777777">
      <w:pPr>
        <w:pStyle w:val="ListParagraph"/>
        <w:numPr>
          <w:ilvl w:val="0"/>
          <w:numId w:val="2"/>
        </w:numPr>
        <w:tabs>
          <w:tab w:val="left" w:pos="381"/>
        </w:tabs>
        <w:ind w:right="168" w:firstLine="0"/>
        <w:rPr>
          <w:sz w:val="24"/>
        </w:rPr>
      </w:pPr>
      <w:r>
        <w:rPr>
          <w:sz w:val="24"/>
        </w:rPr>
        <w:t>of the Act, the exemption from Paperwork Reduction Act (PRA) process in 1115A(d)(3) is not applicable for the purposes of the nationwide expansion of this model. Therefore, in order to</w:t>
      </w:r>
      <w:r>
        <w:rPr>
          <w:spacing w:val="-19"/>
          <w:sz w:val="24"/>
        </w:rPr>
        <w:t xml:space="preserve"> </w:t>
      </w:r>
      <w:r>
        <w:rPr>
          <w:sz w:val="24"/>
        </w:rPr>
        <w:t xml:space="preserve">move forward with potential nationwide expansion, contingent on the Secretary’s determination that the expansion criteria are met, CMS must complete the PRA approval process, as required by chapter 35 of title 44, United States Code.  As </w:t>
      </w:r>
      <w:r>
        <w:rPr>
          <w:spacing w:val="2"/>
          <w:sz w:val="24"/>
        </w:rPr>
        <w:t xml:space="preserve">part </w:t>
      </w:r>
      <w:r>
        <w:rPr>
          <w:sz w:val="24"/>
        </w:rPr>
        <w:t xml:space="preserve">of </w:t>
      </w:r>
      <w:r>
        <w:rPr>
          <w:spacing w:val="2"/>
          <w:sz w:val="24"/>
        </w:rPr>
        <w:t xml:space="preserve">the </w:t>
      </w:r>
      <w:r>
        <w:rPr>
          <w:spacing w:val="3"/>
          <w:sz w:val="24"/>
        </w:rPr>
        <w:t xml:space="preserve">process </w:t>
      </w:r>
      <w:r>
        <w:rPr>
          <w:spacing w:val="2"/>
          <w:sz w:val="24"/>
        </w:rPr>
        <w:t xml:space="preserve">for </w:t>
      </w:r>
      <w:r>
        <w:rPr>
          <w:spacing w:val="3"/>
          <w:sz w:val="24"/>
        </w:rPr>
        <w:t xml:space="preserve">working towards potential </w:t>
      </w:r>
      <w:r>
        <w:rPr>
          <w:spacing w:val="2"/>
          <w:sz w:val="24"/>
        </w:rPr>
        <w:t xml:space="preserve">expansion </w:t>
      </w:r>
      <w:r>
        <w:rPr>
          <w:sz w:val="24"/>
        </w:rPr>
        <w:t xml:space="preserve">of </w:t>
      </w:r>
      <w:r>
        <w:rPr>
          <w:spacing w:val="-3"/>
          <w:sz w:val="24"/>
        </w:rPr>
        <w:t xml:space="preserve">the </w:t>
      </w:r>
      <w:r>
        <w:rPr>
          <w:sz w:val="24"/>
        </w:rPr>
        <w:t xml:space="preserve">RSNAT Prior Authorization Model under section 1834(1)(16) of the Act, CMS is seeking </w:t>
      </w:r>
      <w:r>
        <w:rPr>
          <w:spacing w:val="-4"/>
          <w:sz w:val="24"/>
        </w:rPr>
        <w:t xml:space="preserve">approval for </w:t>
      </w:r>
      <w:r>
        <w:rPr>
          <w:spacing w:val="-3"/>
          <w:sz w:val="24"/>
        </w:rPr>
        <w:t xml:space="preserve">the </w:t>
      </w:r>
      <w:r>
        <w:rPr>
          <w:spacing w:val="-5"/>
          <w:sz w:val="24"/>
        </w:rPr>
        <w:t xml:space="preserve">collection </w:t>
      </w:r>
      <w:r>
        <w:rPr>
          <w:sz w:val="24"/>
        </w:rPr>
        <w:t xml:space="preserve">of </w:t>
      </w:r>
      <w:r>
        <w:rPr>
          <w:spacing w:val="-5"/>
          <w:sz w:val="24"/>
        </w:rPr>
        <w:t xml:space="preserve">information </w:t>
      </w:r>
      <w:r>
        <w:rPr>
          <w:spacing w:val="-4"/>
          <w:sz w:val="24"/>
        </w:rPr>
        <w:t>under</w:t>
      </w:r>
      <w:r>
        <w:rPr>
          <w:spacing w:val="-37"/>
          <w:sz w:val="24"/>
        </w:rPr>
        <w:t xml:space="preserve"> </w:t>
      </w:r>
      <w:r>
        <w:rPr>
          <w:spacing w:val="-4"/>
          <w:sz w:val="24"/>
        </w:rPr>
        <w:t>PRA.</w:t>
      </w:r>
    </w:p>
    <w:p w:rsidR="00952305" w:rsidRDefault="00952305" w14:paraId="4E84F6B2" w14:textId="77777777">
      <w:pPr>
        <w:pStyle w:val="BodyText"/>
        <w:spacing w:before="10"/>
        <w:rPr>
          <w:sz w:val="23"/>
        </w:rPr>
      </w:pPr>
    </w:p>
    <w:p w:rsidR="00952305" w:rsidRDefault="00815728" w14:paraId="5DF8EA45" w14:textId="77777777">
      <w:pPr>
        <w:pStyle w:val="BodyText"/>
        <w:spacing w:before="1"/>
        <w:ind w:left="120"/>
      </w:pPr>
      <w:r>
        <w:rPr>
          <w:u w:val="single"/>
        </w:rPr>
        <w:t>National Model Design</w:t>
      </w:r>
    </w:p>
    <w:p w:rsidR="00952305" w:rsidRDefault="00815728" w14:paraId="31405094" w14:textId="77777777">
      <w:pPr>
        <w:pStyle w:val="BodyText"/>
        <w:ind w:left="120" w:right="255"/>
      </w:pPr>
      <w:r>
        <w:t>The potential national model would follow the same design as the current RSNAT Prior Authorization Model, as described in the September 16, 2019 Federal Register (</w:t>
      </w:r>
      <w:hyperlink r:id="rId17">
        <w:r>
          <w:rPr>
            <w:color w:val="0000FF"/>
            <w:u w:val="single" w:color="0000FF"/>
          </w:rPr>
          <w:t>84 FR 48620</w:t>
        </w:r>
      </w:hyperlink>
      <w:r>
        <w:t>) and may be implemented in multiple phases. If such a national model ultimately moves forward, the use of prior authorization would not create new clinical documentation requirements. Instead, it would require the same information that ambulance suppliers are already required to maintain to support Medicare payment. Prior authorization would allow ambulance suppliers to address coverage issues prior to furnishing services.</w:t>
      </w:r>
    </w:p>
    <w:p w:rsidR="00952305" w:rsidRDefault="00952305" w14:paraId="0B600CBE" w14:textId="77777777">
      <w:pPr>
        <w:pStyle w:val="BodyText"/>
      </w:pPr>
    </w:p>
    <w:p w:rsidR="00952305" w:rsidRDefault="00815728" w14:paraId="7ED599BB" w14:textId="77777777">
      <w:pPr>
        <w:pStyle w:val="BodyText"/>
        <w:ind w:left="120" w:right="742"/>
      </w:pPr>
      <w:r>
        <w:t>The prior authorization process would apply to the following Healthcare Common Procedure Coding System (HCPCS) codes for Medicare payment:</w:t>
      </w:r>
    </w:p>
    <w:p w:rsidR="00952305" w:rsidRDefault="00815728" w14:paraId="63778A6D" w14:textId="77777777">
      <w:pPr>
        <w:pStyle w:val="ListParagraph"/>
        <w:numPr>
          <w:ilvl w:val="1"/>
          <w:numId w:val="2"/>
        </w:numPr>
        <w:tabs>
          <w:tab w:val="left" w:pos="1084"/>
        </w:tabs>
        <w:ind w:right="559" w:firstLine="720"/>
      </w:pPr>
      <w:r>
        <w:rPr>
          <w:sz w:val="24"/>
        </w:rPr>
        <w:t>A0426 Ambulance service, advanced life support, non-emergency transport, Level</w:t>
      </w:r>
      <w:r>
        <w:rPr>
          <w:spacing w:val="-18"/>
          <w:sz w:val="24"/>
        </w:rPr>
        <w:t xml:space="preserve"> </w:t>
      </w:r>
      <w:r>
        <w:rPr>
          <w:sz w:val="24"/>
        </w:rPr>
        <w:t>1 (ALS1).</w:t>
      </w:r>
    </w:p>
    <w:p w:rsidR="00952305" w:rsidRDefault="00815728" w14:paraId="7C065C39" w14:textId="77777777">
      <w:pPr>
        <w:pStyle w:val="ListParagraph"/>
        <w:numPr>
          <w:ilvl w:val="1"/>
          <w:numId w:val="2"/>
        </w:numPr>
        <w:tabs>
          <w:tab w:val="left" w:pos="1084"/>
        </w:tabs>
        <w:ind w:left="1083" w:hanging="243"/>
      </w:pPr>
      <w:r>
        <w:rPr>
          <w:sz w:val="24"/>
        </w:rPr>
        <w:t>A0428 Ambulance service, BLS, non-emergency</w:t>
      </w:r>
      <w:r>
        <w:rPr>
          <w:spacing w:val="-4"/>
          <w:sz w:val="24"/>
        </w:rPr>
        <w:t xml:space="preserve"> </w:t>
      </w:r>
      <w:r>
        <w:rPr>
          <w:sz w:val="24"/>
        </w:rPr>
        <w:t>transport.</w:t>
      </w:r>
    </w:p>
    <w:p w:rsidR="00952305" w:rsidRDefault="00952305" w14:paraId="1B0CF4BD" w14:textId="77777777">
      <w:pPr>
        <w:pStyle w:val="BodyText"/>
      </w:pPr>
    </w:p>
    <w:p w:rsidR="00952305" w:rsidRDefault="00815728" w14:paraId="5B15BE37" w14:textId="77777777">
      <w:pPr>
        <w:pStyle w:val="BodyText"/>
        <w:ind w:left="119" w:right="310"/>
      </w:pPr>
      <w:r>
        <w:t>While prior authorization would not be needed for the mileage code, A0425, a prior authorization decision for A0426 or A0428 would apply to the associated mileage code.</w:t>
      </w:r>
    </w:p>
    <w:p w:rsidR="00952305" w:rsidRDefault="00952305" w14:paraId="6C2F2FBA" w14:textId="77777777">
      <w:pPr>
        <w:pStyle w:val="BodyText"/>
      </w:pPr>
    </w:p>
    <w:p w:rsidR="00952305" w:rsidRDefault="00815728" w14:paraId="6946D40D" w14:textId="77777777">
      <w:pPr>
        <w:pStyle w:val="BodyText"/>
        <w:ind w:left="119" w:right="116"/>
      </w:pPr>
      <w:r>
        <w:t>Under such a potential national model, submitting a prior authorization request would be voluntary. However, an ambulance supplier or beneficiary would be encouraged to submit to the Medicare</w:t>
      </w:r>
    </w:p>
    <w:p w:rsidR="00952305" w:rsidRDefault="00952305" w14:paraId="5D41DCB3" w14:textId="77777777">
      <w:pPr>
        <w:sectPr w:rsidR="00952305">
          <w:pgSz w:w="12240" w:h="15840"/>
          <w:pgMar w:top="1500" w:right="1220" w:bottom="1260" w:left="1200" w:header="0" w:footer="1045" w:gutter="0"/>
          <w:cols w:space="720"/>
        </w:sectPr>
      </w:pPr>
    </w:p>
    <w:p w:rsidR="00952305" w:rsidRDefault="00815728" w14:paraId="42BCA109" w14:textId="77777777">
      <w:pPr>
        <w:pStyle w:val="BodyText"/>
        <w:spacing w:before="78"/>
        <w:ind w:left="120" w:right="221"/>
      </w:pPr>
      <w:r>
        <w:lastRenderedPageBreak/>
        <w:t>Administrative Contractor (MAC) a request for prior authorization along with all relevant documentation to support Medicare coverage of a repetitive, scheduled non-emergent ambulance transport. If prior authorization has not been requested by the fourth round trip in a 30-day period, the subsequent claims would be stopped for prepayment review.</w:t>
      </w:r>
    </w:p>
    <w:p w:rsidR="00952305" w:rsidRDefault="00952305" w14:paraId="597AA039" w14:textId="77777777">
      <w:pPr>
        <w:pStyle w:val="BodyText"/>
      </w:pPr>
    </w:p>
    <w:p w:rsidR="00952305" w:rsidRDefault="00815728" w14:paraId="50618F43" w14:textId="77777777">
      <w:pPr>
        <w:pStyle w:val="BodyText"/>
        <w:ind w:left="119" w:right="157"/>
      </w:pPr>
      <w:r>
        <w:t>In order for a prior authorization request to be provisionally affirmed, the request for prior authorization must meet all applicable rules, including any local coverage determination (LCD) requirements for ambulance transport claims. A provisional affirmation is a preliminary finding that a future claim submitted to Medicare for the service likely meets Medicare’s coverage, coding, and payment requirements. After receipt of all relevant documentation, the MACs would make every effort to conduct a review and postmark the notification of their decision on a prior authorization request within 10 business days for an initial submission. Notification would be provided to the ambulance supplier and to the beneficiary. If a subsequent prior authorization request is submitted after a non-affirmative decision on an initial prior authorization request, the MACs would make every effort to conduct a review and postmark the notification of their decision on the resubmitted request within 20 business days.</w:t>
      </w:r>
    </w:p>
    <w:p w:rsidR="00952305" w:rsidRDefault="00952305" w14:paraId="49C1CE0A" w14:textId="77777777">
      <w:pPr>
        <w:pStyle w:val="BodyText"/>
      </w:pPr>
    </w:p>
    <w:p w:rsidR="00952305" w:rsidRDefault="00815728" w14:paraId="2B0A212A" w14:textId="77777777">
      <w:pPr>
        <w:pStyle w:val="BodyText"/>
        <w:ind w:left="119" w:right="176"/>
      </w:pPr>
      <w:r>
        <w:t>An ambulance supplier or beneficiary may request an expedited review when the standard timeframe for making a prior authorization decision could jeopardize the life or health of the beneficiary. If the MAC agrees that the standard review timeframe would put the beneficiary at risk, the MAC would make reasonable efforts to communicate a decision within 2 business days of receipt of all applicable Medicare-required documentation. As such a model would be for</w:t>
      </w:r>
    </w:p>
    <w:p w:rsidR="00952305" w:rsidRDefault="00815728" w14:paraId="3EA6FF55" w14:textId="77777777">
      <w:pPr>
        <w:pStyle w:val="BodyText"/>
        <w:ind w:left="119"/>
      </w:pPr>
      <w:r>
        <w:t>non-emergent services only, we would expect requests for expedited reviews to be extremely rare.</w:t>
      </w:r>
    </w:p>
    <w:p w:rsidR="00952305" w:rsidRDefault="00952305" w14:paraId="279E26C3" w14:textId="77777777">
      <w:pPr>
        <w:pStyle w:val="BodyText"/>
      </w:pPr>
    </w:p>
    <w:p w:rsidR="00952305" w:rsidRDefault="00815728" w14:paraId="7941DA3B" w14:textId="77777777">
      <w:pPr>
        <w:pStyle w:val="BodyText"/>
        <w:ind w:left="119" w:right="106"/>
      </w:pPr>
      <w:r>
        <w:t>A provisional affirmative prior authorization decision may affirm a specified number of trips within a specific amount of time.  The prior authorization decision, justified by the beneficiary’s condition, may affirm up to 40 round trips (which equates to 80 one-way trips) per prior authorization request in a 60-day period. Alternatively, a provisional affirmative decision may affirm less than 40 round trips in a 60-day period, or may affirm a request that seeks to provide a specified number of transports (40 round trips or less) in less than a 60-day period. A provisional affirmative decision could be for all or part of the requested number of trips. Transports exceeding 40 round trips (or 80 one-way trips) in a 60-day period would require an additional prior authorization</w:t>
      </w:r>
      <w:r>
        <w:rPr>
          <w:spacing w:val="-1"/>
        </w:rPr>
        <w:t xml:space="preserve"> </w:t>
      </w:r>
      <w:r>
        <w:t>request.</w:t>
      </w:r>
    </w:p>
    <w:p w:rsidR="00952305" w:rsidRDefault="00952305" w14:paraId="6E5E1001" w14:textId="77777777">
      <w:pPr>
        <w:pStyle w:val="BodyText"/>
        <w:spacing w:before="11"/>
        <w:rPr>
          <w:sz w:val="23"/>
        </w:rPr>
      </w:pPr>
    </w:p>
    <w:p w:rsidR="00952305" w:rsidRDefault="00815728" w14:paraId="2998D8E5" w14:textId="77777777">
      <w:pPr>
        <w:pStyle w:val="BodyText"/>
        <w:ind w:left="119" w:right="304"/>
      </w:pPr>
      <w:r>
        <w:t>The MAC may consider an extended affirmation period for beneficiaries with a chronic condition that is deemed not likely to improve over time. The prior authorization decision, justified by the beneficiary’s chronic condition, may affirm up to 120 round trips (which equates to 240 one-way trips) per prior authorization request in a 180-day period. The medical records must clearly indicate that the condition is chronic, and the MAC must have established through two previous prior authorization requests that the beneficiary’s medical condition has not changed or has deteriorated from previous requests before allowing an extended affirmation period.</w:t>
      </w:r>
    </w:p>
    <w:p w:rsidR="00952305" w:rsidRDefault="00952305" w14:paraId="67C59DA2" w14:textId="77777777">
      <w:pPr>
        <w:pStyle w:val="BodyText"/>
      </w:pPr>
    </w:p>
    <w:p w:rsidR="00952305" w:rsidRDefault="00815728" w14:paraId="233D44E4" w14:textId="77777777">
      <w:pPr>
        <w:pStyle w:val="BodyText"/>
        <w:ind w:left="120"/>
      </w:pPr>
      <w:r>
        <w:t>The following describes examples of various prior authorization</w:t>
      </w:r>
      <w:r>
        <w:rPr>
          <w:spacing w:val="-18"/>
        </w:rPr>
        <w:t xml:space="preserve"> </w:t>
      </w:r>
      <w:r>
        <w:t>scenarios:</w:t>
      </w:r>
    </w:p>
    <w:p w:rsidR="00952305" w:rsidRDefault="00815728" w14:paraId="0088AE08" w14:textId="77777777">
      <w:pPr>
        <w:pStyle w:val="ListParagraph"/>
        <w:numPr>
          <w:ilvl w:val="1"/>
          <w:numId w:val="2"/>
        </w:numPr>
        <w:tabs>
          <w:tab w:val="left" w:pos="1107"/>
        </w:tabs>
        <w:spacing w:before="120"/>
        <w:ind w:right="288" w:firstLine="720"/>
        <w:rPr>
          <w:sz w:val="24"/>
        </w:rPr>
      </w:pPr>
      <w:r>
        <w:rPr>
          <w:sz w:val="24"/>
          <w:u w:val="single"/>
        </w:rPr>
        <w:t>Scenario 1</w:t>
      </w:r>
      <w:r>
        <w:rPr>
          <w:sz w:val="24"/>
        </w:rPr>
        <w:t>: When an ambulance supplier or beneficiary submits a prior authorization request to the MAC with appropriate documentation and all relevant Medicare coverage and documentation requirements are met for the ambulance transport, the MAC would send a provisional affirmative prior authorization decision to the ambulance supplier and the</w:t>
      </w:r>
      <w:r>
        <w:rPr>
          <w:spacing w:val="-24"/>
          <w:sz w:val="24"/>
        </w:rPr>
        <w:t xml:space="preserve"> </w:t>
      </w:r>
      <w:r>
        <w:rPr>
          <w:sz w:val="24"/>
        </w:rPr>
        <w:t>beneficiary.</w:t>
      </w:r>
    </w:p>
    <w:p w:rsidR="00952305" w:rsidRDefault="00952305" w14:paraId="16891C29" w14:textId="77777777">
      <w:pPr>
        <w:rPr>
          <w:sz w:val="24"/>
        </w:rPr>
        <w:sectPr w:rsidR="00952305">
          <w:pgSz w:w="12240" w:h="15840"/>
          <w:pgMar w:top="1240" w:right="1220" w:bottom="1260" w:left="1200" w:header="0" w:footer="1045" w:gutter="0"/>
          <w:cols w:space="720"/>
        </w:sectPr>
      </w:pPr>
    </w:p>
    <w:p w:rsidR="00952305" w:rsidRDefault="00815728" w14:paraId="250A0DAA" w14:textId="77777777">
      <w:pPr>
        <w:pStyle w:val="BodyText"/>
        <w:spacing w:before="78"/>
        <w:ind w:left="120" w:right="115"/>
      </w:pPr>
      <w:r>
        <w:lastRenderedPageBreak/>
        <w:t>When the subsequent claim is submitted to the MAC by the ambulance supplier, it would be linked to the prior authorization decision via the claims processing system, and the claim would be paid so long as all Medicare coding, billing, and coverage requirements are met. However, the claim could be denied for not meeting all claim processing requirements, such as a duplicate claim or a claim submitted for a deceased beneficiary. In addition, a claim denial could occur because certain documentation, such as the trip record, needed in support of the claim cannot be submitted with a prior authorization request because it is not available until after the service is provided.</w:t>
      </w:r>
    </w:p>
    <w:p w:rsidR="00952305" w:rsidRDefault="00815728" w14:paraId="0DBAFDA7" w14:textId="77777777">
      <w:pPr>
        <w:pStyle w:val="ListParagraph"/>
        <w:numPr>
          <w:ilvl w:val="1"/>
          <w:numId w:val="2"/>
        </w:numPr>
        <w:tabs>
          <w:tab w:val="left" w:pos="1047"/>
        </w:tabs>
        <w:spacing w:before="120"/>
        <w:ind w:right="550" w:firstLine="720"/>
        <w:rPr>
          <w:sz w:val="24"/>
        </w:rPr>
      </w:pPr>
      <w:r>
        <w:rPr>
          <w:sz w:val="24"/>
          <w:u w:val="single"/>
        </w:rPr>
        <w:t>Scenario 2</w:t>
      </w:r>
      <w:r>
        <w:rPr>
          <w:sz w:val="24"/>
        </w:rPr>
        <w:t>: When an ambulance supplier or beneficiary submits a prior</w:t>
      </w:r>
      <w:r>
        <w:rPr>
          <w:spacing w:val="-26"/>
          <w:sz w:val="24"/>
        </w:rPr>
        <w:t xml:space="preserve"> </w:t>
      </w:r>
      <w:r>
        <w:rPr>
          <w:sz w:val="24"/>
        </w:rPr>
        <w:t>authorization request, but all relevant Medicare coverage requirements are not met, the MAC would send a non-affirmative prior authorization decision to the ambulance supplier and to the beneficiary advising them that Medicare will not pay for the service. The supplier or beneficiary may</w:t>
      </w:r>
      <w:r>
        <w:rPr>
          <w:spacing w:val="-21"/>
          <w:sz w:val="24"/>
        </w:rPr>
        <w:t xml:space="preserve"> </w:t>
      </w:r>
      <w:r>
        <w:rPr>
          <w:sz w:val="24"/>
        </w:rPr>
        <w:t>then</w:t>
      </w:r>
    </w:p>
    <w:p w:rsidR="00952305" w:rsidRDefault="00815728" w14:paraId="59A1A50E" w14:textId="77777777">
      <w:pPr>
        <w:pStyle w:val="BodyText"/>
        <w:ind w:left="119" w:right="143"/>
      </w:pPr>
      <w:r>
        <w:t>resubmit the request with additional documentation showing that Medicare requirements have been met. Alternatively, an ambulance supplier could furnish the service and submit a claim with a</w:t>
      </w:r>
    </w:p>
    <w:p w:rsidR="00952305" w:rsidRDefault="00815728" w14:paraId="2945E0D1" w14:textId="77777777">
      <w:pPr>
        <w:pStyle w:val="BodyText"/>
        <w:ind w:left="119" w:right="563"/>
      </w:pPr>
      <w:r>
        <w:t>non-affirmative prior authorization tracking number, at which point the MAC would deny the claim. The ambulance supplier and the beneficiary would then have the Medicare denial for secondary insurance purposes and would have the opportunity to submit an appeal of the claim denial if they think Medicare coverage was denied inappropriately.</w:t>
      </w:r>
    </w:p>
    <w:p w:rsidR="00952305" w:rsidRDefault="00815728" w14:paraId="78CE8219" w14:textId="77777777">
      <w:pPr>
        <w:pStyle w:val="ListParagraph"/>
        <w:numPr>
          <w:ilvl w:val="1"/>
          <w:numId w:val="2"/>
        </w:numPr>
        <w:tabs>
          <w:tab w:val="left" w:pos="1047"/>
        </w:tabs>
        <w:spacing w:before="120"/>
        <w:ind w:right="107" w:firstLine="720"/>
        <w:rPr>
          <w:sz w:val="24"/>
        </w:rPr>
      </w:pPr>
      <w:r>
        <w:rPr>
          <w:sz w:val="24"/>
          <w:u w:val="single"/>
        </w:rPr>
        <w:t>Scenario 3</w:t>
      </w:r>
      <w:r>
        <w:rPr>
          <w:sz w:val="24"/>
        </w:rPr>
        <w:t>: When an ambulance supplier or beneficiary submits a prior authorization request with incomplete documentation, a detailed decision letter would be sent to the ambulance supplier and to the beneficiary, with an explanation of what information is missing. The ambulance supplier or beneficiary can rectify the error(s) and resubmit the prior authorization request with appropriate</w:t>
      </w:r>
      <w:r>
        <w:rPr>
          <w:spacing w:val="-2"/>
          <w:sz w:val="24"/>
        </w:rPr>
        <w:t xml:space="preserve"> </w:t>
      </w:r>
      <w:r>
        <w:rPr>
          <w:sz w:val="24"/>
        </w:rPr>
        <w:t>documentation.</w:t>
      </w:r>
    </w:p>
    <w:p w:rsidR="00952305" w:rsidRDefault="00815728" w14:paraId="2561E08F" w14:textId="77777777">
      <w:pPr>
        <w:pStyle w:val="ListParagraph"/>
        <w:numPr>
          <w:ilvl w:val="1"/>
          <w:numId w:val="2"/>
        </w:numPr>
        <w:tabs>
          <w:tab w:val="left" w:pos="1107"/>
        </w:tabs>
        <w:spacing w:before="120"/>
        <w:ind w:right="142" w:firstLine="720"/>
        <w:rPr>
          <w:sz w:val="24"/>
        </w:rPr>
      </w:pPr>
      <w:r>
        <w:rPr>
          <w:sz w:val="24"/>
          <w:u w:val="single"/>
        </w:rPr>
        <w:t>Scenario 4</w:t>
      </w:r>
      <w:r>
        <w:rPr>
          <w:sz w:val="24"/>
        </w:rPr>
        <w:t>: If an ambulance supplier renders a service to a beneficiary and does not request prior authorization by the fourth round trip in a 30-day period, and the claim is submitted</w:t>
      </w:r>
      <w:r>
        <w:rPr>
          <w:spacing w:val="-24"/>
          <w:sz w:val="24"/>
        </w:rPr>
        <w:t xml:space="preserve"> </w:t>
      </w:r>
      <w:r>
        <w:rPr>
          <w:sz w:val="24"/>
        </w:rPr>
        <w:t>to the MAC for payment, then the claim would be stopped for prepayment review and documentation would be</w:t>
      </w:r>
      <w:r>
        <w:rPr>
          <w:spacing w:val="-1"/>
          <w:sz w:val="24"/>
        </w:rPr>
        <w:t xml:space="preserve"> </w:t>
      </w:r>
      <w:r>
        <w:rPr>
          <w:sz w:val="24"/>
        </w:rPr>
        <w:t>requested.</w:t>
      </w:r>
    </w:p>
    <w:p w:rsidR="00952305" w:rsidRDefault="00815728" w14:paraId="36F0A1F2" w14:textId="77777777">
      <w:pPr>
        <w:pStyle w:val="BodyText"/>
        <w:spacing w:before="119"/>
        <w:ind w:left="120" w:right="128" w:firstLine="720"/>
      </w:pPr>
      <w:r>
        <w:t>++ If the claim is determined to be for services that were not medically necessary or for which there was insufficient documentation, the claim would be denied, and all current policies</w:t>
      </w:r>
      <w:r>
        <w:rPr>
          <w:spacing w:val="-23"/>
        </w:rPr>
        <w:t xml:space="preserve"> </w:t>
      </w:r>
      <w:r>
        <w:t>and procedures regarding liability for payment would apply.  The ambulance supplier or the beneficiary, or both, could appeal the claim denial if they believe the denial was</w:t>
      </w:r>
      <w:r>
        <w:rPr>
          <w:spacing w:val="-18"/>
        </w:rPr>
        <w:t xml:space="preserve"> </w:t>
      </w:r>
      <w:r>
        <w:t>inappropriate.</w:t>
      </w:r>
    </w:p>
    <w:p w:rsidR="00952305" w:rsidRDefault="00815728" w14:paraId="48818C24" w14:textId="77777777">
      <w:pPr>
        <w:pStyle w:val="BodyText"/>
        <w:ind w:left="840"/>
      </w:pPr>
      <w:r>
        <w:t>++ If the claim is determined to be payable, it would be paid.</w:t>
      </w:r>
    </w:p>
    <w:p w:rsidR="00952305" w:rsidRDefault="00952305" w14:paraId="2CEA2901" w14:textId="77777777">
      <w:pPr>
        <w:pStyle w:val="BodyText"/>
      </w:pPr>
    </w:p>
    <w:p w:rsidR="00952305" w:rsidRDefault="00815728" w14:paraId="2E33E2BB" w14:textId="77777777">
      <w:pPr>
        <w:pStyle w:val="BodyText"/>
        <w:ind w:left="119" w:right="150"/>
      </w:pPr>
      <w:r>
        <w:t>Only one prior authorization request per beneficiary per designated time period can be provisionally affirmed. If the initial ambulance supplier cannot complete the total number of prior authorized transports (for example, the initial ambulance company closes or no longer services that area), the initial request would be cancelled. In this situation, a subsequent prior authorization request may be submitted for the same beneficiary and must include the required documentation in the submission. If multiple ambulance suppliers are providing transports to the beneficiary during the same or overlapping time period, the prior authorization decision would only cover the ambulance supplier indicated in the provisionally affirmed prior authorization request. Any ambulance supplier submitting claims for repetitive, scheduled non-emergent ambulance transports for which no prior authorization request is submitted by the fourth round trip in a 30-day period would be subject to 100 percent prepayment medical review of those claims.</w:t>
      </w:r>
    </w:p>
    <w:p w:rsidR="00952305" w:rsidRDefault="00952305" w14:paraId="178DF1D5" w14:textId="77777777">
      <w:pPr>
        <w:sectPr w:rsidR="00952305">
          <w:pgSz w:w="12240" w:h="15840"/>
          <w:pgMar w:top="1240" w:right="1220" w:bottom="1260" w:left="1200" w:header="0" w:footer="1045" w:gutter="0"/>
          <w:cols w:space="720"/>
        </w:sectPr>
      </w:pPr>
    </w:p>
    <w:p w:rsidR="00952305" w:rsidRDefault="00815728" w14:paraId="3B834050" w14:textId="77777777">
      <w:pPr>
        <w:pStyle w:val="Heading1"/>
        <w:spacing w:before="60"/>
      </w:pPr>
      <w:bookmarkStart w:name="JUSTIFICATION" w:id="7"/>
      <w:bookmarkEnd w:id="7"/>
      <w:r>
        <w:lastRenderedPageBreak/>
        <w:t>JUSTIFICATION</w:t>
      </w:r>
    </w:p>
    <w:p w:rsidR="00952305" w:rsidRDefault="00952305" w14:paraId="3546FEED" w14:textId="77777777">
      <w:pPr>
        <w:pStyle w:val="BodyText"/>
        <w:spacing w:before="6"/>
        <w:rPr>
          <w:b/>
        </w:rPr>
      </w:pPr>
    </w:p>
    <w:p w:rsidR="00952305" w:rsidRDefault="00815728" w14:paraId="7FAE96F8" w14:textId="77777777">
      <w:pPr>
        <w:pStyle w:val="ListParagraph"/>
        <w:numPr>
          <w:ilvl w:val="0"/>
          <w:numId w:val="1"/>
        </w:numPr>
        <w:tabs>
          <w:tab w:val="left" w:pos="569"/>
          <w:tab w:val="left" w:pos="570"/>
        </w:tabs>
        <w:rPr>
          <w:sz w:val="24"/>
        </w:rPr>
      </w:pPr>
      <w:r>
        <w:rPr>
          <w:spacing w:val="2"/>
          <w:sz w:val="24"/>
          <w:u w:val="single"/>
        </w:rPr>
        <w:t xml:space="preserve">Need </w:t>
      </w:r>
      <w:r>
        <w:rPr>
          <w:sz w:val="24"/>
          <w:u w:val="single"/>
        </w:rPr>
        <w:t>and Legal</w:t>
      </w:r>
      <w:r>
        <w:rPr>
          <w:spacing w:val="27"/>
          <w:sz w:val="24"/>
          <w:u w:val="single"/>
        </w:rPr>
        <w:t xml:space="preserve"> </w:t>
      </w:r>
      <w:r>
        <w:rPr>
          <w:spacing w:val="-4"/>
          <w:sz w:val="24"/>
          <w:u w:val="single"/>
        </w:rPr>
        <w:t>Basis</w:t>
      </w:r>
    </w:p>
    <w:p w:rsidR="00952305" w:rsidRDefault="00952305" w14:paraId="67E2B63B" w14:textId="77777777">
      <w:pPr>
        <w:pStyle w:val="BodyText"/>
        <w:rPr>
          <w:sz w:val="17"/>
        </w:rPr>
      </w:pPr>
    </w:p>
    <w:p w:rsidR="00952305" w:rsidRDefault="00815728" w14:paraId="7F75E54C" w14:textId="77777777">
      <w:pPr>
        <w:pStyle w:val="BodyText"/>
        <w:spacing w:before="90"/>
        <w:ind w:left="119" w:right="107"/>
      </w:pPr>
      <w:r>
        <w:t>Section 1115A of the Act authorizes the Secretary to test innovative payment and service delivery models to reduce program expenditures, while preserving or enhancing the quality of care</w:t>
      </w:r>
      <w:r>
        <w:rPr>
          <w:spacing w:val="-23"/>
        </w:rPr>
        <w:t xml:space="preserve"> </w:t>
      </w:r>
      <w:r>
        <w:t>furnished to Medicare, Medicaid, and Children’s Health Insurance Program beneficiaries. Section 515(b) of MACRA added paragraph (16) to section 1834(l) of the Act, which requires that, beginning January 1, 2017, the Secretary expand the RSNAT Prior Authorization Model nationally to all states if model expansion meets certain statutory requirements for Innovation Center</w:t>
      </w:r>
      <w:r>
        <w:rPr>
          <w:spacing w:val="-15"/>
        </w:rPr>
        <w:t xml:space="preserve"> </w:t>
      </w:r>
      <w:r>
        <w:t>programs.</w:t>
      </w:r>
    </w:p>
    <w:p w:rsidR="00952305" w:rsidRDefault="00815728" w14:paraId="68EA9C14" w14:textId="77777777">
      <w:pPr>
        <w:pStyle w:val="BodyText"/>
        <w:ind w:left="119"/>
      </w:pPr>
      <w:r>
        <w:t>These requirements are described in paragraphs (1) through (3) of section 1115A(c) of the</w:t>
      </w:r>
      <w:r>
        <w:rPr>
          <w:spacing w:val="-29"/>
        </w:rPr>
        <w:t xml:space="preserve"> </w:t>
      </w:r>
      <w:r>
        <w:t>Act:</w:t>
      </w:r>
    </w:p>
    <w:p w:rsidR="00952305" w:rsidRDefault="00815728" w14:paraId="0B7294B1" w14:textId="77777777">
      <w:pPr>
        <w:pStyle w:val="ListParagraph"/>
        <w:numPr>
          <w:ilvl w:val="1"/>
          <w:numId w:val="1"/>
        </w:numPr>
        <w:tabs>
          <w:tab w:val="left" w:pos="1181"/>
        </w:tabs>
        <w:ind w:hanging="340"/>
        <w:rPr>
          <w:sz w:val="24"/>
        </w:rPr>
      </w:pPr>
      <w:r>
        <w:rPr>
          <w:sz w:val="24"/>
        </w:rPr>
        <w:t>the Secretary determines that such expansion is expected</w:t>
      </w:r>
      <w:r>
        <w:rPr>
          <w:spacing w:val="-4"/>
          <w:sz w:val="24"/>
        </w:rPr>
        <w:t xml:space="preserve"> </w:t>
      </w:r>
      <w:r>
        <w:rPr>
          <w:sz w:val="24"/>
        </w:rPr>
        <w:t>to—</w:t>
      </w:r>
    </w:p>
    <w:p w:rsidR="00952305" w:rsidRDefault="00815728" w14:paraId="45BF1395" w14:textId="77777777">
      <w:pPr>
        <w:pStyle w:val="ListParagraph"/>
        <w:numPr>
          <w:ilvl w:val="2"/>
          <w:numId w:val="1"/>
        </w:numPr>
        <w:tabs>
          <w:tab w:val="left" w:pos="1954"/>
        </w:tabs>
        <w:ind w:hanging="393"/>
        <w:rPr>
          <w:sz w:val="24"/>
        </w:rPr>
      </w:pPr>
      <w:r>
        <w:rPr>
          <w:sz w:val="24"/>
        </w:rPr>
        <w:t>reduce spending under applicable title without reducing the quality of care;</w:t>
      </w:r>
      <w:r>
        <w:rPr>
          <w:spacing w:val="-12"/>
          <w:sz w:val="24"/>
        </w:rPr>
        <w:t xml:space="preserve"> </w:t>
      </w:r>
      <w:r>
        <w:rPr>
          <w:sz w:val="24"/>
        </w:rPr>
        <w:t>or</w:t>
      </w:r>
    </w:p>
    <w:p w:rsidR="00952305" w:rsidRDefault="00815728" w14:paraId="4E5F0755" w14:textId="77777777">
      <w:pPr>
        <w:pStyle w:val="ListParagraph"/>
        <w:numPr>
          <w:ilvl w:val="2"/>
          <w:numId w:val="1"/>
        </w:numPr>
        <w:tabs>
          <w:tab w:val="left" w:pos="1941"/>
        </w:tabs>
        <w:ind w:left="1940" w:hanging="380"/>
        <w:rPr>
          <w:sz w:val="24"/>
        </w:rPr>
      </w:pPr>
      <w:r>
        <w:rPr>
          <w:sz w:val="24"/>
        </w:rPr>
        <w:t>improve the quality of patient care without increasing spending;</w:t>
      </w:r>
      <w:r>
        <w:rPr>
          <w:spacing w:val="-7"/>
          <w:sz w:val="24"/>
        </w:rPr>
        <w:t xml:space="preserve"> </w:t>
      </w:r>
      <w:r>
        <w:rPr>
          <w:sz w:val="24"/>
        </w:rPr>
        <w:t>and</w:t>
      </w:r>
    </w:p>
    <w:p w:rsidR="00952305" w:rsidRDefault="00815728" w14:paraId="2EA9174E" w14:textId="77777777">
      <w:pPr>
        <w:pStyle w:val="ListParagraph"/>
        <w:numPr>
          <w:ilvl w:val="1"/>
          <w:numId w:val="1"/>
        </w:numPr>
        <w:tabs>
          <w:tab w:val="left" w:pos="1181"/>
        </w:tabs>
        <w:ind w:left="840" w:right="102" w:firstLine="0"/>
        <w:rPr>
          <w:sz w:val="24"/>
        </w:rPr>
      </w:pPr>
      <w:r>
        <w:rPr>
          <w:sz w:val="24"/>
        </w:rPr>
        <w:t>the Chief Actuary of the Centers for Medicare &amp; Medicaid Services certifies that such expansion would reduce (or would not result in any increase in) net program spending</w:t>
      </w:r>
      <w:r>
        <w:rPr>
          <w:spacing w:val="-18"/>
          <w:sz w:val="24"/>
        </w:rPr>
        <w:t xml:space="preserve"> </w:t>
      </w:r>
      <w:r>
        <w:rPr>
          <w:sz w:val="24"/>
        </w:rPr>
        <w:t>under applicable titles;</w:t>
      </w:r>
      <w:r>
        <w:rPr>
          <w:spacing w:val="-2"/>
          <w:sz w:val="24"/>
        </w:rPr>
        <w:t xml:space="preserve"> </w:t>
      </w:r>
      <w:r>
        <w:rPr>
          <w:sz w:val="24"/>
        </w:rPr>
        <w:t>and</w:t>
      </w:r>
    </w:p>
    <w:p w:rsidR="00952305" w:rsidRDefault="00815728" w14:paraId="27EFD37E" w14:textId="77777777">
      <w:pPr>
        <w:pStyle w:val="ListParagraph"/>
        <w:numPr>
          <w:ilvl w:val="1"/>
          <w:numId w:val="1"/>
        </w:numPr>
        <w:tabs>
          <w:tab w:val="left" w:pos="1181"/>
        </w:tabs>
        <w:spacing w:before="69"/>
        <w:ind w:left="840" w:right="447" w:firstLine="0"/>
        <w:rPr>
          <w:sz w:val="24"/>
        </w:rPr>
      </w:pPr>
      <w:r>
        <w:rPr>
          <w:sz w:val="24"/>
        </w:rPr>
        <w:t>the Secretary determines that such expansion would not deny or limit the coverage or provision of benefits under the applicable title for applicable</w:t>
      </w:r>
      <w:r>
        <w:rPr>
          <w:spacing w:val="-8"/>
          <w:sz w:val="24"/>
        </w:rPr>
        <w:t xml:space="preserve"> </w:t>
      </w:r>
      <w:r>
        <w:rPr>
          <w:sz w:val="24"/>
        </w:rPr>
        <w:t>individuals.</w:t>
      </w:r>
    </w:p>
    <w:p w:rsidR="00952305" w:rsidRDefault="00952305" w14:paraId="36915F8B" w14:textId="77777777">
      <w:pPr>
        <w:pStyle w:val="BodyText"/>
        <w:rPr>
          <w:sz w:val="30"/>
        </w:rPr>
      </w:pPr>
    </w:p>
    <w:p w:rsidR="00952305" w:rsidRDefault="00815728" w14:paraId="020B1803" w14:textId="77777777">
      <w:pPr>
        <w:pStyle w:val="BodyText"/>
        <w:spacing w:before="1"/>
        <w:ind w:left="119" w:right="482"/>
      </w:pPr>
      <w:r>
        <w:t xml:space="preserve">Pursuant to </w:t>
      </w:r>
      <w:r>
        <w:rPr>
          <w:spacing w:val="-7"/>
        </w:rPr>
        <w:t xml:space="preserve">the </w:t>
      </w:r>
      <w:r>
        <w:rPr>
          <w:spacing w:val="-6"/>
        </w:rPr>
        <w:t xml:space="preserve">authority </w:t>
      </w:r>
      <w:r>
        <w:rPr>
          <w:spacing w:val="-4"/>
        </w:rPr>
        <w:t xml:space="preserve">in </w:t>
      </w:r>
      <w:r>
        <w:rPr>
          <w:spacing w:val="-6"/>
        </w:rPr>
        <w:t xml:space="preserve">section 515(b) </w:t>
      </w:r>
      <w:r>
        <w:rPr>
          <w:spacing w:val="-3"/>
        </w:rPr>
        <w:t xml:space="preserve">of </w:t>
      </w:r>
      <w:r>
        <w:rPr>
          <w:spacing w:val="-6"/>
        </w:rPr>
        <w:t xml:space="preserve">MACRA, </w:t>
      </w:r>
      <w:r>
        <w:t xml:space="preserve">CMS is </w:t>
      </w:r>
      <w:r>
        <w:rPr>
          <w:spacing w:val="-3"/>
        </w:rPr>
        <w:t xml:space="preserve">seeking </w:t>
      </w:r>
      <w:r>
        <w:t xml:space="preserve">to obtain the </w:t>
      </w:r>
      <w:r>
        <w:rPr>
          <w:spacing w:val="-3"/>
        </w:rPr>
        <w:t xml:space="preserve">necessary approval under </w:t>
      </w:r>
      <w:r>
        <w:t xml:space="preserve">the PRA </w:t>
      </w:r>
      <w:r>
        <w:rPr>
          <w:spacing w:val="-3"/>
        </w:rPr>
        <w:t xml:space="preserve">for </w:t>
      </w:r>
      <w:r>
        <w:t xml:space="preserve">the </w:t>
      </w:r>
      <w:r>
        <w:rPr>
          <w:spacing w:val="-3"/>
        </w:rPr>
        <w:t xml:space="preserve">collection </w:t>
      </w:r>
      <w:r>
        <w:t xml:space="preserve">of </w:t>
      </w:r>
      <w:r>
        <w:rPr>
          <w:spacing w:val="-3"/>
        </w:rPr>
        <w:t xml:space="preserve">information </w:t>
      </w:r>
      <w:r>
        <w:t xml:space="preserve">that would be </w:t>
      </w:r>
      <w:r>
        <w:rPr>
          <w:spacing w:val="-3"/>
        </w:rPr>
        <w:t xml:space="preserve">needed for </w:t>
      </w:r>
      <w:r>
        <w:t xml:space="preserve">the RSNAT </w:t>
      </w:r>
      <w:r>
        <w:rPr>
          <w:spacing w:val="-4"/>
        </w:rPr>
        <w:t xml:space="preserve">Prior </w:t>
      </w:r>
      <w:r>
        <w:rPr>
          <w:spacing w:val="-5"/>
        </w:rPr>
        <w:t xml:space="preserve">Authorization </w:t>
      </w:r>
      <w:r>
        <w:rPr>
          <w:spacing w:val="-4"/>
        </w:rPr>
        <w:t xml:space="preserve">Model, should </w:t>
      </w:r>
      <w:r>
        <w:rPr>
          <w:spacing w:val="-3"/>
        </w:rPr>
        <w:t xml:space="preserve">the </w:t>
      </w:r>
      <w:r>
        <w:rPr>
          <w:spacing w:val="-4"/>
        </w:rPr>
        <w:t xml:space="preserve">Secretary </w:t>
      </w:r>
      <w:r>
        <w:rPr>
          <w:spacing w:val="-5"/>
        </w:rPr>
        <w:t xml:space="preserve">determine </w:t>
      </w:r>
      <w:r>
        <w:rPr>
          <w:spacing w:val="-4"/>
        </w:rPr>
        <w:t xml:space="preserve">that </w:t>
      </w:r>
      <w:r>
        <w:t xml:space="preserve">it </w:t>
      </w:r>
      <w:r>
        <w:rPr>
          <w:spacing w:val="-4"/>
        </w:rPr>
        <w:t xml:space="preserve">meets </w:t>
      </w:r>
      <w:r>
        <w:rPr>
          <w:spacing w:val="-3"/>
        </w:rPr>
        <w:t xml:space="preserve">the </w:t>
      </w:r>
      <w:r>
        <w:rPr>
          <w:spacing w:val="-5"/>
        </w:rPr>
        <w:t xml:space="preserve">criteria </w:t>
      </w:r>
      <w:r>
        <w:rPr>
          <w:spacing w:val="-3"/>
        </w:rPr>
        <w:t xml:space="preserve">to be </w:t>
      </w:r>
      <w:r>
        <w:rPr>
          <w:spacing w:val="-5"/>
        </w:rPr>
        <w:t>expanded.</w:t>
      </w:r>
    </w:p>
    <w:p w:rsidR="00952305" w:rsidRDefault="00952305" w14:paraId="7EA4ED9F" w14:textId="77777777">
      <w:pPr>
        <w:pStyle w:val="BodyText"/>
        <w:spacing w:before="6"/>
      </w:pPr>
    </w:p>
    <w:p w:rsidR="00952305" w:rsidRDefault="00815728" w14:paraId="183CF85C" w14:textId="77777777">
      <w:pPr>
        <w:pStyle w:val="ListParagraph"/>
        <w:numPr>
          <w:ilvl w:val="0"/>
          <w:numId w:val="1"/>
        </w:numPr>
        <w:tabs>
          <w:tab w:val="left" w:pos="569"/>
          <w:tab w:val="left" w:pos="570"/>
        </w:tabs>
        <w:rPr>
          <w:sz w:val="24"/>
        </w:rPr>
      </w:pPr>
      <w:r>
        <w:rPr>
          <w:spacing w:val="-6"/>
          <w:sz w:val="24"/>
          <w:u w:val="single"/>
        </w:rPr>
        <w:t xml:space="preserve">Information </w:t>
      </w:r>
      <w:r>
        <w:rPr>
          <w:sz w:val="24"/>
          <w:u w:val="single"/>
        </w:rPr>
        <w:t>Users and</w:t>
      </w:r>
      <w:r>
        <w:rPr>
          <w:spacing w:val="-2"/>
          <w:sz w:val="24"/>
          <w:u w:val="single"/>
        </w:rPr>
        <w:t xml:space="preserve"> </w:t>
      </w:r>
      <w:r>
        <w:rPr>
          <w:sz w:val="24"/>
          <w:u w:val="single"/>
        </w:rPr>
        <w:t>Use</w:t>
      </w:r>
    </w:p>
    <w:p w:rsidR="00952305" w:rsidRDefault="00952305" w14:paraId="761094BF" w14:textId="77777777">
      <w:pPr>
        <w:pStyle w:val="BodyText"/>
        <w:spacing w:before="2"/>
        <w:rPr>
          <w:sz w:val="16"/>
        </w:rPr>
      </w:pPr>
    </w:p>
    <w:p w:rsidR="00952305" w:rsidRDefault="00815728" w14:paraId="75274D7B" w14:textId="77777777">
      <w:pPr>
        <w:pStyle w:val="BodyText"/>
        <w:spacing w:before="90"/>
        <w:ind w:left="120"/>
      </w:pPr>
      <w:r>
        <w:t>If such a national model goes forward, the information required under this collection would be used to determine proper payment for repetitive, scheduled non-emergent ambulance transports. The information required in a prior authorization request package would include all medical documents and information to show that the number and level of transports requested are reasonable and necessary for the beneficiary and meet other Medicare requirements. If an ambulance supplier</w:t>
      </w:r>
      <w:r>
        <w:rPr>
          <w:spacing w:val="-22"/>
        </w:rPr>
        <w:t xml:space="preserve"> </w:t>
      </w:r>
      <w:r>
        <w:t>does not submit a prior authorization request by the fourth round trip in a 30-day period, and the claim is submitted to the MAC for payment, then the claim would be stopped for prepayment review and medical documentation would be</w:t>
      </w:r>
      <w:r>
        <w:rPr>
          <w:spacing w:val="-3"/>
        </w:rPr>
        <w:t xml:space="preserve"> </w:t>
      </w:r>
      <w:r>
        <w:t>requested.</w:t>
      </w:r>
    </w:p>
    <w:p w:rsidR="00952305" w:rsidRDefault="00952305" w14:paraId="7FD46FAD" w14:textId="77777777">
      <w:pPr>
        <w:pStyle w:val="BodyText"/>
      </w:pPr>
    </w:p>
    <w:p w:rsidR="00952305" w:rsidRDefault="00815728" w14:paraId="13CD33C4" w14:textId="77777777">
      <w:pPr>
        <w:pStyle w:val="BodyText"/>
        <w:ind w:left="119" w:right="157"/>
      </w:pPr>
      <w:r>
        <w:rPr>
          <w:spacing w:val="-4"/>
        </w:rPr>
        <w:t xml:space="preserve">Trained nurse </w:t>
      </w:r>
      <w:r>
        <w:rPr>
          <w:spacing w:val="-5"/>
        </w:rPr>
        <w:t xml:space="preserve">reviewers </w:t>
      </w:r>
      <w:r>
        <w:rPr>
          <w:spacing w:val="-4"/>
        </w:rPr>
        <w:t xml:space="preserve">from </w:t>
      </w:r>
      <w:r>
        <w:rPr>
          <w:spacing w:val="-3"/>
        </w:rPr>
        <w:t xml:space="preserve">the </w:t>
      </w:r>
      <w:r>
        <w:rPr>
          <w:spacing w:val="-4"/>
        </w:rPr>
        <w:t xml:space="preserve">MAC would review </w:t>
      </w:r>
      <w:r>
        <w:rPr>
          <w:spacing w:val="-3"/>
        </w:rPr>
        <w:t xml:space="preserve">the </w:t>
      </w:r>
      <w:r>
        <w:rPr>
          <w:spacing w:val="-5"/>
        </w:rPr>
        <w:t xml:space="preserve">information </w:t>
      </w:r>
      <w:r>
        <w:rPr>
          <w:spacing w:val="-4"/>
        </w:rPr>
        <w:t xml:space="preserve">from </w:t>
      </w:r>
      <w:r>
        <w:rPr>
          <w:spacing w:val="-3"/>
        </w:rPr>
        <w:t xml:space="preserve">the </w:t>
      </w:r>
      <w:r>
        <w:rPr>
          <w:spacing w:val="-4"/>
        </w:rPr>
        <w:t xml:space="preserve">ambulance supplier </w:t>
      </w:r>
      <w:r>
        <w:rPr>
          <w:spacing w:val="-5"/>
        </w:rPr>
        <w:t xml:space="preserve">to </w:t>
      </w:r>
      <w:r>
        <w:rPr>
          <w:spacing w:val="-4"/>
        </w:rPr>
        <w:t xml:space="preserve">determine </w:t>
      </w:r>
      <w:r>
        <w:t xml:space="preserve">if </w:t>
      </w:r>
      <w:r>
        <w:rPr>
          <w:spacing w:val="-3"/>
        </w:rPr>
        <w:t xml:space="preserve">the </w:t>
      </w:r>
      <w:r>
        <w:rPr>
          <w:spacing w:val="-5"/>
        </w:rPr>
        <w:t xml:space="preserve">beneficiary </w:t>
      </w:r>
      <w:r>
        <w:rPr>
          <w:spacing w:val="-4"/>
        </w:rPr>
        <w:t xml:space="preserve">meets </w:t>
      </w:r>
      <w:r>
        <w:rPr>
          <w:spacing w:val="-5"/>
        </w:rPr>
        <w:t xml:space="preserve">Medicare’s requirements </w:t>
      </w:r>
      <w:r>
        <w:rPr>
          <w:spacing w:val="-4"/>
        </w:rPr>
        <w:t xml:space="preserve">for </w:t>
      </w:r>
      <w:r>
        <w:rPr>
          <w:spacing w:val="-3"/>
        </w:rPr>
        <w:t xml:space="preserve">the </w:t>
      </w:r>
      <w:r>
        <w:rPr>
          <w:spacing w:val="-4"/>
        </w:rPr>
        <w:t xml:space="preserve">transport </w:t>
      </w:r>
      <w:r>
        <w:rPr>
          <w:spacing w:val="-3"/>
        </w:rPr>
        <w:t xml:space="preserve">and </w:t>
      </w:r>
      <w:r>
        <w:t xml:space="preserve">if </w:t>
      </w:r>
      <w:r>
        <w:rPr>
          <w:spacing w:val="-3"/>
        </w:rPr>
        <w:t xml:space="preserve">the </w:t>
      </w:r>
      <w:r>
        <w:rPr>
          <w:spacing w:val="-5"/>
        </w:rPr>
        <w:t xml:space="preserve">beneficiary </w:t>
      </w:r>
      <w:r>
        <w:rPr>
          <w:spacing w:val="-4"/>
        </w:rPr>
        <w:t xml:space="preserve">needs </w:t>
      </w:r>
      <w:r>
        <w:rPr>
          <w:spacing w:val="-3"/>
        </w:rPr>
        <w:t xml:space="preserve">the </w:t>
      </w:r>
      <w:r>
        <w:rPr>
          <w:spacing w:val="-4"/>
        </w:rPr>
        <w:t xml:space="preserve">level </w:t>
      </w:r>
      <w:r>
        <w:t xml:space="preserve">of </w:t>
      </w:r>
      <w:r>
        <w:rPr>
          <w:spacing w:val="-4"/>
        </w:rPr>
        <w:t>care requested.</w:t>
      </w:r>
      <w:r>
        <w:rPr>
          <w:spacing w:val="-11"/>
        </w:rPr>
        <w:t xml:space="preserve"> </w:t>
      </w:r>
      <w:r>
        <w:rPr>
          <w:spacing w:val="-3"/>
        </w:rPr>
        <w:t xml:space="preserve">The MAC </w:t>
      </w:r>
      <w:r>
        <w:rPr>
          <w:spacing w:val="-4"/>
        </w:rPr>
        <w:t xml:space="preserve">would also </w:t>
      </w:r>
      <w:r>
        <w:rPr>
          <w:spacing w:val="-3"/>
        </w:rPr>
        <w:t xml:space="preserve">use the </w:t>
      </w:r>
      <w:r>
        <w:rPr>
          <w:spacing w:val="-5"/>
        </w:rPr>
        <w:t xml:space="preserve">information </w:t>
      </w:r>
      <w:r>
        <w:rPr>
          <w:spacing w:val="-3"/>
        </w:rPr>
        <w:t xml:space="preserve">to </w:t>
      </w:r>
      <w:r>
        <w:rPr>
          <w:spacing w:val="-5"/>
        </w:rPr>
        <w:t xml:space="preserve">determine </w:t>
      </w:r>
      <w:r>
        <w:rPr>
          <w:spacing w:val="-3"/>
        </w:rPr>
        <w:t xml:space="preserve">if the </w:t>
      </w:r>
      <w:r>
        <w:rPr>
          <w:spacing w:val="-4"/>
        </w:rPr>
        <w:t xml:space="preserve">number </w:t>
      </w:r>
      <w:r>
        <w:t xml:space="preserve">of </w:t>
      </w:r>
      <w:r>
        <w:rPr>
          <w:spacing w:val="-4"/>
        </w:rPr>
        <w:t xml:space="preserve">trips requested </w:t>
      </w:r>
      <w:r>
        <w:rPr>
          <w:spacing w:val="-3"/>
        </w:rPr>
        <w:t xml:space="preserve">is </w:t>
      </w:r>
      <w:r>
        <w:rPr>
          <w:spacing w:val="-5"/>
        </w:rPr>
        <w:t xml:space="preserve">reasonable </w:t>
      </w:r>
      <w:r>
        <w:rPr>
          <w:spacing w:val="-3"/>
        </w:rPr>
        <w:t>and</w:t>
      </w:r>
      <w:r>
        <w:rPr>
          <w:spacing w:val="-35"/>
        </w:rPr>
        <w:t xml:space="preserve"> </w:t>
      </w:r>
      <w:r>
        <w:rPr>
          <w:spacing w:val="-4"/>
        </w:rPr>
        <w:t>necessary.</w:t>
      </w:r>
    </w:p>
    <w:p w:rsidR="00952305" w:rsidRDefault="00952305" w14:paraId="424799AE" w14:textId="77777777">
      <w:pPr>
        <w:pStyle w:val="BodyText"/>
      </w:pPr>
    </w:p>
    <w:p w:rsidR="00952305" w:rsidRDefault="00815728" w14:paraId="4FDF79E2" w14:textId="77777777">
      <w:pPr>
        <w:pStyle w:val="ListParagraph"/>
        <w:numPr>
          <w:ilvl w:val="0"/>
          <w:numId w:val="1"/>
        </w:numPr>
        <w:tabs>
          <w:tab w:val="left" w:pos="569"/>
          <w:tab w:val="left" w:pos="570"/>
        </w:tabs>
        <w:rPr>
          <w:sz w:val="24"/>
        </w:rPr>
      </w:pPr>
      <w:r>
        <w:rPr>
          <w:spacing w:val="-7"/>
          <w:sz w:val="24"/>
          <w:u w:val="single"/>
        </w:rPr>
        <w:t xml:space="preserve">Improved </w:t>
      </w:r>
      <w:r>
        <w:rPr>
          <w:spacing w:val="-6"/>
          <w:sz w:val="24"/>
          <w:u w:val="single"/>
        </w:rPr>
        <w:t>Information</w:t>
      </w:r>
      <w:r>
        <w:rPr>
          <w:spacing w:val="-5"/>
          <w:sz w:val="24"/>
          <w:u w:val="single"/>
        </w:rPr>
        <w:t xml:space="preserve"> Techniques</w:t>
      </w:r>
    </w:p>
    <w:p w:rsidR="00952305" w:rsidRDefault="00952305" w14:paraId="4B53AC7E" w14:textId="77777777">
      <w:pPr>
        <w:pStyle w:val="BodyText"/>
        <w:spacing w:before="2"/>
        <w:rPr>
          <w:sz w:val="16"/>
        </w:rPr>
      </w:pPr>
    </w:p>
    <w:p w:rsidR="00952305" w:rsidRDefault="00815728" w14:paraId="640D2BFF" w14:textId="77777777">
      <w:pPr>
        <w:pStyle w:val="BodyText"/>
        <w:spacing w:before="92" w:line="237" w:lineRule="auto"/>
        <w:ind w:left="120" w:right="146"/>
      </w:pPr>
      <w:r>
        <w:rPr>
          <w:spacing w:val="-4"/>
        </w:rPr>
        <w:t xml:space="preserve">Some </w:t>
      </w:r>
      <w:r>
        <w:t xml:space="preserve">of </w:t>
      </w:r>
      <w:r>
        <w:rPr>
          <w:spacing w:val="-4"/>
        </w:rPr>
        <w:t xml:space="preserve">this </w:t>
      </w:r>
      <w:r>
        <w:rPr>
          <w:spacing w:val="-5"/>
        </w:rPr>
        <w:t xml:space="preserve">collection </w:t>
      </w:r>
      <w:r>
        <w:t xml:space="preserve">of </w:t>
      </w:r>
      <w:r>
        <w:rPr>
          <w:spacing w:val="-5"/>
        </w:rPr>
        <w:t xml:space="preserve">information </w:t>
      </w:r>
      <w:r>
        <w:rPr>
          <w:spacing w:val="-4"/>
        </w:rPr>
        <w:t xml:space="preserve">could involve </w:t>
      </w:r>
      <w:r>
        <w:rPr>
          <w:spacing w:val="-3"/>
        </w:rPr>
        <w:t xml:space="preserve">the use </w:t>
      </w:r>
      <w:r>
        <w:t xml:space="preserve">of </w:t>
      </w:r>
      <w:r>
        <w:rPr>
          <w:spacing w:val="-5"/>
        </w:rPr>
        <w:t xml:space="preserve">electronic </w:t>
      </w:r>
      <w:r>
        <w:rPr>
          <w:spacing w:val="-3"/>
        </w:rPr>
        <w:t xml:space="preserve">or </w:t>
      </w:r>
      <w:r>
        <w:rPr>
          <w:spacing w:val="-4"/>
        </w:rPr>
        <w:t xml:space="preserve">other forms </w:t>
      </w:r>
      <w:r>
        <w:t xml:space="preserve">of </w:t>
      </w:r>
      <w:r>
        <w:rPr>
          <w:spacing w:val="-5"/>
        </w:rPr>
        <w:t xml:space="preserve">information </w:t>
      </w:r>
      <w:r>
        <w:rPr>
          <w:spacing w:val="-4"/>
        </w:rPr>
        <w:t xml:space="preserve">technology </w:t>
      </w:r>
      <w:r>
        <w:rPr>
          <w:spacing w:val="-3"/>
        </w:rPr>
        <w:t xml:space="preserve">at the </w:t>
      </w:r>
      <w:r>
        <w:rPr>
          <w:spacing w:val="-5"/>
        </w:rPr>
        <w:t xml:space="preserve">discretion </w:t>
      </w:r>
      <w:r>
        <w:t xml:space="preserve">of </w:t>
      </w:r>
      <w:r>
        <w:rPr>
          <w:spacing w:val="-3"/>
        </w:rPr>
        <w:t xml:space="preserve">the </w:t>
      </w:r>
      <w:r>
        <w:rPr>
          <w:spacing w:val="-5"/>
        </w:rPr>
        <w:t xml:space="preserve">submitter. </w:t>
      </w:r>
      <w:r>
        <w:rPr>
          <w:spacing w:val="-4"/>
        </w:rPr>
        <w:t xml:space="preserve">Where </w:t>
      </w:r>
      <w:r>
        <w:rPr>
          <w:spacing w:val="-5"/>
        </w:rPr>
        <w:t xml:space="preserve">available, </w:t>
      </w:r>
      <w:r>
        <w:rPr>
          <w:spacing w:val="-4"/>
        </w:rPr>
        <w:t xml:space="preserve">ambulance suppliers may submit </w:t>
      </w:r>
      <w:r>
        <w:rPr>
          <w:spacing w:val="-5"/>
        </w:rPr>
        <w:t xml:space="preserve">their </w:t>
      </w:r>
      <w:r>
        <w:rPr>
          <w:spacing w:val="-4"/>
        </w:rPr>
        <w:t xml:space="preserve">prior </w:t>
      </w:r>
      <w:r>
        <w:rPr>
          <w:spacing w:val="-5"/>
        </w:rPr>
        <w:t xml:space="preserve">authorization </w:t>
      </w:r>
      <w:r>
        <w:rPr>
          <w:spacing w:val="-4"/>
        </w:rPr>
        <w:t xml:space="preserve">requests and/or other </w:t>
      </w:r>
      <w:r>
        <w:rPr>
          <w:spacing w:val="-5"/>
        </w:rPr>
        <w:t xml:space="preserve">documentation </w:t>
      </w:r>
      <w:r>
        <w:rPr>
          <w:spacing w:val="-4"/>
        </w:rPr>
        <w:t xml:space="preserve">through </w:t>
      </w:r>
      <w:r>
        <w:rPr>
          <w:spacing w:val="-5"/>
        </w:rPr>
        <w:t xml:space="preserve">electronic </w:t>
      </w:r>
      <w:r>
        <w:rPr>
          <w:spacing w:val="-4"/>
        </w:rPr>
        <w:t xml:space="preserve">means. CMS offers </w:t>
      </w:r>
      <w:r>
        <w:rPr>
          <w:spacing w:val="-5"/>
        </w:rPr>
        <w:t xml:space="preserve">electronic </w:t>
      </w:r>
      <w:r>
        <w:rPr>
          <w:spacing w:val="-4"/>
        </w:rPr>
        <w:t xml:space="preserve">submission </w:t>
      </w:r>
      <w:r>
        <w:t xml:space="preserve">of </w:t>
      </w:r>
      <w:r>
        <w:rPr>
          <w:spacing w:val="-4"/>
        </w:rPr>
        <w:t xml:space="preserve">medical </w:t>
      </w:r>
      <w:r>
        <w:rPr>
          <w:spacing w:val="-5"/>
        </w:rPr>
        <w:t xml:space="preserve">documentation </w:t>
      </w:r>
      <w:r>
        <w:rPr>
          <w:spacing w:val="-3"/>
        </w:rPr>
        <w:t>(esMD)</w:t>
      </w:r>
      <w:hyperlink w:history="1" w:anchor="_bookmark4">
        <w:r>
          <w:rPr>
            <w:spacing w:val="-3"/>
            <w:position w:val="9"/>
            <w:sz w:val="16"/>
          </w:rPr>
          <w:t xml:space="preserve">i </w:t>
        </w:r>
      </w:hyperlink>
      <w:r>
        <w:rPr>
          <w:spacing w:val="-3"/>
        </w:rPr>
        <w:t xml:space="preserve">and the </w:t>
      </w:r>
      <w:r>
        <w:rPr>
          <w:spacing w:val="-4"/>
        </w:rPr>
        <w:t xml:space="preserve">MACs may provide </w:t>
      </w:r>
      <w:r>
        <w:rPr>
          <w:spacing w:val="-3"/>
        </w:rPr>
        <w:t xml:space="preserve">an </w:t>
      </w:r>
      <w:r>
        <w:rPr>
          <w:spacing w:val="-5"/>
        </w:rPr>
        <w:t xml:space="preserve">electronic </w:t>
      </w:r>
      <w:r>
        <w:rPr>
          <w:spacing w:val="-4"/>
        </w:rPr>
        <w:t xml:space="preserve">portal for ambulance suppliers </w:t>
      </w:r>
      <w:r>
        <w:rPr>
          <w:spacing w:val="-3"/>
        </w:rPr>
        <w:t xml:space="preserve">to </w:t>
      </w:r>
      <w:r>
        <w:rPr>
          <w:spacing w:val="-4"/>
        </w:rPr>
        <w:t xml:space="preserve">submit their </w:t>
      </w:r>
      <w:r>
        <w:rPr>
          <w:spacing w:val="-5"/>
        </w:rPr>
        <w:t>documentation.</w:t>
      </w:r>
    </w:p>
    <w:p w:rsidR="00952305" w:rsidRDefault="00952305" w14:paraId="685DC7C0" w14:textId="77777777">
      <w:pPr>
        <w:spacing w:line="237" w:lineRule="auto"/>
        <w:sectPr w:rsidR="00952305">
          <w:pgSz w:w="12240" w:h="15840"/>
          <w:pgMar w:top="1260" w:right="1220" w:bottom="1260" w:left="1200" w:header="0" w:footer="1045" w:gutter="0"/>
          <w:cols w:space="720"/>
        </w:sectPr>
      </w:pPr>
    </w:p>
    <w:p w:rsidR="00952305" w:rsidRDefault="00815728" w14:paraId="70C50317" w14:textId="77777777">
      <w:pPr>
        <w:pStyle w:val="ListParagraph"/>
        <w:numPr>
          <w:ilvl w:val="0"/>
          <w:numId w:val="1"/>
        </w:numPr>
        <w:tabs>
          <w:tab w:val="left" w:pos="569"/>
          <w:tab w:val="left" w:pos="570"/>
        </w:tabs>
        <w:spacing w:before="78"/>
        <w:rPr>
          <w:sz w:val="24"/>
        </w:rPr>
      </w:pPr>
      <w:r>
        <w:rPr>
          <w:spacing w:val="-8"/>
          <w:sz w:val="24"/>
          <w:u w:val="single"/>
        </w:rPr>
        <w:lastRenderedPageBreak/>
        <w:t xml:space="preserve">Duplication </w:t>
      </w:r>
      <w:r>
        <w:rPr>
          <w:spacing w:val="-3"/>
          <w:sz w:val="24"/>
          <w:u w:val="single"/>
        </w:rPr>
        <w:t xml:space="preserve">and </w:t>
      </w:r>
      <w:r>
        <w:rPr>
          <w:spacing w:val="-10"/>
          <w:sz w:val="24"/>
          <w:u w:val="single"/>
        </w:rPr>
        <w:t>Similar</w:t>
      </w:r>
      <w:r>
        <w:rPr>
          <w:spacing w:val="-12"/>
          <w:sz w:val="24"/>
          <w:u w:val="single"/>
        </w:rPr>
        <w:t xml:space="preserve"> </w:t>
      </w:r>
      <w:r>
        <w:rPr>
          <w:spacing w:val="-6"/>
          <w:sz w:val="24"/>
          <w:u w:val="single"/>
        </w:rPr>
        <w:t>Information</w:t>
      </w:r>
    </w:p>
    <w:p w:rsidR="00952305" w:rsidRDefault="00952305" w14:paraId="51146A3D" w14:textId="77777777">
      <w:pPr>
        <w:pStyle w:val="BodyText"/>
        <w:spacing w:before="2"/>
        <w:rPr>
          <w:sz w:val="16"/>
        </w:rPr>
      </w:pPr>
    </w:p>
    <w:p w:rsidR="00952305" w:rsidRDefault="00B55276" w14:paraId="173C7AC2" w14:textId="77777777">
      <w:pPr>
        <w:pStyle w:val="BodyText"/>
        <w:spacing w:before="90"/>
        <w:ind w:left="120" w:right="221"/>
      </w:pPr>
      <w:r>
        <w:rPr>
          <w:spacing w:val="-3"/>
        </w:rPr>
        <w:t xml:space="preserve">Outside of the current RSNAT Prior Authorization Model operating in nine states, CMS does not perform prior authorization on RSNAT services. </w:t>
      </w:r>
      <w:r w:rsidR="00815728">
        <w:rPr>
          <w:spacing w:val="-3"/>
        </w:rPr>
        <w:t xml:space="preserve">CMS as </w:t>
      </w:r>
      <w:r w:rsidR="00815728">
        <w:t xml:space="preserve">a </w:t>
      </w:r>
      <w:r w:rsidR="00815728">
        <w:rPr>
          <w:spacing w:val="-4"/>
        </w:rPr>
        <w:t xml:space="preserve">whole does </w:t>
      </w:r>
      <w:r w:rsidR="00815728">
        <w:rPr>
          <w:spacing w:val="-3"/>
        </w:rPr>
        <w:t xml:space="preserve">not </w:t>
      </w:r>
      <w:r w:rsidR="00815728">
        <w:rPr>
          <w:spacing w:val="-4"/>
        </w:rPr>
        <w:t xml:space="preserve">collect </w:t>
      </w:r>
      <w:r w:rsidR="00815728">
        <w:rPr>
          <w:spacing w:val="-3"/>
        </w:rPr>
        <w:t>th</w:t>
      </w:r>
      <w:r w:rsidR="0087602B">
        <w:rPr>
          <w:spacing w:val="-3"/>
        </w:rPr>
        <w:t xml:space="preserve">is type of </w:t>
      </w:r>
      <w:r w:rsidR="00815728">
        <w:rPr>
          <w:spacing w:val="-5"/>
        </w:rPr>
        <w:t xml:space="preserve">information </w:t>
      </w:r>
      <w:r w:rsidR="00815728">
        <w:rPr>
          <w:spacing w:val="-3"/>
        </w:rPr>
        <w:t xml:space="preserve">in any </w:t>
      </w:r>
      <w:r w:rsidR="00815728">
        <w:rPr>
          <w:spacing w:val="-4"/>
        </w:rPr>
        <w:t>existing format</w:t>
      </w:r>
      <w:r w:rsidR="0087602B">
        <w:rPr>
          <w:spacing w:val="-4"/>
        </w:rPr>
        <w:t xml:space="preserve">, including </w:t>
      </w:r>
      <w:r w:rsidR="0087602B">
        <w:t>the medical documentation supporting the need for the transports</w:t>
      </w:r>
      <w:r w:rsidR="00815728">
        <w:rPr>
          <w:spacing w:val="-4"/>
        </w:rPr>
        <w:t xml:space="preserve">. With </w:t>
      </w:r>
      <w:r w:rsidR="00815728">
        <w:rPr>
          <w:spacing w:val="-3"/>
        </w:rPr>
        <w:t xml:space="preserve">the </w:t>
      </w:r>
      <w:r w:rsidR="00815728">
        <w:rPr>
          <w:spacing w:val="-4"/>
        </w:rPr>
        <w:t xml:space="preserve">exception </w:t>
      </w:r>
      <w:r w:rsidR="00815728">
        <w:t xml:space="preserve">of </w:t>
      </w:r>
      <w:r w:rsidR="00815728">
        <w:rPr>
          <w:spacing w:val="-4"/>
        </w:rPr>
        <w:t xml:space="preserve">basic </w:t>
      </w:r>
      <w:r w:rsidR="00815728">
        <w:rPr>
          <w:spacing w:val="-5"/>
        </w:rPr>
        <w:t xml:space="preserve">identifying information </w:t>
      </w:r>
      <w:r w:rsidR="00815728">
        <w:rPr>
          <w:spacing w:val="-4"/>
        </w:rPr>
        <w:t xml:space="preserve">such </w:t>
      </w:r>
      <w:r w:rsidR="00815728">
        <w:t xml:space="preserve">a </w:t>
      </w:r>
      <w:r w:rsidR="00815728">
        <w:rPr>
          <w:spacing w:val="-5"/>
        </w:rPr>
        <w:t xml:space="preserve">beneficiary </w:t>
      </w:r>
      <w:r w:rsidR="00815728">
        <w:rPr>
          <w:spacing w:val="-4"/>
        </w:rPr>
        <w:t xml:space="preserve">name, address, etc., there </w:t>
      </w:r>
      <w:r w:rsidR="00815728">
        <w:rPr>
          <w:spacing w:val="-3"/>
        </w:rPr>
        <w:t xml:space="preserve">is no </w:t>
      </w:r>
      <w:r w:rsidR="00815728">
        <w:rPr>
          <w:spacing w:val="-4"/>
        </w:rPr>
        <w:t xml:space="preserve">standard form </w:t>
      </w:r>
      <w:r w:rsidR="00815728">
        <w:rPr>
          <w:spacing w:val="-3"/>
        </w:rPr>
        <w:t xml:space="preserve">or </w:t>
      </w:r>
      <w:r w:rsidR="00815728">
        <w:rPr>
          <w:spacing w:val="-5"/>
        </w:rPr>
        <w:t xml:space="preserve">location </w:t>
      </w:r>
      <w:r w:rsidR="00815728">
        <w:rPr>
          <w:spacing w:val="-4"/>
        </w:rPr>
        <w:t xml:space="preserve">where this </w:t>
      </w:r>
      <w:r w:rsidR="00815728">
        <w:rPr>
          <w:spacing w:val="-5"/>
        </w:rPr>
        <w:t xml:space="preserve">information </w:t>
      </w:r>
      <w:r w:rsidR="00815728">
        <w:rPr>
          <w:spacing w:val="-4"/>
        </w:rPr>
        <w:t xml:space="preserve">can </w:t>
      </w:r>
      <w:r w:rsidR="00815728">
        <w:rPr>
          <w:spacing w:val="-3"/>
        </w:rPr>
        <w:t xml:space="preserve">be </w:t>
      </w:r>
      <w:r w:rsidR="00815728">
        <w:rPr>
          <w:spacing w:val="-5"/>
        </w:rPr>
        <w:t>gathered.</w:t>
      </w:r>
    </w:p>
    <w:p w:rsidR="00952305" w:rsidRDefault="00952305" w14:paraId="063E1ABA" w14:textId="77777777">
      <w:pPr>
        <w:pStyle w:val="BodyText"/>
        <w:spacing w:before="2"/>
      </w:pPr>
    </w:p>
    <w:p w:rsidR="00952305" w:rsidRDefault="00815728" w14:paraId="17941888" w14:textId="77777777">
      <w:pPr>
        <w:pStyle w:val="ListParagraph"/>
        <w:numPr>
          <w:ilvl w:val="0"/>
          <w:numId w:val="1"/>
        </w:numPr>
        <w:tabs>
          <w:tab w:val="left" w:pos="569"/>
          <w:tab w:val="left" w:pos="570"/>
        </w:tabs>
        <w:rPr>
          <w:sz w:val="24"/>
        </w:rPr>
      </w:pPr>
      <w:r>
        <w:rPr>
          <w:spacing w:val="-9"/>
          <w:sz w:val="24"/>
          <w:u w:val="single"/>
        </w:rPr>
        <w:t>Small</w:t>
      </w:r>
      <w:r>
        <w:rPr>
          <w:spacing w:val="-8"/>
          <w:sz w:val="24"/>
          <w:u w:val="single"/>
        </w:rPr>
        <w:t xml:space="preserve"> </w:t>
      </w:r>
      <w:r>
        <w:rPr>
          <w:sz w:val="24"/>
          <w:u w:val="single"/>
        </w:rPr>
        <w:t>Businesses</w:t>
      </w:r>
    </w:p>
    <w:p w:rsidR="00952305" w:rsidRDefault="00952305" w14:paraId="277DCD69" w14:textId="77777777">
      <w:pPr>
        <w:pStyle w:val="BodyText"/>
        <w:spacing w:before="1"/>
        <w:rPr>
          <w:sz w:val="16"/>
        </w:rPr>
      </w:pPr>
    </w:p>
    <w:p w:rsidR="00952305" w:rsidRDefault="00815728" w14:paraId="203DEADF" w14:textId="77777777">
      <w:pPr>
        <w:pStyle w:val="BodyText"/>
        <w:spacing w:before="90"/>
        <w:ind w:left="120" w:right="199"/>
      </w:pPr>
      <w:r>
        <w:rPr>
          <w:spacing w:val="-4"/>
        </w:rPr>
        <w:t xml:space="preserve">This </w:t>
      </w:r>
      <w:r>
        <w:rPr>
          <w:spacing w:val="-5"/>
        </w:rPr>
        <w:t xml:space="preserve">collection </w:t>
      </w:r>
      <w:r>
        <w:rPr>
          <w:spacing w:val="-4"/>
        </w:rPr>
        <w:t xml:space="preserve">would impact small businesses </w:t>
      </w:r>
      <w:r>
        <w:rPr>
          <w:spacing w:val="-3"/>
        </w:rPr>
        <w:t xml:space="preserve">or </w:t>
      </w:r>
      <w:r>
        <w:rPr>
          <w:spacing w:val="-4"/>
        </w:rPr>
        <w:t xml:space="preserve">other entities </w:t>
      </w:r>
      <w:r>
        <w:rPr>
          <w:spacing w:val="-3"/>
        </w:rPr>
        <w:t xml:space="preserve">to the </w:t>
      </w:r>
      <w:r>
        <w:rPr>
          <w:spacing w:val="-4"/>
        </w:rPr>
        <w:t xml:space="preserve">extent that those small </w:t>
      </w:r>
      <w:r>
        <w:rPr>
          <w:spacing w:val="-5"/>
        </w:rPr>
        <w:t xml:space="preserve">businesses </w:t>
      </w:r>
      <w:r>
        <w:rPr>
          <w:spacing w:val="-4"/>
        </w:rPr>
        <w:t xml:space="preserve">bill </w:t>
      </w:r>
      <w:r>
        <w:rPr>
          <w:spacing w:val="-5"/>
        </w:rPr>
        <w:t xml:space="preserve">Medicare </w:t>
      </w:r>
      <w:r>
        <w:t xml:space="preserve">in a </w:t>
      </w:r>
      <w:r>
        <w:rPr>
          <w:spacing w:val="-4"/>
        </w:rPr>
        <w:t xml:space="preserve">manner that triggers review under prior </w:t>
      </w:r>
      <w:r>
        <w:rPr>
          <w:spacing w:val="-5"/>
        </w:rPr>
        <w:t xml:space="preserve">authorization. Ambulance </w:t>
      </w:r>
      <w:r>
        <w:rPr>
          <w:spacing w:val="-4"/>
        </w:rPr>
        <w:t xml:space="preserve">suppliers </w:t>
      </w:r>
      <w:r>
        <w:rPr>
          <w:spacing w:val="-5"/>
        </w:rPr>
        <w:t xml:space="preserve">regardless </w:t>
      </w:r>
      <w:r>
        <w:t xml:space="preserve">of </w:t>
      </w:r>
      <w:r>
        <w:rPr>
          <w:spacing w:val="-4"/>
        </w:rPr>
        <w:t xml:space="preserve">size must </w:t>
      </w:r>
      <w:r>
        <w:rPr>
          <w:spacing w:val="-5"/>
        </w:rPr>
        <w:t xml:space="preserve">maintain </w:t>
      </w:r>
      <w:r>
        <w:rPr>
          <w:spacing w:val="-3"/>
        </w:rPr>
        <w:t xml:space="preserve">the </w:t>
      </w:r>
      <w:r>
        <w:rPr>
          <w:spacing w:val="-4"/>
        </w:rPr>
        <w:t xml:space="preserve">necessary </w:t>
      </w:r>
      <w:r>
        <w:rPr>
          <w:spacing w:val="-5"/>
        </w:rPr>
        <w:t xml:space="preserve">documentation </w:t>
      </w:r>
      <w:r>
        <w:rPr>
          <w:spacing w:val="-3"/>
        </w:rPr>
        <w:t xml:space="preserve">to </w:t>
      </w:r>
      <w:r>
        <w:rPr>
          <w:spacing w:val="-4"/>
        </w:rPr>
        <w:t xml:space="preserve">support their </w:t>
      </w:r>
      <w:r>
        <w:rPr>
          <w:spacing w:val="-5"/>
        </w:rPr>
        <w:t>claims.</w:t>
      </w:r>
    </w:p>
    <w:p w:rsidR="00952305" w:rsidRDefault="00952305" w14:paraId="0268298F" w14:textId="77777777">
      <w:pPr>
        <w:pStyle w:val="BodyText"/>
        <w:spacing w:before="6"/>
      </w:pPr>
    </w:p>
    <w:p w:rsidR="00952305" w:rsidRDefault="00815728" w14:paraId="710EFD6E" w14:textId="77777777">
      <w:pPr>
        <w:pStyle w:val="ListParagraph"/>
        <w:numPr>
          <w:ilvl w:val="0"/>
          <w:numId w:val="1"/>
        </w:numPr>
        <w:tabs>
          <w:tab w:val="left" w:pos="587"/>
          <w:tab w:val="left" w:pos="588"/>
        </w:tabs>
        <w:ind w:left="588" w:hanging="468"/>
        <w:rPr>
          <w:sz w:val="24"/>
        </w:rPr>
      </w:pPr>
      <w:r>
        <w:rPr>
          <w:sz w:val="24"/>
          <w:u w:val="single"/>
        </w:rPr>
        <w:t xml:space="preserve">Less </w:t>
      </w:r>
      <w:r>
        <w:rPr>
          <w:spacing w:val="-5"/>
          <w:sz w:val="24"/>
          <w:u w:val="single"/>
        </w:rPr>
        <w:t>Frequent</w:t>
      </w:r>
      <w:r>
        <w:rPr>
          <w:sz w:val="24"/>
          <w:u w:val="single"/>
        </w:rPr>
        <w:t xml:space="preserve"> </w:t>
      </w:r>
      <w:r>
        <w:rPr>
          <w:spacing w:val="-7"/>
          <w:sz w:val="24"/>
          <w:u w:val="single"/>
        </w:rPr>
        <w:t>Collections</w:t>
      </w:r>
    </w:p>
    <w:p w:rsidR="00952305" w:rsidRDefault="00952305" w14:paraId="671D64CA" w14:textId="77777777">
      <w:pPr>
        <w:pStyle w:val="BodyText"/>
        <w:spacing w:before="6"/>
        <w:rPr>
          <w:sz w:val="16"/>
        </w:rPr>
      </w:pPr>
    </w:p>
    <w:p w:rsidR="00952305" w:rsidRDefault="00815728" w14:paraId="6DB085A7" w14:textId="77777777">
      <w:pPr>
        <w:pStyle w:val="BodyText"/>
        <w:spacing w:before="90"/>
        <w:ind w:left="119" w:right="136"/>
      </w:pPr>
      <w:r>
        <w:rPr>
          <w:spacing w:val="-3"/>
        </w:rPr>
        <w:t xml:space="preserve">In </w:t>
      </w:r>
      <w:r>
        <w:t xml:space="preserve">a </w:t>
      </w:r>
      <w:r>
        <w:rPr>
          <w:spacing w:val="-5"/>
        </w:rPr>
        <w:t xml:space="preserve">future expanded national model, </w:t>
      </w:r>
      <w:r>
        <w:t xml:space="preserve">if </w:t>
      </w:r>
      <w:r>
        <w:rPr>
          <w:spacing w:val="-3"/>
        </w:rPr>
        <w:t xml:space="preserve">an </w:t>
      </w:r>
      <w:r>
        <w:rPr>
          <w:spacing w:val="-5"/>
        </w:rPr>
        <w:t xml:space="preserve">ambulance supplier submits </w:t>
      </w:r>
      <w:r>
        <w:t xml:space="preserve">a </w:t>
      </w:r>
      <w:r>
        <w:rPr>
          <w:spacing w:val="-5"/>
        </w:rPr>
        <w:t xml:space="preserve">claim </w:t>
      </w:r>
      <w:r>
        <w:rPr>
          <w:spacing w:val="-4"/>
        </w:rPr>
        <w:t xml:space="preserve">for </w:t>
      </w:r>
      <w:r>
        <w:rPr>
          <w:spacing w:val="-5"/>
        </w:rPr>
        <w:t xml:space="preserve">repetitive, scheduled non-emergent transports without </w:t>
      </w:r>
      <w:r>
        <w:t xml:space="preserve">a </w:t>
      </w:r>
      <w:r>
        <w:rPr>
          <w:spacing w:val="-5"/>
        </w:rPr>
        <w:t xml:space="preserve">prior </w:t>
      </w:r>
      <w:r>
        <w:rPr>
          <w:spacing w:val="-6"/>
        </w:rPr>
        <w:t xml:space="preserve">authorization </w:t>
      </w:r>
      <w:r>
        <w:rPr>
          <w:spacing w:val="-5"/>
        </w:rPr>
        <w:t xml:space="preserve">decision </w:t>
      </w:r>
      <w:r>
        <w:rPr>
          <w:spacing w:val="-3"/>
        </w:rPr>
        <w:t xml:space="preserve">on </w:t>
      </w:r>
      <w:r>
        <w:rPr>
          <w:spacing w:val="-5"/>
        </w:rPr>
        <w:t xml:space="preserve">file, </w:t>
      </w:r>
      <w:r>
        <w:rPr>
          <w:spacing w:val="-4"/>
        </w:rPr>
        <w:t xml:space="preserve">the </w:t>
      </w:r>
      <w:r>
        <w:rPr>
          <w:spacing w:val="-5"/>
        </w:rPr>
        <w:t xml:space="preserve">claim would </w:t>
      </w:r>
      <w:r>
        <w:rPr>
          <w:spacing w:val="-3"/>
        </w:rPr>
        <w:t xml:space="preserve">be </w:t>
      </w:r>
      <w:r>
        <w:rPr>
          <w:spacing w:val="-5"/>
        </w:rPr>
        <w:t xml:space="preserve">stopped </w:t>
      </w:r>
      <w:r>
        <w:rPr>
          <w:spacing w:val="-4"/>
        </w:rPr>
        <w:t xml:space="preserve">for </w:t>
      </w:r>
      <w:r>
        <w:rPr>
          <w:spacing w:val="-5"/>
        </w:rPr>
        <w:t xml:space="preserve">prepayment review </w:t>
      </w:r>
      <w:r>
        <w:rPr>
          <w:spacing w:val="-4"/>
        </w:rPr>
        <w:t xml:space="preserve">and the </w:t>
      </w:r>
      <w:r>
        <w:rPr>
          <w:spacing w:val="-5"/>
        </w:rPr>
        <w:t xml:space="preserve">ambulance supplier would submit </w:t>
      </w:r>
      <w:r>
        <w:rPr>
          <w:spacing w:val="-4"/>
        </w:rPr>
        <w:t xml:space="preserve">the </w:t>
      </w:r>
      <w:r>
        <w:rPr>
          <w:spacing w:val="-5"/>
        </w:rPr>
        <w:t xml:space="preserve">documentation following receipt </w:t>
      </w:r>
      <w:r>
        <w:rPr>
          <w:spacing w:val="-3"/>
        </w:rPr>
        <w:t xml:space="preserve">of an </w:t>
      </w:r>
      <w:r>
        <w:rPr>
          <w:spacing w:val="-5"/>
        </w:rPr>
        <w:t xml:space="preserve">ADR. </w:t>
      </w:r>
      <w:r>
        <w:rPr>
          <w:spacing w:val="-4"/>
        </w:rPr>
        <w:t xml:space="preserve">Since </w:t>
      </w:r>
      <w:r>
        <w:rPr>
          <w:spacing w:val="-7"/>
        </w:rPr>
        <w:t xml:space="preserve">repetitive, scheduled ambulance transports </w:t>
      </w:r>
      <w:r>
        <w:rPr>
          <w:spacing w:val="-5"/>
        </w:rPr>
        <w:t xml:space="preserve">are </w:t>
      </w:r>
      <w:r>
        <w:rPr>
          <w:spacing w:val="-4"/>
        </w:rPr>
        <w:t xml:space="preserve">an </w:t>
      </w:r>
      <w:r>
        <w:rPr>
          <w:spacing w:val="-6"/>
        </w:rPr>
        <w:t xml:space="preserve">area </w:t>
      </w:r>
      <w:r>
        <w:rPr>
          <w:spacing w:val="-4"/>
        </w:rPr>
        <w:t xml:space="preserve">of </w:t>
      </w:r>
      <w:r>
        <w:t xml:space="preserve">vulnerability in Medicare, </w:t>
      </w:r>
      <w:r>
        <w:rPr>
          <w:spacing w:val="-4"/>
        </w:rPr>
        <w:t xml:space="preserve">less </w:t>
      </w:r>
      <w:r>
        <w:t xml:space="preserve">frequent </w:t>
      </w:r>
      <w:r>
        <w:rPr>
          <w:spacing w:val="-7"/>
        </w:rPr>
        <w:t xml:space="preserve">collection </w:t>
      </w:r>
      <w:r>
        <w:t xml:space="preserve">of </w:t>
      </w:r>
      <w:r>
        <w:rPr>
          <w:spacing w:val="-7"/>
        </w:rPr>
        <w:t xml:space="preserve">information </w:t>
      </w:r>
      <w:r>
        <w:t xml:space="preserve">on these </w:t>
      </w:r>
      <w:r>
        <w:rPr>
          <w:spacing w:val="-6"/>
        </w:rPr>
        <w:t xml:space="preserve">items </w:t>
      </w:r>
      <w:r>
        <w:rPr>
          <w:spacing w:val="-5"/>
        </w:rPr>
        <w:t xml:space="preserve">under </w:t>
      </w:r>
      <w:r>
        <w:rPr>
          <w:spacing w:val="-6"/>
        </w:rPr>
        <w:t xml:space="preserve">prior authorization </w:t>
      </w:r>
      <w:r>
        <w:rPr>
          <w:spacing w:val="-7"/>
        </w:rPr>
        <w:t xml:space="preserve">would </w:t>
      </w:r>
      <w:r>
        <w:rPr>
          <w:spacing w:val="-5"/>
        </w:rPr>
        <w:t xml:space="preserve">be </w:t>
      </w:r>
      <w:r>
        <w:rPr>
          <w:spacing w:val="-7"/>
        </w:rPr>
        <w:t xml:space="preserve">imprudent </w:t>
      </w:r>
      <w:r>
        <w:t xml:space="preserve">and </w:t>
      </w:r>
      <w:r>
        <w:rPr>
          <w:spacing w:val="-7"/>
        </w:rPr>
        <w:t xml:space="preserve">undermine </w:t>
      </w:r>
      <w:r>
        <w:rPr>
          <w:spacing w:val="-3"/>
        </w:rPr>
        <w:t xml:space="preserve">the </w:t>
      </w:r>
      <w:r>
        <w:rPr>
          <w:spacing w:val="-5"/>
        </w:rPr>
        <w:t>national model.</w:t>
      </w:r>
    </w:p>
    <w:p w:rsidR="00952305" w:rsidRDefault="00952305" w14:paraId="28044391" w14:textId="77777777">
      <w:pPr>
        <w:pStyle w:val="BodyText"/>
        <w:spacing w:before="7"/>
      </w:pPr>
    </w:p>
    <w:p w:rsidR="00952305" w:rsidRDefault="00815728" w14:paraId="46A0DABB" w14:textId="77777777">
      <w:pPr>
        <w:pStyle w:val="ListParagraph"/>
        <w:numPr>
          <w:ilvl w:val="0"/>
          <w:numId w:val="1"/>
        </w:numPr>
        <w:tabs>
          <w:tab w:val="left" w:pos="587"/>
          <w:tab w:val="left" w:pos="588"/>
        </w:tabs>
        <w:ind w:left="588" w:hanging="468"/>
        <w:rPr>
          <w:sz w:val="24"/>
        </w:rPr>
      </w:pPr>
      <w:r>
        <w:rPr>
          <w:sz w:val="24"/>
          <w:u w:val="single"/>
        </w:rPr>
        <w:t>Special</w:t>
      </w:r>
      <w:r>
        <w:rPr>
          <w:spacing w:val="9"/>
          <w:sz w:val="24"/>
          <w:u w:val="single"/>
        </w:rPr>
        <w:t xml:space="preserve"> </w:t>
      </w:r>
      <w:r>
        <w:rPr>
          <w:sz w:val="24"/>
          <w:u w:val="single"/>
        </w:rPr>
        <w:t>Circumstances</w:t>
      </w:r>
    </w:p>
    <w:p w:rsidR="00952305" w:rsidRDefault="00952305" w14:paraId="23F41599" w14:textId="77777777">
      <w:pPr>
        <w:pStyle w:val="BodyText"/>
        <w:spacing w:before="1"/>
        <w:rPr>
          <w:sz w:val="17"/>
        </w:rPr>
      </w:pPr>
    </w:p>
    <w:p w:rsidR="00952305" w:rsidRDefault="00D53EC6" w14:paraId="65ED4401" w14:textId="4E4B89BC">
      <w:pPr>
        <w:pStyle w:val="BodyText"/>
        <w:spacing w:before="90"/>
        <w:ind w:left="120"/>
      </w:pPr>
      <w:r>
        <w:t>The freque</w:t>
      </w:r>
      <w:r w:rsidR="00C828D8">
        <w:t>ncy of the collection will vary</w:t>
      </w:r>
      <w:r>
        <w:t xml:space="preserve"> d</w:t>
      </w:r>
      <w:r w:rsidR="00C828D8">
        <w:t>epending on each</w:t>
      </w:r>
      <w:r>
        <w:t xml:space="preserve"> </w:t>
      </w:r>
      <w:r w:rsidR="00C828D8">
        <w:t>beneficiary’s ambulance transportation needs</w:t>
      </w:r>
      <w:r>
        <w:t>. S</w:t>
      </w:r>
      <w:r w:rsidR="00276E61">
        <w:t>ome respondents</w:t>
      </w:r>
      <w:r>
        <w:t xml:space="preserve"> may need</w:t>
      </w:r>
      <w:r w:rsidR="00276E61">
        <w:t xml:space="preserve"> to report information more often than quarterly</w:t>
      </w:r>
      <w:r>
        <w:t xml:space="preserve"> if they are transporting beneficiaries that require R</w:t>
      </w:r>
      <w:r w:rsidR="006C0613">
        <w:t>SNAT services for longer than 60</w:t>
      </w:r>
      <w:r>
        <w:t xml:space="preserve"> days</w:t>
      </w:r>
      <w:r w:rsidR="00276E61">
        <w:t xml:space="preserve">. </w:t>
      </w:r>
    </w:p>
    <w:p w:rsidR="00952305" w:rsidRDefault="00952305" w14:paraId="5A56C7C2" w14:textId="77777777">
      <w:pPr>
        <w:pStyle w:val="BodyText"/>
        <w:spacing w:before="5"/>
      </w:pPr>
    </w:p>
    <w:p w:rsidR="00952305" w:rsidRDefault="00815728" w14:paraId="4E3A3ECF" w14:textId="77777777">
      <w:pPr>
        <w:pStyle w:val="ListParagraph"/>
        <w:numPr>
          <w:ilvl w:val="0"/>
          <w:numId w:val="1"/>
        </w:numPr>
        <w:tabs>
          <w:tab w:val="left" w:pos="608"/>
          <w:tab w:val="left" w:pos="609"/>
        </w:tabs>
        <w:ind w:left="608" w:hanging="488"/>
        <w:rPr>
          <w:sz w:val="24"/>
        </w:rPr>
      </w:pPr>
      <w:r>
        <w:rPr>
          <w:sz w:val="24"/>
          <w:u w:val="single"/>
        </w:rPr>
        <w:t>Federal Register</w:t>
      </w:r>
      <w:r>
        <w:rPr>
          <w:spacing w:val="-10"/>
          <w:sz w:val="24"/>
          <w:u w:val="single"/>
        </w:rPr>
        <w:t xml:space="preserve"> </w:t>
      </w:r>
      <w:r>
        <w:rPr>
          <w:spacing w:val="-4"/>
          <w:sz w:val="24"/>
          <w:u w:val="single"/>
        </w:rPr>
        <w:t>Notice</w:t>
      </w:r>
    </w:p>
    <w:p w:rsidR="00952305" w:rsidRDefault="00952305" w14:paraId="2B88632B" w14:textId="77777777">
      <w:pPr>
        <w:pStyle w:val="BodyText"/>
        <w:spacing w:before="2"/>
        <w:rPr>
          <w:sz w:val="16"/>
        </w:rPr>
      </w:pPr>
    </w:p>
    <w:p w:rsidR="00952305" w:rsidRDefault="00815728" w14:paraId="2A51258A" w14:textId="77777777">
      <w:pPr>
        <w:pStyle w:val="BodyText"/>
        <w:spacing w:before="90"/>
        <w:ind w:left="120"/>
      </w:pPr>
      <w:r>
        <w:t>A</w:t>
      </w:r>
      <w:r>
        <w:rPr>
          <w:spacing w:val="-10"/>
        </w:rPr>
        <w:t xml:space="preserve"> </w:t>
      </w:r>
      <w:r>
        <w:t>notice</w:t>
      </w:r>
      <w:r>
        <w:rPr>
          <w:spacing w:val="-9"/>
        </w:rPr>
        <w:t xml:space="preserve"> </w:t>
      </w:r>
      <w:r>
        <w:t>was</w:t>
      </w:r>
      <w:r>
        <w:rPr>
          <w:spacing w:val="-10"/>
        </w:rPr>
        <w:t xml:space="preserve"> </w:t>
      </w:r>
      <w:r>
        <w:t>published</w:t>
      </w:r>
      <w:r>
        <w:rPr>
          <w:spacing w:val="-10"/>
        </w:rPr>
        <w:t xml:space="preserve"> </w:t>
      </w:r>
      <w:r>
        <w:t>in</w:t>
      </w:r>
      <w:r>
        <w:rPr>
          <w:spacing w:val="-9"/>
        </w:rPr>
        <w:t xml:space="preserve"> </w:t>
      </w:r>
      <w:r>
        <w:t>the</w:t>
      </w:r>
      <w:r>
        <w:rPr>
          <w:spacing w:val="-10"/>
        </w:rPr>
        <w:t xml:space="preserve"> </w:t>
      </w:r>
      <w:r>
        <w:t>Federal</w:t>
      </w:r>
      <w:r>
        <w:rPr>
          <w:spacing w:val="-8"/>
        </w:rPr>
        <w:t xml:space="preserve"> </w:t>
      </w:r>
      <w:r>
        <w:rPr>
          <w:spacing w:val="-4"/>
        </w:rPr>
        <w:t>Register</w:t>
      </w:r>
      <w:r>
        <w:rPr>
          <w:spacing w:val="-15"/>
        </w:rPr>
        <w:t xml:space="preserve"> </w:t>
      </w:r>
      <w:r>
        <w:t>on</w:t>
      </w:r>
      <w:r>
        <w:rPr>
          <w:spacing w:val="-15"/>
        </w:rPr>
        <w:t xml:space="preserve"> </w:t>
      </w:r>
      <w:r>
        <w:rPr>
          <w:spacing w:val="-4"/>
        </w:rPr>
        <w:t>October</w:t>
      </w:r>
      <w:r>
        <w:rPr>
          <w:spacing w:val="-16"/>
        </w:rPr>
        <w:t xml:space="preserve"> </w:t>
      </w:r>
      <w:r>
        <w:rPr>
          <w:spacing w:val="-3"/>
        </w:rPr>
        <w:t>29,</w:t>
      </w:r>
      <w:r>
        <w:rPr>
          <w:spacing w:val="-18"/>
        </w:rPr>
        <w:t xml:space="preserve"> </w:t>
      </w:r>
      <w:r>
        <w:rPr>
          <w:spacing w:val="-3"/>
        </w:rPr>
        <w:t>2019</w:t>
      </w:r>
      <w:r>
        <w:rPr>
          <w:spacing w:val="-17"/>
        </w:rPr>
        <w:t xml:space="preserve"> </w:t>
      </w:r>
      <w:r>
        <w:rPr>
          <w:spacing w:val="-3"/>
        </w:rPr>
        <w:t>(84</w:t>
      </w:r>
      <w:r>
        <w:rPr>
          <w:spacing w:val="-15"/>
        </w:rPr>
        <w:t xml:space="preserve"> </w:t>
      </w:r>
      <w:r>
        <w:t>FR</w:t>
      </w:r>
      <w:r>
        <w:rPr>
          <w:spacing w:val="-19"/>
        </w:rPr>
        <w:t xml:space="preserve"> </w:t>
      </w:r>
      <w:r>
        <w:rPr>
          <w:spacing w:val="-4"/>
        </w:rPr>
        <w:t>57875).</w:t>
      </w:r>
      <w:r>
        <w:rPr>
          <w:spacing w:val="26"/>
        </w:rPr>
        <w:t xml:space="preserve"> </w:t>
      </w:r>
      <w:r>
        <w:t>Comments</w:t>
      </w:r>
      <w:r>
        <w:rPr>
          <w:spacing w:val="-10"/>
        </w:rPr>
        <w:t xml:space="preserve"> </w:t>
      </w:r>
      <w:r>
        <w:t>have been addressed in Appendix 1 - Response to Public</w:t>
      </w:r>
      <w:r>
        <w:rPr>
          <w:spacing w:val="-2"/>
        </w:rPr>
        <w:t xml:space="preserve"> </w:t>
      </w:r>
      <w:r>
        <w:t>Comments.</w:t>
      </w:r>
    </w:p>
    <w:p w:rsidR="00952305" w:rsidRDefault="00952305" w14:paraId="0619EC76" w14:textId="77777777">
      <w:pPr>
        <w:pStyle w:val="BodyText"/>
      </w:pPr>
    </w:p>
    <w:p w:rsidR="00952305" w:rsidRDefault="00815728" w14:paraId="2B912FBA" w14:textId="77777777">
      <w:pPr>
        <w:pStyle w:val="BodyText"/>
        <w:ind w:left="120"/>
      </w:pPr>
      <w:r>
        <w:t>No additional outside consultation was sought.</w:t>
      </w:r>
    </w:p>
    <w:p w:rsidR="00952305" w:rsidRDefault="00952305" w14:paraId="7BE0C9A2" w14:textId="77777777">
      <w:pPr>
        <w:pStyle w:val="BodyText"/>
        <w:spacing w:before="7"/>
      </w:pPr>
    </w:p>
    <w:p w:rsidR="00952305" w:rsidRDefault="00815728" w14:paraId="79A44E99" w14:textId="77777777">
      <w:pPr>
        <w:pStyle w:val="ListParagraph"/>
        <w:numPr>
          <w:ilvl w:val="0"/>
          <w:numId w:val="1"/>
        </w:numPr>
        <w:tabs>
          <w:tab w:val="left" w:pos="544"/>
          <w:tab w:val="left" w:pos="545"/>
        </w:tabs>
        <w:spacing w:before="1"/>
        <w:ind w:left="544" w:hanging="424"/>
        <w:rPr>
          <w:sz w:val="24"/>
        </w:rPr>
      </w:pPr>
      <w:r>
        <w:rPr>
          <w:sz w:val="24"/>
          <w:u w:val="single"/>
        </w:rPr>
        <w:t xml:space="preserve">Payments </w:t>
      </w:r>
      <w:r>
        <w:rPr>
          <w:spacing w:val="-5"/>
          <w:sz w:val="24"/>
          <w:u w:val="single"/>
        </w:rPr>
        <w:t xml:space="preserve">or </w:t>
      </w:r>
      <w:r>
        <w:rPr>
          <w:spacing w:val="-7"/>
          <w:sz w:val="24"/>
          <w:u w:val="single"/>
        </w:rPr>
        <w:t xml:space="preserve">Gifts </w:t>
      </w:r>
      <w:r>
        <w:rPr>
          <w:sz w:val="24"/>
          <w:u w:val="single"/>
        </w:rPr>
        <w:t>to</w:t>
      </w:r>
      <w:r>
        <w:rPr>
          <w:spacing w:val="-22"/>
          <w:sz w:val="24"/>
          <w:u w:val="single"/>
        </w:rPr>
        <w:t xml:space="preserve"> </w:t>
      </w:r>
      <w:r>
        <w:rPr>
          <w:spacing w:val="-5"/>
          <w:sz w:val="24"/>
          <w:u w:val="single"/>
        </w:rPr>
        <w:t>respondents</w:t>
      </w:r>
    </w:p>
    <w:p w:rsidR="00952305" w:rsidRDefault="00952305" w14:paraId="2F684270" w14:textId="77777777">
      <w:pPr>
        <w:pStyle w:val="BodyText"/>
        <w:rPr>
          <w:sz w:val="16"/>
        </w:rPr>
      </w:pPr>
    </w:p>
    <w:p w:rsidR="00952305" w:rsidRDefault="00815728" w14:paraId="4DC98A18" w14:textId="77777777">
      <w:pPr>
        <w:pStyle w:val="BodyText"/>
        <w:spacing w:before="90"/>
        <w:ind w:left="120"/>
      </w:pPr>
      <w:r>
        <w:t xml:space="preserve">No </w:t>
      </w:r>
      <w:r>
        <w:rPr>
          <w:spacing w:val="-4"/>
        </w:rPr>
        <w:t xml:space="preserve">payments </w:t>
      </w:r>
      <w:r>
        <w:rPr>
          <w:spacing w:val="-3"/>
        </w:rPr>
        <w:t xml:space="preserve">or </w:t>
      </w:r>
      <w:r>
        <w:rPr>
          <w:spacing w:val="-6"/>
        </w:rPr>
        <w:t xml:space="preserve">gifts </w:t>
      </w:r>
      <w:r>
        <w:rPr>
          <w:spacing w:val="-8"/>
        </w:rPr>
        <w:t xml:space="preserve">will </w:t>
      </w:r>
      <w:r>
        <w:t xml:space="preserve">be </w:t>
      </w:r>
      <w:r>
        <w:rPr>
          <w:spacing w:val="-5"/>
        </w:rPr>
        <w:t xml:space="preserve">given </w:t>
      </w:r>
      <w:r>
        <w:t xml:space="preserve">to </w:t>
      </w:r>
      <w:r>
        <w:rPr>
          <w:spacing w:val="-4"/>
        </w:rPr>
        <w:t xml:space="preserve">respondents </w:t>
      </w:r>
      <w:r>
        <w:t xml:space="preserve">to encourage </w:t>
      </w:r>
      <w:r>
        <w:rPr>
          <w:spacing w:val="-5"/>
        </w:rPr>
        <w:t xml:space="preserve">their </w:t>
      </w:r>
      <w:r>
        <w:t xml:space="preserve">response to any request </w:t>
      </w:r>
      <w:r>
        <w:rPr>
          <w:spacing w:val="-5"/>
        </w:rPr>
        <w:t xml:space="preserve">for </w:t>
      </w:r>
      <w:r>
        <w:rPr>
          <w:spacing w:val="-7"/>
        </w:rPr>
        <w:t xml:space="preserve">information </w:t>
      </w:r>
      <w:r>
        <w:rPr>
          <w:spacing w:val="-4"/>
        </w:rPr>
        <w:t xml:space="preserve">under </w:t>
      </w:r>
      <w:r>
        <w:rPr>
          <w:spacing w:val="-7"/>
        </w:rPr>
        <w:t xml:space="preserve">this </w:t>
      </w:r>
      <w:r>
        <w:rPr>
          <w:spacing w:val="-4"/>
        </w:rPr>
        <w:t xml:space="preserve">control </w:t>
      </w:r>
      <w:r>
        <w:rPr>
          <w:spacing w:val="-5"/>
        </w:rPr>
        <w:t>number.</w:t>
      </w:r>
    </w:p>
    <w:p w:rsidR="00952305" w:rsidRDefault="00952305" w14:paraId="47C39887" w14:textId="77777777">
      <w:pPr>
        <w:pStyle w:val="BodyText"/>
      </w:pPr>
    </w:p>
    <w:p w:rsidR="00952305" w:rsidRDefault="00815728" w14:paraId="35BF5CC5" w14:textId="77777777">
      <w:pPr>
        <w:pStyle w:val="ListParagraph"/>
        <w:numPr>
          <w:ilvl w:val="0"/>
          <w:numId w:val="1"/>
        </w:numPr>
        <w:tabs>
          <w:tab w:val="left" w:pos="656"/>
          <w:tab w:val="left" w:pos="657"/>
        </w:tabs>
        <w:spacing w:before="1"/>
        <w:ind w:left="656" w:hanging="536"/>
        <w:rPr>
          <w:sz w:val="24"/>
        </w:rPr>
      </w:pPr>
      <w:r>
        <w:rPr>
          <w:spacing w:val="-8"/>
          <w:sz w:val="24"/>
          <w:u w:val="single"/>
        </w:rPr>
        <w:t>Confidentiality</w:t>
      </w:r>
    </w:p>
    <w:p w:rsidR="00952305" w:rsidRDefault="00952305" w14:paraId="0956B05C" w14:textId="77777777">
      <w:pPr>
        <w:pStyle w:val="BodyText"/>
        <w:spacing w:before="2"/>
        <w:rPr>
          <w:sz w:val="16"/>
        </w:rPr>
      </w:pPr>
    </w:p>
    <w:p w:rsidR="00952305" w:rsidRDefault="00815728" w14:paraId="5DB87523" w14:textId="77777777">
      <w:pPr>
        <w:pStyle w:val="BodyText"/>
        <w:spacing w:before="90"/>
        <w:ind w:left="119"/>
      </w:pPr>
      <w:r>
        <w:rPr>
          <w:spacing w:val="-6"/>
        </w:rPr>
        <w:t xml:space="preserve">The MACs </w:t>
      </w:r>
      <w:r>
        <w:rPr>
          <w:spacing w:val="-7"/>
        </w:rPr>
        <w:t xml:space="preserve">would safeguard </w:t>
      </w:r>
      <w:r>
        <w:rPr>
          <w:spacing w:val="-5"/>
        </w:rPr>
        <w:t xml:space="preserve">all </w:t>
      </w:r>
      <w:r>
        <w:rPr>
          <w:spacing w:val="-7"/>
        </w:rPr>
        <w:t xml:space="preserve">protected </w:t>
      </w:r>
      <w:r>
        <w:rPr>
          <w:spacing w:val="-6"/>
        </w:rPr>
        <w:t xml:space="preserve">health </w:t>
      </w:r>
      <w:r>
        <w:rPr>
          <w:spacing w:val="-7"/>
        </w:rPr>
        <w:t xml:space="preserve">information collected </w:t>
      </w:r>
      <w:r>
        <w:rPr>
          <w:spacing w:val="-4"/>
        </w:rPr>
        <w:t xml:space="preserve">in </w:t>
      </w:r>
      <w:r>
        <w:rPr>
          <w:spacing w:val="-7"/>
        </w:rPr>
        <w:t xml:space="preserve">accordance </w:t>
      </w:r>
      <w:r>
        <w:rPr>
          <w:spacing w:val="-6"/>
        </w:rPr>
        <w:t xml:space="preserve">with Health </w:t>
      </w:r>
      <w:r>
        <w:rPr>
          <w:spacing w:val="-8"/>
        </w:rPr>
        <w:t xml:space="preserve">Insurance </w:t>
      </w:r>
      <w:r>
        <w:rPr>
          <w:spacing w:val="-7"/>
        </w:rPr>
        <w:t xml:space="preserve">Portability </w:t>
      </w:r>
      <w:r>
        <w:rPr>
          <w:spacing w:val="-6"/>
        </w:rPr>
        <w:t xml:space="preserve">and </w:t>
      </w:r>
      <w:r>
        <w:rPr>
          <w:spacing w:val="-7"/>
        </w:rPr>
        <w:t xml:space="preserve">Accountability </w:t>
      </w:r>
      <w:r>
        <w:rPr>
          <w:spacing w:val="-5"/>
        </w:rPr>
        <w:t xml:space="preserve">Act </w:t>
      </w:r>
      <w:r>
        <w:rPr>
          <w:spacing w:val="-7"/>
        </w:rPr>
        <w:t xml:space="preserve">(HIPAA) </w:t>
      </w:r>
      <w:r>
        <w:rPr>
          <w:spacing w:val="-5"/>
        </w:rPr>
        <w:t xml:space="preserve">and </w:t>
      </w:r>
      <w:r>
        <w:rPr>
          <w:spacing w:val="-6"/>
        </w:rPr>
        <w:t xml:space="preserve">Privacy </w:t>
      </w:r>
      <w:r>
        <w:rPr>
          <w:spacing w:val="-5"/>
        </w:rPr>
        <w:t xml:space="preserve">Act </w:t>
      </w:r>
      <w:r>
        <w:rPr>
          <w:spacing w:val="-7"/>
        </w:rPr>
        <w:t xml:space="preserve">standards </w:t>
      </w:r>
      <w:r>
        <w:rPr>
          <w:spacing w:val="-4"/>
        </w:rPr>
        <w:t xml:space="preserve">as </w:t>
      </w:r>
      <w:r>
        <w:rPr>
          <w:spacing w:val="-8"/>
        </w:rPr>
        <w:t>applicable.</w:t>
      </w:r>
    </w:p>
    <w:p w:rsidR="00952305" w:rsidRDefault="00952305" w14:paraId="0872B701" w14:textId="77777777">
      <w:pPr>
        <w:pStyle w:val="BodyText"/>
        <w:spacing w:before="11"/>
        <w:rPr>
          <w:sz w:val="23"/>
        </w:rPr>
      </w:pPr>
    </w:p>
    <w:p w:rsidR="00952305" w:rsidRDefault="00815728" w14:paraId="33E35B6F" w14:textId="77777777">
      <w:pPr>
        <w:pStyle w:val="BodyText"/>
        <w:ind w:left="119" w:right="154"/>
        <w:rPr>
          <w:spacing w:val="-7"/>
        </w:rPr>
      </w:pPr>
      <w:r>
        <w:rPr>
          <w:spacing w:val="-7"/>
        </w:rPr>
        <w:t xml:space="preserve">Medicare contractors </w:t>
      </w:r>
      <w:r>
        <w:rPr>
          <w:spacing w:val="-6"/>
        </w:rPr>
        <w:t xml:space="preserve">have </w:t>
      </w:r>
      <w:r>
        <w:rPr>
          <w:spacing w:val="-7"/>
        </w:rPr>
        <w:t xml:space="preserve">procedures </w:t>
      </w:r>
      <w:r>
        <w:rPr>
          <w:spacing w:val="-4"/>
        </w:rPr>
        <w:t xml:space="preserve">in </w:t>
      </w:r>
      <w:r>
        <w:rPr>
          <w:spacing w:val="-6"/>
        </w:rPr>
        <w:t xml:space="preserve">place </w:t>
      </w:r>
      <w:r>
        <w:rPr>
          <w:spacing w:val="-4"/>
        </w:rPr>
        <w:t xml:space="preserve">to </w:t>
      </w:r>
      <w:r>
        <w:rPr>
          <w:spacing w:val="-7"/>
        </w:rPr>
        <w:t xml:space="preserve">ensure </w:t>
      </w:r>
      <w:r>
        <w:rPr>
          <w:spacing w:val="-5"/>
        </w:rPr>
        <w:t xml:space="preserve">the </w:t>
      </w:r>
      <w:r>
        <w:rPr>
          <w:spacing w:val="-7"/>
        </w:rPr>
        <w:t xml:space="preserve">protection </w:t>
      </w:r>
      <w:r>
        <w:rPr>
          <w:spacing w:val="-4"/>
        </w:rPr>
        <w:t xml:space="preserve">of </w:t>
      </w:r>
      <w:r>
        <w:rPr>
          <w:spacing w:val="-5"/>
        </w:rPr>
        <w:t xml:space="preserve">the </w:t>
      </w:r>
      <w:r>
        <w:rPr>
          <w:spacing w:val="-6"/>
        </w:rPr>
        <w:t xml:space="preserve">health </w:t>
      </w:r>
      <w:r>
        <w:rPr>
          <w:spacing w:val="-7"/>
        </w:rPr>
        <w:t xml:space="preserve">information </w:t>
      </w:r>
      <w:r>
        <w:rPr>
          <w:spacing w:val="-8"/>
        </w:rPr>
        <w:t xml:space="preserve">provided. </w:t>
      </w:r>
      <w:r>
        <w:rPr>
          <w:spacing w:val="-6"/>
        </w:rPr>
        <w:lastRenderedPageBreak/>
        <w:t xml:space="preserve">The HIPAA </w:t>
      </w:r>
      <w:r>
        <w:rPr>
          <w:spacing w:val="-7"/>
        </w:rPr>
        <w:t xml:space="preserve">Privacy </w:t>
      </w:r>
      <w:r>
        <w:rPr>
          <w:spacing w:val="-6"/>
        </w:rPr>
        <w:t xml:space="preserve">Rule </w:t>
      </w:r>
      <w:r>
        <w:rPr>
          <w:spacing w:val="-7"/>
        </w:rPr>
        <w:t xml:space="preserve">allows </w:t>
      </w:r>
      <w:r>
        <w:rPr>
          <w:spacing w:val="-6"/>
        </w:rPr>
        <w:t xml:space="preserve">for </w:t>
      </w:r>
      <w:r>
        <w:rPr>
          <w:spacing w:val="-5"/>
        </w:rPr>
        <w:t xml:space="preserve">the </w:t>
      </w:r>
      <w:r>
        <w:rPr>
          <w:spacing w:val="-7"/>
        </w:rPr>
        <w:t xml:space="preserve">disclosure </w:t>
      </w:r>
      <w:r>
        <w:rPr>
          <w:spacing w:val="-4"/>
        </w:rPr>
        <w:t xml:space="preserve">of </w:t>
      </w:r>
      <w:r>
        <w:rPr>
          <w:spacing w:val="-6"/>
        </w:rPr>
        <w:t xml:space="preserve">health </w:t>
      </w:r>
      <w:r>
        <w:rPr>
          <w:spacing w:val="-7"/>
        </w:rPr>
        <w:t xml:space="preserve">records </w:t>
      </w:r>
      <w:r>
        <w:rPr>
          <w:spacing w:val="-6"/>
        </w:rPr>
        <w:t xml:space="preserve">for payment </w:t>
      </w:r>
      <w:r>
        <w:rPr>
          <w:spacing w:val="-7"/>
        </w:rPr>
        <w:t>purposes.</w:t>
      </w:r>
    </w:p>
    <w:p w:rsidR="00952305" w:rsidRDefault="00952305" w14:paraId="34378266" w14:textId="77777777">
      <w:pPr>
        <w:pStyle w:val="BodyText"/>
      </w:pPr>
    </w:p>
    <w:p w:rsidR="00952305" w:rsidRDefault="00815728" w14:paraId="50924B0F" w14:textId="77777777">
      <w:pPr>
        <w:pStyle w:val="ListParagraph"/>
        <w:numPr>
          <w:ilvl w:val="0"/>
          <w:numId w:val="1"/>
        </w:numPr>
        <w:tabs>
          <w:tab w:val="left" w:pos="656"/>
          <w:tab w:val="left" w:pos="657"/>
        </w:tabs>
        <w:ind w:left="656" w:hanging="536"/>
        <w:rPr>
          <w:sz w:val="24"/>
        </w:rPr>
      </w:pPr>
      <w:r>
        <w:rPr>
          <w:spacing w:val="-8"/>
          <w:sz w:val="24"/>
          <w:u w:val="single"/>
        </w:rPr>
        <w:t>Sensitive</w:t>
      </w:r>
      <w:r>
        <w:rPr>
          <w:spacing w:val="-1"/>
          <w:sz w:val="24"/>
          <w:u w:val="single"/>
        </w:rPr>
        <w:t xml:space="preserve"> </w:t>
      </w:r>
      <w:r>
        <w:rPr>
          <w:spacing w:val="-8"/>
          <w:sz w:val="24"/>
          <w:u w:val="single"/>
        </w:rPr>
        <w:t>Questions</w:t>
      </w:r>
    </w:p>
    <w:p w:rsidR="00952305" w:rsidP="003829C5" w:rsidRDefault="00815728" w14:paraId="17566DA5" w14:textId="77777777">
      <w:pPr>
        <w:pStyle w:val="BodyText"/>
        <w:spacing w:before="78"/>
        <w:ind w:left="120"/>
      </w:pPr>
      <w:r>
        <w:t>There are no questions of a sensitive nature associated with this information collection.</w:t>
      </w:r>
    </w:p>
    <w:p w:rsidR="00FA3347" w:rsidRDefault="00FA3347" w14:paraId="69B91BB2" w14:textId="77777777">
      <w:pPr>
        <w:pStyle w:val="BodyText"/>
        <w:spacing w:before="78"/>
        <w:ind w:left="120"/>
      </w:pPr>
    </w:p>
    <w:p w:rsidR="00952305" w:rsidRDefault="00815728" w14:paraId="7D6863D0" w14:textId="77777777">
      <w:pPr>
        <w:pStyle w:val="ListParagraph"/>
        <w:numPr>
          <w:ilvl w:val="0"/>
          <w:numId w:val="1"/>
        </w:numPr>
        <w:tabs>
          <w:tab w:val="left" w:pos="656"/>
          <w:tab w:val="left" w:pos="657"/>
        </w:tabs>
        <w:ind w:left="656" w:hanging="536"/>
        <w:rPr>
          <w:sz w:val="24"/>
        </w:rPr>
      </w:pPr>
      <w:r>
        <w:rPr>
          <w:spacing w:val="-5"/>
          <w:sz w:val="24"/>
          <w:u w:val="single"/>
        </w:rPr>
        <w:t>Burden</w:t>
      </w:r>
      <w:r>
        <w:rPr>
          <w:spacing w:val="-30"/>
          <w:sz w:val="24"/>
          <w:u w:val="single"/>
        </w:rPr>
        <w:t xml:space="preserve"> </w:t>
      </w:r>
      <w:r>
        <w:rPr>
          <w:spacing w:val="-5"/>
          <w:sz w:val="24"/>
          <w:u w:val="single"/>
        </w:rPr>
        <w:t>Estimate</w:t>
      </w:r>
    </w:p>
    <w:p w:rsidR="00952305" w:rsidRDefault="00952305" w14:paraId="28CA0ED6" w14:textId="77777777">
      <w:pPr>
        <w:pStyle w:val="BodyText"/>
        <w:spacing w:before="2"/>
        <w:rPr>
          <w:sz w:val="16"/>
        </w:rPr>
      </w:pPr>
    </w:p>
    <w:p w:rsidR="00952305" w:rsidRDefault="00815728" w14:paraId="6AA7ED59" w14:textId="77777777">
      <w:pPr>
        <w:pStyle w:val="BodyText"/>
        <w:spacing w:before="90"/>
        <w:ind w:left="119" w:right="117"/>
      </w:pPr>
      <w:r>
        <w:t>If the expanded national model moves forward, CMS anticipates that most submissions would be sent in through fax or by electronic means. The burden associated with such a national model is the time and effort necessary for the submitter to locate and obtain the supporting documentation for the Medicare claim and to forward the materials to the MAC for review. CMS expects that this information would generally be maintained by ambulance suppliers as a normal course of business and that this information would be readily</w:t>
      </w:r>
      <w:r>
        <w:rPr>
          <w:spacing w:val="-5"/>
        </w:rPr>
        <w:t xml:space="preserve"> </w:t>
      </w:r>
      <w:r>
        <w:t>available.</w:t>
      </w:r>
    </w:p>
    <w:p w:rsidR="00952305" w:rsidRDefault="00952305" w14:paraId="474965B8" w14:textId="77777777">
      <w:pPr>
        <w:pStyle w:val="BodyText"/>
        <w:spacing w:before="5"/>
        <w:rPr>
          <w:sz w:val="26"/>
        </w:rPr>
      </w:pPr>
    </w:p>
    <w:p w:rsidR="00310C16" w:rsidRDefault="00815728" w14:paraId="65D01D62" w14:textId="44CF62A5">
      <w:pPr>
        <w:pStyle w:val="BodyText"/>
        <w:spacing w:before="1"/>
        <w:ind w:left="119" w:right="114"/>
      </w:pPr>
      <w:r>
        <w:t>The documentation submitted would be the documentation from the medical record that supports medical necessity, the level of care requested, the number of transports requested, and demonstrates that the Medicare coverage requirements are met. Ambulance suppliers are currently required to maintain this information on file.</w:t>
      </w:r>
      <w:r w:rsidR="00310C16">
        <w:t xml:space="preserve">  The burden for maintaining this information has not been </w:t>
      </w:r>
      <w:bookmarkStart w:name="_GoBack" w:id="8"/>
      <w:bookmarkEnd w:id="8"/>
      <w:r w:rsidR="00310C16">
        <w:t>ccounted for previously</w:t>
      </w:r>
      <w:r w:rsidRPr="00310C16" w:rsidR="00310C16">
        <w:t>.</w:t>
      </w:r>
      <w:r>
        <w:t xml:space="preserve"> </w:t>
      </w:r>
    </w:p>
    <w:p w:rsidR="00310C16" w:rsidRDefault="00310C16" w14:paraId="7C0414C3" w14:textId="77777777">
      <w:pPr>
        <w:pStyle w:val="BodyText"/>
        <w:spacing w:before="1"/>
        <w:ind w:left="119" w:right="114"/>
      </w:pPr>
    </w:p>
    <w:p w:rsidR="00952305" w:rsidRDefault="00815728" w14:paraId="439D66B7" w14:textId="77777777">
      <w:pPr>
        <w:pStyle w:val="BodyText"/>
        <w:spacing w:before="1"/>
        <w:ind w:left="119" w:right="114"/>
      </w:pPr>
      <w:r>
        <w:t>CMS anticipates clerical staff would collect the information from the medical record and prepare it to be submitted for review. CMS estimates that the average time for office clerical activities associated with this task to be 30 minutes, equivalent to that for prepayment review</w:t>
      </w:r>
      <w:r w:rsidR="00310C16">
        <w:t xml:space="preserve"> (OMB Ctrl No 0938-0969)</w:t>
      </w:r>
      <w:r>
        <w:t>.</w:t>
      </w:r>
      <w:r w:rsidR="00E17FB9">
        <w:rPr>
          <w:rStyle w:val="FootnoteReference"/>
        </w:rPr>
        <w:footnoteReference w:id="1"/>
      </w:r>
      <w:r>
        <w:t xml:space="preserve"> An additional 3 hours of time is estimated for attending educational meetings and reviewing training documents.  Average labor costs (including 100 percent fringe benefits) used to estimate the costs are calculated using data available from the Bureau of</w:t>
      </w:r>
      <w:r>
        <w:rPr>
          <w:spacing w:val="-11"/>
        </w:rPr>
        <w:t xml:space="preserve"> </w:t>
      </w:r>
      <w:r>
        <w:t>Labor</w:t>
      </w:r>
    </w:p>
    <w:p w:rsidR="00952305" w:rsidRDefault="00815728" w14:paraId="087A4749" w14:textId="77777777">
      <w:pPr>
        <w:pStyle w:val="BodyText"/>
        <w:ind w:left="120"/>
      </w:pPr>
      <w:r>
        <w:t xml:space="preserve">Statistics. Based on Bureau of Labor Statistics found </w:t>
      </w:r>
      <w:hyperlink r:id="rId18">
        <w:r>
          <w:rPr>
            <w:u w:val="single"/>
          </w:rPr>
          <w:t>here</w:t>
        </w:r>
        <w:r>
          <w:t xml:space="preserve"> </w:t>
        </w:r>
      </w:hyperlink>
      <w:r>
        <w:t>(Miscellaneous Health care support occupations), we estimate an average hourly rate of $16.63 with a loaded rate of $33.26.</w:t>
      </w:r>
    </w:p>
    <w:p w:rsidR="00952305" w:rsidRDefault="00952305" w14:paraId="560D75F6" w14:textId="77777777">
      <w:pPr>
        <w:pStyle w:val="BodyText"/>
        <w:rPr>
          <w:sz w:val="26"/>
        </w:rPr>
      </w:pPr>
    </w:p>
    <w:p w:rsidR="00952305" w:rsidRDefault="00952305" w14:paraId="5D735248" w14:textId="77777777">
      <w:pPr>
        <w:pStyle w:val="BodyText"/>
        <w:rPr>
          <w:sz w:val="22"/>
        </w:rPr>
      </w:pPr>
    </w:p>
    <w:p w:rsidR="003829C5" w:rsidRDefault="003829C5" w14:paraId="2C286DEC" w14:textId="77777777">
      <w:pPr>
        <w:pStyle w:val="BodyText"/>
        <w:ind w:left="3466" w:right="190" w:hanging="3240"/>
      </w:pPr>
    </w:p>
    <w:p w:rsidR="003829C5" w:rsidRDefault="003829C5" w14:paraId="260DC171" w14:textId="77777777">
      <w:pPr>
        <w:pStyle w:val="BodyText"/>
        <w:ind w:left="3466" w:right="190" w:hanging="3240"/>
      </w:pPr>
    </w:p>
    <w:p w:rsidR="003829C5" w:rsidP="00E17FB9" w:rsidRDefault="003829C5" w14:paraId="78C2C332" w14:textId="77777777">
      <w:pPr>
        <w:pStyle w:val="BodyText"/>
        <w:ind w:right="190"/>
      </w:pPr>
    </w:p>
    <w:p w:rsidR="003829C5" w:rsidRDefault="003829C5" w14:paraId="62C74960" w14:textId="77777777">
      <w:pPr>
        <w:pStyle w:val="BodyText"/>
        <w:ind w:left="3466" w:right="190" w:hanging="3240"/>
      </w:pPr>
    </w:p>
    <w:p w:rsidR="003829C5" w:rsidRDefault="003829C5" w14:paraId="1256DD97" w14:textId="77777777">
      <w:pPr>
        <w:pStyle w:val="BodyText"/>
        <w:ind w:left="3466" w:right="190" w:hanging="3240"/>
      </w:pPr>
    </w:p>
    <w:p w:rsidR="003829C5" w:rsidRDefault="003829C5" w14:paraId="297FAB0B" w14:textId="77777777">
      <w:pPr>
        <w:pStyle w:val="BodyText"/>
        <w:ind w:left="3466" w:right="190" w:hanging="3240"/>
      </w:pPr>
    </w:p>
    <w:p w:rsidR="003829C5" w:rsidRDefault="003829C5" w14:paraId="21D19FE3" w14:textId="77777777">
      <w:pPr>
        <w:pStyle w:val="BodyText"/>
        <w:ind w:left="3466" w:right="190" w:hanging="3240"/>
      </w:pPr>
    </w:p>
    <w:p w:rsidR="003829C5" w:rsidRDefault="003829C5" w14:paraId="01EF879C" w14:textId="77777777">
      <w:pPr>
        <w:pStyle w:val="BodyText"/>
        <w:ind w:left="3466" w:right="190" w:hanging="3240"/>
      </w:pPr>
    </w:p>
    <w:p w:rsidR="00C828D8" w:rsidRDefault="00C828D8" w14:paraId="5D320B5D" w14:textId="77777777">
      <w:pPr>
        <w:pStyle w:val="BodyText"/>
        <w:ind w:left="3466" w:right="190" w:hanging="3240"/>
      </w:pPr>
    </w:p>
    <w:p w:rsidR="003829C5" w:rsidRDefault="003829C5" w14:paraId="63EAE89E" w14:textId="77777777">
      <w:pPr>
        <w:pStyle w:val="BodyText"/>
        <w:ind w:left="3466" w:right="190" w:hanging="3240"/>
      </w:pPr>
    </w:p>
    <w:p w:rsidR="003829C5" w:rsidRDefault="003829C5" w14:paraId="45EAF394" w14:textId="77777777">
      <w:pPr>
        <w:pStyle w:val="BodyText"/>
        <w:ind w:left="3466" w:right="190" w:hanging="3240"/>
      </w:pPr>
    </w:p>
    <w:p w:rsidR="00952305" w:rsidRDefault="00815728" w14:paraId="618F4A1B" w14:textId="77777777">
      <w:pPr>
        <w:pStyle w:val="BodyText"/>
        <w:ind w:left="3466" w:right="190" w:hanging="3240"/>
      </w:pPr>
      <w:r>
        <w:t xml:space="preserve">Table 1: Projected Burden for a Repetitive, Scheduled Non-Emergent Ambulance Transport Prior </w:t>
      </w:r>
      <w:r>
        <w:lastRenderedPageBreak/>
        <w:t>Authorization National Model</w:t>
      </w:r>
    </w:p>
    <w:p w:rsidR="00952305" w:rsidRDefault="00952305" w14:paraId="511AE9BD" w14:textId="77777777">
      <w:pPr>
        <w:pStyle w:val="BodyText"/>
        <w:spacing w:after="1"/>
        <w:rPr>
          <w:sz w:val="21"/>
        </w:rPr>
      </w:pPr>
    </w:p>
    <w:tbl>
      <w:tblPr>
        <w:tblW w:w="0" w:type="auto"/>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04"/>
        <w:gridCol w:w="2516"/>
        <w:gridCol w:w="1413"/>
        <w:gridCol w:w="1709"/>
        <w:gridCol w:w="1889"/>
      </w:tblGrid>
      <w:tr w:rsidR="00952305" w14:paraId="5EC9A934" w14:textId="77777777">
        <w:trPr>
          <w:trHeight w:val="1205"/>
        </w:trPr>
        <w:tc>
          <w:tcPr>
            <w:tcW w:w="1904" w:type="dxa"/>
          </w:tcPr>
          <w:p w:rsidR="00952305" w:rsidRDefault="00815728" w14:paraId="1085E223" w14:textId="77777777">
            <w:pPr>
              <w:pStyle w:val="TableParagraph"/>
              <w:spacing w:line="267" w:lineRule="exact"/>
              <w:ind w:left="107"/>
              <w:rPr>
                <w:b/>
                <w:sz w:val="24"/>
              </w:rPr>
            </w:pPr>
            <w:r>
              <w:rPr>
                <w:b/>
                <w:sz w:val="24"/>
              </w:rPr>
              <w:t>Activity</w:t>
            </w:r>
          </w:p>
        </w:tc>
        <w:tc>
          <w:tcPr>
            <w:tcW w:w="2516" w:type="dxa"/>
          </w:tcPr>
          <w:p w:rsidR="00952305" w:rsidRDefault="00815728" w14:paraId="7B411075" w14:textId="77777777">
            <w:pPr>
              <w:pStyle w:val="TableParagraph"/>
              <w:ind w:left="106" w:right="340"/>
              <w:rPr>
                <w:b/>
                <w:sz w:val="24"/>
              </w:rPr>
            </w:pPr>
            <w:r>
              <w:rPr>
                <w:b/>
                <w:sz w:val="24"/>
              </w:rPr>
              <w:t>Responses Per Year (i.e. number of reviewed</w:t>
            </w:r>
          </w:p>
          <w:p w:rsidR="00952305" w:rsidRDefault="00815728" w14:paraId="0A215E1B" w14:textId="77777777">
            <w:pPr>
              <w:pStyle w:val="TableParagraph"/>
              <w:ind w:left="106"/>
              <w:rPr>
                <w:b/>
                <w:sz w:val="24"/>
              </w:rPr>
            </w:pPr>
            <w:r>
              <w:rPr>
                <w:b/>
                <w:sz w:val="24"/>
              </w:rPr>
              <w:t>claims)</w:t>
            </w:r>
            <w:r w:rsidR="003829C5">
              <w:rPr>
                <w:rStyle w:val="FootnoteReference"/>
                <w:b/>
                <w:sz w:val="24"/>
              </w:rPr>
              <w:footnoteReference w:id="2"/>
            </w:r>
          </w:p>
        </w:tc>
        <w:tc>
          <w:tcPr>
            <w:tcW w:w="1413" w:type="dxa"/>
          </w:tcPr>
          <w:p w:rsidR="00952305" w:rsidRDefault="00815728" w14:paraId="3D23E031" w14:textId="77777777">
            <w:pPr>
              <w:pStyle w:val="TableParagraph"/>
              <w:ind w:left="107" w:right="96"/>
              <w:rPr>
                <w:b/>
                <w:sz w:val="24"/>
              </w:rPr>
            </w:pPr>
            <w:r>
              <w:rPr>
                <w:b/>
                <w:sz w:val="24"/>
              </w:rPr>
              <w:t>Time Per Response (hours) or Dollar Cost</w:t>
            </w:r>
          </w:p>
        </w:tc>
        <w:tc>
          <w:tcPr>
            <w:tcW w:w="1709" w:type="dxa"/>
          </w:tcPr>
          <w:p w:rsidR="00952305" w:rsidRDefault="00815728" w14:paraId="245C7BFD" w14:textId="77777777">
            <w:pPr>
              <w:pStyle w:val="TableParagraph"/>
              <w:ind w:left="107"/>
              <w:rPr>
                <w:b/>
                <w:sz w:val="24"/>
              </w:rPr>
            </w:pPr>
            <w:r>
              <w:rPr>
                <w:b/>
                <w:sz w:val="24"/>
              </w:rPr>
              <w:t>Total Burden Per Year (hours)</w:t>
            </w:r>
          </w:p>
        </w:tc>
        <w:tc>
          <w:tcPr>
            <w:tcW w:w="1889" w:type="dxa"/>
          </w:tcPr>
          <w:p w:rsidR="00952305" w:rsidRDefault="00815728" w14:paraId="0B0D57A1" w14:textId="77777777">
            <w:pPr>
              <w:pStyle w:val="TableParagraph"/>
              <w:spacing w:line="232" w:lineRule="auto"/>
              <w:ind w:left="108" w:right="178"/>
              <w:rPr>
                <w:b/>
                <w:sz w:val="24"/>
              </w:rPr>
            </w:pPr>
            <w:r>
              <w:rPr>
                <w:b/>
                <w:sz w:val="24"/>
              </w:rPr>
              <w:t>Total Burden Costs</w:t>
            </w:r>
          </w:p>
          <w:p w:rsidR="00952305" w:rsidRDefault="00815728" w14:paraId="19E7703E" w14:textId="77777777">
            <w:pPr>
              <w:pStyle w:val="TableParagraph"/>
              <w:ind w:left="108" w:right="178"/>
              <w:rPr>
                <w:b/>
                <w:sz w:val="24"/>
              </w:rPr>
            </w:pPr>
            <w:r>
              <w:rPr>
                <w:b/>
                <w:sz w:val="24"/>
              </w:rPr>
              <w:t>Per Year Using Loaded Rate</w:t>
            </w:r>
          </w:p>
        </w:tc>
      </w:tr>
      <w:tr w:rsidR="00952305" w14:paraId="07D1A7F2" w14:textId="77777777">
        <w:trPr>
          <w:trHeight w:val="1443"/>
        </w:trPr>
        <w:tc>
          <w:tcPr>
            <w:tcW w:w="1904" w:type="dxa"/>
          </w:tcPr>
          <w:p w:rsidR="00952305" w:rsidRDefault="00815728" w14:paraId="796D0FF2" w14:textId="77777777">
            <w:pPr>
              <w:pStyle w:val="TableParagraph"/>
              <w:spacing w:line="232" w:lineRule="auto"/>
              <w:ind w:left="107" w:right="14"/>
              <w:rPr>
                <w:sz w:val="24"/>
              </w:rPr>
            </w:pPr>
            <w:r>
              <w:rPr>
                <w:sz w:val="24"/>
              </w:rPr>
              <w:t>Prior Authorization Fax and Electronic Submitted Requests</w:t>
            </w:r>
          </w:p>
        </w:tc>
        <w:tc>
          <w:tcPr>
            <w:tcW w:w="2516" w:type="dxa"/>
          </w:tcPr>
          <w:p w:rsidR="00952305" w:rsidRDefault="00815728" w14:paraId="6809B1DF" w14:textId="77777777">
            <w:pPr>
              <w:pStyle w:val="TableParagraph"/>
              <w:tabs>
                <w:tab w:val="left" w:pos="1458"/>
              </w:tabs>
              <w:spacing w:line="267" w:lineRule="exact"/>
              <w:ind w:left="5"/>
              <w:rPr>
                <w:sz w:val="24"/>
              </w:rPr>
            </w:pPr>
            <w:r>
              <w:rPr>
                <w:sz w:val="24"/>
              </w:rPr>
              <w:t>Submissions</w:t>
            </w:r>
            <w:r>
              <w:rPr>
                <w:sz w:val="24"/>
              </w:rPr>
              <w:tab/>
              <w:t>118,524</w:t>
            </w:r>
          </w:p>
          <w:p w:rsidR="00952305" w:rsidRDefault="00952305" w14:paraId="56F994B2" w14:textId="77777777">
            <w:pPr>
              <w:pStyle w:val="TableParagraph"/>
              <w:spacing w:before="5"/>
            </w:pPr>
          </w:p>
          <w:p w:rsidR="00952305" w:rsidRDefault="00815728" w14:paraId="3FCA64F4" w14:textId="77777777">
            <w:pPr>
              <w:pStyle w:val="TableParagraph"/>
              <w:ind w:left="5"/>
              <w:rPr>
                <w:sz w:val="24"/>
              </w:rPr>
            </w:pPr>
            <w:r>
              <w:rPr>
                <w:sz w:val="24"/>
              </w:rPr>
              <w:t>Resubmissions</w:t>
            </w:r>
            <w:r>
              <w:rPr>
                <w:spacing w:val="55"/>
                <w:sz w:val="24"/>
              </w:rPr>
              <w:t xml:space="preserve"> </w:t>
            </w:r>
            <w:r>
              <w:rPr>
                <w:sz w:val="24"/>
              </w:rPr>
              <w:t>33,335</w:t>
            </w:r>
          </w:p>
        </w:tc>
        <w:tc>
          <w:tcPr>
            <w:tcW w:w="1413" w:type="dxa"/>
          </w:tcPr>
          <w:p w:rsidR="00952305" w:rsidRDefault="00815728" w14:paraId="528FBAE2" w14:textId="77777777">
            <w:pPr>
              <w:pStyle w:val="TableParagraph"/>
              <w:spacing w:line="267" w:lineRule="exact"/>
              <w:ind w:left="547" w:right="516"/>
              <w:jc w:val="center"/>
              <w:rPr>
                <w:sz w:val="24"/>
              </w:rPr>
            </w:pPr>
            <w:r>
              <w:rPr>
                <w:sz w:val="24"/>
              </w:rPr>
              <w:t>0.5</w:t>
            </w:r>
          </w:p>
          <w:p w:rsidR="00952305" w:rsidRDefault="00952305" w14:paraId="6F014C8F" w14:textId="77777777">
            <w:pPr>
              <w:pStyle w:val="TableParagraph"/>
              <w:spacing w:before="5"/>
            </w:pPr>
          </w:p>
          <w:p w:rsidR="00952305" w:rsidRDefault="00815728" w14:paraId="1FE30FB3" w14:textId="77777777">
            <w:pPr>
              <w:pStyle w:val="TableParagraph"/>
              <w:ind w:left="547" w:right="516"/>
              <w:jc w:val="center"/>
              <w:rPr>
                <w:sz w:val="24"/>
              </w:rPr>
            </w:pPr>
            <w:r>
              <w:rPr>
                <w:sz w:val="24"/>
              </w:rPr>
              <w:t>0.5</w:t>
            </w:r>
          </w:p>
        </w:tc>
        <w:tc>
          <w:tcPr>
            <w:tcW w:w="1709" w:type="dxa"/>
          </w:tcPr>
          <w:p w:rsidR="00952305" w:rsidRDefault="00815728" w14:paraId="64DE0258" w14:textId="77777777">
            <w:pPr>
              <w:pStyle w:val="TableParagraph"/>
              <w:spacing w:line="267" w:lineRule="exact"/>
              <w:ind w:left="535"/>
              <w:rPr>
                <w:sz w:val="24"/>
              </w:rPr>
            </w:pPr>
            <w:r>
              <w:rPr>
                <w:sz w:val="24"/>
              </w:rPr>
              <w:t>59,262</w:t>
            </w:r>
          </w:p>
          <w:p w:rsidR="00952305" w:rsidRDefault="00952305" w14:paraId="340CCC47" w14:textId="77777777">
            <w:pPr>
              <w:pStyle w:val="TableParagraph"/>
              <w:spacing w:before="5"/>
            </w:pPr>
          </w:p>
          <w:p w:rsidR="00952305" w:rsidRDefault="00815728" w14:paraId="6A057F41" w14:textId="77777777">
            <w:pPr>
              <w:pStyle w:val="TableParagraph"/>
              <w:ind w:left="535"/>
              <w:rPr>
                <w:sz w:val="24"/>
              </w:rPr>
            </w:pPr>
            <w:r>
              <w:rPr>
                <w:sz w:val="24"/>
              </w:rPr>
              <w:t>16,668</w:t>
            </w:r>
          </w:p>
        </w:tc>
        <w:tc>
          <w:tcPr>
            <w:tcW w:w="1889" w:type="dxa"/>
          </w:tcPr>
          <w:p w:rsidR="00952305" w:rsidRDefault="00815728" w14:paraId="6FEFDB0B" w14:textId="77777777">
            <w:pPr>
              <w:pStyle w:val="TableParagraph"/>
              <w:spacing w:line="267" w:lineRule="exact"/>
              <w:ind w:left="266"/>
              <w:rPr>
                <w:sz w:val="24"/>
              </w:rPr>
            </w:pPr>
            <w:r>
              <w:rPr>
                <w:sz w:val="24"/>
              </w:rPr>
              <w:t>$1,971,054.12</w:t>
            </w:r>
          </w:p>
          <w:p w:rsidR="00952305" w:rsidRDefault="00952305" w14:paraId="5FB32D8E" w14:textId="77777777">
            <w:pPr>
              <w:pStyle w:val="TableParagraph"/>
              <w:spacing w:before="5"/>
            </w:pPr>
          </w:p>
          <w:p w:rsidR="00952305" w:rsidRDefault="00815728" w14:paraId="77E78476" w14:textId="77777777">
            <w:pPr>
              <w:pStyle w:val="TableParagraph"/>
              <w:ind w:left="356"/>
              <w:rPr>
                <w:sz w:val="24"/>
              </w:rPr>
            </w:pPr>
            <w:r>
              <w:rPr>
                <w:sz w:val="24"/>
              </w:rPr>
              <w:t>$554,361.05</w:t>
            </w:r>
          </w:p>
        </w:tc>
      </w:tr>
      <w:tr w:rsidR="00952305" w14:paraId="1CDBE7E3" w14:textId="77777777">
        <w:trPr>
          <w:trHeight w:val="1245"/>
        </w:trPr>
        <w:tc>
          <w:tcPr>
            <w:tcW w:w="1904" w:type="dxa"/>
          </w:tcPr>
          <w:p w:rsidR="00952305" w:rsidRDefault="00815728" w14:paraId="112492CF" w14:textId="77777777">
            <w:pPr>
              <w:pStyle w:val="TableParagraph"/>
              <w:ind w:left="107" w:right="434"/>
              <w:rPr>
                <w:sz w:val="24"/>
              </w:rPr>
            </w:pPr>
            <w:r>
              <w:rPr>
                <w:sz w:val="24"/>
              </w:rPr>
              <w:t>Prior Authorization Mailed in Requests</w:t>
            </w:r>
          </w:p>
        </w:tc>
        <w:tc>
          <w:tcPr>
            <w:tcW w:w="2516" w:type="dxa"/>
          </w:tcPr>
          <w:p w:rsidR="00952305" w:rsidRDefault="00815728" w14:paraId="4320C2E6" w14:textId="77777777">
            <w:pPr>
              <w:pStyle w:val="TableParagraph"/>
              <w:tabs>
                <w:tab w:val="left" w:pos="1638"/>
              </w:tabs>
              <w:spacing w:line="267" w:lineRule="exact"/>
              <w:ind w:left="5"/>
              <w:rPr>
                <w:sz w:val="24"/>
              </w:rPr>
            </w:pPr>
            <w:r>
              <w:rPr>
                <w:sz w:val="24"/>
              </w:rPr>
              <w:t>Submissions</w:t>
            </w:r>
            <w:r>
              <w:rPr>
                <w:sz w:val="24"/>
              </w:rPr>
              <w:tab/>
              <w:t>50,796</w:t>
            </w:r>
          </w:p>
          <w:p w:rsidR="00952305" w:rsidRDefault="00952305" w14:paraId="5AE1D821" w14:textId="77777777">
            <w:pPr>
              <w:pStyle w:val="TableParagraph"/>
              <w:spacing w:before="5"/>
            </w:pPr>
          </w:p>
          <w:p w:rsidR="00952305" w:rsidRDefault="00815728" w14:paraId="252D5D61" w14:textId="77777777">
            <w:pPr>
              <w:pStyle w:val="TableParagraph"/>
              <w:ind w:left="5"/>
              <w:rPr>
                <w:sz w:val="24"/>
              </w:rPr>
            </w:pPr>
            <w:r>
              <w:rPr>
                <w:sz w:val="24"/>
              </w:rPr>
              <w:t xml:space="preserve">Resubmissions </w:t>
            </w:r>
            <w:r>
              <w:rPr>
                <w:spacing w:val="55"/>
                <w:sz w:val="24"/>
              </w:rPr>
              <w:t xml:space="preserve"> </w:t>
            </w:r>
            <w:r>
              <w:rPr>
                <w:sz w:val="24"/>
              </w:rPr>
              <w:t>14,286</w:t>
            </w:r>
          </w:p>
        </w:tc>
        <w:tc>
          <w:tcPr>
            <w:tcW w:w="1413" w:type="dxa"/>
          </w:tcPr>
          <w:p w:rsidR="00952305" w:rsidRDefault="00815728" w14:paraId="58642196" w14:textId="77777777">
            <w:pPr>
              <w:pStyle w:val="TableParagraph"/>
              <w:spacing w:line="267" w:lineRule="exact"/>
              <w:ind w:left="547" w:right="516"/>
              <w:jc w:val="center"/>
              <w:rPr>
                <w:sz w:val="24"/>
              </w:rPr>
            </w:pPr>
            <w:r>
              <w:rPr>
                <w:sz w:val="24"/>
              </w:rPr>
              <w:t>0.5</w:t>
            </w:r>
          </w:p>
          <w:p w:rsidR="00952305" w:rsidRDefault="00952305" w14:paraId="14695F0C" w14:textId="77777777">
            <w:pPr>
              <w:pStyle w:val="TableParagraph"/>
              <w:spacing w:before="5"/>
            </w:pPr>
          </w:p>
          <w:p w:rsidR="00952305" w:rsidRDefault="00815728" w14:paraId="297003E3" w14:textId="77777777">
            <w:pPr>
              <w:pStyle w:val="TableParagraph"/>
              <w:ind w:left="547" w:right="516"/>
              <w:jc w:val="center"/>
              <w:rPr>
                <w:sz w:val="24"/>
              </w:rPr>
            </w:pPr>
            <w:r>
              <w:rPr>
                <w:sz w:val="24"/>
              </w:rPr>
              <w:t>0.5</w:t>
            </w:r>
          </w:p>
        </w:tc>
        <w:tc>
          <w:tcPr>
            <w:tcW w:w="1709" w:type="dxa"/>
          </w:tcPr>
          <w:p w:rsidR="00952305" w:rsidRDefault="00815728" w14:paraId="4951DB9A" w14:textId="77777777">
            <w:pPr>
              <w:pStyle w:val="TableParagraph"/>
              <w:spacing w:line="267" w:lineRule="exact"/>
              <w:ind w:left="535"/>
              <w:rPr>
                <w:sz w:val="24"/>
              </w:rPr>
            </w:pPr>
            <w:r>
              <w:rPr>
                <w:sz w:val="24"/>
              </w:rPr>
              <w:t>25,398</w:t>
            </w:r>
          </w:p>
          <w:p w:rsidR="00952305" w:rsidRDefault="00952305" w14:paraId="64628F5D" w14:textId="77777777">
            <w:pPr>
              <w:pStyle w:val="TableParagraph"/>
              <w:spacing w:before="5"/>
            </w:pPr>
          </w:p>
          <w:p w:rsidR="00952305" w:rsidRDefault="00815728" w14:paraId="3422DC9F" w14:textId="77777777">
            <w:pPr>
              <w:pStyle w:val="TableParagraph"/>
              <w:ind w:left="595"/>
              <w:rPr>
                <w:sz w:val="24"/>
              </w:rPr>
            </w:pPr>
            <w:r>
              <w:rPr>
                <w:sz w:val="24"/>
              </w:rPr>
              <w:t>7,143</w:t>
            </w:r>
          </w:p>
        </w:tc>
        <w:tc>
          <w:tcPr>
            <w:tcW w:w="1889" w:type="dxa"/>
          </w:tcPr>
          <w:p w:rsidR="00952305" w:rsidRDefault="00815728" w14:paraId="38768093" w14:textId="77777777">
            <w:pPr>
              <w:pStyle w:val="TableParagraph"/>
              <w:spacing w:line="267" w:lineRule="exact"/>
              <w:ind w:left="356"/>
              <w:rPr>
                <w:sz w:val="24"/>
              </w:rPr>
            </w:pPr>
            <w:r>
              <w:rPr>
                <w:sz w:val="24"/>
              </w:rPr>
              <w:t>$844,737.48</w:t>
            </w:r>
          </w:p>
          <w:p w:rsidR="00952305" w:rsidRDefault="00952305" w14:paraId="352F65D0" w14:textId="77777777">
            <w:pPr>
              <w:pStyle w:val="TableParagraph"/>
              <w:spacing w:before="5"/>
            </w:pPr>
          </w:p>
          <w:p w:rsidR="00952305" w:rsidRDefault="00815728" w14:paraId="7661B14E" w14:textId="77777777">
            <w:pPr>
              <w:pStyle w:val="TableParagraph"/>
              <w:ind w:left="356"/>
              <w:rPr>
                <w:sz w:val="24"/>
              </w:rPr>
            </w:pPr>
            <w:r>
              <w:rPr>
                <w:sz w:val="24"/>
              </w:rPr>
              <w:t>$237,576.18</w:t>
            </w:r>
          </w:p>
        </w:tc>
      </w:tr>
      <w:tr w:rsidR="00952305" w14:paraId="3B38649D" w14:textId="77777777">
        <w:trPr>
          <w:trHeight w:val="899"/>
        </w:trPr>
        <w:tc>
          <w:tcPr>
            <w:tcW w:w="1904" w:type="dxa"/>
          </w:tcPr>
          <w:p w:rsidR="00952305" w:rsidRDefault="00815728" w14:paraId="3B5BAE55" w14:textId="77777777">
            <w:pPr>
              <w:pStyle w:val="TableParagraph"/>
              <w:spacing w:line="232" w:lineRule="auto"/>
              <w:ind w:left="107" w:right="358"/>
              <w:rPr>
                <w:sz w:val="24"/>
              </w:rPr>
            </w:pPr>
            <w:r>
              <w:rPr>
                <w:sz w:val="24"/>
              </w:rPr>
              <w:t>Prior Authorization- Education</w:t>
            </w:r>
          </w:p>
        </w:tc>
        <w:tc>
          <w:tcPr>
            <w:tcW w:w="2516" w:type="dxa"/>
          </w:tcPr>
          <w:p w:rsidR="00952305" w:rsidRDefault="00815728" w14:paraId="473BB591" w14:textId="77777777">
            <w:pPr>
              <w:pStyle w:val="TableParagraph"/>
              <w:spacing w:line="254" w:lineRule="exact"/>
              <w:ind w:left="5"/>
              <w:rPr>
                <w:sz w:val="24"/>
              </w:rPr>
            </w:pPr>
            <w:r>
              <w:rPr>
                <w:sz w:val="24"/>
              </w:rPr>
              <w:t>Ambulance</w:t>
            </w:r>
          </w:p>
          <w:p w:rsidR="00952305" w:rsidP="003829C5" w:rsidRDefault="00815728" w14:paraId="58B1487A" w14:textId="77777777">
            <w:pPr>
              <w:pStyle w:val="TableParagraph"/>
              <w:tabs>
                <w:tab w:val="left" w:pos="1812"/>
              </w:tabs>
              <w:spacing w:line="279" w:lineRule="exact"/>
              <w:ind w:left="5"/>
              <w:rPr>
                <w:sz w:val="16"/>
              </w:rPr>
            </w:pPr>
            <w:r>
              <w:rPr>
                <w:sz w:val="24"/>
              </w:rPr>
              <w:t>Suppliers</w:t>
            </w:r>
            <w:r>
              <w:rPr>
                <w:sz w:val="24"/>
              </w:rPr>
              <w:tab/>
              <w:t>1,745</w:t>
            </w:r>
            <w:r w:rsidR="003829C5">
              <w:rPr>
                <w:rStyle w:val="FootnoteReference"/>
                <w:sz w:val="24"/>
              </w:rPr>
              <w:footnoteReference w:id="3"/>
            </w:r>
          </w:p>
        </w:tc>
        <w:tc>
          <w:tcPr>
            <w:tcW w:w="1413" w:type="dxa"/>
          </w:tcPr>
          <w:p w:rsidR="00952305" w:rsidRDefault="00952305" w14:paraId="24365121" w14:textId="77777777">
            <w:pPr>
              <w:pStyle w:val="TableParagraph"/>
              <w:spacing w:before="3"/>
            </w:pPr>
          </w:p>
          <w:p w:rsidR="00952305" w:rsidRDefault="00815728" w14:paraId="52D32C8A" w14:textId="77777777">
            <w:pPr>
              <w:pStyle w:val="TableParagraph"/>
              <w:spacing w:before="1"/>
              <w:ind w:left="31"/>
              <w:jc w:val="center"/>
              <w:rPr>
                <w:sz w:val="24"/>
              </w:rPr>
            </w:pPr>
            <w:r>
              <w:rPr>
                <w:sz w:val="24"/>
              </w:rPr>
              <w:t>3</w:t>
            </w:r>
          </w:p>
        </w:tc>
        <w:tc>
          <w:tcPr>
            <w:tcW w:w="1709" w:type="dxa"/>
          </w:tcPr>
          <w:p w:rsidR="00952305" w:rsidRDefault="00952305" w14:paraId="0A6083E7" w14:textId="77777777">
            <w:pPr>
              <w:pStyle w:val="TableParagraph"/>
              <w:spacing w:before="3"/>
            </w:pPr>
          </w:p>
          <w:p w:rsidR="00952305" w:rsidRDefault="00815728" w14:paraId="33B0D942" w14:textId="77777777">
            <w:pPr>
              <w:pStyle w:val="TableParagraph"/>
              <w:spacing w:before="1"/>
              <w:ind w:left="595"/>
              <w:rPr>
                <w:sz w:val="24"/>
              </w:rPr>
            </w:pPr>
            <w:r>
              <w:rPr>
                <w:sz w:val="24"/>
              </w:rPr>
              <w:t>5,235</w:t>
            </w:r>
          </w:p>
        </w:tc>
        <w:tc>
          <w:tcPr>
            <w:tcW w:w="1889" w:type="dxa"/>
          </w:tcPr>
          <w:p w:rsidR="00952305" w:rsidRDefault="00952305" w14:paraId="228B967D" w14:textId="77777777">
            <w:pPr>
              <w:pStyle w:val="TableParagraph"/>
              <w:spacing w:before="3"/>
            </w:pPr>
          </w:p>
          <w:p w:rsidR="00952305" w:rsidRDefault="00815728" w14:paraId="60190742" w14:textId="77777777">
            <w:pPr>
              <w:pStyle w:val="TableParagraph"/>
              <w:spacing w:before="1"/>
              <w:ind w:left="356"/>
              <w:rPr>
                <w:sz w:val="24"/>
              </w:rPr>
            </w:pPr>
            <w:r>
              <w:rPr>
                <w:sz w:val="24"/>
              </w:rPr>
              <w:t>$174,116.10</w:t>
            </w:r>
          </w:p>
        </w:tc>
      </w:tr>
    </w:tbl>
    <w:p w:rsidR="003829C5" w:rsidP="003829C5" w:rsidRDefault="003829C5" w14:paraId="7D78BB9D" w14:textId="77777777">
      <w:pPr>
        <w:pStyle w:val="BodyText"/>
        <w:rPr>
          <w:sz w:val="29"/>
        </w:rPr>
      </w:pPr>
    </w:p>
    <w:tbl>
      <w:tblPr>
        <w:tblW w:w="0" w:type="auto"/>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04"/>
        <w:gridCol w:w="2516"/>
        <w:gridCol w:w="1413"/>
        <w:gridCol w:w="1709"/>
        <w:gridCol w:w="1889"/>
      </w:tblGrid>
      <w:tr w:rsidR="00952305" w14:paraId="3D3E4006" w14:textId="77777777">
        <w:trPr>
          <w:trHeight w:val="903"/>
        </w:trPr>
        <w:tc>
          <w:tcPr>
            <w:tcW w:w="1904" w:type="dxa"/>
          </w:tcPr>
          <w:p w:rsidR="00952305" w:rsidRDefault="00815728" w14:paraId="1BC27B69" w14:textId="77777777">
            <w:pPr>
              <w:pStyle w:val="TableParagraph"/>
              <w:spacing w:line="232" w:lineRule="auto"/>
              <w:ind w:left="107" w:right="327"/>
              <w:rPr>
                <w:b/>
                <w:sz w:val="24"/>
              </w:rPr>
            </w:pPr>
            <w:bookmarkStart w:name="_bookmark3" w:id="9"/>
            <w:bookmarkEnd w:id="9"/>
            <w:r>
              <w:rPr>
                <w:b/>
                <w:sz w:val="24"/>
              </w:rPr>
              <w:t>Prior Authorization Total</w:t>
            </w:r>
          </w:p>
        </w:tc>
        <w:tc>
          <w:tcPr>
            <w:tcW w:w="2516" w:type="dxa"/>
          </w:tcPr>
          <w:p w:rsidR="00952305" w:rsidRDefault="00952305" w14:paraId="0F052AE9" w14:textId="77777777">
            <w:pPr>
              <w:pStyle w:val="TableParagraph"/>
              <w:rPr>
                <w:sz w:val="24"/>
              </w:rPr>
            </w:pPr>
          </w:p>
        </w:tc>
        <w:tc>
          <w:tcPr>
            <w:tcW w:w="1413" w:type="dxa"/>
          </w:tcPr>
          <w:p w:rsidR="00952305" w:rsidRDefault="00952305" w14:paraId="544BF639" w14:textId="77777777">
            <w:pPr>
              <w:pStyle w:val="TableParagraph"/>
              <w:rPr>
                <w:sz w:val="24"/>
              </w:rPr>
            </w:pPr>
          </w:p>
        </w:tc>
        <w:tc>
          <w:tcPr>
            <w:tcW w:w="1709" w:type="dxa"/>
          </w:tcPr>
          <w:p w:rsidR="00952305" w:rsidRDefault="00815728" w14:paraId="0131D0C9" w14:textId="77777777">
            <w:pPr>
              <w:pStyle w:val="TableParagraph"/>
              <w:spacing w:line="267" w:lineRule="exact"/>
              <w:ind w:left="425"/>
              <w:rPr>
                <w:b/>
                <w:sz w:val="24"/>
              </w:rPr>
            </w:pPr>
            <w:r>
              <w:rPr>
                <w:b/>
                <w:sz w:val="24"/>
              </w:rPr>
              <w:t>113,706</w:t>
            </w:r>
          </w:p>
        </w:tc>
        <w:tc>
          <w:tcPr>
            <w:tcW w:w="1889" w:type="dxa"/>
          </w:tcPr>
          <w:p w:rsidR="00952305" w:rsidRDefault="00815728" w14:paraId="6F236DF5" w14:textId="77777777">
            <w:pPr>
              <w:pStyle w:val="TableParagraph"/>
              <w:spacing w:line="267" w:lineRule="exact"/>
              <w:ind w:left="236"/>
              <w:rPr>
                <w:b/>
                <w:sz w:val="24"/>
              </w:rPr>
            </w:pPr>
            <w:r>
              <w:rPr>
                <w:b/>
                <w:sz w:val="24"/>
              </w:rPr>
              <w:t>$ 3,781,844.93</w:t>
            </w:r>
          </w:p>
        </w:tc>
      </w:tr>
    </w:tbl>
    <w:p w:rsidR="00952305" w:rsidRDefault="00952305" w14:paraId="182AFA7A" w14:textId="77777777">
      <w:pPr>
        <w:pStyle w:val="BodyText"/>
        <w:spacing w:before="10"/>
        <w:rPr>
          <w:sz w:val="12"/>
        </w:rPr>
      </w:pPr>
    </w:p>
    <w:p w:rsidR="00952305" w:rsidRDefault="00815728" w14:paraId="43D7DB0F" w14:textId="77777777">
      <w:pPr>
        <w:pStyle w:val="BodyText"/>
        <w:spacing w:before="90"/>
        <w:ind w:left="120" w:right="439"/>
      </w:pPr>
      <w:r>
        <w:rPr>
          <w:spacing w:val="-5"/>
        </w:rPr>
        <w:t xml:space="preserve">The above </w:t>
      </w:r>
      <w:r>
        <w:rPr>
          <w:spacing w:val="-6"/>
        </w:rPr>
        <w:t xml:space="preserve">estimate </w:t>
      </w:r>
      <w:r>
        <w:rPr>
          <w:spacing w:val="-5"/>
        </w:rPr>
        <w:t xml:space="preserve">cost </w:t>
      </w:r>
      <w:r>
        <w:rPr>
          <w:spacing w:val="-3"/>
        </w:rPr>
        <w:t xml:space="preserve">of </w:t>
      </w:r>
      <w:r>
        <w:rPr>
          <w:spacing w:val="-5"/>
        </w:rPr>
        <w:t xml:space="preserve">$3.78 </w:t>
      </w:r>
      <w:r>
        <w:rPr>
          <w:spacing w:val="-6"/>
        </w:rPr>
        <w:t xml:space="preserve">million </w:t>
      </w:r>
      <w:r>
        <w:rPr>
          <w:spacing w:val="-5"/>
        </w:rPr>
        <w:t xml:space="preserve">is </w:t>
      </w:r>
      <w:r>
        <w:t xml:space="preserve">for </w:t>
      </w:r>
      <w:r>
        <w:rPr>
          <w:spacing w:val="-3"/>
        </w:rPr>
        <w:t xml:space="preserve">the </w:t>
      </w:r>
      <w:r>
        <w:rPr>
          <w:spacing w:val="-6"/>
        </w:rPr>
        <w:t xml:space="preserve">second </w:t>
      </w:r>
      <w:r>
        <w:rPr>
          <w:spacing w:val="-5"/>
        </w:rPr>
        <w:t xml:space="preserve">year </w:t>
      </w:r>
      <w:r>
        <w:rPr>
          <w:spacing w:val="-3"/>
        </w:rPr>
        <w:t xml:space="preserve">of </w:t>
      </w:r>
      <w:r>
        <w:t xml:space="preserve">a </w:t>
      </w:r>
      <w:r>
        <w:rPr>
          <w:spacing w:val="-6"/>
        </w:rPr>
        <w:t xml:space="preserve">national model. </w:t>
      </w:r>
      <w:r>
        <w:rPr>
          <w:spacing w:val="-5"/>
        </w:rPr>
        <w:t xml:space="preserve">Due </w:t>
      </w:r>
      <w:r>
        <w:rPr>
          <w:spacing w:val="-3"/>
        </w:rPr>
        <w:t xml:space="preserve">to </w:t>
      </w:r>
      <w:r>
        <w:t xml:space="preserve">a </w:t>
      </w:r>
      <w:r>
        <w:rPr>
          <w:spacing w:val="-6"/>
        </w:rPr>
        <w:t xml:space="preserve">proposed staggered implementation, </w:t>
      </w:r>
      <w:r>
        <w:rPr>
          <w:spacing w:val="-5"/>
        </w:rPr>
        <w:t xml:space="preserve">year two </w:t>
      </w:r>
      <w:r>
        <w:rPr>
          <w:spacing w:val="-6"/>
        </w:rPr>
        <w:t xml:space="preserve">would </w:t>
      </w:r>
      <w:r>
        <w:rPr>
          <w:spacing w:val="-3"/>
        </w:rPr>
        <w:t xml:space="preserve">be </w:t>
      </w:r>
      <w:r>
        <w:rPr>
          <w:spacing w:val="-4"/>
        </w:rPr>
        <w:t xml:space="preserve">the </w:t>
      </w:r>
      <w:r>
        <w:rPr>
          <w:spacing w:val="-6"/>
        </w:rPr>
        <w:t xml:space="preserve">first </w:t>
      </w:r>
      <w:r>
        <w:rPr>
          <w:spacing w:val="-5"/>
        </w:rPr>
        <w:t xml:space="preserve">full year </w:t>
      </w:r>
      <w:r>
        <w:rPr>
          <w:spacing w:val="-3"/>
        </w:rPr>
        <w:t xml:space="preserve">of </w:t>
      </w:r>
      <w:r>
        <w:rPr>
          <w:spacing w:val="-6"/>
        </w:rPr>
        <w:t xml:space="preserve">participation </w:t>
      </w:r>
      <w:r>
        <w:rPr>
          <w:spacing w:val="-5"/>
        </w:rPr>
        <w:t xml:space="preserve">for all </w:t>
      </w:r>
      <w:r>
        <w:rPr>
          <w:spacing w:val="-6"/>
        </w:rPr>
        <w:t xml:space="preserve">states. </w:t>
      </w:r>
      <w:r>
        <w:t xml:space="preserve">We expect the year 1 burden to be less than </w:t>
      </w:r>
      <w:r>
        <w:rPr>
          <w:spacing w:val="-6"/>
        </w:rPr>
        <w:t xml:space="preserve">the </w:t>
      </w:r>
      <w:r>
        <w:rPr>
          <w:spacing w:val="-8"/>
        </w:rPr>
        <w:t xml:space="preserve">subsequent </w:t>
      </w:r>
      <w:r>
        <w:rPr>
          <w:spacing w:val="-7"/>
        </w:rPr>
        <w:t xml:space="preserve">years. </w:t>
      </w:r>
      <w:r>
        <w:t>This impact is allocated across ambulance suppliers nationally.</w:t>
      </w:r>
    </w:p>
    <w:p w:rsidR="003829C5" w:rsidRDefault="003829C5" w14:paraId="4AFBA5E4" w14:textId="77777777">
      <w:pPr>
        <w:pStyle w:val="BodyText"/>
        <w:spacing w:before="90"/>
        <w:ind w:left="120" w:right="439"/>
      </w:pPr>
    </w:p>
    <w:p w:rsidR="003829C5" w:rsidRDefault="003829C5" w14:paraId="3317F4B2" w14:textId="77777777">
      <w:pPr>
        <w:pStyle w:val="BodyText"/>
        <w:spacing w:before="90"/>
        <w:ind w:left="120" w:right="439"/>
      </w:pPr>
    </w:p>
    <w:p w:rsidR="003829C5" w:rsidRDefault="003829C5" w14:paraId="3913147A" w14:textId="77777777">
      <w:pPr>
        <w:pStyle w:val="BodyText"/>
        <w:spacing w:before="90"/>
        <w:ind w:left="120" w:right="439"/>
      </w:pPr>
    </w:p>
    <w:p w:rsidR="003829C5" w:rsidRDefault="003829C5" w14:paraId="2C054E8F" w14:textId="77777777">
      <w:pPr>
        <w:pStyle w:val="BodyText"/>
        <w:spacing w:before="90"/>
        <w:ind w:left="120" w:right="439"/>
      </w:pPr>
    </w:p>
    <w:p w:rsidR="003829C5" w:rsidRDefault="003829C5" w14:paraId="62A38D4D" w14:textId="77777777">
      <w:pPr>
        <w:pStyle w:val="BodyText"/>
        <w:spacing w:before="90"/>
        <w:ind w:left="120" w:right="439"/>
      </w:pPr>
    </w:p>
    <w:p w:rsidR="00952305" w:rsidRDefault="00952305" w14:paraId="3770BC82" w14:textId="77777777">
      <w:pPr>
        <w:pStyle w:val="BodyText"/>
      </w:pPr>
    </w:p>
    <w:p w:rsidR="00952305" w:rsidRDefault="00815728" w14:paraId="7AFC9287" w14:textId="77777777">
      <w:pPr>
        <w:pStyle w:val="ListParagraph"/>
        <w:numPr>
          <w:ilvl w:val="0"/>
          <w:numId w:val="1"/>
        </w:numPr>
        <w:tabs>
          <w:tab w:val="left" w:pos="656"/>
          <w:tab w:val="left" w:pos="657"/>
        </w:tabs>
        <w:ind w:left="656" w:hanging="536"/>
        <w:rPr>
          <w:sz w:val="24"/>
        </w:rPr>
      </w:pPr>
      <w:r>
        <w:rPr>
          <w:spacing w:val="-7"/>
          <w:sz w:val="24"/>
          <w:u w:val="single"/>
        </w:rPr>
        <w:t>Capital</w:t>
      </w:r>
      <w:r>
        <w:rPr>
          <w:spacing w:val="-17"/>
          <w:sz w:val="24"/>
          <w:u w:val="single"/>
        </w:rPr>
        <w:t xml:space="preserve"> </w:t>
      </w:r>
      <w:r>
        <w:rPr>
          <w:sz w:val="24"/>
          <w:u w:val="single"/>
        </w:rPr>
        <w:t>Costs</w:t>
      </w:r>
    </w:p>
    <w:p w:rsidR="00952305" w:rsidRDefault="00952305" w14:paraId="468E33F0" w14:textId="77777777">
      <w:pPr>
        <w:pStyle w:val="BodyText"/>
        <w:spacing w:before="2"/>
        <w:rPr>
          <w:sz w:val="16"/>
        </w:rPr>
      </w:pPr>
    </w:p>
    <w:p w:rsidR="00952305" w:rsidRDefault="00815728" w14:paraId="586B516F" w14:textId="77777777">
      <w:pPr>
        <w:pStyle w:val="BodyText"/>
        <w:spacing w:before="90"/>
        <w:ind w:left="119" w:right="135"/>
      </w:pPr>
      <w:bookmarkStart w:name="_bookmark4" w:id="10"/>
      <w:bookmarkEnd w:id="10"/>
      <w:r>
        <w:t xml:space="preserve">CMS </w:t>
      </w:r>
      <w:r>
        <w:rPr>
          <w:spacing w:val="-4"/>
        </w:rPr>
        <w:t xml:space="preserve">estimates </w:t>
      </w:r>
      <w:r>
        <w:rPr>
          <w:spacing w:val="-3"/>
        </w:rPr>
        <w:t xml:space="preserve">the </w:t>
      </w:r>
      <w:r>
        <w:t xml:space="preserve">cost </w:t>
      </w:r>
      <w:r>
        <w:rPr>
          <w:spacing w:val="-3"/>
        </w:rPr>
        <w:t xml:space="preserve">of </w:t>
      </w:r>
      <w:r>
        <w:rPr>
          <w:spacing w:val="-10"/>
        </w:rPr>
        <w:t xml:space="preserve">mailing </w:t>
      </w:r>
      <w:r>
        <w:rPr>
          <w:spacing w:val="-5"/>
        </w:rPr>
        <w:t xml:space="preserve">medical </w:t>
      </w:r>
      <w:r>
        <w:t xml:space="preserve">records to be </w:t>
      </w:r>
      <w:r>
        <w:rPr>
          <w:spacing w:val="-3"/>
        </w:rPr>
        <w:t xml:space="preserve">$5. </w:t>
      </w:r>
      <w:r>
        <w:t xml:space="preserve">CMS offers esMD to ambulance </w:t>
      </w:r>
      <w:r>
        <w:rPr>
          <w:spacing w:val="-6"/>
        </w:rPr>
        <w:t xml:space="preserve">suppliers </w:t>
      </w:r>
      <w:r>
        <w:t xml:space="preserve">who </w:t>
      </w:r>
      <w:r>
        <w:rPr>
          <w:spacing w:val="-4"/>
        </w:rPr>
        <w:t xml:space="preserve">wish </w:t>
      </w:r>
      <w:r>
        <w:t xml:space="preserve">to use an electronic </w:t>
      </w:r>
      <w:r>
        <w:rPr>
          <w:spacing w:val="-5"/>
        </w:rPr>
        <w:t xml:space="preserve">alternative </w:t>
      </w:r>
      <w:r>
        <w:rPr>
          <w:spacing w:val="-3"/>
        </w:rPr>
        <w:t xml:space="preserve">for </w:t>
      </w:r>
      <w:r>
        <w:rPr>
          <w:spacing w:val="-6"/>
        </w:rPr>
        <w:t xml:space="preserve">sending </w:t>
      </w:r>
      <w:r>
        <w:rPr>
          <w:spacing w:val="-5"/>
        </w:rPr>
        <w:t xml:space="preserve">in medical documents. </w:t>
      </w:r>
      <w:r>
        <w:rPr>
          <w:spacing w:val="-7"/>
        </w:rPr>
        <w:t xml:space="preserve">Additional information </w:t>
      </w:r>
      <w:r>
        <w:t xml:space="preserve">on esMD can </w:t>
      </w:r>
      <w:r>
        <w:rPr>
          <w:spacing w:val="-3"/>
        </w:rPr>
        <w:t xml:space="preserve">be </w:t>
      </w:r>
      <w:r>
        <w:rPr>
          <w:spacing w:val="-5"/>
        </w:rPr>
        <w:t xml:space="preserve">found </w:t>
      </w:r>
      <w:r>
        <w:t>a</w:t>
      </w:r>
      <w:hyperlink r:id="rId19">
        <w:r>
          <w:t xml:space="preserve">t </w:t>
        </w:r>
      </w:hyperlink>
      <w:hyperlink r:id="rId20">
        <w:r>
          <w:rPr>
            <w:color w:val="0000FF"/>
            <w:u w:val="single" w:color="0000FF"/>
          </w:rPr>
          <w:t>www.cms.gov/esMD</w:t>
        </w:r>
      </w:hyperlink>
      <w:r>
        <w:t xml:space="preserve">. </w:t>
      </w:r>
      <w:r>
        <w:rPr>
          <w:spacing w:val="-8"/>
        </w:rPr>
        <w:t xml:space="preserve">Some </w:t>
      </w:r>
      <w:r>
        <w:rPr>
          <w:spacing w:val="-5"/>
        </w:rPr>
        <w:t xml:space="preserve">of </w:t>
      </w:r>
      <w:r>
        <w:rPr>
          <w:spacing w:val="-6"/>
        </w:rPr>
        <w:t xml:space="preserve">the </w:t>
      </w:r>
      <w:r>
        <w:rPr>
          <w:spacing w:val="-4"/>
        </w:rPr>
        <w:t xml:space="preserve">MACs also provide </w:t>
      </w:r>
      <w:r>
        <w:t xml:space="preserve">an </w:t>
      </w:r>
      <w:r>
        <w:rPr>
          <w:spacing w:val="-5"/>
        </w:rPr>
        <w:t xml:space="preserve">electronic </w:t>
      </w:r>
      <w:r>
        <w:rPr>
          <w:spacing w:val="-4"/>
        </w:rPr>
        <w:t xml:space="preserve">portal for ambulance suppliers </w:t>
      </w:r>
      <w:r>
        <w:rPr>
          <w:spacing w:val="-3"/>
        </w:rPr>
        <w:t xml:space="preserve">to </w:t>
      </w:r>
      <w:r>
        <w:rPr>
          <w:spacing w:val="-4"/>
        </w:rPr>
        <w:t xml:space="preserve">submit their </w:t>
      </w:r>
      <w:r>
        <w:rPr>
          <w:spacing w:val="-5"/>
        </w:rPr>
        <w:t xml:space="preserve">documentation. </w:t>
      </w:r>
      <w:r>
        <w:t>Based on calendar year 2017 data, CMS estimates that under such a national model, at a minimum, there would be 50,796 initial prior authorization requests and responses to ADRs mailed during a year. In addition, CMS estimates there would be 14,286 resubmissions requests mailed following a non-affirmed decision. Therefore, the total mailing cost is estimated to be $325,410.</w:t>
      </w:r>
    </w:p>
    <w:p w:rsidR="00952305" w:rsidRDefault="00952305" w14:paraId="281FE199" w14:textId="77777777">
      <w:pPr>
        <w:pStyle w:val="BodyText"/>
        <w:spacing w:before="2"/>
      </w:pPr>
    </w:p>
    <w:tbl>
      <w:tblPr>
        <w:tblW w:w="0" w:type="auto"/>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94"/>
        <w:gridCol w:w="2790"/>
        <w:gridCol w:w="2250"/>
        <w:gridCol w:w="1710"/>
      </w:tblGrid>
      <w:tr w:rsidR="00952305" w14:paraId="06554357" w14:textId="77777777">
        <w:trPr>
          <w:trHeight w:val="903"/>
        </w:trPr>
        <w:tc>
          <w:tcPr>
            <w:tcW w:w="1694" w:type="dxa"/>
          </w:tcPr>
          <w:p w:rsidR="00952305" w:rsidRDefault="00815728" w14:paraId="6A1E6EFD" w14:textId="77777777">
            <w:pPr>
              <w:pStyle w:val="TableParagraph"/>
              <w:spacing w:line="267" w:lineRule="exact"/>
              <w:ind w:left="107"/>
              <w:rPr>
                <w:b/>
                <w:sz w:val="24"/>
              </w:rPr>
            </w:pPr>
            <w:r>
              <w:rPr>
                <w:b/>
                <w:sz w:val="24"/>
              </w:rPr>
              <w:t>Activity</w:t>
            </w:r>
          </w:p>
        </w:tc>
        <w:tc>
          <w:tcPr>
            <w:tcW w:w="2790" w:type="dxa"/>
          </w:tcPr>
          <w:p w:rsidR="00952305" w:rsidRDefault="00815728" w14:paraId="2C94D9E5" w14:textId="77777777">
            <w:pPr>
              <w:pStyle w:val="TableParagraph"/>
              <w:ind w:left="106" w:right="614"/>
              <w:rPr>
                <w:b/>
                <w:sz w:val="24"/>
              </w:rPr>
            </w:pPr>
            <w:r>
              <w:rPr>
                <w:b/>
                <w:sz w:val="24"/>
              </w:rPr>
              <w:t>Responses Per Year (i.e. number of reviewed claims)</w:t>
            </w:r>
          </w:p>
        </w:tc>
        <w:tc>
          <w:tcPr>
            <w:tcW w:w="2250" w:type="dxa"/>
          </w:tcPr>
          <w:p w:rsidR="00952305" w:rsidRDefault="00815728" w14:paraId="6577F4F0" w14:textId="77777777">
            <w:pPr>
              <w:pStyle w:val="TableParagraph"/>
              <w:ind w:left="106" w:right="141"/>
              <w:rPr>
                <w:b/>
                <w:sz w:val="24"/>
              </w:rPr>
            </w:pPr>
            <w:r>
              <w:rPr>
                <w:b/>
                <w:sz w:val="24"/>
              </w:rPr>
              <w:t>Time Per Response (hours) or Dollar Cost</w:t>
            </w:r>
          </w:p>
        </w:tc>
        <w:tc>
          <w:tcPr>
            <w:tcW w:w="1710" w:type="dxa"/>
          </w:tcPr>
          <w:p w:rsidR="00952305" w:rsidRDefault="00815728" w14:paraId="45FC97B8" w14:textId="77777777">
            <w:pPr>
              <w:pStyle w:val="TableParagraph"/>
              <w:ind w:left="106" w:right="407"/>
              <w:rPr>
                <w:b/>
                <w:sz w:val="24"/>
              </w:rPr>
            </w:pPr>
            <w:r>
              <w:rPr>
                <w:b/>
                <w:sz w:val="24"/>
              </w:rPr>
              <w:t>Total Costs Per Year</w:t>
            </w:r>
          </w:p>
        </w:tc>
      </w:tr>
      <w:tr w:rsidR="00952305" w14:paraId="1BBAAD72" w14:textId="77777777">
        <w:trPr>
          <w:trHeight w:val="435"/>
        </w:trPr>
        <w:tc>
          <w:tcPr>
            <w:tcW w:w="1694" w:type="dxa"/>
          </w:tcPr>
          <w:p w:rsidR="00952305" w:rsidRDefault="00815728" w14:paraId="10051DC0" w14:textId="77777777">
            <w:pPr>
              <w:pStyle w:val="TableParagraph"/>
              <w:spacing w:before="77"/>
              <w:ind w:left="107"/>
              <w:rPr>
                <w:sz w:val="24"/>
              </w:rPr>
            </w:pPr>
            <w:r>
              <w:rPr>
                <w:sz w:val="24"/>
              </w:rPr>
              <w:t>Mailing Costs</w:t>
            </w:r>
          </w:p>
        </w:tc>
        <w:tc>
          <w:tcPr>
            <w:tcW w:w="2790" w:type="dxa"/>
          </w:tcPr>
          <w:p w:rsidR="00952305" w:rsidRDefault="00815728" w14:paraId="2F530A9E" w14:textId="77777777">
            <w:pPr>
              <w:pStyle w:val="TableParagraph"/>
              <w:spacing w:before="74"/>
              <w:ind w:left="5"/>
              <w:rPr>
                <w:sz w:val="24"/>
              </w:rPr>
            </w:pPr>
            <w:r>
              <w:rPr>
                <w:sz w:val="24"/>
              </w:rPr>
              <w:t>Total Submissions 65,082</w:t>
            </w:r>
          </w:p>
        </w:tc>
        <w:tc>
          <w:tcPr>
            <w:tcW w:w="2250" w:type="dxa"/>
          </w:tcPr>
          <w:p w:rsidR="00952305" w:rsidRDefault="00815728" w14:paraId="1FCB2E43" w14:textId="77777777">
            <w:pPr>
              <w:pStyle w:val="TableParagraph"/>
              <w:spacing w:before="74"/>
              <w:ind w:left="106"/>
              <w:rPr>
                <w:sz w:val="24"/>
              </w:rPr>
            </w:pPr>
            <w:r>
              <w:rPr>
                <w:sz w:val="24"/>
              </w:rPr>
              <w:t>$5</w:t>
            </w:r>
          </w:p>
        </w:tc>
        <w:tc>
          <w:tcPr>
            <w:tcW w:w="1710" w:type="dxa"/>
          </w:tcPr>
          <w:p w:rsidR="00952305" w:rsidRDefault="00815728" w14:paraId="50BA722B" w14:textId="77777777">
            <w:pPr>
              <w:pStyle w:val="TableParagraph"/>
              <w:spacing w:before="74"/>
              <w:ind w:left="166"/>
              <w:rPr>
                <w:sz w:val="24"/>
              </w:rPr>
            </w:pPr>
            <w:r>
              <w:rPr>
                <w:sz w:val="24"/>
              </w:rPr>
              <w:t>$325,410</w:t>
            </w:r>
          </w:p>
        </w:tc>
      </w:tr>
    </w:tbl>
    <w:p w:rsidR="00952305" w:rsidRDefault="00952305" w14:paraId="639CAF60" w14:textId="77777777">
      <w:pPr>
        <w:pStyle w:val="BodyText"/>
        <w:spacing w:before="9"/>
        <w:rPr>
          <w:sz w:val="23"/>
        </w:rPr>
      </w:pPr>
    </w:p>
    <w:p w:rsidR="00952305" w:rsidRDefault="00815728" w14:paraId="0D00E23A" w14:textId="77777777">
      <w:pPr>
        <w:pStyle w:val="ListParagraph"/>
        <w:numPr>
          <w:ilvl w:val="0"/>
          <w:numId w:val="1"/>
        </w:numPr>
        <w:tabs>
          <w:tab w:val="left" w:pos="656"/>
          <w:tab w:val="left" w:pos="657"/>
        </w:tabs>
        <w:ind w:left="656" w:hanging="536"/>
        <w:rPr>
          <w:sz w:val="24"/>
        </w:rPr>
      </w:pPr>
      <w:r>
        <w:rPr>
          <w:sz w:val="24"/>
          <w:u w:val="single"/>
        </w:rPr>
        <w:t xml:space="preserve">Costs to </w:t>
      </w:r>
      <w:r>
        <w:rPr>
          <w:spacing w:val="-5"/>
          <w:sz w:val="24"/>
          <w:u w:val="single"/>
        </w:rPr>
        <w:t>Federal</w:t>
      </w:r>
      <w:r>
        <w:rPr>
          <w:spacing w:val="5"/>
          <w:sz w:val="24"/>
          <w:u w:val="single"/>
        </w:rPr>
        <w:t xml:space="preserve"> </w:t>
      </w:r>
      <w:r>
        <w:rPr>
          <w:spacing w:val="-5"/>
          <w:sz w:val="24"/>
          <w:u w:val="single"/>
        </w:rPr>
        <w:t>Government</w:t>
      </w:r>
    </w:p>
    <w:p w:rsidR="00952305" w:rsidRDefault="00952305" w14:paraId="75F37135" w14:textId="77777777">
      <w:pPr>
        <w:pStyle w:val="BodyText"/>
        <w:spacing w:before="2"/>
        <w:rPr>
          <w:sz w:val="16"/>
        </w:rPr>
      </w:pPr>
    </w:p>
    <w:p w:rsidR="00952305" w:rsidRDefault="00815728" w14:paraId="174AE98E" w14:textId="77777777">
      <w:pPr>
        <w:pStyle w:val="BodyText"/>
        <w:spacing w:before="90"/>
        <w:ind w:left="119" w:right="172"/>
      </w:pPr>
      <w:r>
        <w:t xml:space="preserve">CMS </w:t>
      </w:r>
      <w:r>
        <w:rPr>
          <w:spacing w:val="-4"/>
        </w:rPr>
        <w:t xml:space="preserve">estimates </w:t>
      </w:r>
      <w:r>
        <w:t xml:space="preserve">that </w:t>
      </w:r>
      <w:r>
        <w:rPr>
          <w:spacing w:val="-3"/>
        </w:rPr>
        <w:t xml:space="preserve">the </w:t>
      </w:r>
      <w:r>
        <w:t xml:space="preserve">costs associated </w:t>
      </w:r>
      <w:r>
        <w:rPr>
          <w:spacing w:val="-4"/>
        </w:rPr>
        <w:t xml:space="preserve">with </w:t>
      </w:r>
      <w:r>
        <w:rPr>
          <w:spacing w:val="-5"/>
        </w:rPr>
        <w:t xml:space="preserve">performing </w:t>
      </w:r>
      <w:r>
        <w:rPr>
          <w:spacing w:val="-7"/>
        </w:rPr>
        <w:t xml:space="preserve">reviews </w:t>
      </w:r>
      <w:r>
        <w:rPr>
          <w:spacing w:val="-3"/>
        </w:rPr>
        <w:t xml:space="preserve">of </w:t>
      </w:r>
      <w:r>
        <w:rPr>
          <w:spacing w:val="-7"/>
        </w:rPr>
        <w:t xml:space="preserve">repetitive, scheduled </w:t>
      </w:r>
      <w:r>
        <w:rPr>
          <w:spacing w:val="-8"/>
        </w:rPr>
        <w:t xml:space="preserve">non-emergent </w:t>
      </w:r>
      <w:r>
        <w:rPr>
          <w:spacing w:val="-7"/>
        </w:rPr>
        <w:t xml:space="preserve">ambulance transports </w:t>
      </w:r>
      <w:r>
        <w:rPr>
          <w:spacing w:val="-6"/>
        </w:rPr>
        <w:t xml:space="preserve">would </w:t>
      </w:r>
      <w:r>
        <w:t xml:space="preserve">be </w:t>
      </w:r>
      <w:r>
        <w:rPr>
          <w:spacing w:val="-5"/>
        </w:rPr>
        <w:t xml:space="preserve">approximately </w:t>
      </w:r>
      <w:r>
        <w:rPr>
          <w:spacing w:val="4"/>
        </w:rPr>
        <w:t xml:space="preserve">$39.1 </w:t>
      </w:r>
      <w:r>
        <w:rPr>
          <w:spacing w:val="-7"/>
        </w:rPr>
        <w:t xml:space="preserve">million </w:t>
      </w:r>
      <w:r>
        <w:rPr>
          <w:spacing w:val="-3"/>
        </w:rPr>
        <w:t xml:space="preserve">for the first year, </w:t>
      </w:r>
      <w:r>
        <w:t>dropping to $29.6 million per year in subsequent years.</w:t>
      </w:r>
    </w:p>
    <w:p w:rsidR="00952305" w:rsidRDefault="00952305" w14:paraId="2FEEA442" w14:textId="77777777">
      <w:pPr>
        <w:pStyle w:val="BodyText"/>
      </w:pPr>
    </w:p>
    <w:p w:rsidR="00952305" w:rsidRDefault="00815728" w14:paraId="7120503D" w14:textId="77777777">
      <w:pPr>
        <w:pStyle w:val="BodyText"/>
        <w:ind w:left="119" w:right="112"/>
      </w:pPr>
      <w:r>
        <w:rPr>
          <w:spacing w:val="-6"/>
        </w:rPr>
        <w:t xml:space="preserve">Historical claims </w:t>
      </w:r>
      <w:r>
        <w:rPr>
          <w:spacing w:val="-5"/>
        </w:rPr>
        <w:t xml:space="preserve">data was used </w:t>
      </w:r>
      <w:r>
        <w:rPr>
          <w:spacing w:val="-3"/>
        </w:rPr>
        <w:t xml:space="preserve">to </w:t>
      </w:r>
      <w:r>
        <w:rPr>
          <w:spacing w:val="-6"/>
        </w:rPr>
        <w:t xml:space="preserve">estimate </w:t>
      </w:r>
      <w:r>
        <w:rPr>
          <w:spacing w:val="-5"/>
        </w:rPr>
        <w:t xml:space="preserve">the </w:t>
      </w:r>
      <w:r>
        <w:rPr>
          <w:spacing w:val="-6"/>
        </w:rPr>
        <w:t xml:space="preserve">number </w:t>
      </w:r>
      <w:r>
        <w:rPr>
          <w:spacing w:val="-3"/>
        </w:rPr>
        <w:t xml:space="preserve">of </w:t>
      </w:r>
      <w:r>
        <w:rPr>
          <w:spacing w:val="-6"/>
        </w:rPr>
        <w:t xml:space="preserve">beneficiaries receiving repetitive, </w:t>
      </w:r>
      <w:r>
        <w:rPr>
          <w:spacing w:val="-7"/>
        </w:rPr>
        <w:t xml:space="preserve">scheduled </w:t>
      </w:r>
      <w:r>
        <w:rPr>
          <w:spacing w:val="-6"/>
        </w:rPr>
        <w:t xml:space="preserve">non-emergent ambulance transports </w:t>
      </w:r>
      <w:r>
        <w:rPr>
          <w:spacing w:val="-3"/>
        </w:rPr>
        <w:t xml:space="preserve">in </w:t>
      </w:r>
      <w:r>
        <w:t xml:space="preserve">a </w:t>
      </w:r>
      <w:r>
        <w:rPr>
          <w:spacing w:val="-5"/>
        </w:rPr>
        <w:t xml:space="preserve">year. Our cost </w:t>
      </w:r>
      <w:r>
        <w:rPr>
          <w:spacing w:val="-6"/>
        </w:rPr>
        <w:t xml:space="preserve">estimate </w:t>
      </w:r>
      <w:r>
        <w:rPr>
          <w:spacing w:val="-4"/>
        </w:rPr>
        <w:t xml:space="preserve">is </w:t>
      </w:r>
      <w:r>
        <w:rPr>
          <w:spacing w:val="-5"/>
        </w:rPr>
        <w:t xml:space="preserve">based </w:t>
      </w:r>
      <w:r>
        <w:rPr>
          <w:spacing w:val="-3"/>
        </w:rPr>
        <w:t xml:space="preserve">on </w:t>
      </w:r>
      <w:r>
        <w:rPr>
          <w:spacing w:val="-5"/>
        </w:rPr>
        <w:t xml:space="preserve">the </w:t>
      </w:r>
      <w:r>
        <w:rPr>
          <w:spacing w:val="-6"/>
        </w:rPr>
        <w:t xml:space="preserve">anticipated number </w:t>
      </w:r>
      <w:r>
        <w:rPr>
          <w:spacing w:val="-3"/>
        </w:rPr>
        <w:t xml:space="preserve">of </w:t>
      </w:r>
      <w:r>
        <w:rPr>
          <w:spacing w:val="-5"/>
        </w:rPr>
        <w:t>prior</w:t>
      </w:r>
      <w:r>
        <w:rPr>
          <w:spacing w:val="-11"/>
        </w:rPr>
        <w:t xml:space="preserve"> </w:t>
      </w:r>
      <w:r>
        <w:rPr>
          <w:spacing w:val="-6"/>
        </w:rPr>
        <w:t>authorization</w:t>
      </w:r>
      <w:r>
        <w:rPr>
          <w:spacing w:val="-12"/>
        </w:rPr>
        <w:t xml:space="preserve"> </w:t>
      </w:r>
      <w:r>
        <w:rPr>
          <w:spacing w:val="-6"/>
        </w:rPr>
        <w:t>requests,</w:t>
      </w:r>
      <w:r>
        <w:rPr>
          <w:spacing w:val="-10"/>
        </w:rPr>
        <w:t xml:space="preserve"> </w:t>
      </w:r>
      <w:r>
        <w:rPr>
          <w:spacing w:val="-5"/>
        </w:rPr>
        <w:t>both</w:t>
      </w:r>
      <w:r>
        <w:rPr>
          <w:spacing w:val="-12"/>
        </w:rPr>
        <w:t xml:space="preserve"> </w:t>
      </w:r>
      <w:r>
        <w:rPr>
          <w:spacing w:val="-6"/>
        </w:rPr>
        <w:t>initial</w:t>
      </w:r>
      <w:r>
        <w:rPr>
          <w:spacing w:val="-10"/>
        </w:rPr>
        <w:t xml:space="preserve"> </w:t>
      </w:r>
      <w:r>
        <w:rPr>
          <w:spacing w:val="-4"/>
        </w:rPr>
        <w:t>and</w:t>
      </w:r>
      <w:r>
        <w:rPr>
          <w:spacing w:val="-10"/>
        </w:rPr>
        <w:t xml:space="preserve"> </w:t>
      </w:r>
      <w:r>
        <w:rPr>
          <w:spacing w:val="-6"/>
        </w:rPr>
        <w:t>resubmissions,</w:t>
      </w:r>
      <w:r>
        <w:rPr>
          <w:spacing w:val="-12"/>
        </w:rPr>
        <w:t xml:space="preserve"> </w:t>
      </w:r>
      <w:r>
        <w:rPr>
          <w:spacing w:val="-5"/>
        </w:rPr>
        <w:t>that</w:t>
      </w:r>
      <w:r>
        <w:rPr>
          <w:spacing w:val="-11"/>
        </w:rPr>
        <w:t xml:space="preserve"> </w:t>
      </w:r>
      <w:r>
        <w:rPr>
          <w:spacing w:val="-5"/>
        </w:rPr>
        <w:t>would</w:t>
      </w:r>
      <w:r>
        <w:rPr>
          <w:spacing w:val="-11"/>
        </w:rPr>
        <w:t xml:space="preserve"> </w:t>
      </w:r>
      <w:r>
        <w:rPr>
          <w:spacing w:val="-3"/>
        </w:rPr>
        <w:t>be</w:t>
      </w:r>
      <w:r>
        <w:rPr>
          <w:spacing w:val="-10"/>
        </w:rPr>
        <w:t xml:space="preserve"> </w:t>
      </w:r>
      <w:r>
        <w:rPr>
          <w:spacing w:val="-6"/>
        </w:rPr>
        <w:t>submitted;</w:t>
      </w:r>
      <w:r>
        <w:rPr>
          <w:spacing w:val="-10"/>
        </w:rPr>
        <w:t xml:space="preserve"> </w:t>
      </w:r>
      <w:r>
        <w:rPr>
          <w:spacing w:val="-4"/>
        </w:rPr>
        <w:t>the</w:t>
      </w:r>
      <w:r>
        <w:rPr>
          <w:spacing w:val="-10"/>
        </w:rPr>
        <w:t xml:space="preserve"> </w:t>
      </w:r>
      <w:r>
        <w:rPr>
          <w:spacing w:val="-6"/>
        </w:rPr>
        <w:t>number</w:t>
      </w:r>
      <w:r>
        <w:rPr>
          <w:spacing w:val="-10"/>
        </w:rPr>
        <w:t xml:space="preserve"> </w:t>
      </w:r>
      <w:r>
        <w:rPr>
          <w:spacing w:val="-3"/>
        </w:rPr>
        <w:t>of</w:t>
      </w:r>
      <w:r>
        <w:rPr>
          <w:spacing w:val="-11"/>
        </w:rPr>
        <w:t xml:space="preserve"> </w:t>
      </w:r>
      <w:r>
        <w:rPr>
          <w:spacing w:val="-6"/>
        </w:rPr>
        <w:t xml:space="preserve">claims skipping prior authorization </w:t>
      </w:r>
      <w:r>
        <w:rPr>
          <w:spacing w:val="-5"/>
        </w:rPr>
        <w:t xml:space="preserve">that would </w:t>
      </w:r>
      <w:r>
        <w:rPr>
          <w:spacing w:val="-3"/>
        </w:rPr>
        <w:t xml:space="preserve">be </w:t>
      </w:r>
      <w:r>
        <w:rPr>
          <w:spacing w:val="-6"/>
        </w:rPr>
        <w:t xml:space="preserve">medically reviewed through </w:t>
      </w:r>
      <w:r>
        <w:rPr>
          <w:spacing w:val="-4"/>
        </w:rPr>
        <w:t xml:space="preserve">the </w:t>
      </w:r>
      <w:r>
        <w:rPr>
          <w:spacing w:val="-6"/>
        </w:rPr>
        <w:t xml:space="preserve">prepayment </w:t>
      </w:r>
      <w:r>
        <w:rPr>
          <w:spacing w:val="-5"/>
        </w:rPr>
        <w:t xml:space="preserve">review </w:t>
      </w:r>
      <w:r>
        <w:rPr>
          <w:spacing w:val="-6"/>
        </w:rPr>
        <w:t xml:space="preserve">process; </w:t>
      </w:r>
      <w:r>
        <w:rPr>
          <w:spacing w:val="-4"/>
        </w:rPr>
        <w:t xml:space="preserve">the </w:t>
      </w:r>
      <w:r>
        <w:rPr>
          <w:spacing w:val="-6"/>
        </w:rPr>
        <w:t xml:space="preserve">number </w:t>
      </w:r>
      <w:r>
        <w:rPr>
          <w:spacing w:val="-3"/>
        </w:rPr>
        <w:t xml:space="preserve">of </w:t>
      </w:r>
      <w:r>
        <w:rPr>
          <w:spacing w:val="-6"/>
        </w:rPr>
        <w:t xml:space="preserve">potential appeals; </w:t>
      </w:r>
      <w:r>
        <w:rPr>
          <w:spacing w:val="-4"/>
        </w:rPr>
        <w:t xml:space="preserve">and </w:t>
      </w:r>
      <w:r>
        <w:rPr>
          <w:spacing w:val="-5"/>
        </w:rPr>
        <w:t xml:space="preserve">the cost </w:t>
      </w:r>
      <w:r>
        <w:rPr>
          <w:spacing w:val="-3"/>
        </w:rPr>
        <w:t xml:space="preserve">of </w:t>
      </w:r>
      <w:r>
        <w:rPr>
          <w:spacing w:val="-6"/>
        </w:rPr>
        <w:t xml:space="preserve">outreach </w:t>
      </w:r>
      <w:r>
        <w:rPr>
          <w:spacing w:val="-4"/>
        </w:rPr>
        <w:t xml:space="preserve">and </w:t>
      </w:r>
      <w:r>
        <w:rPr>
          <w:spacing w:val="-6"/>
        </w:rPr>
        <w:t xml:space="preserve">education </w:t>
      </w:r>
      <w:r>
        <w:rPr>
          <w:spacing w:val="-3"/>
        </w:rPr>
        <w:t xml:space="preserve">to </w:t>
      </w:r>
      <w:r>
        <w:rPr>
          <w:spacing w:val="-6"/>
        </w:rPr>
        <w:t xml:space="preserve">ambulance suppliers, physicians, </w:t>
      </w:r>
      <w:r>
        <w:rPr>
          <w:spacing w:val="-5"/>
        </w:rPr>
        <w:t>and</w:t>
      </w:r>
      <w:r>
        <w:rPr>
          <w:spacing w:val="-18"/>
        </w:rPr>
        <w:t xml:space="preserve"> </w:t>
      </w:r>
      <w:r>
        <w:rPr>
          <w:spacing w:val="-6"/>
        </w:rPr>
        <w:t>beneficiaries.</w:t>
      </w:r>
    </w:p>
    <w:p w:rsidR="00952305" w:rsidRDefault="00952305" w14:paraId="7FB3334F" w14:textId="77777777">
      <w:pPr>
        <w:pStyle w:val="BodyText"/>
      </w:pPr>
    </w:p>
    <w:p w:rsidR="00952305" w:rsidRDefault="00815728" w14:paraId="18C46758" w14:textId="77777777">
      <w:pPr>
        <w:pStyle w:val="BodyText"/>
        <w:ind w:left="119" w:right="104"/>
      </w:pPr>
      <w:r>
        <w:rPr>
          <w:spacing w:val="-5"/>
        </w:rPr>
        <w:t xml:space="preserve">For </w:t>
      </w:r>
      <w:r>
        <w:rPr>
          <w:spacing w:val="-6"/>
        </w:rPr>
        <w:t xml:space="preserve">subsequent </w:t>
      </w:r>
      <w:r>
        <w:rPr>
          <w:spacing w:val="-5"/>
        </w:rPr>
        <w:t xml:space="preserve">years, </w:t>
      </w:r>
      <w:r>
        <w:rPr>
          <w:spacing w:val="-4"/>
        </w:rPr>
        <w:t xml:space="preserve">we </w:t>
      </w:r>
      <w:r>
        <w:rPr>
          <w:spacing w:val="-6"/>
        </w:rPr>
        <w:t xml:space="preserve">estimate </w:t>
      </w:r>
      <w:r>
        <w:rPr>
          <w:spacing w:val="-4"/>
        </w:rPr>
        <w:t xml:space="preserve">the </w:t>
      </w:r>
      <w:r>
        <w:rPr>
          <w:spacing w:val="-5"/>
        </w:rPr>
        <w:t xml:space="preserve">cost would </w:t>
      </w:r>
      <w:r>
        <w:rPr>
          <w:spacing w:val="-6"/>
        </w:rPr>
        <w:t xml:space="preserve">decrease approximately </w:t>
      </w:r>
      <w:r>
        <w:rPr>
          <w:spacing w:val="-5"/>
        </w:rPr>
        <w:t xml:space="preserve">$9.5 </w:t>
      </w:r>
      <w:r>
        <w:rPr>
          <w:spacing w:val="-6"/>
        </w:rPr>
        <w:t xml:space="preserve">million from </w:t>
      </w:r>
      <w:r>
        <w:rPr>
          <w:spacing w:val="-4"/>
        </w:rPr>
        <w:t xml:space="preserve">the </w:t>
      </w:r>
      <w:r>
        <w:rPr>
          <w:spacing w:val="-6"/>
        </w:rPr>
        <w:t xml:space="preserve">initial </w:t>
      </w:r>
      <w:r>
        <w:rPr>
          <w:spacing w:val="-5"/>
        </w:rPr>
        <w:t xml:space="preserve">year, based </w:t>
      </w:r>
      <w:r>
        <w:rPr>
          <w:spacing w:val="-4"/>
        </w:rPr>
        <w:t xml:space="preserve">on </w:t>
      </w:r>
      <w:r>
        <w:rPr>
          <w:spacing w:val="-6"/>
        </w:rPr>
        <w:t xml:space="preserve">experience attained </w:t>
      </w:r>
      <w:r>
        <w:rPr>
          <w:spacing w:val="-5"/>
        </w:rPr>
        <w:t xml:space="preserve">from </w:t>
      </w:r>
      <w:r>
        <w:rPr>
          <w:spacing w:val="-4"/>
        </w:rPr>
        <w:t xml:space="preserve">the </w:t>
      </w:r>
      <w:r>
        <w:rPr>
          <w:spacing w:val="-6"/>
        </w:rPr>
        <w:t xml:space="preserve">RSNAT </w:t>
      </w:r>
      <w:r>
        <w:rPr>
          <w:spacing w:val="-5"/>
        </w:rPr>
        <w:t xml:space="preserve">Prior </w:t>
      </w:r>
      <w:r>
        <w:rPr>
          <w:spacing w:val="-6"/>
        </w:rPr>
        <w:t xml:space="preserve">Authorization </w:t>
      </w:r>
      <w:r>
        <w:rPr>
          <w:spacing w:val="-5"/>
        </w:rPr>
        <w:t xml:space="preserve">Model </w:t>
      </w:r>
      <w:r>
        <w:rPr>
          <w:spacing w:val="-6"/>
        </w:rPr>
        <w:t xml:space="preserve">currently operational </w:t>
      </w:r>
      <w:r>
        <w:rPr>
          <w:spacing w:val="-3"/>
        </w:rPr>
        <w:t xml:space="preserve">in </w:t>
      </w:r>
      <w:r>
        <w:rPr>
          <w:spacing w:val="-5"/>
        </w:rPr>
        <w:t xml:space="preserve">nine </w:t>
      </w:r>
      <w:r>
        <w:rPr>
          <w:spacing w:val="-6"/>
        </w:rPr>
        <w:t xml:space="preserve">states. </w:t>
      </w:r>
      <w:r>
        <w:rPr>
          <w:spacing w:val="-4"/>
        </w:rPr>
        <w:t xml:space="preserve">We </w:t>
      </w:r>
      <w:r>
        <w:rPr>
          <w:spacing w:val="-6"/>
        </w:rPr>
        <w:t xml:space="preserve">assume </w:t>
      </w:r>
      <w:r>
        <w:rPr>
          <w:spacing w:val="-5"/>
        </w:rPr>
        <w:t xml:space="preserve">there would </w:t>
      </w:r>
      <w:r>
        <w:rPr>
          <w:spacing w:val="-4"/>
        </w:rPr>
        <w:t xml:space="preserve">be </w:t>
      </w:r>
      <w:r>
        <w:t xml:space="preserve">a </w:t>
      </w:r>
      <w:r>
        <w:rPr>
          <w:spacing w:val="-4"/>
        </w:rPr>
        <w:t xml:space="preserve">25% </w:t>
      </w:r>
      <w:r>
        <w:rPr>
          <w:spacing w:val="-6"/>
        </w:rPr>
        <w:t xml:space="preserve">reduction </w:t>
      </w:r>
      <w:r>
        <w:rPr>
          <w:spacing w:val="-3"/>
        </w:rPr>
        <w:t xml:space="preserve">in </w:t>
      </w:r>
      <w:r>
        <w:rPr>
          <w:spacing w:val="-4"/>
        </w:rPr>
        <w:t xml:space="preserve">the </w:t>
      </w:r>
      <w:r>
        <w:rPr>
          <w:spacing w:val="-6"/>
        </w:rPr>
        <w:t xml:space="preserve">number </w:t>
      </w:r>
      <w:r>
        <w:rPr>
          <w:spacing w:val="-3"/>
        </w:rPr>
        <w:t xml:space="preserve">of </w:t>
      </w:r>
      <w:r>
        <w:rPr>
          <w:spacing w:val="-6"/>
        </w:rPr>
        <w:t xml:space="preserve">beneficiaries receiving RSNAT services </w:t>
      </w:r>
      <w:r>
        <w:rPr>
          <w:spacing w:val="-4"/>
        </w:rPr>
        <w:t xml:space="preserve">due to not </w:t>
      </w:r>
      <w:r>
        <w:rPr>
          <w:spacing w:val="-6"/>
        </w:rPr>
        <w:t xml:space="preserve">meeting medical necessity requirements. </w:t>
      </w:r>
      <w:r>
        <w:rPr>
          <w:spacing w:val="-5"/>
        </w:rPr>
        <w:t xml:space="preserve">We also </w:t>
      </w:r>
      <w:r>
        <w:rPr>
          <w:spacing w:val="-6"/>
        </w:rPr>
        <w:t xml:space="preserve">assume </w:t>
      </w:r>
      <w:r>
        <w:rPr>
          <w:spacing w:val="-5"/>
        </w:rPr>
        <w:t xml:space="preserve">the cost </w:t>
      </w:r>
      <w:r>
        <w:rPr>
          <w:spacing w:val="-3"/>
        </w:rPr>
        <w:t xml:space="preserve">of </w:t>
      </w:r>
      <w:r>
        <w:rPr>
          <w:spacing w:val="-6"/>
        </w:rPr>
        <w:t xml:space="preserve">outreach </w:t>
      </w:r>
      <w:r>
        <w:rPr>
          <w:spacing w:val="-4"/>
        </w:rPr>
        <w:t xml:space="preserve">and </w:t>
      </w:r>
      <w:r>
        <w:rPr>
          <w:spacing w:val="-6"/>
        </w:rPr>
        <w:t xml:space="preserve">education </w:t>
      </w:r>
      <w:r>
        <w:rPr>
          <w:spacing w:val="-5"/>
        </w:rPr>
        <w:t xml:space="preserve">would </w:t>
      </w:r>
      <w:r>
        <w:rPr>
          <w:spacing w:val="-6"/>
        </w:rPr>
        <w:t xml:space="preserve">decrease </w:t>
      </w:r>
      <w:r>
        <w:rPr>
          <w:spacing w:val="-5"/>
        </w:rPr>
        <w:t xml:space="preserve">after </w:t>
      </w:r>
      <w:r>
        <w:rPr>
          <w:spacing w:val="-4"/>
        </w:rPr>
        <w:t xml:space="preserve">the </w:t>
      </w:r>
      <w:r>
        <w:rPr>
          <w:spacing w:val="-6"/>
        </w:rPr>
        <w:t xml:space="preserve">initial </w:t>
      </w:r>
      <w:r>
        <w:rPr>
          <w:spacing w:val="-5"/>
        </w:rPr>
        <w:t>year.</w:t>
      </w:r>
    </w:p>
    <w:p w:rsidR="00952305" w:rsidRDefault="00952305" w14:paraId="41BD685F" w14:textId="77777777">
      <w:pPr>
        <w:pStyle w:val="BodyText"/>
        <w:spacing w:before="11"/>
        <w:rPr>
          <w:sz w:val="23"/>
        </w:rPr>
      </w:pPr>
    </w:p>
    <w:p w:rsidRPr="003829C5" w:rsidR="00952305" w:rsidRDefault="00815728" w14:paraId="1A59D057" w14:textId="77777777">
      <w:pPr>
        <w:pStyle w:val="ListParagraph"/>
        <w:numPr>
          <w:ilvl w:val="0"/>
          <w:numId w:val="1"/>
        </w:numPr>
        <w:tabs>
          <w:tab w:val="left" w:pos="656"/>
          <w:tab w:val="left" w:pos="657"/>
        </w:tabs>
        <w:ind w:left="656" w:hanging="536"/>
        <w:rPr>
          <w:sz w:val="24"/>
        </w:rPr>
      </w:pPr>
      <w:r>
        <w:rPr>
          <w:spacing w:val="-6"/>
          <w:sz w:val="24"/>
          <w:u w:val="single"/>
        </w:rPr>
        <w:t xml:space="preserve">Changes </w:t>
      </w:r>
      <w:r>
        <w:rPr>
          <w:spacing w:val="-3"/>
          <w:sz w:val="24"/>
          <w:u w:val="single"/>
        </w:rPr>
        <w:t>in</w:t>
      </w:r>
      <w:r>
        <w:rPr>
          <w:spacing w:val="-18"/>
          <w:sz w:val="24"/>
          <w:u w:val="single"/>
        </w:rPr>
        <w:t xml:space="preserve"> </w:t>
      </w:r>
      <w:r>
        <w:rPr>
          <w:spacing w:val="-6"/>
          <w:sz w:val="24"/>
          <w:u w:val="single"/>
        </w:rPr>
        <w:t>Burden</w:t>
      </w:r>
    </w:p>
    <w:p w:rsidRPr="003829C5" w:rsidR="003829C5" w:rsidP="003829C5" w:rsidRDefault="003829C5" w14:paraId="029A6C8E" w14:textId="77777777">
      <w:pPr>
        <w:tabs>
          <w:tab w:val="left" w:pos="656"/>
          <w:tab w:val="left" w:pos="657"/>
        </w:tabs>
        <w:ind w:left="120"/>
        <w:rPr>
          <w:sz w:val="24"/>
        </w:rPr>
      </w:pPr>
    </w:p>
    <w:p w:rsidR="00EE0A8E" w:rsidP="00EE0A8E" w:rsidRDefault="00815728" w14:paraId="794339FB" w14:textId="77777777">
      <w:pPr>
        <w:pStyle w:val="BodyText"/>
        <w:tabs>
          <w:tab w:val="left" w:pos="8057"/>
        </w:tabs>
        <w:spacing w:before="78"/>
        <w:ind w:left="120"/>
      </w:pPr>
      <w:r>
        <w:t>This is a new collection. Therefore</w:t>
      </w:r>
      <w:r w:rsidR="00CF5462">
        <w:t>,</w:t>
      </w:r>
      <w:r>
        <w:t xml:space="preserve"> there is no change in burden.</w:t>
      </w:r>
      <w:r w:rsidR="0002080E">
        <w:t xml:space="preserve"> </w:t>
      </w:r>
    </w:p>
    <w:p w:rsidR="00EE0A8E" w:rsidP="00F76953" w:rsidRDefault="00EE0A8E" w14:paraId="23144D72" w14:textId="77777777">
      <w:pPr>
        <w:pStyle w:val="BodyText"/>
        <w:tabs>
          <w:tab w:val="left" w:pos="8057"/>
        </w:tabs>
        <w:ind w:left="115"/>
      </w:pPr>
    </w:p>
    <w:p w:rsidR="0002080E" w:rsidP="00F76953" w:rsidRDefault="00774848" w14:paraId="5CEBD12C" w14:textId="77777777">
      <w:pPr>
        <w:pStyle w:val="BodyText"/>
        <w:tabs>
          <w:tab w:val="left" w:pos="8057"/>
        </w:tabs>
        <w:ind w:left="115"/>
      </w:pPr>
      <w:r>
        <w:t>In the nine states currently under the m</w:t>
      </w:r>
      <w:r w:rsidR="00EE0A8E">
        <w:t>odel</w:t>
      </w:r>
      <w:r>
        <w:t xml:space="preserve">, ambulance suppliers submit an average of </w:t>
      </w:r>
      <w:r w:rsidR="00EE0A8E">
        <w:t xml:space="preserve">23,050 prior authorization requests per year. </w:t>
      </w:r>
    </w:p>
    <w:p w:rsidR="0002080E" w:rsidRDefault="0002080E" w14:paraId="5DC47F1E" w14:textId="77777777">
      <w:pPr>
        <w:pStyle w:val="BodyText"/>
        <w:spacing w:before="5"/>
      </w:pPr>
    </w:p>
    <w:p w:rsidR="00952305" w:rsidRDefault="00815728" w14:paraId="564D7E95" w14:textId="77777777">
      <w:pPr>
        <w:pStyle w:val="ListParagraph"/>
        <w:numPr>
          <w:ilvl w:val="0"/>
          <w:numId w:val="1"/>
        </w:numPr>
        <w:tabs>
          <w:tab w:val="left" w:pos="671"/>
          <w:tab w:val="left" w:pos="672"/>
        </w:tabs>
        <w:spacing w:before="1"/>
        <w:ind w:left="672" w:hanging="552"/>
        <w:rPr>
          <w:sz w:val="24"/>
        </w:rPr>
      </w:pPr>
      <w:r>
        <w:rPr>
          <w:spacing w:val="-7"/>
          <w:sz w:val="24"/>
          <w:u w:val="single"/>
        </w:rPr>
        <w:t xml:space="preserve">Publication </w:t>
      </w:r>
      <w:r>
        <w:rPr>
          <w:spacing w:val="-5"/>
          <w:sz w:val="24"/>
          <w:u w:val="single"/>
        </w:rPr>
        <w:t>or</w:t>
      </w:r>
      <w:r>
        <w:rPr>
          <w:spacing w:val="17"/>
          <w:sz w:val="24"/>
          <w:u w:val="single"/>
        </w:rPr>
        <w:t xml:space="preserve"> </w:t>
      </w:r>
      <w:r>
        <w:rPr>
          <w:spacing w:val="-8"/>
          <w:sz w:val="24"/>
          <w:u w:val="single"/>
        </w:rPr>
        <w:t>Tabulation</w:t>
      </w:r>
    </w:p>
    <w:p w:rsidR="00952305" w:rsidRDefault="00952305" w14:paraId="75FE0E6A" w14:textId="77777777">
      <w:pPr>
        <w:pStyle w:val="BodyText"/>
        <w:spacing w:before="3"/>
        <w:rPr>
          <w:sz w:val="16"/>
        </w:rPr>
      </w:pPr>
    </w:p>
    <w:p w:rsidR="00952305" w:rsidRDefault="00815728" w14:paraId="2E7BF51D" w14:textId="77777777">
      <w:pPr>
        <w:pStyle w:val="BodyText"/>
        <w:spacing w:before="90"/>
        <w:ind w:left="120"/>
      </w:pPr>
      <w:r>
        <w:t>There are no plans to publish or tabulate the information collected.</w:t>
      </w:r>
    </w:p>
    <w:p w:rsidR="00952305" w:rsidRDefault="00952305" w14:paraId="64773612" w14:textId="77777777">
      <w:pPr>
        <w:pStyle w:val="BodyText"/>
        <w:spacing w:before="1"/>
      </w:pPr>
    </w:p>
    <w:p w:rsidR="00952305" w:rsidRDefault="00815728" w14:paraId="4C6236E4" w14:textId="77777777">
      <w:pPr>
        <w:pStyle w:val="ListParagraph"/>
        <w:numPr>
          <w:ilvl w:val="0"/>
          <w:numId w:val="1"/>
        </w:numPr>
        <w:tabs>
          <w:tab w:val="left" w:pos="528"/>
        </w:tabs>
        <w:ind w:left="528" w:hanging="408"/>
        <w:rPr>
          <w:sz w:val="24"/>
        </w:rPr>
      </w:pPr>
      <w:r>
        <w:rPr>
          <w:spacing w:val="19"/>
          <w:sz w:val="24"/>
          <w:u w:val="single"/>
        </w:rPr>
        <w:t xml:space="preserve"> </w:t>
      </w:r>
      <w:r>
        <w:rPr>
          <w:spacing w:val="-8"/>
          <w:sz w:val="24"/>
          <w:u w:val="single"/>
        </w:rPr>
        <w:t>Expiration</w:t>
      </w:r>
      <w:r>
        <w:rPr>
          <w:spacing w:val="8"/>
          <w:sz w:val="24"/>
          <w:u w:val="single"/>
        </w:rPr>
        <w:t xml:space="preserve"> </w:t>
      </w:r>
      <w:r>
        <w:rPr>
          <w:sz w:val="24"/>
          <w:u w:val="single"/>
        </w:rPr>
        <w:t>Date</w:t>
      </w:r>
    </w:p>
    <w:p w:rsidR="00952305" w:rsidRDefault="00952305" w14:paraId="6EE0A74F" w14:textId="77777777">
      <w:pPr>
        <w:pStyle w:val="BodyText"/>
        <w:spacing w:before="1"/>
        <w:rPr>
          <w:sz w:val="16"/>
        </w:rPr>
      </w:pPr>
    </w:p>
    <w:p w:rsidR="00952305" w:rsidRDefault="00815728" w14:paraId="3B7F83C6" w14:textId="77777777">
      <w:pPr>
        <w:pStyle w:val="BodyText"/>
        <w:spacing w:before="90"/>
        <w:ind w:left="120" w:right="835"/>
      </w:pPr>
      <w:r>
        <w:lastRenderedPageBreak/>
        <w:t>Each instrument displays the expiration date and OMB control number on the first page, top right corner.</w:t>
      </w:r>
    </w:p>
    <w:p w:rsidR="00952305" w:rsidRDefault="00815728" w14:paraId="25EF295C" w14:textId="77777777">
      <w:pPr>
        <w:pStyle w:val="BodyText"/>
        <w:spacing w:before="2"/>
        <w:rPr>
          <w:sz w:val="10"/>
        </w:rPr>
      </w:pPr>
      <w:r>
        <w:rPr>
          <w:noProof/>
          <w:lang w:bidi="ar-SA"/>
        </w:rPr>
        <mc:AlternateContent>
          <mc:Choice Requires="wps">
            <w:drawing>
              <wp:anchor distT="0" distB="0" distL="0" distR="0" simplePos="0" relativeHeight="251659264" behindDoc="1" locked="0" layoutInCell="1" allowOverlap="1" wp14:editId="607E3989" wp14:anchorId="5B86E14D">
                <wp:simplePos x="0" y="0"/>
                <wp:positionH relativeFrom="page">
                  <wp:posOffset>838200</wp:posOffset>
                </wp:positionH>
                <wp:positionV relativeFrom="paragraph">
                  <wp:posOffset>104140</wp:posOffset>
                </wp:positionV>
                <wp:extent cx="1828800" cy="0"/>
                <wp:effectExtent l="9525" t="12065" r="9525" b="698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66pt,8.2pt" to="210pt,8.2pt" w14:anchorId="483AE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">
                <w10:wrap type="topAndBottom" anchorx="page"/>
              </v:line>
            </w:pict>
          </mc:Fallback>
        </mc:AlternateContent>
      </w:r>
    </w:p>
    <w:p w:rsidR="00952305" w:rsidRDefault="00815728" w14:paraId="63126D82" w14:textId="77777777">
      <w:pPr>
        <w:spacing w:before="65"/>
        <w:ind w:left="120"/>
        <w:rPr>
          <w:rFonts w:ascii="Calibri"/>
          <w:sz w:val="20"/>
        </w:rPr>
      </w:pPr>
      <w:r>
        <w:rPr>
          <w:rFonts w:ascii="Calibri"/>
          <w:position w:val="7"/>
          <w:sz w:val="13"/>
        </w:rPr>
        <w:t xml:space="preserve">i </w:t>
      </w:r>
      <w:hyperlink r:id="rId21">
        <w:r>
          <w:rPr>
            <w:rFonts w:ascii="Calibri"/>
            <w:sz w:val="20"/>
          </w:rPr>
          <w:t>www.cms.gov/esMD</w:t>
        </w:r>
      </w:hyperlink>
    </w:p>
    <w:sectPr w:rsidR="00952305">
      <w:pgSz w:w="12240" w:h="15840"/>
      <w:pgMar w:top="1240" w:right="1220" w:bottom="1260" w:left="1200"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2D2D6" w14:textId="77777777" w:rsidR="009D78A3" w:rsidRDefault="009D78A3">
      <w:r>
        <w:separator/>
      </w:r>
    </w:p>
  </w:endnote>
  <w:endnote w:type="continuationSeparator" w:id="0">
    <w:p w14:paraId="4BBF9483" w14:textId="77777777" w:rsidR="009D78A3" w:rsidRDefault="009D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9632" w14:textId="77777777" w:rsidR="00BD034F" w:rsidRDefault="00BD034F">
    <w:pPr>
      <w:pStyle w:val="BodyText"/>
      <w:spacing w:line="14" w:lineRule="auto"/>
      <w:rPr>
        <w:sz w:val="19"/>
      </w:rPr>
    </w:pPr>
    <w:r>
      <w:rPr>
        <w:noProof/>
        <w:lang w:bidi="ar-SA"/>
      </w:rPr>
      <mc:AlternateContent>
        <mc:Choice Requires="wps">
          <w:drawing>
            <wp:anchor distT="0" distB="0" distL="114300" distR="114300" simplePos="0" relativeHeight="251657728" behindDoc="1" locked="0" layoutInCell="1" allowOverlap="1" wp14:anchorId="184A2CB7" wp14:editId="70A218BC">
              <wp:simplePos x="0" y="0"/>
              <wp:positionH relativeFrom="page">
                <wp:posOffset>6767195</wp:posOffset>
              </wp:positionH>
              <wp:positionV relativeFrom="page">
                <wp:posOffset>9234170</wp:posOffset>
              </wp:positionV>
              <wp:extent cx="193040" cy="165100"/>
              <wp:effectExtent l="4445" t="4445" r="254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92221" w14:textId="79DD8B87" w:rsidR="00BD034F" w:rsidRDefault="00BD034F">
                          <w:pPr>
                            <w:spacing w:line="244" w:lineRule="exact"/>
                            <w:ind w:left="40"/>
                            <w:rPr>
                              <w:rFonts w:ascii="Calibri"/>
                            </w:rPr>
                          </w:pPr>
                          <w:r>
                            <w:fldChar w:fldCharType="begin"/>
                          </w:r>
                          <w:r>
                            <w:rPr>
                              <w:rFonts w:ascii="Calibri"/>
                            </w:rPr>
                            <w:instrText xml:space="preserve"> PAGE </w:instrText>
                          </w:r>
                          <w:r>
                            <w:fldChar w:fldCharType="separate"/>
                          </w:r>
                          <w:r w:rsidR="002A15B6">
                            <w:rPr>
                              <w:rFonts w:ascii="Calibri"/>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A2CB7" id="_x0000_t202" coordsize="21600,21600" o:spt="202" path="m,l,21600r21600,l21600,xe">
              <v:stroke joinstyle="miter"/>
              <v:path gradientshapeok="t" o:connecttype="rect"/>
            </v:shapetype>
            <v:shape id="Text Box 1" o:spid="_x0000_s1026" type="#_x0000_t202" style="position:absolute;margin-left:532.85pt;margin-top:727.1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" filled="f" stroked="f">
              <v:textbox inset="0,0,0,0">
                <w:txbxContent>
                  <w:p w14:paraId="5BB92221" w14:textId="79DD8B87" w:rsidR="00BD034F" w:rsidRDefault="00BD034F">
                    <w:pPr>
                      <w:spacing w:line="244" w:lineRule="exact"/>
                      <w:ind w:left="40"/>
                      <w:rPr>
                        <w:rFonts w:ascii="Calibri"/>
                      </w:rPr>
                    </w:pPr>
                    <w:r>
                      <w:fldChar w:fldCharType="begin"/>
                    </w:r>
                    <w:r>
                      <w:rPr>
                        <w:rFonts w:ascii="Calibri"/>
                      </w:rPr>
                      <w:instrText xml:space="preserve"> PAGE </w:instrText>
                    </w:r>
                    <w:r>
                      <w:fldChar w:fldCharType="separate"/>
                    </w:r>
                    <w:r w:rsidR="002A15B6">
                      <w:rPr>
                        <w:rFonts w:ascii="Calibri"/>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4FC0D" w14:textId="77777777" w:rsidR="009D78A3" w:rsidRDefault="009D78A3">
      <w:r>
        <w:separator/>
      </w:r>
    </w:p>
  </w:footnote>
  <w:footnote w:type="continuationSeparator" w:id="0">
    <w:p w14:paraId="1368F773" w14:textId="77777777" w:rsidR="009D78A3" w:rsidRDefault="009D78A3">
      <w:r>
        <w:continuationSeparator/>
      </w:r>
    </w:p>
  </w:footnote>
  <w:footnote w:id="1">
    <w:p w14:paraId="159BCAE5" w14:textId="77777777" w:rsidR="00E17FB9" w:rsidRDefault="00E17FB9">
      <w:pPr>
        <w:pStyle w:val="FootnoteText"/>
      </w:pPr>
      <w:r>
        <w:rPr>
          <w:rStyle w:val="FootnoteReference"/>
        </w:rPr>
        <w:footnoteRef/>
      </w:r>
      <w:r>
        <w:t xml:space="preserve"> The burden estimate reported here will not decrease the burden estimate or the number of prepayment reviews </w:t>
      </w:r>
      <w:r w:rsidR="006C0613">
        <w:t xml:space="preserve">reported </w:t>
      </w:r>
      <w:r>
        <w:t xml:space="preserve">in OMB Ctrl No 0938-0960 titled </w:t>
      </w:r>
      <w:r w:rsidRPr="00E17FB9">
        <w:rPr>
          <w:i/>
        </w:rPr>
        <w:t>Medicare Fee-for-Service Early Review of Medical Records</w:t>
      </w:r>
      <w:r>
        <w:t>. Under a national model, RSNAT claim</w:t>
      </w:r>
      <w:r w:rsidR="00276E61">
        <w:t>s that undergo</w:t>
      </w:r>
      <w:r>
        <w:t xml:space="preserve"> prior authorization will</w:t>
      </w:r>
      <w:r w:rsidR="00276E61">
        <w:t xml:space="preserve"> not also undergo </w:t>
      </w:r>
      <w:r>
        <w:t xml:space="preserve">prepayment review. </w:t>
      </w:r>
      <w:r w:rsidR="00C828D8">
        <w:t>If a Medicare review contractor was</w:t>
      </w:r>
      <w:r w:rsidR="00276E61">
        <w:t xml:space="preserve"> conducting prepayment</w:t>
      </w:r>
      <w:r w:rsidR="006C0613">
        <w:t xml:space="preserve"> review of</w:t>
      </w:r>
      <w:r w:rsidR="00276E61">
        <w:t xml:space="preserve"> RSNAT claims prior to the model</w:t>
      </w:r>
      <w:r w:rsidR="00C828D8">
        <w:t>, they</w:t>
      </w:r>
      <w:r w:rsidR="00276E61">
        <w:t xml:space="preserve"> would shift their resources to other claim types. </w:t>
      </w:r>
    </w:p>
  </w:footnote>
  <w:footnote w:id="2">
    <w:p w14:paraId="14C37881" w14:textId="77777777" w:rsidR="00BD034F" w:rsidRDefault="00BD034F">
      <w:pPr>
        <w:pStyle w:val="FootnoteText"/>
      </w:pPr>
      <w:r>
        <w:rPr>
          <w:rStyle w:val="FootnoteReference"/>
        </w:rPr>
        <w:footnoteRef/>
      </w:r>
      <w:r>
        <w:t xml:space="preserve"> The number of responses are based on the number of Medicare Fee-for-Service beneficiaries who received RSNAT services in calendar year 2017, with the following assumptions:</w:t>
      </w:r>
    </w:p>
    <w:p w14:paraId="29F2A104" w14:textId="77777777" w:rsidR="00BD034F" w:rsidRDefault="00BD034F" w:rsidP="003829C5">
      <w:pPr>
        <w:pStyle w:val="FootnoteText"/>
        <w:numPr>
          <w:ilvl w:val="0"/>
          <w:numId w:val="6"/>
        </w:numPr>
      </w:pPr>
      <w:r>
        <w:t>Prior authorization requests will be submitted for 90 percent of beneficiaries receiving RSNAT services.</w:t>
      </w:r>
    </w:p>
    <w:p w14:paraId="5C17DA1D" w14:textId="77777777" w:rsidR="00BD034F" w:rsidRDefault="00BD034F" w:rsidP="003829C5">
      <w:pPr>
        <w:pStyle w:val="FootnoteText"/>
        <w:numPr>
          <w:ilvl w:val="0"/>
          <w:numId w:val="6"/>
        </w:numPr>
      </w:pPr>
      <w:r>
        <w:t>Six initial prior authorization requests will be submitted per beneficiary per year, as a prior authorization request can be valid for up to 60 days.</w:t>
      </w:r>
    </w:p>
    <w:p w14:paraId="1A176533" w14:textId="77777777" w:rsidR="00BD034F" w:rsidRDefault="00BD034F" w:rsidP="003829C5">
      <w:pPr>
        <w:pStyle w:val="FootnoteText"/>
        <w:numPr>
          <w:ilvl w:val="0"/>
          <w:numId w:val="6"/>
        </w:numPr>
      </w:pPr>
      <w:r>
        <w:t xml:space="preserve">25 percent of initial prior authorization requests will be non-affirmed and resubmitted.  </w:t>
      </w:r>
    </w:p>
    <w:p w14:paraId="0E922721" w14:textId="77777777" w:rsidR="00BD034F" w:rsidRDefault="00BD034F" w:rsidP="003829C5">
      <w:pPr>
        <w:pStyle w:val="FootnoteText"/>
        <w:numPr>
          <w:ilvl w:val="0"/>
          <w:numId w:val="6"/>
        </w:numPr>
      </w:pPr>
      <w:r>
        <w:t>70 percent of prior authorization requests will be submitted electronically and 30 percent will be submitted via mail.</w:t>
      </w:r>
    </w:p>
  </w:footnote>
  <w:footnote w:id="3">
    <w:p w14:paraId="17F3C90D" w14:textId="77777777" w:rsidR="00BD034F" w:rsidRDefault="00BD034F">
      <w:pPr>
        <w:pStyle w:val="FootnoteText"/>
      </w:pPr>
      <w:r>
        <w:rPr>
          <w:rStyle w:val="FootnoteReference"/>
        </w:rPr>
        <w:footnoteRef/>
      </w:r>
      <w:r>
        <w:t xml:space="preserve"> This number represents the number of ambulance suppliers that would potentially participate in educational trainings on the prior authorization process. As this number does not represent responses per year, it is not included in the total responses per year calculation.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64B0"/>
    <w:multiLevelType w:val="hybridMultilevel"/>
    <w:tmpl w:val="F65E1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655EC9"/>
    <w:multiLevelType w:val="hybridMultilevel"/>
    <w:tmpl w:val="04C0B73E"/>
    <w:lvl w:ilvl="0" w:tplc="56FEA400">
      <w:start w:val="3"/>
      <w:numFmt w:val="decimal"/>
      <w:lvlText w:val="%1)"/>
      <w:lvlJc w:val="left"/>
      <w:pPr>
        <w:ind w:left="120" w:hanging="261"/>
      </w:pPr>
      <w:rPr>
        <w:rFonts w:ascii="Times New Roman" w:eastAsia="Times New Roman" w:hAnsi="Times New Roman" w:cs="Times New Roman" w:hint="default"/>
        <w:spacing w:val="-10"/>
        <w:w w:val="99"/>
        <w:sz w:val="24"/>
        <w:szCs w:val="24"/>
        <w:lang w:val="en-US" w:eastAsia="en-US" w:bidi="en-US"/>
      </w:rPr>
    </w:lvl>
    <w:lvl w:ilvl="1" w:tplc="1E9210FC">
      <w:numFmt w:val="bullet"/>
      <w:lvlText w:val="●"/>
      <w:lvlJc w:val="left"/>
      <w:pPr>
        <w:ind w:left="120" w:hanging="244"/>
      </w:pPr>
      <w:rPr>
        <w:rFonts w:hint="default"/>
        <w:w w:val="99"/>
        <w:lang w:val="en-US" w:eastAsia="en-US" w:bidi="en-US"/>
      </w:rPr>
    </w:lvl>
    <w:lvl w:ilvl="2" w:tplc="D960D5FE">
      <w:numFmt w:val="bullet"/>
      <w:lvlText w:val="•"/>
      <w:lvlJc w:val="left"/>
      <w:pPr>
        <w:ind w:left="2060" w:hanging="244"/>
      </w:pPr>
      <w:rPr>
        <w:rFonts w:hint="default"/>
        <w:lang w:val="en-US" w:eastAsia="en-US" w:bidi="en-US"/>
      </w:rPr>
    </w:lvl>
    <w:lvl w:ilvl="3" w:tplc="FB523122">
      <w:numFmt w:val="bullet"/>
      <w:lvlText w:val="•"/>
      <w:lvlJc w:val="left"/>
      <w:pPr>
        <w:ind w:left="3030" w:hanging="244"/>
      </w:pPr>
      <w:rPr>
        <w:rFonts w:hint="default"/>
        <w:lang w:val="en-US" w:eastAsia="en-US" w:bidi="en-US"/>
      </w:rPr>
    </w:lvl>
    <w:lvl w:ilvl="4" w:tplc="5DB42310">
      <w:numFmt w:val="bullet"/>
      <w:lvlText w:val="•"/>
      <w:lvlJc w:val="left"/>
      <w:pPr>
        <w:ind w:left="4000" w:hanging="244"/>
      </w:pPr>
      <w:rPr>
        <w:rFonts w:hint="default"/>
        <w:lang w:val="en-US" w:eastAsia="en-US" w:bidi="en-US"/>
      </w:rPr>
    </w:lvl>
    <w:lvl w:ilvl="5" w:tplc="6366BC9E">
      <w:numFmt w:val="bullet"/>
      <w:lvlText w:val="•"/>
      <w:lvlJc w:val="left"/>
      <w:pPr>
        <w:ind w:left="4970" w:hanging="244"/>
      </w:pPr>
      <w:rPr>
        <w:rFonts w:hint="default"/>
        <w:lang w:val="en-US" w:eastAsia="en-US" w:bidi="en-US"/>
      </w:rPr>
    </w:lvl>
    <w:lvl w:ilvl="6" w:tplc="76AABE96">
      <w:numFmt w:val="bullet"/>
      <w:lvlText w:val="•"/>
      <w:lvlJc w:val="left"/>
      <w:pPr>
        <w:ind w:left="5940" w:hanging="244"/>
      </w:pPr>
      <w:rPr>
        <w:rFonts w:hint="default"/>
        <w:lang w:val="en-US" w:eastAsia="en-US" w:bidi="en-US"/>
      </w:rPr>
    </w:lvl>
    <w:lvl w:ilvl="7" w:tplc="FD94A1E0">
      <w:numFmt w:val="bullet"/>
      <w:lvlText w:val="•"/>
      <w:lvlJc w:val="left"/>
      <w:pPr>
        <w:ind w:left="6910" w:hanging="244"/>
      </w:pPr>
      <w:rPr>
        <w:rFonts w:hint="default"/>
        <w:lang w:val="en-US" w:eastAsia="en-US" w:bidi="en-US"/>
      </w:rPr>
    </w:lvl>
    <w:lvl w:ilvl="8" w:tplc="BBECE266">
      <w:numFmt w:val="bullet"/>
      <w:lvlText w:val="•"/>
      <w:lvlJc w:val="left"/>
      <w:pPr>
        <w:ind w:left="7880" w:hanging="244"/>
      </w:pPr>
      <w:rPr>
        <w:rFonts w:hint="default"/>
        <w:lang w:val="en-US" w:eastAsia="en-US" w:bidi="en-US"/>
      </w:rPr>
    </w:lvl>
  </w:abstractNum>
  <w:abstractNum w:abstractNumId="2" w15:restartNumberingAfterBreak="0">
    <w:nsid w:val="0E940119"/>
    <w:multiLevelType w:val="hybridMultilevel"/>
    <w:tmpl w:val="8D404618"/>
    <w:lvl w:ilvl="0" w:tplc="76DA08AA">
      <w:start w:val="1"/>
      <w:numFmt w:val="decimal"/>
      <w:lvlText w:val="(%1)"/>
      <w:lvlJc w:val="left"/>
      <w:pPr>
        <w:ind w:left="1180" w:hanging="341"/>
      </w:pPr>
      <w:rPr>
        <w:rFonts w:ascii="Times New Roman" w:eastAsia="Times New Roman" w:hAnsi="Times New Roman" w:cs="Times New Roman" w:hint="default"/>
        <w:spacing w:val="-2"/>
        <w:w w:val="99"/>
        <w:sz w:val="24"/>
        <w:szCs w:val="24"/>
        <w:lang w:val="en-US" w:eastAsia="en-US" w:bidi="en-US"/>
      </w:rPr>
    </w:lvl>
    <w:lvl w:ilvl="1" w:tplc="D2DCF1E2">
      <w:start w:val="1"/>
      <w:numFmt w:val="upperLetter"/>
      <w:lvlText w:val="(%2)"/>
      <w:lvlJc w:val="left"/>
      <w:pPr>
        <w:ind w:left="1953" w:hanging="394"/>
      </w:pPr>
      <w:rPr>
        <w:rFonts w:ascii="Times New Roman" w:eastAsia="Times New Roman" w:hAnsi="Times New Roman" w:cs="Times New Roman" w:hint="default"/>
        <w:spacing w:val="-2"/>
        <w:w w:val="99"/>
        <w:sz w:val="24"/>
        <w:szCs w:val="24"/>
        <w:lang w:val="en-US" w:eastAsia="en-US" w:bidi="en-US"/>
      </w:rPr>
    </w:lvl>
    <w:lvl w:ilvl="2" w:tplc="0CFA54C0">
      <w:numFmt w:val="bullet"/>
      <w:lvlText w:val="•"/>
      <w:lvlJc w:val="left"/>
      <w:pPr>
        <w:ind w:left="2833" w:hanging="394"/>
      </w:pPr>
      <w:rPr>
        <w:rFonts w:hint="default"/>
        <w:lang w:val="en-US" w:eastAsia="en-US" w:bidi="en-US"/>
      </w:rPr>
    </w:lvl>
    <w:lvl w:ilvl="3" w:tplc="BD5E52B8">
      <w:numFmt w:val="bullet"/>
      <w:lvlText w:val="•"/>
      <w:lvlJc w:val="left"/>
      <w:pPr>
        <w:ind w:left="3706" w:hanging="394"/>
      </w:pPr>
      <w:rPr>
        <w:rFonts w:hint="default"/>
        <w:lang w:val="en-US" w:eastAsia="en-US" w:bidi="en-US"/>
      </w:rPr>
    </w:lvl>
    <w:lvl w:ilvl="4" w:tplc="EB0480EA">
      <w:numFmt w:val="bullet"/>
      <w:lvlText w:val="•"/>
      <w:lvlJc w:val="left"/>
      <w:pPr>
        <w:ind w:left="4580" w:hanging="394"/>
      </w:pPr>
      <w:rPr>
        <w:rFonts w:hint="default"/>
        <w:lang w:val="en-US" w:eastAsia="en-US" w:bidi="en-US"/>
      </w:rPr>
    </w:lvl>
    <w:lvl w:ilvl="5" w:tplc="3968AEDC">
      <w:numFmt w:val="bullet"/>
      <w:lvlText w:val="•"/>
      <w:lvlJc w:val="left"/>
      <w:pPr>
        <w:ind w:left="5453" w:hanging="394"/>
      </w:pPr>
      <w:rPr>
        <w:rFonts w:hint="default"/>
        <w:lang w:val="en-US" w:eastAsia="en-US" w:bidi="en-US"/>
      </w:rPr>
    </w:lvl>
    <w:lvl w:ilvl="6" w:tplc="9EDE2838">
      <w:numFmt w:val="bullet"/>
      <w:lvlText w:val="•"/>
      <w:lvlJc w:val="left"/>
      <w:pPr>
        <w:ind w:left="6326" w:hanging="394"/>
      </w:pPr>
      <w:rPr>
        <w:rFonts w:hint="default"/>
        <w:lang w:val="en-US" w:eastAsia="en-US" w:bidi="en-US"/>
      </w:rPr>
    </w:lvl>
    <w:lvl w:ilvl="7" w:tplc="73A2A454">
      <w:numFmt w:val="bullet"/>
      <w:lvlText w:val="•"/>
      <w:lvlJc w:val="left"/>
      <w:pPr>
        <w:ind w:left="7200" w:hanging="394"/>
      </w:pPr>
      <w:rPr>
        <w:rFonts w:hint="default"/>
        <w:lang w:val="en-US" w:eastAsia="en-US" w:bidi="en-US"/>
      </w:rPr>
    </w:lvl>
    <w:lvl w:ilvl="8" w:tplc="A5C610B4">
      <w:numFmt w:val="bullet"/>
      <w:lvlText w:val="•"/>
      <w:lvlJc w:val="left"/>
      <w:pPr>
        <w:ind w:left="8073" w:hanging="394"/>
      </w:pPr>
      <w:rPr>
        <w:rFonts w:hint="default"/>
        <w:lang w:val="en-US" w:eastAsia="en-US" w:bidi="en-US"/>
      </w:rPr>
    </w:lvl>
  </w:abstractNum>
  <w:abstractNum w:abstractNumId="3" w15:restartNumberingAfterBreak="0">
    <w:nsid w:val="162C4FEC"/>
    <w:multiLevelType w:val="hybridMultilevel"/>
    <w:tmpl w:val="D322698A"/>
    <w:lvl w:ilvl="0" w:tplc="4F0250F8">
      <w:start w:val="1"/>
      <w:numFmt w:val="decimal"/>
      <w:lvlText w:val="%1."/>
      <w:lvlJc w:val="left"/>
      <w:pPr>
        <w:ind w:left="570" w:hanging="450"/>
      </w:pPr>
      <w:rPr>
        <w:rFonts w:ascii="Times New Roman" w:eastAsia="Times New Roman" w:hAnsi="Times New Roman" w:cs="Times New Roman" w:hint="default"/>
        <w:spacing w:val="-9"/>
        <w:w w:val="99"/>
        <w:sz w:val="24"/>
        <w:szCs w:val="24"/>
        <w:lang w:val="en-US" w:eastAsia="en-US" w:bidi="en-US"/>
      </w:rPr>
    </w:lvl>
    <w:lvl w:ilvl="1" w:tplc="C7800910">
      <w:start w:val="1"/>
      <w:numFmt w:val="decimal"/>
      <w:lvlText w:val="(%2)"/>
      <w:lvlJc w:val="left"/>
      <w:pPr>
        <w:ind w:left="1180" w:hanging="341"/>
      </w:pPr>
      <w:rPr>
        <w:rFonts w:ascii="Times New Roman" w:eastAsia="Times New Roman" w:hAnsi="Times New Roman" w:cs="Times New Roman" w:hint="default"/>
        <w:spacing w:val="-2"/>
        <w:w w:val="99"/>
        <w:sz w:val="24"/>
        <w:szCs w:val="24"/>
        <w:lang w:val="en-US" w:eastAsia="en-US" w:bidi="en-US"/>
      </w:rPr>
    </w:lvl>
    <w:lvl w:ilvl="2" w:tplc="FBF8DC6E">
      <w:start w:val="1"/>
      <w:numFmt w:val="upperLetter"/>
      <w:lvlText w:val="(%3)"/>
      <w:lvlJc w:val="left"/>
      <w:pPr>
        <w:ind w:left="1953" w:hanging="394"/>
      </w:pPr>
      <w:rPr>
        <w:rFonts w:ascii="Times New Roman" w:eastAsia="Times New Roman" w:hAnsi="Times New Roman" w:cs="Times New Roman" w:hint="default"/>
        <w:spacing w:val="-2"/>
        <w:w w:val="99"/>
        <w:sz w:val="24"/>
        <w:szCs w:val="24"/>
        <w:lang w:val="en-US" w:eastAsia="en-US" w:bidi="en-US"/>
      </w:rPr>
    </w:lvl>
    <w:lvl w:ilvl="3" w:tplc="FE3A9774">
      <w:numFmt w:val="bullet"/>
      <w:lvlText w:val="•"/>
      <w:lvlJc w:val="left"/>
      <w:pPr>
        <w:ind w:left="2942" w:hanging="394"/>
      </w:pPr>
      <w:rPr>
        <w:rFonts w:hint="default"/>
        <w:lang w:val="en-US" w:eastAsia="en-US" w:bidi="en-US"/>
      </w:rPr>
    </w:lvl>
    <w:lvl w:ilvl="4" w:tplc="BBCE53C2">
      <w:numFmt w:val="bullet"/>
      <w:lvlText w:val="•"/>
      <w:lvlJc w:val="left"/>
      <w:pPr>
        <w:ind w:left="3925" w:hanging="394"/>
      </w:pPr>
      <w:rPr>
        <w:rFonts w:hint="default"/>
        <w:lang w:val="en-US" w:eastAsia="en-US" w:bidi="en-US"/>
      </w:rPr>
    </w:lvl>
    <w:lvl w:ilvl="5" w:tplc="AADA0F7C">
      <w:numFmt w:val="bullet"/>
      <w:lvlText w:val="•"/>
      <w:lvlJc w:val="left"/>
      <w:pPr>
        <w:ind w:left="4907" w:hanging="394"/>
      </w:pPr>
      <w:rPr>
        <w:rFonts w:hint="default"/>
        <w:lang w:val="en-US" w:eastAsia="en-US" w:bidi="en-US"/>
      </w:rPr>
    </w:lvl>
    <w:lvl w:ilvl="6" w:tplc="7BB8C62A">
      <w:numFmt w:val="bullet"/>
      <w:lvlText w:val="•"/>
      <w:lvlJc w:val="left"/>
      <w:pPr>
        <w:ind w:left="5890" w:hanging="394"/>
      </w:pPr>
      <w:rPr>
        <w:rFonts w:hint="default"/>
        <w:lang w:val="en-US" w:eastAsia="en-US" w:bidi="en-US"/>
      </w:rPr>
    </w:lvl>
    <w:lvl w:ilvl="7" w:tplc="AB845440">
      <w:numFmt w:val="bullet"/>
      <w:lvlText w:val="•"/>
      <w:lvlJc w:val="left"/>
      <w:pPr>
        <w:ind w:left="6872" w:hanging="394"/>
      </w:pPr>
      <w:rPr>
        <w:rFonts w:hint="default"/>
        <w:lang w:val="en-US" w:eastAsia="en-US" w:bidi="en-US"/>
      </w:rPr>
    </w:lvl>
    <w:lvl w:ilvl="8" w:tplc="746EFF9E">
      <w:numFmt w:val="bullet"/>
      <w:lvlText w:val="•"/>
      <w:lvlJc w:val="left"/>
      <w:pPr>
        <w:ind w:left="7855" w:hanging="394"/>
      </w:pPr>
      <w:rPr>
        <w:rFonts w:hint="default"/>
        <w:lang w:val="en-US" w:eastAsia="en-US" w:bidi="en-US"/>
      </w:rPr>
    </w:lvl>
  </w:abstractNum>
  <w:abstractNum w:abstractNumId="4" w15:restartNumberingAfterBreak="0">
    <w:nsid w:val="1A317AA8"/>
    <w:multiLevelType w:val="hybridMultilevel"/>
    <w:tmpl w:val="A9FA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F17C9"/>
    <w:multiLevelType w:val="hybridMultilevel"/>
    <w:tmpl w:val="6E448D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05"/>
    <w:rsid w:val="0002080E"/>
    <w:rsid w:val="0005147C"/>
    <w:rsid w:val="00152F24"/>
    <w:rsid w:val="00170DCD"/>
    <w:rsid w:val="00184F30"/>
    <w:rsid w:val="00231901"/>
    <w:rsid w:val="00276E61"/>
    <w:rsid w:val="002A15B6"/>
    <w:rsid w:val="00310C16"/>
    <w:rsid w:val="003829C5"/>
    <w:rsid w:val="003D0B19"/>
    <w:rsid w:val="00456D21"/>
    <w:rsid w:val="004C6D08"/>
    <w:rsid w:val="004E662C"/>
    <w:rsid w:val="00562B77"/>
    <w:rsid w:val="00631107"/>
    <w:rsid w:val="00646A00"/>
    <w:rsid w:val="006C0613"/>
    <w:rsid w:val="006C695E"/>
    <w:rsid w:val="0070091B"/>
    <w:rsid w:val="00774848"/>
    <w:rsid w:val="007A62B5"/>
    <w:rsid w:val="00800EC7"/>
    <w:rsid w:val="00815728"/>
    <w:rsid w:val="0087602B"/>
    <w:rsid w:val="008A381D"/>
    <w:rsid w:val="008C5EA4"/>
    <w:rsid w:val="00952305"/>
    <w:rsid w:val="009D78A3"/>
    <w:rsid w:val="009E497F"/>
    <w:rsid w:val="00A12222"/>
    <w:rsid w:val="00A341C0"/>
    <w:rsid w:val="00AB4A27"/>
    <w:rsid w:val="00AD7677"/>
    <w:rsid w:val="00B17ADA"/>
    <w:rsid w:val="00B55276"/>
    <w:rsid w:val="00B55F36"/>
    <w:rsid w:val="00B97778"/>
    <w:rsid w:val="00BD0153"/>
    <w:rsid w:val="00BD034F"/>
    <w:rsid w:val="00C05C46"/>
    <w:rsid w:val="00C828D8"/>
    <w:rsid w:val="00CF3BCA"/>
    <w:rsid w:val="00CF5462"/>
    <w:rsid w:val="00D064F4"/>
    <w:rsid w:val="00D26D37"/>
    <w:rsid w:val="00D53EC6"/>
    <w:rsid w:val="00E17FB9"/>
    <w:rsid w:val="00E32DDF"/>
    <w:rsid w:val="00E45754"/>
    <w:rsid w:val="00E85115"/>
    <w:rsid w:val="00EC4B97"/>
    <w:rsid w:val="00EC529E"/>
    <w:rsid w:val="00ED20CF"/>
    <w:rsid w:val="00EE0A8E"/>
    <w:rsid w:val="00F4657F"/>
    <w:rsid w:val="00F76953"/>
    <w:rsid w:val="00FA3347"/>
    <w:rsid w:val="00FC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6864FC"/>
  <w15:docId w15:val="{61DCED4E-D829-4C04-A622-7A2543A7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0" w:hanging="53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45754"/>
    <w:rPr>
      <w:sz w:val="16"/>
      <w:szCs w:val="16"/>
    </w:rPr>
  </w:style>
  <w:style w:type="paragraph" w:styleId="CommentText">
    <w:name w:val="annotation text"/>
    <w:basedOn w:val="Normal"/>
    <w:link w:val="CommentTextChar"/>
    <w:uiPriority w:val="99"/>
    <w:unhideWhenUsed/>
    <w:rsid w:val="00E45754"/>
    <w:rPr>
      <w:sz w:val="20"/>
      <w:szCs w:val="20"/>
    </w:rPr>
  </w:style>
  <w:style w:type="character" w:customStyle="1" w:styleId="CommentTextChar">
    <w:name w:val="Comment Text Char"/>
    <w:basedOn w:val="DefaultParagraphFont"/>
    <w:link w:val="CommentText"/>
    <w:uiPriority w:val="99"/>
    <w:rsid w:val="00E4575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45754"/>
    <w:rPr>
      <w:b/>
      <w:bCs/>
    </w:rPr>
  </w:style>
  <w:style w:type="character" w:customStyle="1" w:styleId="CommentSubjectChar">
    <w:name w:val="Comment Subject Char"/>
    <w:basedOn w:val="CommentTextChar"/>
    <w:link w:val="CommentSubject"/>
    <w:uiPriority w:val="99"/>
    <w:semiHidden/>
    <w:rsid w:val="00E45754"/>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E45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754"/>
    <w:rPr>
      <w:rFonts w:ascii="Segoe UI" w:eastAsia="Times New Roman" w:hAnsi="Segoe UI" w:cs="Segoe UI"/>
      <w:sz w:val="18"/>
      <w:szCs w:val="18"/>
      <w:lang w:bidi="en-US"/>
    </w:rPr>
  </w:style>
  <w:style w:type="paragraph" w:styleId="FootnoteText">
    <w:name w:val="footnote text"/>
    <w:basedOn w:val="Normal"/>
    <w:link w:val="FootnoteTextChar"/>
    <w:uiPriority w:val="99"/>
    <w:semiHidden/>
    <w:unhideWhenUsed/>
    <w:rsid w:val="003829C5"/>
    <w:rPr>
      <w:sz w:val="20"/>
      <w:szCs w:val="20"/>
    </w:rPr>
  </w:style>
  <w:style w:type="character" w:customStyle="1" w:styleId="FootnoteTextChar">
    <w:name w:val="Footnote Text Char"/>
    <w:basedOn w:val="DefaultParagraphFont"/>
    <w:link w:val="FootnoteText"/>
    <w:uiPriority w:val="99"/>
    <w:semiHidden/>
    <w:rsid w:val="003829C5"/>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3829C5"/>
    <w:rPr>
      <w:vertAlign w:val="superscript"/>
    </w:rPr>
  </w:style>
  <w:style w:type="character" w:customStyle="1" w:styleId="p">
    <w:name w:val="p"/>
    <w:basedOn w:val="DefaultParagraphFont"/>
    <w:rsid w:val="00BD034F"/>
  </w:style>
  <w:style w:type="character" w:customStyle="1" w:styleId="BodyTextChar">
    <w:name w:val="Body Text Char"/>
    <w:basedOn w:val="DefaultParagraphFont"/>
    <w:link w:val="BodyText"/>
    <w:uiPriority w:val="1"/>
    <w:rsid w:val="00184F30"/>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info.gov/link/plaw/114/public/10?link-type=html" TargetMode="External"/><Relationship Id="rId18" Type="http://schemas.openxmlformats.org/officeDocument/2006/relationships/hyperlink" Target="https://www.bls.gov/oes/current/oes_nat.htm" TargetMode="External"/><Relationship Id="rId3" Type="http://schemas.openxmlformats.org/officeDocument/2006/relationships/styles" Target="styles.xml"/><Relationship Id="rId21" Type="http://schemas.openxmlformats.org/officeDocument/2006/relationships/hyperlink" Target="http://www.cms.gov/esMD" TargetMode="External"/><Relationship Id="rId7" Type="http://schemas.openxmlformats.org/officeDocument/2006/relationships/endnotes" Target="endnotes.xml"/><Relationship Id="rId12" Type="http://schemas.openxmlformats.org/officeDocument/2006/relationships/hyperlink" Target="https://www.federalregister.gov/citation/80-FR-64418" TargetMode="External"/><Relationship Id="rId17" Type="http://schemas.openxmlformats.org/officeDocument/2006/relationships/hyperlink" Target="https://www.federalregister.gov/documents/2019/09/16/2019-19886/medicare-program-extension-of-prior-authorization-for-repetitive-scheduled-non-emergent-ambulance" TargetMode="External"/><Relationship Id="rId2" Type="http://schemas.openxmlformats.org/officeDocument/2006/relationships/numbering" Target="numbering.xml"/><Relationship Id="rId16" Type="http://schemas.openxmlformats.org/officeDocument/2006/relationships/hyperlink" Target="https://www.federalregister.gov/documents/2019/09/16/2019-19886/medicare-program-extension-of-prior-authorization-for-repetitive-scheduled-non-emergent-ambulance" TargetMode="External"/><Relationship Id="rId20" Type="http://schemas.openxmlformats.org/officeDocument/2006/relationships/hyperlink" Target="http://www.cms.gov/esM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citation/79-FR-68271" TargetMode="External"/><Relationship Id="rId5" Type="http://schemas.openxmlformats.org/officeDocument/2006/relationships/webSettings" Target="webSettings.xml"/><Relationship Id="rId15" Type="http://schemas.openxmlformats.org/officeDocument/2006/relationships/hyperlink" Target="https://www.federalregister.gov/documents/2018/12/04/2018-26334/medicare-program-extension-of-prior-authorization-for-repetitive-scheduled-non-emergent-ambulance" TargetMode="External"/><Relationship Id="rId23" Type="http://schemas.openxmlformats.org/officeDocument/2006/relationships/theme" Target="theme/theme1.xml"/><Relationship Id="rId10" Type="http://schemas.openxmlformats.org/officeDocument/2006/relationships/hyperlink" Target="http://www.cms.gov/Regulations-and-Guidance/Guidance/Manuals/downloads/bp102c10.pdf" TargetMode="External"/><Relationship Id="rId19" Type="http://schemas.openxmlformats.org/officeDocument/2006/relationships/hyperlink" Target="http://www.cms.gov/esMD" TargetMode="External"/><Relationship Id="rId4" Type="http://schemas.openxmlformats.org/officeDocument/2006/relationships/settings" Target="settings.xml"/><Relationship Id="rId9" Type="http://schemas.openxmlformats.org/officeDocument/2006/relationships/hyperlink" Target="http://www.cms.gov/Regulations-and-Guidance/Guidance/Manuals/downloads/bp102c10.pdf" TargetMode="External"/><Relationship Id="rId14" Type="http://schemas.openxmlformats.org/officeDocument/2006/relationships/hyperlink" Target="https://www.federalregister.gov/citation/82-FR-584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FD2D8-7F01-4030-843B-E11CA268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4414</Words>
  <Characters>25163</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JAMAA HILL</dc:creator>
  <cp:lastModifiedBy>JAMAA HILL</cp:lastModifiedBy>
  <cp:revision>2</cp:revision>
  <dcterms:created xsi:type="dcterms:W3CDTF">2020-08-25T11:11:00Z</dcterms:created>
  <dcterms:modified xsi:type="dcterms:W3CDTF">2020-08-25T11:11:00Z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Acrobat PDFMaker 17 for Word</vt:lpwstr>
  </property>
  <property fmtid="{D5CDD505-2E9C-101B-9397-08002B2CF9AE}" pid="4" name="LastSaved">
    <vt:filetime>2020-07-31T00:00:00Z</vt:filetime>
  </property>
</Properties>
</file>