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79F1" w:rsidRDefault="000B79F1">
      <w:pPr>
        <w:pStyle w:val="BodyText"/>
        <w:rPr>
          <w:sz w:val="20"/>
        </w:rPr>
      </w:pPr>
    </w:p>
    <w:p w:rsidR="000B79F1" w:rsidRDefault="00A1145E">
      <w:pPr>
        <w:spacing w:before="240"/>
        <w:ind w:left="615" w:right="612"/>
        <w:jc w:val="center"/>
        <w:rPr>
          <w:rFonts w:ascii="Arial Black"/>
          <w:b/>
        </w:rPr>
      </w:pPr>
      <w:r>
        <w:rPr>
          <w:rFonts w:ascii="Arial Black"/>
          <w:b/>
        </w:rPr>
        <w:t>ELECTRONIC MEDICAL DOCUMENTATION INTEROPERABILITY (EMDI) PRE AND POST PILOT MEASURES SURVEY</w:t>
      </w:r>
    </w:p>
    <w:p w:rsidR="000B79F1" w:rsidRDefault="00A1145E">
      <w:pPr>
        <w:spacing w:before="1" w:line="310" w:lineRule="exact"/>
        <w:ind w:left="611" w:right="612"/>
        <w:jc w:val="center"/>
        <w:rPr>
          <w:rFonts w:ascii="Arial Black"/>
          <w:b/>
        </w:rPr>
      </w:pPr>
      <w:r>
        <w:rPr>
          <w:rFonts w:ascii="Arial Black"/>
          <w:b/>
        </w:rPr>
        <w:t>SUPPORTING STATEMENT PART A</w:t>
      </w:r>
    </w:p>
    <w:p w:rsidR="000B79F1" w:rsidRDefault="00A1145E">
      <w:pPr>
        <w:spacing w:line="310" w:lineRule="exact"/>
        <w:ind w:left="611" w:right="612"/>
        <w:jc w:val="center"/>
        <w:rPr>
          <w:rFonts w:ascii="Arial Black"/>
          <w:b/>
        </w:rPr>
      </w:pPr>
      <w:bookmarkStart w:name="A.__Background" w:id="0"/>
      <w:bookmarkEnd w:id="0"/>
      <w:r>
        <w:rPr>
          <w:rFonts w:ascii="Arial Black"/>
          <w:b/>
        </w:rPr>
        <w:t>CMS-10714/OMB control number: 0938-New</w:t>
      </w:r>
    </w:p>
    <w:p w:rsidR="000B79F1" w:rsidRDefault="00A1145E">
      <w:pPr>
        <w:pStyle w:val="ListParagraph"/>
        <w:numPr>
          <w:ilvl w:val="0"/>
          <w:numId w:val="3"/>
        </w:numPr>
        <w:tabs>
          <w:tab w:val="left" w:pos="935"/>
        </w:tabs>
        <w:spacing w:before="239"/>
        <w:ind w:hanging="434"/>
        <w:rPr>
          <w:rFonts w:ascii="Arial Black"/>
          <w:b/>
        </w:rPr>
      </w:pPr>
      <w:r>
        <w:rPr>
          <w:rFonts w:ascii="Arial Black"/>
          <w:b/>
        </w:rPr>
        <w:t>Background</w:t>
      </w:r>
    </w:p>
    <w:p w:rsidR="000B79F1" w:rsidRDefault="00A1145E">
      <w:pPr>
        <w:pStyle w:val="BodyText"/>
        <w:spacing w:before="113" w:line="259" w:lineRule="auto"/>
        <w:ind w:left="500" w:right="302"/>
      </w:pPr>
      <w:r>
        <w:t>The EMDI program assists the Centers for Medicare &amp; Medicaid Services (CMS) Health Information Technology (health IT) standards and interoperability (S&amp;I) initiative, which is to: (1) facilitate and expand the secure transport of interoperable electronic d</w:t>
      </w:r>
      <w:r>
        <w:t>ocumentation,</w:t>
      </w:r>
    </w:p>
    <w:p w:rsidR="000B79F1" w:rsidRDefault="00A1145E">
      <w:pPr>
        <w:pStyle w:val="BodyText"/>
        <w:spacing w:line="259" w:lineRule="auto"/>
        <w:ind w:left="500" w:right="182"/>
      </w:pPr>
      <w:r>
        <w:t>(2) utilize and fill in the gaps in the current standards to achieve increased level of interoperability among systems and organizations, and (3) demonstrate the utility of these standards by establishing pilot programs with existing Health I</w:t>
      </w:r>
      <w:r>
        <w:t>nformation Handlers, Health Information Service Providers (HISP), and health care providers. The EMDI program does this by testing the ability of providers to perform electronic interoperable data transfers using one, or all of three Use Cases, the “Physic</w:t>
      </w:r>
      <w:r>
        <w:t>ian’s Order,” the “Additional Documentation Request,” and the “Request for Physician Signature.” CMS is requesting approval from the Office of Management and Budget (OMB) to collect data using surveys given before, and after provider participants have comp</w:t>
      </w:r>
      <w:r>
        <w:t>leted their pilot of the EMDI program.</w:t>
      </w:r>
    </w:p>
    <w:p w:rsidR="000B79F1" w:rsidRDefault="00A1145E">
      <w:pPr>
        <w:pStyle w:val="ListParagraph"/>
        <w:numPr>
          <w:ilvl w:val="0"/>
          <w:numId w:val="2"/>
        </w:numPr>
        <w:tabs>
          <w:tab w:val="left" w:pos="510"/>
        </w:tabs>
        <w:spacing w:before="167"/>
        <w:ind w:hanging="369"/>
        <w:rPr>
          <w:rFonts w:ascii="Arial Black"/>
          <w:b/>
        </w:rPr>
      </w:pPr>
      <w:bookmarkStart w:name="1.__Justification" w:id="1"/>
      <w:bookmarkEnd w:id="1"/>
      <w:r>
        <w:rPr>
          <w:rFonts w:ascii="Arial Black"/>
          <w:b/>
        </w:rPr>
        <w:t>Justification</w:t>
      </w:r>
    </w:p>
    <w:p w:rsidR="000B79F1" w:rsidRDefault="00A1145E">
      <w:pPr>
        <w:pStyle w:val="BodyText"/>
        <w:spacing w:before="113" w:line="259" w:lineRule="auto"/>
        <w:ind w:left="499" w:right="182"/>
      </w:pPr>
      <w:r>
        <w:t>The EMDI Initiative, associated documentation, and pilots are for the purposes of evaluating the performance of CMS policies that involve interoperability and the collection of data/information only. The</w:t>
      </w:r>
      <w:r>
        <w:t xml:space="preserve"> collected data/information will help CMS, and the EMDI team in determining the overall effectiveness of piloting the EMDI program, as well as assessing each provider’s current ability to send, and receive electronic data. The EMDI Pre and Post Pilot Measu</w:t>
      </w:r>
      <w:r>
        <w:t>res Survey asks pilot participants to answer twenty three Pre-Pilot questions, and six Post-Pilot questions using numbers, percentages, and/or</w:t>
      </w:r>
      <w:r>
        <w:rPr>
          <w:spacing w:val="-21"/>
        </w:rPr>
        <w:t xml:space="preserve"> </w:t>
      </w:r>
      <w:r>
        <w:t>averages.</w:t>
      </w:r>
    </w:p>
    <w:p w:rsidR="000B79F1" w:rsidRDefault="00A1145E">
      <w:pPr>
        <w:pStyle w:val="Heading1"/>
        <w:numPr>
          <w:ilvl w:val="0"/>
          <w:numId w:val="2"/>
        </w:numPr>
        <w:tabs>
          <w:tab w:val="left" w:pos="571"/>
          <w:tab w:val="left" w:pos="572"/>
        </w:tabs>
        <w:spacing w:before="165"/>
        <w:ind w:left="572" w:hanging="432"/>
      </w:pPr>
      <w:bookmarkStart w:name="2._Information_and_Users" w:id="2"/>
      <w:bookmarkEnd w:id="2"/>
      <w:r>
        <w:t>Information and</w:t>
      </w:r>
      <w:r>
        <w:rPr>
          <w:spacing w:val="-10"/>
        </w:rPr>
        <w:t xml:space="preserve"> </w:t>
      </w:r>
      <w:r>
        <w:t>Users</w:t>
      </w:r>
    </w:p>
    <w:p w:rsidR="000B79F1" w:rsidRDefault="00A1145E">
      <w:pPr>
        <w:pStyle w:val="BodyText"/>
        <w:spacing w:before="115"/>
        <w:ind w:left="571" w:right="270"/>
      </w:pPr>
      <w:bookmarkStart w:name="The_data/information_collected_from_this" w:id="3"/>
      <w:bookmarkEnd w:id="3"/>
      <w:r>
        <w:t>The data/information collected from this survey will be for CMS internal use only</w:t>
      </w:r>
      <w:r>
        <w:t>, and will be collated for statistical analysis, the results of which will be added to the EMDI monthly progress report, and will include bar graphs, and/or pie charts to monitor, and track any trends that are found within the data.</w:t>
      </w:r>
    </w:p>
    <w:p w:rsidR="000B79F1" w:rsidRDefault="00A1145E">
      <w:pPr>
        <w:pStyle w:val="BodyText"/>
        <w:spacing w:before="120"/>
        <w:ind w:left="571" w:right="257"/>
      </w:pPr>
      <w:r>
        <w:t>The users of this data will consist of CMS management, and staff to include CMS Office of Administration senior leadership, the CMS Office of Health Informatics leadership, the Center for Program Integrity senior, and group level leadership, the Provider C</w:t>
      </w:r>
      <w:r>
        <w:t>ompliance Group (PCG) senior leadership, the PCG Division of Compliance Projects, and Demonstrations (DCPD) Division Director, and Deputy Director, the EMDI Contracting Officer (CO), the EMDI Contract Specialist (CS), the EMDI Contracting Officer Represent</w:t>
      </w:r>
      <w:r>
        <w:t>ative (COR), the EMDI Contractor, and all other stakeholders within CMS that might find the data/information useful.</w:t>
      </w:r>
    </w:p>
    <w:p w:rsidR="000B79F1" w:rsidRDefault="000B79F1">
      <w:pPr>
        <w:sectPr w:rsidR="000B79F1">
          <w:headerReference w:type="default" r:id="rId7"/>
          <w:footerReference w:type="default" r:id="rId8"/>
          <w:type w:val="continuous"/>
          <w:pgSz w:w="12240" w:h="15840"/>
          <w:pgMar w:top="960" w:right="1300" w:bottom="1080" w:left="1300" w:header="723" w:footer="899" w:gutter="0"/>
          <w:cols w:space="720"/>
        </w:sectPr>
      </w:pPr>
    </w:p>
    <w:p w:rsidR="000B79F1" w:rsidRDefault="000B79F1">
      <w:pPr>
        <w:pStyle w:val="BodyText"/>
        <w:rPr>
          <w:sz w:val="20"/>
        </w:rPr>
      </w:pPr>
    </w:p>
    <w:p w:rsidR="000B79F1" w:rsidRDefault="000B79F1">
      <w:pPr>
        <w:pStyle w:val="BodyText"/>
        <w:spacing w:before="9"/>
        <w:rPr>
          <w:sz w:val="20"/>
        </w:rPr>
      </w:pPr>
    </w:p>
    <w:p w:rsidR="000B79F1" w:rsidRDefault="00A1145E">
      <w:pPr>
        <w:pStyle w:val="Heading1"/>
        <w:numPr>
          <w:ilvl w:val="0"/>
          <w:numId w:val="2"/>
        </w:numPr>
        <w:tabs>
          <w:tab w:val="left" w:pos="571"/>
          <w:tab w:val="left" w:pos="572"/>
        </w:tabs>
        <w:ind w:left="572" w:hanging="432"/>
      </w:pPr>
      <w:bookmarkStart w:name="3._Use_of_Information_Technology" w:id="4"/>
      <w:bookmarkEnd w:id="4"/>
      <w:r>
        <w:t>Use of Information</w:t>
      </w:r>
      <w:r>
        <w:rPr>
          <w:spacing w:val="-3"/>
        </w:rPr>
        <w:t xml:space="preserve"> </w:t>
      </w:r>
      <w:r>
        <w:t>Technology</w:t>
      </w:r>
    </w:p>
    <w:p w:rsidR="000B79F1" w:rsidRDefault="00A1145E">
      <w:pPr>
        <w:pStyle w:val="BodyText"/>
        <w:spacing w:before="9" w:line="249" w:lineRule="auto"/>
        <w:ind w:left="571" w:right="192"/>
        <w:jc w:val="both"/>
      </w:pPr>
      <w:r>
        <w:t>To help reduce any provider burden associated with this survey, we will, whenever</w:t>
      </w:r>
      <w:r>
        <w:rPr>
          <w:spacing w:val="-10"/>
        </w:rPr>
        <w:t xml:space="preserve"> </w:t>
      </w:r>
      <w:r>
        <w:t>possible, use advanced technology to collect data, and when feasible we will gather information from existing</w:t>
      </w:r>
      <w:r>
        <w:rPr>
          <w:spacing w:val="-8"/>
        </w:rPr>
        <w:t xml:space="preserve"> </w:t>
      </w:r>
      <w:r>
        <w:t>data</w:t>
      </w:r>
      <w:r>
        <w:rPr>
          <w:spacing w:val="-7"/>
        </w:rPr>
        <w:t xml:space="preserve"> </w:t>
      </w:r>
      <w:r>
        <w:t>sources</w:t>
      </w:r>
      <w:r>
        <w:rPr>
          <w:spacing w:val="-7"/>
        </w:rPr>
        <w:t xml:space="preserve"> </w:t>
      </w:r>
      <w:r>
        <w:t>using</w:t>
      </w:r>
      <w:r>
        <w:rPr>
          <w:spacing w:val="-8"/>
        </w:rPr>
        <w:t xml:space="preserve"> </w:t>
      </w:r>
      <w:r>
        <w:t>the</w:t>
      </w:r>
      <w:r>
        <w:rPr>
          <w:spacing w:val="-8"/>
        </w:rPr>
        <w:t xml:space="preserve"> </w:t>
      </w:r>
      <w:r>
        <w:t>most</w:t>
      </w:r>
      <w:r>
        <w:rPr>
          <w:spacing w:val="-6"/>
        </w:rPr>
        <w:t xml:space="preserve"> </w:t>
      </w:r>
      <w:r>
        <w:t>efficient</w:t>
      </w:r>
      <w:r>
        <w:rPr>
          <w:spacing w:val="-6"/>
        </w:rPr>
        <w:t xml:space="preserve"> </w:t>
      </w:r>
      <w:r>
        <w:t>methods</w:t>
      </w:r>
      <w:r>
        <w:rPr>
          <w:spacing w:val="-6"/>
        </w:rPr>
        <w:t xml:space="preserve"> </w:t>
      </w:r>
      <w:r>
        <w:t>available.</w:t>
      </w:r>
    </w:p>
    <w:p w:rsidR="000B79F1" w:rsidRDefault="000B79F1">
      <w:pPr>
        <w:pStyle w:val="BodyText"/>
        <w:spacing w:before="8"/>
      </w:pPr>
    </w:p>
    <w:p w:rsidR="000B79F1" w:rsidRDefault="00A1145E">
      <w:pPr>
        <w:pStyle w:val="BodyText"/>
        <w:spacing w:before="1" w:line="249" w:lineRule="auto"/>
        <w:ind w:left="571"/>
      </w:pPr>
      <w:r>
        <w:t>We will administer the survey via email, and/or through the use of web-based, or other forms of social media. This will allow respondents to access the survey from any computer. In addition, the web-based survey will enable respondents to complete the surv</w:t>
      </w:r>
      <w:r>
        <w:t>ey at a location and time of their choice.</w:t>
      </w:r>
    </w:p>
    <w:p w:rsidR="000B79F1" w:rsidRDefault="000B79F1">
      <w:pPr>
        <w:pStyle w:val="BodyText"/>
        <w:spacing w:before="4"/>
        <w:rPr>
          <w:sz w:val="20"/>
        </w:rPr>
      </w:pPr>
    </w:p>
    <w:p w:rsidR="000B79F1" w:rsidRDefault="00A1145E">
      <w:pPr>
        <w:pStyle w:val="Heading1"/>
        <w:numPr>
          <w:ilvl w:val="0"/>
          <w:numId w:val="2"/>
        </w:numPr>
        <w:tabs>
          <w:tab w:val="left" w:pos="571"/>
          <w:tab w:val="left" w:pos="572"/>
        </w:tabs>
        <w:ind w:left="572" w:hanging="432"/>
      </w:pPr>
      <w:bookmarkStart w:name="4._Duplication_of_Effort" w:id="5"/>
      <w:bookmarkEnd w:id="5"/>
      <w:r>
        <w:t>Duplication of</w:t>
      </w:r>
      <w:r>
        <w:rPr>
          <w:spacing w:val="5"/>
        </w:rPr>
        <w:t xml:space="preserve"> </w:t>
      </w:r>
      <w:r>
        <w:t>Effort</w:t>
      </w:r>
    </w:p>
    <w:p w:rsidR="000B79F1" w:rsidRDefault="00A1145E">
      <w:pPr>
        <w:pStyle w:val="BodyText"/>
        <w:spacing w:before="115"/>
        <w:ind w:left="571"/>
      </w:pPr>
      <w:r>
        <w:t>The EMDI Pre-Post Pilot Measures Survey will not duplicate any efforts for respondents.</w:t>
      </w:r>
    </w:p>
    <w:p w:rsidR="000B79F1" w:rsidRDefault="000B79F1">
      <w:pPr>
        <w:pStyle w:val="BodyText"/>
        <w:spacing w:before="3"/>
        <w:rPr>
          <w:sz w:val="21"/>
        </w:rPr>
      </w:pPr>
    </w:p>
    <w:p w:rsidR="000B79F1" w:rsidRDefault="00A1145E">
      <w:pPr>
        <w:pStyle w:val="Heading1"/>
        <w:numPr>
          <w:ilvl w:val="0"/>
          <w:numId w:val="2"/>
        </w:numPr>
        <w:tabs>
          <w:tab w:val="left" w:pos="571"/>
          <w:tab w:val="left" w:pos="572"/>
        </w:tabs>
        <w:ind w:left="572" w:hanging="432"/>
      </w:pPr>
      <w:bookmarkStart w:name="5._Small_Businesses" w:id="6"/>
      <w:bookmarkEnd w:id="6"/>
      <w:r>
        <w:t>Small</w:t>
      </w:r>
      <w:r>
        <w:rPr>
          <w:spacing w:val="-1"/>
        </w:rPr>
        <w:t xml:space="preserve"> </w:t>
      </w:r>
      <w:r>
        <w:t>Businesses</w:t>
      </w:r>
    </w:p>
    <w:p w:rsidR="000B79F1" w:rsidRDefault="00A1145E">
      <w:pPr>
        <w:pStyle w:val="BodyText"/>
        <w:spacing w:before="18" w:line="256" w:lineRule="auto"/>
        <w:ind w:left="571" w:right="130"/>
      </w:pPr>
      <w:r>
        <w:t>The EMDI Pre-Post Pilot Measures Survey may involve pilot participants who are large</w:t>
      </w:r>
      <w:r>
        <w:t>, and small businesses alike depending on what type of provider they are, and what part they play in the pilot process. In order to reduce provider burden, and the decrease the amount of time necessary to fill out the survey, the questions were kept to usi</w:t>
      </w:r>
      <w:r>
        <w:t>ng numbers, percentages, and/ or averages. Many of the questions ask the respondent to reply whether or not they agree with a statement ranging their answer from Strongly Disagree to Strongly Agree.</w:t>
      </w:r>
    </w:p>
    <w:p w:rsidR="000B79F1" w:rsidRDefault="00A1145E">
      <w:pPr>
        <w:pStyle w:val="Heading1"/>
        <w:numPr>
          <w:ilvl w:val="0"/>
          <w:numId w:val="2"/>
        </w:numPr>
        <w:tabs>
          <w:tab w:val="left" w:pos="571"/>
          <w:tab w:val="left" w:pos="572"/>
        </w:tabs>
        <w:spacing w:before="225"/>
        <w:ind w:left="572" w:hanging="432"/>
      </w:pPr>
      <w:bookmarkStart w:name="6._Less-Frequent_Collection" w:id="7"/>
      <w:bookmarkEnd w:id="7"/>
      <w:r>
        <w:t>Less-Frequent</w:t>
      </w:r>
      <w:r>
        <w:rPr>
          <w:spacing w:val="-11"/>
        </w:rPr>
        <w:t xml:space="preserve"> </w:t>
      </w:r>
      <w:r>
        <w:t>Collection</w:t>
      </w:r>
    </w:p>
    <w:p w:rsidR="000B79F1" w:rsidRDefault="00A1145E">
      <w:pPr>
        <w:pStyle w:val="BodyText"/>
        <w:spacing w:before="57" w:line="290" w:lineRule="auto"/>
        <w:ind w:left="571" w:right="284"/>
      </w:pPr>
      <w:r>
        <w:t>The collection of data through t</w:t>
      </w:r>
      <w:r>
        <w:t>his survey will be minimal, and infrequent as it will only be administered to EMDI pilot participants prior to, and after conducting of a pilot.</w:t>
      </w:r>
    </w:p>
    <w:p w:rsidR="000B79F1" w:rsidRDefault="00A1145E">
      <w:pPr>
        <w:pStyle w:val="Heading1"/>
        <w:numPr>
          <w:ilvl w:val="0"/>
          <w:numId w:val="2"/>
        </w:numPr>
        <w:tabs>
          <w:tab w:val="left" w:pos="571"/>
          <w:tab w:val="left" w:pos="572"/>
        </w:tabs>
        <w:spacing w:before="189"/>
        <w:ind w:left="572" w:hanging="432"/>
      </w:pPr>
      <w:bookmarkStart w:name="7._Special_circumstances" w:id="8"/>
      <w:bookmarkEnd w:id="8"/>
      <w:r>
        <w:t>Special</w:t>
      </w:r>
      <w:r>
        <w:rPr>
          <w:spacing w:val="-20"/>
        </w:rPr>
        <w:t xml:space="preserve"> </w:t>
      </w:r>
      <w:r>
        <w:t>circumstances</w:t>
      </w:r>
    </w:p>
    <w:p w:rsidR="000B79F1" w:rsidRDefault="00A1145E">
      <w:pPr>
        <w:pStyle w:val="BodyText"/>
        <w:spacing w:before="115"/>
        <w:ind w:left="571"/>
      </w:pPr>
      <w:r>
        <w:t>There are no special circumstances for the proposed data collection.</w:t>
      </w:r>
    </w:p>
    <w:p w:rsidR="000B79F1" w:rsidRDefault="000B79F1">
      <w:pPr>
        <w:pStyle w:val="BodyText"/>
        <w:spacing w:before="2"/>
        <w:rPr>
          <w:sz w:val="21"/>
        </w:rPr>
      </w:pPr>
    </w:p>
    <w:p w:rsidR="000B79F1" w:rsidRDefault="00A1145E">
      <w:pPr>
        <w:pStyle w:val="Heading1"/>
        <w:numPr>
          <w:ilvl w:val="0"/>
          <w:numId w:val="2"/>
        </w:numPr>
        <w:tabs>
          <w:tab w:val="left" w:pos="571"/>
          <w:tab w:val="left" w:pos="572"/>
        </w:tabs>
        <w:spacing w:before="1"/>
        <w:ind w:left="572" w:hanging="432"/>
      </w:pPr>
      <w:bookmarkStart w:name="8._Federal_Register/Outside_Consultation" w:id="9"/>
      <w:bookmarkEnd w:id="9"/>
      <w:r>
        <w:t>Federa</w:t>
      </w:r>
      <w:r>
        <w:t>l Register/Outside</w:t>
      </w:r>
      <w:r>
        <w:rPr>
          <w:spacing w:val="-16"/>
        </w:rPr>
        <w:t xml:space="preserve"> </w:t>
      </w:r>
      <w:r>
        <w:t>Consultation</w:t>
      </w:r>
    </w:p>
    <w:p w:rsidR="000B79F1" w:rsidRDefault="00A1145E">
      <w:pPr>
        <w:spacing w:before="187" w:line="398" w:lineRule="auto"/>
        <w:ind w:left="571" w:right="182"/>
      </w:pPr>
      <w:r>
        <w:rPr>
          <w:sz w:val="24"/>
        </w:rPr>
        <w:t xml:space="preserve">A 60-day notice published in the Federal Register on November 14, 2019 (84 FR 61911). A </w:t>
      </w:r>
      <w:bookmarkStart w:name="No_outside_consultation_was_sought." w:id="10"/>
      <w:bookmarkEnd w:id="10"/>
      <w:r>
        <w:rPr>
          <w:sz w:val="24"/>
        </w:rPr>
        <w:t xml:space="preserve">single comment was received; however, the comment was out of scope of the subject PRA </w:t>
      </w:r>
      <w:bookmarkStart w:name="9._Payment/Gifts_to_Respondents" w:id="11"/>
      <w:bookmarkEnd w:id="11"/>
      <w:r>
        <w:t>content.  A 30-day FR Notice published February 24</w:t>
      </w:r>
      <w:r>
        <w:t>, 2020.</w:t>
      </w:r>
    </w:p>
    <w:p w:rsidR="000B79F1" w:rsidRDefault="00A1145E">
      <w:pPr>
        <w:pStyle w:val="BodyText"/>
        <w:spacing w:before="22"/>
        <w:ind w:left="571"/>
      </w:pPr>
      <w:r>
        <w:t>No outside consultation was sought.</w:t>
      </w:r>
    </w:p>
    <w:p w:rsidR="000B79F1" w:rsidRDefault="00A1145E">
      <w:pPr>
        <w:pStyle w:val="Heading1"/>
        <w:numPr>
          <w:ilvl w:val="0"/>
          <w:numId w:val="2"/>
        </w:numPr>
        <w:tabs>
          <w:tab w:val="left" w:pos="571"/>
          <w:tab w:val="left" w:pos="572"/>
        </w:tabs>
        <w:spacing w:before="124"/>
        <w:ind w:left="572" w:hanging="432"/>
      </w:pPr>
      <w:bookmarkStart w:name="10._Confidentiality" w:id="12"/>
      <w:bookmarkEnd w:id="12"/>
      <w:r>
        <w:t>Payment/Gifts to</w:t>
      </w:r>
      <w:r>
        <w:rPr>
          <w:spacing w:val="-11"/>
        </w:rPr>
        <w:t xml:space="preserve"> </w:t>
      </w:r>
      <w:r>
        <w:t>Respondents</w:t>
      </w:r>
    </w:p>
    <w:p w:rsidR="000B79F1" w:rsidRDefault="00A1145E">
      <w:pPr>
        <w:pStyle w:val="BodyText"/>
        <w:spacing w:before="114"/>
        <w:ind w:left="571"/>
      </w:pPr>
      <w:r>
        <w:t>Survey respondents will not receive a payment or gift of any type.</w:t>
      </w:r>
    </w:p>
    <w:p w:rsidR="000B79F1" w:rsidRDefault="000B79F1">
      <w:pPr>
        <w:pStyle w:val="BodyText"/>
        <w:spacing w:before="2"/>
        <w:rPr>
          <w:sz w:val="21"/>
        </w:rPr>
      </w:pPr>
    </w:p>
    <w:p w:rsidR="000B79F1" w:rsidRDefault="00A1145E">
      <w:pPr>
        <w:pStyle w:val="Heading1"/>
        <w:numPr>
          <w:ilvl w:val="0"/>
          <w:numId w:val="2"/>
        </w:numPr>
        <w:tabs>
          <w:tab w:val="left" w:pos="572"/>
        </w:tabs>
        <w:ind w:left="572" w:hanging="432"/>
      </w:pPr>
      <w:r>
        <w:t>Confidentiality</w:t>
      </w:r>
    </w:p>
    <w:p w:rsidR="000B79F1" w:rsidRDefault="00A1145E">
      <w:pPr>
        <w:pStyle w:val="BodyText"/>
        <w:spacing w:before="13" w:line="252" w:lineRule="auto"/>
        <w:ind w:left="571" w:right="217"/>
      </w:pPr>
      <w:r>
        <w:t>Before the start of the survey, we will inform all respondents that the information gathered will b</w:t>
      </w:r>
      <w:r>
        <w:t>e used for CMS internal data collection purposes only, will not be attributable to any individual, nor will the information be made available to the public. Responses should not contain private information but will be aggregated to the extent possible so a</w:t>
      </w:r>
      <w:r>
        <w:t>s not to include any identifiable private information.  For each respondent, we will collect the name of</w:t>
      </w:r>
    </w:p>
    <w:p w:rsidRPr="00A1145E" w:rsidR="00A1145E" w:rsidRDefault="00A1145E">
      <w:pPr>
        <w:pStyle w:val="BodyText"/>
        <w:tabs>
          <w:tab w:val="left" w:pos="571"/>
          <w:tab w:val="left" w:pos="9528"/>
        </w:tabs>
        <w:ind w:left="571" w:hanging="461"/>
      </w:pPr>
      <w:r w:rsidRPr="00A1145E">
        <w:t xml:space="preserve"> </w:t>
      </w:r>
      <w:r w:rsidRPr="00A1145E">
        <w:tab/>
        <w:t>provider, the type of provider, their contact information, and the EMDI Pilot</w:t>
      </w:r>
      <w:r w:rsidRPr="00A1145E">
        <w:rPr>
          <w:spacing w:val="-14"/>
        </w:rPr>
        <w:t xml:space="preserve"> </w:t>
      </w:r>
      <w:r w:rsidRPr="00A1145E">
        <w:t xml:space="preserve">they participated </w:t>
      </w:r>
      <w:r w:rsidRPr="00A1145E">
        <w:lastRenderedPageBreak/>
        <w:t>in.  No Personal Identifiable Information (PII) will be collected, and only the EMDI team will have access to pilot survey responses.</w:t>
      </w:r>
    </w:p>
    <w:p w:rsidR="00A1145E" w:rsidRDefault="00A1145E">
      <w:pPr>
        <w:pStyle w:val="BodyText"/>
        <w:tabs>
          <w:tab w:val="left" w:pos="571"/>
          <w:tab w:val="left" w:pos="9528"/>
        </w:tabs>
        <w:ind w:left="571" w:hanging="461"/>
        <w:rPr>
          <w:u w:val="single"/>
        </w:rPr>
      </w:pPr>
    </w:p>
    <w:p w:rsidR="000B79F1" w:rsidRDefault="00A1145E">
      <w:pPr>
        <w:pStyle w:val="Heading1"/>
        <w:numPr>
          <w:ilvl w:val="0"/>
          <w:numId w:val="2"/>
        </w:numPr>
        <w:tabs>
          <w:tab w:val="left" w:pos="572"/>
        </w:tabs>
        <w:ind w:left="572" w:hanging="432"/>
        <w:jc w:val="both"/>
      </w:pPr>
      <w:bookmarkStart w:name="11._Sensitive_Questions" w:id="13"/>
      <w:bookmarkEnd w:id="13"/>
      <w:r>
        <w:t>Sensitive</w:t>
      </w:r>
      <w:r>
        <w:rPr>
          <w:spacing w:val="-6"/>
        </w:rPr>
        <w:t xml:space="preserve"> </w:t>
      </w:r>
      <w:r>
        <w:t>Questions</w:t>
      </w:r>
    </w:p>
    <w:p w:rsidR="000B79F1" w:rsidRDefault="00A1145E">
      <w:pPr>
        <w:pStyle w:val="BodyText"/>
        <w:spacing w:before="114"/>
        <w:ind w:left="571" w:right="302"/>
      </w:pPr>
      <w:r>
        <w:t>There are no questions of a sensitive nature in the EMDI Pre and Post Pilot Measures Survey.</w:t>
      </w:r>
    </w:p>
    <w:p w:rsidR="000B79F1" w:rsidRDefault="000B79F1">
      <w:pPr>
        <w:pStyle w:val="BodyText"/>
        <w:spacing w:before="2"/>
        <w:rPr>
          <w:sz w:val="21"/>
        </w:rPr>
      </w:pPr>
    </w:p>
    <w:p w:rsidR="000B79F1" w:rsidRDefault="00A1145E">
      <w:pPr>
        <w:pStyle w:val="Heading1"/>
        <w:numPr>
          <w:ilvl w:val="0"/>
          <w:numId w:val="2"/>
        </w:numPr>
        <w:tabs>
          <w:tab w:val="left" w:pos="572"/>
        </w:tabs>
        <w:ind w:left="572" w:hanging="432"/>
        <w:jc w:val="both"/>
      </w:pPr>
      <w:bookmarkStart w:name="12._Burden_Estimates_(hours_and_wages)" w:id="14"/>
      <w:bookmarkEnd w:id="14"/>
      <w:r>
        <w:t>B</w:t>
      </w:r>
      <w:r>
        <w:t>urden Estimates (hours and</w:t>
      </w:r>
      <w:r>
        <w:rPr>
          <w:spacing w:val="-9"/>
        </w:rPr>
        <w:t xml:space="preserve"> </w:t>
      </w:r>
      <w:r>
        <w:t>wages)</w:t>
      </w:r>
    </w:p>
    <w:p w:rsidR="000B79F1" w:rsidRDefault="00A1145E">
      <w:pPr>
        <w:pStyle w:val="BodyText"/>
        <w:spacing w:before="114"/>
        <w:ind w:left="571" w:right="217"/>
      </w:pPr>
      <w:r>
        <w:t>The EMDI Pre and Post Pilot survey is designed to collect information/data that will help CMS, and the EMDI team determine the overall effectiveness of piloting the EMDI program, as well as assess provider’s current abilit</w:t>
      </w:r>
      <w:r>
        <w:t>y to send, and receive electronic data transfers. Therefore, the burden associated with conducting the survey is the time and effort put forth by providers who pilot the EMDI program to answer the survey questions. We estimate it would take one survey resp</w:t>
      </w:r>
      <w:r>
        <w:t>ondent approximately 30 minutes to answer all of the questions of the survey, and submit them back to the EMDI team for review. We estimate that up to 240 participants will complete the survey per year. The total annual burden hours associated with answeri</w:t>
      </w:r>
      <w:r>
        <w:t>ng the survey questions is approximately 120 hours per CY.</w:t>
      </w:r>
    </w:p>
    <w:p w:rsidR="000B79F1" w:rsidRDefault="000B79F1">
      <w:pPr>
        <w:pStyle w:val="BodyText"/>
        <w:spacing w:before="2"/>
        <w:rPr>
          <w:sz w:val="21"/>
        </w:rPr>
      </w:pPr>
    </w:p>
    <w:p w:rsidR="000B79F1" w:rsidRDefault="00A1145E">
      <w:pPr>
        <w:pStyle w:val="Heading1"/>
        <w:spacing w:before="1"/>
        <w:ind w:left="140" w:firstLine="0"/>
        <w:jc w:val="both"/>
      </w:pPr>
      <w:bookmarkStart w:name="Wage_Estimate" w:id="15"/>
      <w:bookmarkEnd w:id="15"/>
      <w:r>
        <w:t>Wage Estimate</w:t>
      </w:r>
    </w:p>
    <w:p w:rsidR="000B79F1" w:rsidRDefault="000B79F1">
      <w:pPr>
        <w:pStyle w:val="BodyText"/>
        <w:rPr>
          <w:b/>
          <w:sz w:val="26"/>
        </w:rPr>
      </w:pPr>
    </w:p>
    <w:p w:rsidR="000B79F1" w:rsidRDefault="000B79F1">
      <w:pPr>
        <w:pStyle w:val="BodyText"/>
        <w:spacing w:before="4"/>
        <w:rPr>
          <w:b/>
          <w:sz w:val="29"/>
        </w:rPr>
      </w:pPr>
    </w:p>
    <w:p w:rsidR="000B79F1" w:rsidRDefault="00A1145E">
      <w:pPr>
        <w:spacing w:before="1" w:after="59"/>
        <w:ind w:left="140"/>
        <w:jc w:val="both"/>
        <w:rPr>
          <w:rFonts w:ascii="Arial Black"/>
          <w:b/>
        </w:rPr>
      </w:pPr>
      <w:r>
        <w:rPr>
          <w:rFonts w:ascii="Arial Black"/>
          <w:b/>
        </w:rPr>
        <w:t>Table A.1.  Burden Estimates</w:t>
      </w:r>
    </w:p>
    <w:tbl>
      <w:tblPr>
        <w:tblW w:w="0" w:type="auto"/>
        <w:tblInd w:w="135"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2806"/>
        <w:gridCol w:w="1690"/>
        <w:gridCol w:w="1788"/>
        <w:gridCol w:w="1193"/>
        <w:gridCol w:w="1884"/>
      </w:tblGrid>
      <w:tr w:rsidR="000B79F1">
        <w:trPr>
          <w:trHeight w:val="1008" w:hRule="exact"/>
        </w:trPr>
        <w:tc>
          <w:tcPr>
            <w:tcW w:w="2806" w:type="dxa"/>
            <w:shd w:val="clear" w:color="auto" w:fill="6C6F70"/>
          </w:tcPr>
          <w:p w:rsidR="000B79F1" w:rsidRDefault="000B79F1">
            <w:pPr>
              <w:pStyle w:val="TableParagraph"/>
              <w:rPr>
                <w:rFonts w:ascii="Arial Black"/>
                <w:b/>
                <w:sz w:val="20"/>
              </w:rPr>
            </w:pPr>
          </w:p>
          <w:p w:rsidR="000B79F1" w:rsidRDefault="000B79F1">
            <w:pPr>
              <w:pStyle w:val="TableParagraph"/>
              <w:rPr>
                <w:rFonts w:ascii="Arial Black"/>
                <w:b/>
                <w:sz w:val="20"/>
              </w:rPr>
            </w:pPr>
          </w:p>
          <w:p w:rsidR="000B79F1" w:rsidRDefault="00A1145E">
            <w:pPr>
              <w:pStyle w:val="TableParagraph"/>
              <w:spacing w:before="172"/>
              <w:ind w:left="108"/>
              <w:rPr>
                <w:b/>
                <w:sz w:val="18"/>
              </w:rPr>
            </w:pPr>
            <w:r>
              <w:rPr>
                <w:b/>
                <w:color w:val="FFFFFF"/>
                <w:sz w:val="18"/>
              </w:rPr>
              <w:t>Occupation title</w:t>
            </w:r>
          </w:p>
        </w:tc>
        <w:tc>
          <w:tcPr>
            <w:tcW w:w="1690" w:type="dxa"/>
            <w:shd w:val="clear" w:color="auto" w:fill="6C6F70"/>
          </w:tcPr>
          <w:p w:rsidR="000B79F1" w:rsidRDefault="000B79F1">
            <w:pPr>
              <w:pStyle w:val="TableParagraph"/>
              <w:rPr>
                <w:rFonts w:ascii="Arial Black"/>
                <w:b/>
                <w:sz w:val="20"/>
              </w:rPr>
            </w:pPr>
          </w:p>
          <w:p w:rsidR="000B79F1" w:rsidRDefault="000B79F1">
            <w:pPr>
              <w:pStyle w:val="TableParagraph"/>
              <w:rPr>
                <w:rFonts w:ascii="Arial Black"/>
                <w:b/>
                <w:sz w:val="20"/>
              </w:rPr>
            </w:pPr>
          </w:p>
          <w:p w:rsidR="000B79F1" w:rsidRDefault="00A1145E">
            <w:pPr>
              <w:pStyle w:val="TableParagraph"/>
              <w:spacing w:before="172"/>
              <w:ind w:left="95" w:right="94"/>
              <w:jc w:val="center"/>
              <w:rPr>
                <w:b/>
                <w:sz w:val="18"/>
              </w:rPr>
            </w:pPr>
            <w:r>
              <w:rPr>
                <w:b/>
                <w:color w:val="FFFFFF"/>
                <w:sz w:val="18"/>
              </w:rPr>
              <w:t>Occupation code</w:t>
            </w:r>
          </w:p>
        </w:tc>
        <w:tc>
          <w:tcPr>
            <w:tcW w:w="1788" w:type="dxa"/>
            <w:shd w:val="clear" w:color="auto" w:fill="6C6F70"/>
          </w:tcPr>
          <w:p w:rsidR="000B79F1" w:rsidRDefault="000B79F1">
            <w:pPr>
              <w:pStyle w:val="TableParagraph"/>
              <w:rPr>
                <w:rFonts w:ascii="Arial Black"/>
                <w:b/>
                <w:sz w:val="20"/>
              </w:rPr>
            </w:pPr>
          </w:p>
          <w:p w:rsidR="000B79F1" w:rsidRDefault="000B79F1">
            <w:pPr>
              <w:pStyle w:val="TableParagraph"/>
              <w:rPr>
                <w:rFonts w:ascii="Arial Black"/>
                <w:b/>
                <w:sz w:val="20"/>
              </w:rPr>
            </w:pPr>
          </w:p>
          <w:p w:rsidR="000B79F1" w:rsidRDefault="00A1145E">
            <w:pPr>
              <w:pStyle w:val="TableParagraph"/>
              <w:spacing w:before="172"/>
              <w:ind w:left="112"/>
              <w:rPr>
                <w:b/>
                <w:sz w:val="18"/>
              </w:rPr>
            </w:pPr>
            <w:r>
              <w:rPr>
                <w:b/>
                <w:color w:val="FFFFFF"/>
                <w:sz w:val="18"/>
              </w:rPr>
              <w:t>Mean hourly wage</w:t>
            </w:r>
          </w:p>
        </w:tc>
        <w:tc>
          <w:tcPr>
            <w:tcW w:w="1193" w:type="dxa"/>
            <w:shd w:val="clear" w:color="auto" w:fill="6C6F70"/>
          </w:tcPr>
          <w:p w:rsidR="000B79F1" w:rsidRDefault="00A1145E">
            <w:pPr>
              <w:pStyle w:val="TableParagraph"/>
              <w:spacing w:before="114"/>
              <w:ind w:left="196" w:right="192" w:hanging="6"/>
              <w:jc w:val="center"/>
              <w:rPr>
                <w:b/>
                <w:sz w:val="18"/>
              </w:rPr>
            </w:pPr>
            <w:r>
              <w:rPr>
                <w:b/>
                <w:color w:val="FFFFFF"/>
                <w:sz w:val="18"/>
              </w:rPr>
              <w:t>Fringe benefits and overhead</w:t>
            </w:r>
          </w:p>
        </w:tc>
        <w:tc>
          <w:tcPr>
            <w:tcW w:w="1884" w:type="dxa"/>
            <w:shd w:val="clear" w:color="auto" w:fill="6C6F70"/>
          </w:tcPr>
          <w:p w:rsidR="000B79F1" w:rsidRDefault="000B79F1">
            <w:pPr>
              <w:pStyle w:val="TableParagraph"/>
              <w:rPr>
                <w:rFonts w:ascii="Arial Black"/>
                <w:b/>
                <w:sz w:val="20"/>
              </w:rPr>
            </w:pPr>
          </w:p>
          <w:p w:rsidR="000B79F1" w:rsidRDefault="000B79F1">
            <w:pPr>
              <w:pStyle w:val="TableParagraph"/>
              <w:spacing w:before="7"/>
              <w:rPr>
                <w:rFonts w:ascii="Arial Black"/>
                <w:b/>
                <w:sz w:val="17"/>
              </w:rPr>
            </w:pPr>
          </w:p>
          <w:p w:rsidR="000B79F1" w:rsidRDefault="00A1145E">
            <w:pPr>
              <w:pStyle w:val="TableParagraph"/>
              <w:spacing w:before="1"/>
              <w:ind w:left="715" w:right="237" w:hanging="459"/>
              <w:rPr>
                <w:b/>
                <w:sz w:val="18"/>
              </w:rPr>
            </w:pPr>
            <w:r>
              <w:rPr>
                <w:b/>
                <w:color w:val="FFFFFF"/>
                <w:sz w:val="18"/>
              </w:rPr>
              <w:t>Adjusted hourly wage</w:t>
            </w:r>
          </w:p>
        </w:tc>
      </w:tr>
      <w:tr w:rsidR="000B79F1">
        <w:trPr>
          <w:trHeight w:val="331" w:hRule="exact"/>
        </w:trPr>
        <w:tc>
          <w:tcPr>
            <w:tcW w:w="2806" w:type="dxa"/>
            <w:tcBorders>
              <w:left w:val="single" w:color="000000" w:sz="4" w:space="0"/>
              <w:bottom w:val="single" w:color="000000" w:sz="4" w:space="0"/>
              <w:right w:val="single" w:color="000000" w:sz="4" w:space="0"/>
            </w:tcBorders>
          </w:tcPr>
          <w:p w:rsidR="000B79F1" w:rsidRDefault="00A1145E">
            <w:pPr>
              <w:pStyle w:val="TableParagraph"/>
              <w:spacing w:before="59"/>
              <w:ind w:left="103"/>
              <w:rPr>
                <w:sz w:val="18"/>
              </w:rPr>
            </w:pPr>
            <w:r>
              <w:rPr>
                <w:sz w:val="18"/>
              </w:rPr>
              <w:t>Health Services Manager’</w:t>
            </w:r>
          </w:p>
        </w:tc>
        <w:tc>
          <w:tcPr>
            <w:tcW w:w="1690" w:type="dxa"/>
            <w:tcBorders>
              <w:left w:val="single" w:color="000000" w:sz="4" w:space="0"/>
              <w:bottom w:val="single" w:color="000000" w:sz="4" w:space="0"/>
              <w:right w:val="single" w:color="000000" w:sz="4" w:space="0"/>
            </w:tcBorders>
          </w:tcPr>
          <w:p w:rsidR="000B79F1" w:rsidRDefault="00A1145E">
            <w:pPr>
              <w:pStyle w:val="TableParagraph"/>
              <w:spacing w:before="59"/>
              <w:ind w:left="489" w:right="489"/>
              <w:jc w:val="center"/>
              <w:rPr>
                <w:sz w:val="18"/>
              </w:rPr>
            </w:pPr>
            <w:r>
              <w:rPr>
                <w:sz w:val="18"/>
              </w:rPr>
              <w:t>11-9111</w:t>
            </w:r>
          </w:p>
        </w:tc>
        <w:tc>
          <w:tcPr>
            <w:tcW w:w="1788" w:type="dxa"/>
            <w:tcBorders>
              <w:left w:val="single" w:color="000000" w:sz="4" w:space="0"/>
              <w:bottom w:val="single" w:color="000000" w:sz="4" w:space="0"/>
              <w:right w:val="single" w:color="000000" w:sz="4" w:space="0"/>
            </w:tcBorders>
          </w:tcPr>
          <w:p w:rsidR="000B79F1" w:rsidRDefault="00A1145E">
            <w:pPr>
              <w:pStyle w:val="TableParagraph"/>
              <w:spacing w:before="59"/>
              <w:ind w:left="686"/>
              <w:rPr>
                <w:sz w:val="18"/>
              </w:rPr>
            </w:pPr>
            <w:r>
              <w:rPr>
                <w:sz w:val="18"/>
              </w:rPr>
              <w:t>$54.68</w:t>
            </w:r>
          </w:p>
        </w:tc>
        <w:tc>
          <w:tcPr>
            <w:tcW w:w="1193" w:type="dxa"/>
            <w:tcBorders>
              <w:left w:val="single" w:color="000000" w:sz="4" w:space="0"/>
              <w:bottom w:val="single" w:color="000000" w:sz="4" w:space="0"/>
              <w:right w:val="single" w:color="000000" w:sz="4" w:space="0"/>
            </w:tcBorders>
          </w:tcPr>
          <w:p w:rsidR="000B79F1" w:rsidRDefault="00A1145E">
            <w:pPr>
              <w:pStyle w:val="TableParagraph"/>
              <w:spacing w:before="59"/>
              <w:ind w:left="424"/>
              <w:rPr>
                <w:sz w:val="18"/>
              </w:rPr>
            </w:pPr>
            <w:r>
              <w:rPr>
                <w:sz w:val="18"/>
              </w:rPr>
              <w:t>54.68</w:t>
            </w:r>
          </w:p>
        </w:tc>
        <w:tc>
          <w:tcPr>
            <w:tcW w:w="1884" w:type="dxa"/>
            <w:tcBorders>
              <w:left w:val="single" w:color="000000" w:sz="4" w:space="0"/>
              <w:bottom w:val="single" w:color="000000" w:sz="4" w:space="0"/>
              <w:right w:val="single" w:color="000000" w:sz="4" w:space="0"/>
            </w:tcBorders>
          </w:tcPr>
          <w:p w:rsidR="000B79F1" w:rsidRDefault="00A1145E">
            <w:pPr>
              <w:pStyle w:val="TableParagraph"/>
              <w:spacing w:before="59"/>
              <w:ind w:left="340"/>
              <w:rPr>
                <w:sz w:val="18"/>
              </w:rPr>
            </w:pPr>
            <w:r>
              <w:rPr>
                <w:sz w:val="18"/>
              </w:rPr>
              <w:t>$109.36/hr</w:t>
            </w:r>
          </w:p>
        </w:tc>
      </w:tr>
    </w:tbl>
    <w:p w:rsidR="000B79F1" w:rsidRDefault="00A1145E">
      <w:pPr>
        <w:pStyle w:val="Heading1"/>
        <w:spacing w:before="239"/>
        <w:ind w:left="140" w:firstLine="0"/>
        <w:jc w:val="both"/>
      </w:pPr>
      <w:bookmarkStart w:name="Burden_Estimate" w:id="16"/>
      <w:bookmarkEnd w:id="16"/>
      <w:r>
        <w:t>Burden Estimate</w:t>
      </w:r>
    </w:p>
    <w:p w:rsidR="000B79F1" w:rsidRDefault="00A1145E">
      <w:pPr>
        <w:pStyle w:val="BodyText"/>
        <w:spacing w:before="115"/>
        <w:ind w:left="140" w:right="292"/>
        <w:jc w:val="both"/>
      </w:pPr>
      <w:r>
        <w:t>CMS expects that it will take 0.5 hours respondents to complete and submit the survey to CMS, for a total burden of 120 hours. There is no cost associated with this survey, other than the time it takes a respondent to fill out the survey (Approx. 30 minute</w:t>
      </w:r>
      <w:r>
        <w:t>s).</w:t>
      </w:r>
    </w:p>
    <w:p w:rsidR="000B79F1" w:rsidRDefault="000B79F1">
      <w:pPr>
        <w:pStyle w:val="BodyText"/>
        <w:spacing w:before="4"/>
        <w:rPr>
          <w:sz w:val="21"/>
        </w:rPr>
      </w:pPr>
    </w:p>
    <w:p w:rsidR="000B79F1" w:rsidRDefault="00A1145E">
      <w:pPr>
        <w:ind w:left="140"/>
        <w:jc w:val="both"/>
        <w:rPr>
          <w:rFonts w:ascii="Arial Black"/>
          <w:b/>
        </w:rPr>
      </w:pPr>
      <w:r>
        <w:rPr>
          <w:rFonts w:ascii="Arial Black"/>
          <w:b/>
        </w:rPr>
        <w:t>Table A.2.  Estimated Annual Burden Hours</w:t>
      </w:r>
    </w:p>
    <w:p w:rsidR="000B79F1" w:rsidRDefault="000B79F1">
      <w:pPr>
        <w:pStyle w:val="BodyText"/>
        <w:spacing w:before="4"/>
        <w:rPr>
          <w:rFonts w:ascii="Arial Black"/>
          <w:b/>
          <w:sz w:val="4"/>
        </w:rPr>
      </w:pPr>
    </w:p>
    <w:tbl>
      <w:tblPr>
        <w:tblW w:w="0" w:type="auto"/>
        <w:tblInd w:w="13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246"/>
        <w:gridCol w:w="1781"/>
        <w:gridCol w:w="1776"/>
        <w:gridCol w:w="1778"/>
        <w:gridCol w:w="1778"/>
      </w:tblGrid>
      <w:tr w:rsidR="000B79F1">
        <w:trPr>
          <w:trHeight w:val="799" w:hRule="exact"/>
        </w:trPr>
        <w:tc>
          <w:tcPr>
            <w:tcW w:w="2246" w:type="dxa"/>
            <w:tcBorders>
              <w:top w:val="nil"/>
              <w:left w:val="nil"/>
              <w:bottom w:val="nil"/>
              <w:right w:val="nil"/>
            </w:tcBorders>
            <w:shd w:val="clear" w:color="auto" w:fill="6C6F70"/>
          </w:tcPr>
          <w:p w:rsidR="000B79F1" w:rsidRDefault="000B79F1">
            <w:pPr>
              <w:pStyle w:val="TableParagraph"/>
              <w:rPr>
                <w:rFonts w:ascii="Arial Black"/>
                <w:b/>
                <w:sz w:val="20"/>
              </w:rPr>
            </w:pPr>
          </w:p>
          <w:p w:rsidR="000B79F1" w:rsidRDefault="000B79F1">
            <w:pPr>
              <w:pStyle w:val="TableParagraph"/>
              <w:spacing w:before="5"/>
              <w:rPr>
                <w:rFonts w:ascii="Arial Black"/>
                <w:b/>
                <w:sz w:val="17"/>
              </w:rPr>
            </w:pPr>
          </w:p>
          <w:p w:rsidR="000B79F1" w:rsidRDefault="00A1145E">
            <w:pPr>
              <w:pStyle w:val="TableParagraph"/>
              <w:ind w:left="71"/>
              <w:rPr>
                <w:b/>
                <w:sz w:val="18"/>
              </w:rPr>
            </w:pPr>
            <w:r>
              <w:rPr>
                <w:b/>
                <w:color w:val="FFFFFF"/>
                <w:sz w:val="18"/>
              </w:rPr>
              <w:t>Respondent type</w:t>
            </w:r>
          </w:p>
        </w:tc>
        <w:tc>
          <w:tcPr>
            <w:tcW w:w="1781" w:type="dxa"/>
            <w:tcBorders>
              <w:top w:val="nil"/>
              <w:left w:val="nil"/>
              <w:bottom w:val="nil"/>
              <w:right w:val="nil"/>
            </w:tcBorders>
            <w:shd w:val="clear" w:color="auto" w:fill="6C6F70"/>
          </w:tcPr>
          <w:p w:rsidR="000B79F1" w:rsidRDefault="000B79F1">
            <w:pPr>
              <w:pStyle w:val="TableParagraph"/>
              <w:spacing w:before="10"/>
              <w:rPr>
                <w:rFonts w:ascii="Arial Black"/>
                <w:b/>
              </w:rPr>
            </w:pPr>
          </w:p>
          <w:p w:rsidR="000B79F1" w:rsidRDefault="00A1145E">
            <w:pPr>
              <w:pStyle w:val="TableParagraph"/>
              <w:ind w:left="347" w:right="333" w:firstLine="285"/>
              <w:rPr>
                <w:b/>
                <w:sz w:val="18"/>
              </w:rPr>
            </w:pPr>
            <w:r>
              <w:rPr>
                <w:b/>
                <w:color w:val="FFFFFF"/>
                <w:sz w:val="18"/>
              </w:rPr>
              <w:t>No. of respondents</w:t>
            </w:r>
          </w:p>
        </w:tc>
        <w:tc>
          <w:tcPr>
            <w:tcW w:w="1776" w:type="dxa"/>
            <w:tcBorders>
              <w:top w:val="nil"/>
              <w:left w:val="nil"/>
              <w:bottom w:val="nil"/>
              <w:right w:val="nil"/>
            </w:tcBorders>
            <w:shd w:val="clear" w:color="auto" w:fill="6C6F70"/>
          </w:tcPr>
          <w:p w:rsidR="000B79F1" w:rsidRDefault="000B79F1">
            <w:pPr>
              <w:pStyle w:val="TableParagraph"/>
              <w:spacing w:before="10"/>
              <w:rPr>
                <w:rFonts w:ascii="Arial Black"/>
                <w:b/>
              </w:rPr>
            </w:pPr>
          </w:p>
          <w:p w:rsidR="000B79F1" w:rsidRDefault="00A1145E">
            <w:pPr>
              <w:pStyle w:val="TableParagraph"/>
              <w:ind w:left="232" w:right="138" w:hanging="75"/>
              <w:rPr>
                <w:b/>
                <w:sz w:val="18"/>
              </w:rPr>
            </w:pPr>
            <w:r>
              <w:rPr>
                <w:b/>
                <w:color w:val="FFFFFF"/>
                <w:sz w:val="18"/>
              </w:rPr>
              <w:t>No. of responses per respondent</w:t>
            </w:r>
          </w:p>
        </w:tc>
        <w:tc>
          <w:tcPr>
            <w:tcW w:w="1778" w:type="dxa"/>
            <w:tcBorders>
              <w:top w:val="nil"/>
              <w:left w:val="nil"/>
              <w:bottom w:val="nil"/>
              <w:right w:val="nil"/>
            </w:tcBorders>
            <w:shd w:val="clear" w:color="auto" w:fill="6C6F70"/>
          </w:tcPr>
          <w:p w:rsidR="000B79F1" w:rsidRDefault="00A1145E">
            <w:pPr>
              <w:pStyle w:val="TableParagraph"/>
              <w:spacing w:before="114"/>
              <w:ind w:left="205" w:right="206"/>
              <w:jc w:val="center"/>
              <w:rPr>
                <w:b/>
                <w:sz w:val="18"/>
              </w:rPr>
            </w:pPr>
            <w:r>
              <w:rPr>
                <w:b/>
                <w:color w:val="FFFFFF"/>
                <w:sz w:val="18"/>
              </w:rPr>
              <w:t>Average</w:t>
            </w:r>
            <w:r>
              <w:rPr>
                <w:b/>
                <w:color w:val="FFFFFF"/>
                <w:spacing w:val="-4"/>
                <w:sz w:val="18"/>
              </w:rPr>
              <w:t xml:space="preserve"> </w:t>
            </w:r>
            <w:r>
              <w:rPr>
                <w:b/>
                <w:color w:val="FFFFFF"/>
                <w:sz w:val="18"/>
              </w:rPr>
              <w:t>burden per response (in</w:t>
            </w:r>
            <w:r>
              <w:rPr>
                <w:b/>
                <w:color w:val="FFFFFF"/>
                <w:spacing w:val="-1"/>
                <w:sz w:val="18"/>
              </w:rPr>
              <w:t xml:space="preserve"> </w:t>
            </w:r>
            <w:r>
              <w:rPr>
                <w:b/>
                <w:color w:val="FFFFFF"/>
                <w:sz w:val="18"/>
              </w:rPr>
              <w:t>hours)</w:t>
            </w:r>
          </w:p>
        </w:tc>
        <w:tc>
          <w:tcPr>
            <w:tcW w:w="1778" w:type="dxa"/>
            <w:tcBorders>
              <w:top w:val="nil"/>
              <w:left w:val="nil"/>
              <w:bottom w:val="nil"/>
              <w:right w:val="nil"/>
            </w:tcBorders>
            <w:shd w:val="clear" w:color="auto" w:fill="6C6F70"/>
          </w:tcPr>
          <w:p w:rsidR="000B79F1" w:rsidRDefault="000B79F1">
            <w:pPr>
              <w:pStyle w:val="TableParagraph"/>
              <w:spacing w:before="10"/>
              <w:rPr>
                <w:rFonts w:ascii="Arial Black"/>
                <w:b/>
              </w:rPr>
            </w:pPr>
          </w:p>
          <w:p w:rsidR="000B79F1" w:rsidRDefault="00A1145E">
            <w:pPr>
              <w:pStyle w:val="TableParagraph"/>
              <w:ind w:left="640" w:right="324" w:hanging="296"/>
              <w:rPr>
                <w:b/>
                <w:sz w:val="18"/>
              </w:rPr>
            </w:pPr>
            <w:r>
              <w:rPr>
                <w:b/>
                <w:color w:val="FFFFFF"/>
                <w:sz w:val="18"/>
              </w:rPr>
              <w:t>Total burden hours</w:t>
            </w:r>
          </w:p>
        </w:tc>
      </w:tr>
      <w:tr w:rsidR="000B79F1">
        <w:trPr>
          <w:trHeight w:val="334" w:hRule="exact"/>
        </w:trPr>
        <w:tc>
          <w:tcPr>
            <w:tcW w:w="2246" w:type="dxa"/>
            <w:tcBorders>
              <w:top w:val="nil"/>
            </w:tcBorders>
          </w:tcPr>
          <w:p w:rsidR="000B79F1" w:rsidRDefault="00A1145E">
            <w:pPr>
              <w:pStyle w:val="TableParagraph"/>
              <w:spacing w:before="59"/>
              <w:ind w:left="71"/>
              <w:rPr>
                <w:sz w:val="18"/>
              </w:rPr>
            </w:pPr>
            <w:r>
              <w:rPr>
                <w:sz w:val="18"/>
              </w:rPr>
              <w:t>EMDI Pilot Participant</w:t>
            </w:r>
          </w:p>
        </w:tc>
        <w:tc>
          <w:tcPr>
            <w:tcW w:w="1781" w:type="dxa"/>
            <w:tcBorders>
              <w:top w:val="nil"/>
            </w:tcBorders>
          </w:tcPr>
          <w:p w:rsidR="000B79F1" w:rsidRDefault="00A1145E">
            <w:pPr>
              <w:pStyle w:val="TableParagraph"/>
              <w:spacing w:before="59"/>
              <w:ind w:left="468" w:right="421"/>
              <w:jc w:val="center"/>
              <w:rPr>
                <w:sz w:val="18"/>
              </w:rPr>
            </w:pPr>
            <w:r>
              <w:rPr>
                <w:sz w:val="18"/>
              </w:rPr>
              <w:t>Up to 240</w:t>
            </w:r>
          </w:p>
        </w:tc>
        <w:tc>
          <w:tcPr>
            <w:tcW w:w="1776" w:type="dxa"/>
            <w:tcBorders>
              <w:top w:val="nil"/>
            </w:tcBorders>
          </w:tcPr>
          <w:p w:rsidR="000B79F1" w:rsidRDefault="00A1145E">
            <w:pPr>
              <w:pStyle w:val="TableParagraph"/>
              <w:spacing w:before="59"/>
              <w:ind w:left="801"/>
              <w:rPr>
                <w:sz w:val="18"/>
              </w:rPr>
            </w:pPr>
            <w:r>
              <w:rPr>
                <w:w w:val="99"/>
                <w:sz w:val="18"/>
              </w:rPr>
              <w:t>1</w:t>
            </w:r>
          </w:p>
        </w:tc>
        <w:tc>
          <w:tcPr>
            <w:tcW w:w="1778" w:type="dxa"/>
            <w:tcBorders>
              <w:top w:val="nil"/>
            </w:tcBorders>
          </w:tcPr>
          <w:p w:rsidR="000B79F1" w:rsidRDefault="00A1145E">
            <w:pPr>
              <w:pStyle w:val="TableParagraph"/>
              <w:spacing w:before="59"/>
              <w:ind w:right="713"/>
              <w:jc w:val="right"/>
              <w:rPr>
                <w:sz w:val="18"/>
              </w:rPr>
            </w:pPr>
            <w:r>
              <w:rPr>
                <w:w w:val="95"/>
                <w:sz w:val="18"/>
              </w:rPr>
              <w:t>0.5</w:t>
            </w:r>
          </w:p>
        </w:tc>
        <w:tc>
          <w:tcPr>
            <w:tcW w:w="1778" w:type="dxa"/>
            <w:tcBorders>
              <w:top w:val="nil"/>
            </w:tcBorders>
          </w:tcPr>
          <w:p w:rsidR="000B79F1" w:rsidRDefault="00A1145E">
            <w:pPr>
              <w:pStyle w:val="TableParagraph"/>
              <w:spacing w:before="59"/>
              <w:ind w:left="602"/>
              <w:rPr>
                <w:sz w:val="18"/>
              </w:rPr>
            </w:pPr>
            <w:r>
              <w:rPr>
                <w:sz w:val="18"/>
              </w:rPr>
              <w:t>120</w:t>
            </w:r>
          </w:p>
        </w:tc>
      </w:tr>
      <w:tr w:rsidR="000B79F1">
        <w:trPr>
          <w:trHeight w:val="336" w:hRule="exact"/>
        </w:trPr>
        <w:tc>
          <w:tcPr>
            <w:tcW w:w="2246" w:type="dxa"/>
            <w:shd w:val="clear" w:color="auto" w:fill="F2F2F2"/>
          </w:tcPr>
          <w:p w:rsidR="000B79F1" w:rsidRDefault="00A1145E">
            <w:pPr>
              <w:pStyle w:val="TableParagraph"/>
              <w:spacing w:before="54"/>
              <w:ind w:left="71"/>
              <w:rPr>
                <w:b/>
                <w:sz w:val="18"/>
              </w:rPr>
            </w:pPr>
            <w:r>
              <w:rPr>
                <w:b/>
                <w:sz w:val="18"/>
              </w:rPr>
              <w:t>Total</w:t>
            </w:r>
          </w:p>
        </w:tc>
        <w:tc>
          <w:tcPr>
            <w:tcW w:w="1781" w:type="dxa"/>
            <w:shd w:val="clear" w:color="auto" w:fill="F2F2F2"/>
          </w:tcPr>
          <w:p w:rsidR="000B79F1" w:rsidRDefault="00A1145E">
            <w:pPr>
              <w:pStyle w:val="TableParagraph"/>
              <w:spacing w:before="54"/>
              <w:ind w:left="467" w:right="451"/>
              <w:jc w:val="center"/>
              <w:rPr>
                <w:b/>
                <w:sz w:val="18"/>
              </w:rPr>
            </w:pPr>
            <w:r>
              <w:rPr>
                <w:b/>
                <w:sz w:val="18"/>
              </w:rPr>
              <w:t>Up to 240</w:t>
            </w:r>
          </w:p>
        </w:tc>
        <w:tc>
          <w:tcPr>
            <w:tcW w:w="1776" w:type="dxa"/>
            <w:shd w:val="clear" w:color="auto" w:fill="F2F2F2"/>
          </w:tcPr>
          <w:p w:rsidR="000B79F1" w:rsidRDefault="00A1145E">
            <w:pPr>
              <w:pStyle w:val="TableParagraph"/>
              <w:spacing w:before="54"/>
              <w:ind w:left="801"/>
              <w:rPr>
                <w:b/>
                <w:sz w:val="18"/>
              </w:rPr>
            </w:pPr>
            <w:r>
              <w:rPr>
                <w:b/>
                <w:w w:val="99"/>
                <w:sz w:val="18"/>
              </w:rPr>
              <w:t>1</w:t>
            </w:r>
          </w:p>
        </w:tc>
        <w:tc>
          <w:tcPr>
            <w:tcW w:w="1778" w:type="dxa"/>
            <w:shd w:val="clear" w:color="auto" w:fill="F2F2F2"/>
          </w:tcPr>
          <w:p w:rsidR="000B79F1" w:rsidRDefault="00A1145E">
            <w:pPr>
              <w:pStyle w:val="TableParagraph"/>
              <w:spacing w:before="54"/>
              <w:ind w:right="713"/>
              <w:jc w:val="right"/>
              <w:rPr>
                <w:b/>
                <w:sz w:val="18"/>
              </w:rPr>
            </w:pPr>
            <w:r>
              <w:rPr>
                <w:b/>
                <w:w w:val="95"/>
                <w:sz w:val="18"/>
              </w:rPr>
              <w:t>0.5</w:t>
            </w:r>
          </w:p>
        </w:tc>
        <w:tc>
          <w:tcPr>
            <w:tcW w:w="1778" w:type="dxa"/>
            <w:shd w:val="clear" w:color="auto" w:fill="F2F2F2"/>
          </w:tcPr>
          <w:p w:rsidR="000B79F1" w:rsidRDefault="00A1145E">
            <w:pPr>
              <w:pStyle w:val="TableParagraph"/>
              <w:spacing w:before="54"/>
              <w:ind w:left="602"/>
              <w:rPr>
                <w:b/>
                <w:sz w:val="18"/>
              </w:rPr>
            </w:pPr>
            <w:r>
              <w:rPr>
                <w:b/>
                <w:sz w:val="18"/>
              </w:rPr>
              <w:t>120</w:t>
            </w:r>
          </w:p>
        </w:tc>
      </w:tr>
    </w:tbl>
    <w:p w:rsidR="000B79F1" w:rsidRDefault="000B79F1">
      <w:pPr>
        <w:rPr>
          <w:sz w:val="18"/>
        </w:rPr>
        <w:sectPr w:rsidR="000B79F1">
          <w:footerReference w:type="default" r:id="rId9"/>
          <w:pgSz w:w="12240" w:h="15840"/>
          <w:pgMar w:top="960" w:right="1300" w:bottom="1080" w:left="1300" w:header="723" w:footer="899" w:gutter="0"/>
          <w:pgNumType w:start="3"/>
          <w:cols w:space="720"/>
        </w:sectPr>
      </w:pPr>
    </w:p>
    <w:p w:rsidR="000B79F1" w:rsidRDefault="000B79F1">
      <w:pPr>
        <w:pStyle w:val="BodyText"/>
        <w:rPr>
          <w:rFonts w:ascii="Arial Black"/>
          <w:b/>
          <w:sz w:val="20"/>
        </w:rPr>
      </w:pPr>
    </w:p>
    <w:p w:rsidR="000B79F1" w:rsidRDefault="000B79F1">
      <w:pPr>
        <w:pStyle w:val="BodyText"/>
        <w:rPr>
          <w:rFonts w:ascii="Arial Black"/>
          <w:b/>
          <w:sz w:val="20"/>
        </w:rPr>
      </w:pPr>
    </w:p>
    <w:p w:rsidR="000B79F1" w:rsidRDefault="000B79F1">
      <w:pPr>
        <w:pStyle w:val="BodyText"/>
        <w:spacing w:before="8"/>
        <w:rPr>
          <w:rFonts w:ascii="Arial Black"/>
          <w:b/>
          <w:sz w:val="19"/>
        </w:rPr>
      </w:pPr>
    </w:p>
    <w:tbl>
      <w:tblPr>
        <w:tblW w:w="0" w:type="auto"/>
        <w:tblInd w:w="23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786"/>
        <w:gridCol w:w="2189"/>
        <w:gridCol w:w="2191"/>
        <w:gridCol w:w="2189"/>
      </w:tblGrid>
      <w:tr w:rsidR="000B79F1">
        <w:trPr>
          <w:trHeight w:val="389" w:hRule="exact"/>
        </w:trPr>
        <w:tc>
          <w:tcPr>
            <w:tcW w:w="9355" w:type="dxa"/>
            <w:gridSpan w:val="4"/>
            <w:tcBorders>
              <w:top w:val="nil"/>
              <w:left w:val="nil"/>
              <w:bottom w:val="nil"/>
              <w:right w:val="nil"/>
            </w:tcBorders>
            <w:shd w:val="clear" w:color="auto" w:fill="6C6F70"/>
          </w:tcPr>
          <w:p w:rsidR="000B79F1" w:rsidRDefault="000B79F1"/>
        </w:tc>
      </w:tr>
      <w:tr w:rsidR="000B79F1">
        <w:trPr>
          <w:trHeight w:val="679" w:hRule="exact"/>
        </w:trPr>
        <w:tc>
          <w:tcPr>
            <w:tcW w:w="2786" w:type="dxa"/>
            <w:tcBorders>
              <w:top w:val="nil"/>
            </w:tcBorders>
          </w:tcPr>
          <w:p w:rsidR="000B79F1" w:rsidRDefault="000B79F1"/>
        </w:tc>
        <w:tc>
          <w:tcPr>
            <w:tcW w:w="2189" w:type="dxa"/>
            <w:tcBorders>
              <w:top w:val="nil"/>
              <w:bottom w:val="single" w:color="F2F2F2" w:sz="33" w:space="0"/>
            </w:tcBorders>
          </w:tcPr>
          <w:p w:rsidR="000B79F1" w:rsidRDefault="000B79F1"/>
        </w:tc>
        <w:tc>
          <w:tcPr>
            <w:tcW w:w="2191" w:type="dxa"/>
            <w:tcBorders>
              <w:top w:val="nil"/>
              <w:bottom w:val="single" w:color="F2F2F2" w:sz="33" w:space="0"/>
            </w:tcBorders>
          </w:tcPr>
          <w:p w:rsidR="000B79F1" w:rsidRDefault="000B79F1"/>
        </w:tc>
        <w:tc>
          <w:tcPr>
            <w:tcW w:w="2189" w:type="dxa"/>
            <w:tcBorders>
              <w:top w:val="nil"/>
            </w:tcBorders>
          </w:tcPr>
          <w:p w:rsidR="000B79F1" w:rsidRDefault="000B79F1"/>
        </w:tc>
      </w:tr>
      <w:tr w:rsidR="000B79F1">
        <w:trPr>
          <w:trHeight w:val="480" w:hRule="exact"/>
        </w:trPr>
        <w:tc>
          <w:tcPr>
            <w:tcW w:w="2786" w:type="dxa"/>
            <w:shd w:val="clear" w:color="auto" w:fill="F2F2F2"/>
          </w:tcPr>
          <w:p w:rsidR="000B79F1" w:rsidRDefault="000B79F1"/>
        </w:tc>
        <w:tc>
          <w:tcPr>
            <w:tcW w:w="2189" w:type="dxa"/>
            <w:shd w:val="clear" w:color="auto" w:fill="F2F2F2"/>
          </w:tcPr>
          <w:p w:rsidR="000B79F1" w:rsidRDefault="000B79F1"/>
        </w:tc>
        <w:tc>
          <w:tcPr>
            <w:tcW w:w="2191" w:type="dxa"/>
            <w:shd w:val="clear" w:color="auto" w:fill="F2F2F2"/>
          </w:tcPr>
          <w:p w:rsidR="000B79F1" w:rsidRDefault="000B79F1"/>
        </w:tc>
        <w:tc>
          <w:tcPr>
            <w:tcW w:w="2189" w:type="dxa"/>
            <w:tcBorders>
              <w:bottom w:val="nil"/>
            </w:tcBorders>
            <w:shd w:val="clear" w:color="auto" w:fill="F2F2F2"/>
          </w:tcPr>
          <w:p w:rsidR="000B79F1" w:rsidRDefault="000B79F1"/>
        </w:tc>
      </w:tr>
    </w:tbl>
    <w:p w:rsidR="000B79F1" w:rsidRDefault="000B79F1">
      <w:pPr>
        <w:pStyle w:val="BodyText"/>
        <w:spacing w:before="8"/>
        <w:rPr>
          <w:rFonts w:ascii="Arial Black"/>
          <w:b/>
          <w:sz w:val="10"/>
        </w:rPr>
      </w:pPr>
    </w:p>
    <w:p w:rsidR="000B79F1" w:rsidRDefault="00A1145E">
      <w:pPr>
        <w:pStyle w:val="Heading1"/>
        <w:numPr>
          <w:ilvl w:val="0"/>
          <w:numId w:val="2"/>
        </w:numPr>
        <w:tabs>
          <w:tab w:val="left" w:pos="572"/>
        </w:tabs>
        <w:spacing w:before="90"/>
        <w:ind w:left="572" w:hanging="432"/>
      </w:pPr>
      <w:bookmarkStart w:name="13._Capital_Costs" w:id="17"/>
      <w:bookmarkEnd w:id="17"/>
      <w:r>
        <w:t>Capital</w:t>
      </w:r>
      <w:r>
        <w:rPr>
          <w:spacing w:val="-6"/>
        </w:rPr>
        <w:t xml:space="preserve"> </w:t>
      </w:r>
      <w:r>
        <w:t>Costs</w:t>
      </w:r>
    </w:p>
    <w:p w:rsidR="000B79F1" w:rsidRDefault="00A1145E">
      <w:pPr>
        <w:pStyle w:val="BodyText"/>
        <w:spacing w:before="115"/>
        <w:ind w:left="572"/>
      </w:pPr>
      <w:r>
        <w:t>There are no capital costs associated with this information collection.</w:t>
      </w:r>
    </w:p>
    <w:p w:rsidR="000B79F1" w:rsidRDefault="000B79F1">
      <w:pPr>
        <w:pStyle w:val="BodyText"/>
        <w:spacing w:before="3"/>
        <w:rPr>
          <w:sz w:val="21"/>
        </w:rPr>
      </w:pPr>
    </w:p>
    <w:p w:rsidR="000B79F1" w:rsidRDefault="00A1145E">
      <w:pPr>
        <w:pStyle w:val="Heading1"/>
        <w:numPr>
          <w:ilvl w:val="0"/>
          <w:numId w:val="2"/>
        </w:numPr>
        <w:tabs>
          <w:tab w:val="left" w:pos="572"/>
        </w:tabs>
        <w:ind w:left="572" w:hanging="432"/>
      </w:pPr>
      <w:bookmarkStart w:name="14._Costs_to_Federal_Government" w:id="18"/>
      <w:bookmarkEnd w:id="18"/>
      <w:r>
        <w:t>Costs to Federal</w:t>
      </w:r>
      <w:r>
        <w:rPr>
          <w:spacing w:val="-11"/>
        </w:rPr>
        <w:t xml:space="preserve"> </w:t>
      </w:r>
      <w:r>
        <w:t>Government</w:t>
      </w:r>
    </w:p>
    <w:p w:rsidR="000B79F1" w:rsidRDefault="00A1145E">
      <w:pPr>
        <w:spacing w:before="119"/>
        <w:ind w:left="571" w:right="668" w:hanging="432"/>
        <w:rPr>
          <w:b/>
          <w:sz w:val="24"/>
        </w:rPr>
      </w:pPr>
      <w:bookmarkStart w:name="Since_the_delivery_of_the_survey_instrum" w:id="19"/>
      <w:bookmarkEnd w:id="19"/>
      <w:r>
        <w:rPr>
          <w:b/>
          <w:sz w:val="24"/>
        </w:rPr>
        <w:t>Since the delivery of the survey instrument will be electronically via email, and/or web- based or other forms of social media, there will be no cost to the government 15.Changes to Burden</w:t>
      </w:r>
    </w:p>
    <w:p w:rsidR="000B79F1" w:rsidRDefault="00A1145E">
      <w:pPr>
        <w:pStyle w:val="BodyText"/>
        <w:ind w:left="572"/>
      </w:pPr>
      <w:r>
        <w:t>This is a new information collection.</w:t>
      </w:r>
    </w:p>
    <w:p w:rsidR="000B79F1" w:rsidRDefault="000B79F1">
      <w:pPr>
        <w:pStyle w:val="BodyText"/>
        <w:spacing w:before="4"/>
        <w:rPr>
          <w:sz w:val="31"/>
        </w:rPr>
      </w:pPr>
    </w:p>
    <w:p w:rsidR="000B79F1" w:rsidRDefault="00A1145E">
      <w:pPr>
        <w:pStyle w:val="Heading1"/>
        <w:numPr>
          <w:ilvl w:val="0"/>
          <w:numId w:val="1"/>
        </w:numPr>
        <w:tabs>
          <w:tab w:val="left" w:pos="572"/>
        </w:tabs>
      </w:pPr>
      <w:bookmarkStart w:name="16._Publication/Tabulation_Data" w:id="20"/>
      <w:bookmarkEnd w:id="20"/>
      <w:r>
        <w:t>Publication/Tabulation</w:t>
      </w:r>
      <w:r>
        <w:rPr>
          <w:spacing w:val="-15"/>
        </w:rPr>
        <w:t xml:space="preserve"> </w:t>
      </w:r>
      <w:r>
        <w:t>Data</w:t>
      </w:r>
    </w:p>
    <w:p w:rsidR="000B79F1" w:rsidRDefault="00A1145E">
      <w:pPr>
        <w:pStyle w:val="BodyText"/>
        <w:spacing w:before="115"/>
        <w:ind w:left="572" w:right="842"/>
      </w:pPr>
      <w:r>
        <w:t>The collection of information is for CMS internal purposes only, and will not be made available to the public.</w:t>
      </w:r>
    </w:p>
    <w:p w:rsidR="000B79F1" w:rsidRDefault="000B79F1">
      <w:pPr>
        <w:pStyle w:val="BodyText"/>
        <w:spacing w:before="3"/>
        <w:rPr>
          <w:sz w:val="21"/>
        </w:rPr>
      </w:pPr>
    </w:p>
    <w:p w:rsidR="000B79F1" w:rsidRDefault="00A1145E">
      <w:pPr>
        <w:pStyle w:val="Heading1"/>
        <w:numPr>
          <w:ilvl w:val="0"/>
          <w:numId w:val="1"/>
        </w:numPr>
        <w:tabs>
          <w:tab w:val="left" w:pos="572"/>
        </w:tabs>
      </w:pPr>
      <w:bookmarkStart w:name="17._Expiration_Date" w:id="21"/>
      <w:bookmarkEnd w:id="21"/>
      <w:r>
        <w:t>Expiration</w:t>
      </w:r>
      <w:r>
        <w:rPr>
          <w:spacing w:val="-6"/>
        </w:rPr>
        <w:t xml:space="preserve"> </w:t>
      </w:r>
      <w:r>
        <w:t>Date</w:t>
      </w:r>
    </w:p>
    <w:p w:rsidR="000B79F1" w:rsidRDefault="00A1145E">
      <w:pPr>
        <w:pStyle w:val="BodyText"/>
        <w:spacing w:before="114"/>
        <w:ind w:left="572" w:right="317"/>
      </w:pPr>
      <w:r>
        <w:t>The OMB approval number and expiration date will be displayed on all forms completed as part of the data collection.</w:t>
      </w:r>
    </w:p>
    <w:p w:rsidR="000B79F1" w:rsidRDefault="000B79F1">
      <w:pPr>
        <w:pStyle w:val="BodyText"/>
        <w:rPr>
          <w:sz w:val="26"/>
        </w:rPr>
      </w:pPr>
    </w:p>
    <w:p w:rsidR="000B79F1" w:rsidRDefault="000B79F1">
      <w:pPr>
        <w:pStyle w:val="BodyText"/>
        <w:rPr>
          <w:sz w:val="26"/>
        </w:rPr>
      </w:pPr>
    </w:p>
    <w:p w:rsidR="000B79F1" w:rsidRDefault="000B79F1">
      <w:pPr>
        <w:pStyle w:val="BodyText"/>
        <w:ind w:left="571"/>
      </w:pPr>
      <w:bookmarkStart w:name="B.__Appendices:" w:id="22"/>
      <w:bookmarkStart w:name="_GoBack" w:id="23"/>
      <w:bookmarkEnd w:id="22"/>
      <w:bookmarkEnd w:id="23"/>
    </w:p>
    <w:sectPr w:rsidR="000B79F1">
      <w:pgSz w:w="12240" w:h="15840"/>
      <w:pgMar w:top="960" w:right="1220" w:bottom="1080" w:left="1300" w:header="723" w:footer="8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A1145E">
      <w:r>
        <w:separator/>
      </w:r>
    </w:p>
  </w:endnote>
  <w:endnote w:type="continuationSeparator" w:id="0">
    <w:p w:rsidR="00000000" w:rsidRDefault="00A114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79F1" w:rsidRDefault="00A1145E">
    <w:pPr>
      <w:pStyle w:val="BodyText"/>
      <w:spacing w:line="14" w:lineRule="auto"/>
      <w:rPr>
        <w:sz w:val="20"/>
      </w:rPr>
    </w:pPr>
    <w:r>
      <w:pict>
        <v:line id="_x0000_s1028" style="position:absolute;z-index:-7744;mso-position-horizontal-relative:page;mso-position-vertical-relative:page" from="70.55pt,734.15pt" to="541.45pt,734.15pt" strokeweight=".24pt">
          <w10:wrap anchorx="page" anchory="page"/>
        </v:line>
      </w:pict>
    </w:r>
    <w:r>
      <w:pict>
        <v:shapetype id="_x0000_t202" coordsize="21600,21600" o:spt="202" path="m,l,21600r21600,l21600,xe">
          <v:stroke joinstyle="miter"/>
          <v:path gradientshapeok="t" o:connecttype="rect"/>
        </v:shapetype>
        <v:shape id="_x0000_s1027" type="#_x0000_t202" style="position:absolute;margin-left:302.25pt;margin-top:743.8pt;width:7.55pt;height:13.15pt;z-index:-7720;mso-position-horizontal-relative:page;mso-position-vertical-relative:page" filled="f" stroked="f">
          <v:textbox inset="0,0,0,0">
            <w:txbxContent>
              <w:p w:rsidR="000B79F1" w:rsidRDefault="00A1145E">
                <w:pPr>
                  <w:spacing w:before="12"/>
                  <w:ind w:left="20"/>
                  <w:rPr>
                    <w:rFonts w:ascii="Arial"/>
                    <w:sz w:val="20"/>
                  </w:rPr>
                </w:pPr>
                <w:r>
                  <w:rPr>
                    <w:rFonts w:ascii="Arial"/>
                    <w:w w:val="99"/>
                    <w:sz w:val="20"/>
                  </w:rPr>
                  <w:t>1</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79F1" w:rsidRDefault="00A1145E">
    <w:pPr>
      <w:pStyle w:val="BodyText"/>
      <w:spacing w:line="14" w:lineRule="auto"/>
      <w:rPr>
        <w:sz w:val="20"/>
      </w:rPr>
    </w:pPr>
    <w:r>
      <w:pict>
        <v:line id="_x0000_s1026" style="position:absolute;z-index:-7696;mso-position-horizontal-relative:page;mso-position-vertical-relative:page" from="70.55pt,734.15pt" to="541.45pt,734.15pt" strokeweight=".24pt">
          <w10:wrap anchorx="page" anchory="page"/>
        </v:line>
      </w:pict>
    </w:r>
    <w:r>
      <w:pict>
        <v:shapetype id="_x0000_t202" coordsize="21600,21600" o:spt="202" path="m,l,21600r21600,l21600,xe">
          <v:stroke joinstyle="miter"/>
          <v:path gradientshapeok="t" o:connecttype="rect"/>
        </v:shapetype>
        <v:shape id="_x0000_s1025" type="#_x0000_t202" style="position:absolute;margin-left:301.25pt;margin-top:743.8pt;width:9.55pt;height:13.15pt;z-index:-7672;mso-position-horizontal-relative:page;mso-position-vertical-relative:page" filled="f" stroked="f">
          <v:textbox inset="0,0,0,0">
            <w:txbxContent>
              <w:p w:rsidR="000B79F1" w:rsidRDefault="00A1145E">
                <w:pPr>
                  <w:spacing w:before="12"/>
                  <w:ind w:left="40"/>
                  <w:rPr>
                    <w:rFonts w:ascii="Arial"/>
                    <w:sz w:val="20"/>
                  </w:rPr>
                </w:pPr>
                <w:r>
                  <w:fldChar w:fldCharType="begin"/>
                </w:r>
                <w:r>
                  <w:rPr>
                    <w:rFonts w:ascii="Arial"/>
                    <w:w w:val="99"/>
                    <w:sz w:val="20"/>
                  </w:rPr>
                  <w:instrText xml:space="preserve"> PAGE </w:instrText>
                </w:r>
                <w:r>
                  <w:fldChar w:fldCharType="separate"/>
                </w:r>
                <w:r>
                  <w:rPr>
                    <w:rFonts w:ascii="Arial"/>
                    <w:noProof/>
                    <w:w w:val="99"/>
                    <w:sz w:val="20"/>
                  </w:rPr>
                  <w:t>5</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A1145E">
      <w:r>
        <w:separator/>
      </w:r>
    </w:p>
  </w:footnote>
  <w:footnote w:type="continuationSeparator" w:id="0">
    <w:p w:rsidR="00000000" w:rsidRDefault="00A114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79F1" w:rsidRDefault="000B79F1">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8B0F5C"/>
    <w:multiLevelType w:val="hybridMultilevel"/>
    <w:tmpl w:val="EBF836DE"/>
    <w:lvl w:ilvl="0" w:tplc="729A210C">
      <w:start w:val="1"/>
      <w:numFmt w:val="decimal"/>
      <w:lvlText w:val="%1."/>
      <w:lvlJc w:val="left"/>
      <w:pPr>
        <w:ind w:left="509" w:hanging="370"/>
        <w:jc w:val="left"/>
      </w:pPr>
      <w:rPr>
        <w:rFonts w:hint="default"/>
        <w:b/>
        <w:bCs/>
        <w:spacing w:val="-1"/>
        <w:w w:val="100"/>
      </w:rPr>
    </w:lvl>
    <w:lvl w:ilvl="1" w:tplc="4B4E6DEE">
      <w:numFmt w:val="bullet"/>
      <w:lvlText w:val="•"/>
      <w:lvlJc w:val="left"/>
      <w:pPr>
        <w:ind w:left="1414" w:hanging="370"/>
      </w:pPr>
      <w:rPr>
        <w:rFonts w:hint="default"/>
      </w:rPr>
    </w:lvl>
    <w:lvl w:ilvl="2" w:tplc="DAF23512">
      <w:numFmt w:val="bullet"/>
      <w:lvlText w:val="•"/>
      <w:lvlJc w:val="left"/>
      <w:pPr>
        <w:ind w:left="2328" w:hanging="370"/>
      </w:pPr>
      <w:rPr>
        <w:rFonts w:hint="default"/>
      </w:rPr>
    </w:lvl>
    <w:lvl w:ilvl="3" w:tplc="763448E0">
      <w:numFmt w:val="bullet"/>
      <w:lvlText w:val="•"/>
      <w:lvlJc w:val="left"/>
      <w:pPr>
        <w:ind w:left="3242" w:hanging="370"/>
      </w:pPr>
      <w:rPr>
        <w:rFonts w:hint="default"/>
      </w:rPr>
    </w:lvl>
    <w:lvl w:ilvl="4" w:tplc="3A6A5B84">
      <w:numFmt w:val="bullet"/>
      <w:lvlText w:val="•"/>
      <w:lvlJc w:val="left"/>
      <w:pPr>
        <w:ind w:left="4156" w:hanging="370"/>
      </w:pPr>
      <w:rPr>
        <w:rFonts w:hint="default"/>
      </w:rPr>
    </w:lvl>
    <w:lvl w:ilvl="5" w:tplc="5AF6128A">
      <w:numFmt w:val="bullet"/>
      <w:lvlText w:val="•"/>
      <w:lvlJc w:val="left"/>
      <w:pPr>
        <w:ind w:left="5070" w:hanging="370"/>
      </w:pPr>
      <w:rPr>
        <w:rFonts w:hint="default"/>
      </w:rPr>
    </w:lvl>
    <w:lvl w:ilvl="6" w:tplc="81B44E2A">
      <w:numFmt w:val="bullet"/>
      <w:lvlText w:val="•"/>
      <w:lvlJc w:val="left"/>
      <w:pPr>
        <w:ind w:left="5984" w:hanging="370"/>
      </w:pPr>
      <w:rPr>
        <w:rFonts w:hint="default"/>
      </w:rPr>
    </w:lvl>
    <w:lvl w:ilvl="7" w:tplc="0D76A21E">
      <w:numFmt w:val="bullet"/>
      <w:lvlText w:val="•"/>
      <w:lvlJc w:val="left"/>
      <w:pPr>
        <w:ind w:left="6898" w:hanging="370"/>
      </w:pPr>
      <w:rPr>
        <w:rFonts w:hint="default"/>
      </w:rPr>
    </w:lvl>
    <w:lvl w:ilvl="8" w:tplc="023885BA">
      <w:numFmt w:val="bullet"/>
      <w:lvlText w:val="•"/>
      <w:lvlJc w:val="left"/>
      <w:pPr>
        <w:ind w:left="7812" w:hanging="370"/>
      </w:pPr>
      <w:rPr>
        <w:rFonts w:hint="default"/>
      </w:rPr>
    </w:lvl>
  </w:abstractNum>
  <w:abstractNum w:abstractNumId="1" w15:restartNumberingAfterBreak="0">
    <w:nsid w:val="3FC76728"/>
    <w:multiLevelType w:val="hybridMultilevel"/>
    <w:tmpl w:val="823CCA14"/>
    <w:lvl w:ilvl="0" w:tplc="E7206D36">
      <w:start w:val="16"/>
      <w:numFmt w:val="decimal"/>
      <w:lvlText w:val="%1."/>
      <w:lvlJc w:val="left"/>
      <w:pPr>
        <w:ind w:left="572" w:hanging="432"/>
        <w:jc w:val="left"/>
      </w:pPr>
      <w:rPr>
        <w:rFonts w:ascii="Times New Roman" w:eastAsia="Times New Roman" w:hAnsi="Times New Roman" w:cs="Times New Roman" w:hint="default"/>
        <w:b/>
        <w:bCs/>
        <w:spacing w:val="-3"/>
        <w:w w:val="99"/>
        <w:sz w:val="24"/>
        <w:szCs w:val="24"/>
      </w:rPr>
    </w:lvl>
    <w:lvl w:ilvl="1" w:tplc="36387086">
      <w:numFmt w:val="bullet"/>
      <w:lvlText w:val="•"/>
      <w:lvlJc w:val="left"/>
      <w:pPr>
        <w:ind w:left="1494" w:hanging="432"/>
      </w:pPr>
      <w:rPr>
        <w:rFonts w:hint="default"/>
      </w:rPr>
    </w:lvl>
    <w:lvl w:ilvl="2" w:tplc="50EE1F04">
      <w:numFmt w:val="bullet"/>
      <w:lvlText w:val="•"/>
      <w:lvlJc w:val="left"/>
      <w:pPr>
        <w:ind w:left="2408" w:hanging="432"/>
      </w:pPr>
      <w:rPr>
        <w:rFonts w:hint="default"/>
      </w:rPr>
    </w:lvl>
    <w:lvl w:ilvl="3" w:tplc="27147428">
      <w:numFmt w:val="bullet"/>
      <w:lvlText w:val="•"/>
      <w:lvlJc w:val="left"/>
      <w:pPr>
        <w:ind w:left="3322" w:hanging="432"/>
      </w:pPr>
      <w:rPr>
        <w:rFonts w:hint="default"/>
      </w:rPr>
    </w:lvl>
    <w:lvl w:ilvl="4" w:tplc="A3A6C876">
      <w:numFmt w:val="bullet"/>
      <w:lvlText w:val="•"/>
      <w:lvlJc w:val="left"/>
      <w:pPr>
        <w:ind w:left="4236" w:hanging="432"/>
      </w:pPr>
      <w:rPr>
        <w:rFonts w:hint="default"/>
      </w:rPr>
    </w:lvl>
    <w:lvl w:ilvl="5" w:tplc="06C4CAA4">
      <w:numFmt w:val="bullet"/>
      <w:lvlText w:val="•"/>
      <w:lvlJc w:val="left"/>
      <w:pPr>
        <w:ind w:left="5150" w:hanging="432"/>
      </w:pPr>
      <w:rPr>
        <w:rFonts w:hint="default"/>
      </w:rPr>
    </w:lvl>
    <w:lvl w:ilvl="6" w:tplc="AC9EB602">
      <w:numFmt w:val="bullet"/>
      <w:lvlText w:val="•"/>
      <w:lvlJc w:val="left"/>
      <w:pPr>
        <w:ind w:left="6064" w:hanging="432"/>
      </w:pPr>
      <w:rPr>
        <w:rFonts w:hint="default"/>
      </w:rPr>
    </w:lvl>
    <w:lvl w:ilvl="7" w:tplc="F4726EE8">
      <w:numFmt w:val="bullet"/>
      <w:lvlText w:val="•"/>
      <w:lvlJc w:val="left"/>
      <w:pPr>
        <w:ind w:left="6978" w:hanging="432"/>
      </w:pPr>
      <w:rPr>
        <w:rFonts w:hint="default"/>
      </w:rPr>
    </w:lvl>
    <w:lvl w:ilvl="8" w:tplc="5D421984">
      <w:numFmt w:val="bullet"/>
      <w:lvlText w:val="•"/>
      <w:lvlJc w:val="left"/>
      <w:pPr>
        <w:ind w:left="7892" w:hanging="432"/>
      </w:pPr>
      <w:rPr>
        <w:rFonts w:hint="default"/>
      </w:rPr>
    </w:lvl>
  </w:abstractNum>
  <w:abstractNum w:abstractNumId="2" w15:restartNumberingAfterBreak="0">
    <w:nsid w:val="511276DE"/>
    <w:multiLevelType w:val="hybridMultilevel"/>
    <w:tmpl w:val="FB743286"/>
    <w:lvl w:ilvl="0" w:tplc="9DE28286">
      <w:start w:val="1"/>
      <w:numFmt w:val="upperLetter"/>
      <w:lvlText w:val="%1."/>
      <w:lvlJc w:val="left"/>
      <w:pPr>
        <w:ind w:left="934" w:hanging="435"/>
        <w:jc w:val="left"/>
      </w:pPr>
      <w:rPr>
        <w:rFonts w:hint="default"/>
        <w:b/>
        <w:bCs/>
        <w:spacing w:val="0"/>
        <w:w w:val="100"/>
      </w:rPr>
    </w:lvl>
    <w:lvl w:ilvl="1" w:tplc="EE0CC04E">
      <w:numFmt w:val="bullet"/>
      <w:lvlText w:val="•"/>
      <w:lvlJc w:val="left"/>
      <w:pPr>
        <w:ind w:left="1810" w:hanging="435"/>
      </w:pPr>
      <w:rPr>
        <w:rFonts w:hint="default"/>
      </w:rPr>
    </w:lvl>
    <w:lvl w:ilvl="2" w:tplc="01683758">
      <w:numFmt w:val="bullet"/>
      <w:lvlText w:val="•"/>
      <w:lvlJc w:val="left"/>
      <w:pPr>
        <w:ind w:left="2680" w:hanging="435"/>
      </w:pPr>
      <w:rPr>
        <w:rFonts w:hint="default"/>
      </w:rPr>
    </w:lvl>
    <w:lvl w:ilvl="3" w:tplc="9E4A0306">
      <w:numFmt w:val="bullet"/>
      <w:lvlText w:val="•"/>
      <w:lvlJc w:val="left"/>
      <w:pPr>
        <w:ind w:left="3550" w:hanging="435"/>
      </w:pPr>
      <w:rPr>
        <w:rFonts w:hint="default"/>
      </w:rPr>
    </w:lvl>
    <w:lvl w:ilvl="4" w:tplc="699635FC">
      <w:numFmt w:val="bullet"/>
      <w:lvlText w:val="•"/>
      <w:lvlJc w:val="left"/>
      <w:pPr>
        <w:ind w:left="4420" w:hanging="435"/>
      </w:pPr>
      <w:rPr>
        <w:rFonts w:hint="default"/>
      </w:rPr>
    </w:lvl>
    <w:lvl w:ilvl="5" w:tplc="94DC68CA">
      <w:numFmt w:val="bullet"/>
      <w:lvlText w:val="•"/>
      <w:lvlJc w:val="left"/>
      <w:pPr>
        <w:ind w:left="5290" w:hanging="435"/>
      </w:pPr>
      <w:rPr>
        <w:rFonts w:hint="default"/>
      </w:rPr>
    </w:lvl>
    <w:lvl w:ilvl="6" w:tplc="94DA064A">
      <w:numFmt w:val="bullet"/>
      <w:lvlText w:val="•"/>
      <w:lvlJc w:val="left"/>
      <w:pPr>
        <w:ind w:left="6160" w:hanging="435"/>
      </w:pPr>
      <w:rPr>
        <w:rFonts w:hint="default"/>
      </w:rPr>
    </w:lvl>
    <w:lvl w:ilvl="7" w:tplc="7FF2FE64">
      <w:numFmt w:val="bullet"/>
      <w:lvlText w:val="•"/>
      <w:lvlJc w:val="left"/>
      <w:pPr>
        <w:ind w:left="7030" w:hanging="435"/>
      </w:pPr>
      <w:rPr>
        <w:rFonts w:hint="default"/>
      </w:rPr>
    </w:lvl>
    <w:lvl w:ilvl="8" w:tplc="C83C1D3E">
      <w:numFmt w:val="bullet"/>
      <w:lvlText w:val="•"/>
      <w:lvlJc w:val="left"/>
      <w:pPr>
        <w:ind w:left="7900" w:hanging="435"/>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useFELayout/>
    <w:compatSetting w:name="compatibilityMode" w:uri="http://schemas.microsoft.com/office/word" w:val="12"/>
  </w:compat>
  <w:rsids>
    <w:rsidRoot w:val="000B79F1"/>
    <w:rsid w:val="000B79F1"/>
    <w:rsid w:val="00A114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C12773"/>
  <w15:docId w15:val="{23D92044-A770-4A66-BB22-951B5648A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572" w:hanging="432"/>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572" w:hanging="432"/>
    </w:pPr>
  </w:style>
  <w:style w:type="paragraph" w:customStyle="1" w:styleId="TableParagraph">
    <w:name w:val="Table Paragraph"/>
    <w:basedOn w:val="Normal"/>
    <w:uiPriority w:val="1"/>
    <w:qFormat/>
    <w:rPr>
      <w:rFonts w:ascii="Arial" w:eastAsia="Arial" w:hAnsi="Arial" w:cs="Arial"/>
    </w:rPr>
  </w:style>
  <w:style w:type="paragraph" w:styleId="Header">
    <w:name w:val="header"/>
    <w:basedOn w:val="Normal"/>
    <w:link w:val="HeaderChar"/>
    <w:uiPriority w:val="99"/>
    <w:unhideWhenUsed/>
    <w:rsid w:val="00A1145E"/>
    <w:pPr>
      <w:tabs>
        <w:tab w:val="center" w:pos="4680"/>
        <w:tab w:val="right" w:pos="9360"/>
      </w:tabs>
    </w:pPr>
  </w:style>
  <w:style w:type="character" w:customStyle="1" w:styleId="HeaderChar">
    <w:name w:val="Header Char"/>
    <w:basedOn w:val="DefaultParagraphFont"/>
    <w:link w:val="Header"/>
    <w:uiPriority w:val="99"/>
    <w:rsid w:val="00A1145E"/>
    <w:rPr>
      <w:rFonts w:ascii="Times New Roman" w:eastAsia="Times New Roman" w:hAnsi="Times New Roman" w:cs="Times New Roman"/>
    </w:rPr>
  </w:style>
  <w:style w:type="paragraph" w:styleId="Footer">
    <w:name w:val="footer"/>
    <w:basedOn w:val="Normal"/>
    <w:link w:val="FooterChar"/>
    <w:uiPriority w:val="99"/>
    <w:unhideWhenUsed/>
    <w:rsid w:val="00A1145E"/>
    <w:pPr>
      <w:tabs>
        <w:tab w:val="center" w:pos="4680"/>
        <w:tab w:val="right" w:pos="9360"/>
      </w:tabs>
    </w:pPr>
  </w:style>
  <w:style w:type="character" w:customStyle="1" w:styleId="FooterChar">
    <w:name w:val="Footer Char"/>
    <w:basedOn w:val="DefaultParagraphFont"/>
    <w:link w:val="Footer"/>
    <w:uiPriority w:val="99"/>
    <w:rsid w:val="00A1145E"/>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1163</Words>
  <Characters>6631</Characters>
  <Application>Microsoft Office Word</Application>
  <DocSecurity>0</DocSecurity>
  <Lines>55</Lines>
  <Paragraphs>15</Paragraphs>
  <ScaleCrop>false</ScaleCrop>
  <Company>CMS</Company>
  <LinksUpToDate>false</LinksUpToDate>
  <CharactersWithSpaces>7779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Package Supporting Statement Part A for MMC II 21st Century Cures Act</dc:title>
  <dc:subject>OMB Package</dc:subject>
  <dc:creator>Mathematica Policy Research</dc:creator>
  <cp:keywords>IMD, managed care, in lieu of</cp:keywords>
  <cp:lastModifiedBy>JAMAA HILL</cp:lastModifiedBy>
  <cp:revision>2</cp:revision>
  <dcterms:created xsi:type="dcterms:W3CDTF">2020-03-11T19:51:00Z</dcterms:created>
  <dcterms:modified xsi:type="dcterms:W3CDTF">2020-03-11T23:55:00Z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2019-11-21T00:00:00Z</vt:filetime>
  </property>
  <property fmtid="{D5CDD505-2E9C-101B-9397-08002B2CF9AE}" pid="3" name="Creator">
    <vt:lpwstr>Acrobat PDFMaker 15 for Word</vt:lpwstr>
  </property>
  <property fmtid="{D5CDD505-2E9C-101B-9397-08002B2CF9AE}" pid="4" name="LastSaved">
    <vt:filetime>2020-03-11T00:00:00Z</vt:filetime>
  </property>
</Properties>
</file>