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E32D2E9">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6411C8">
        <w:rPr>
          <w:rFonts w:ascii="Times New Roman" w:hAnsi="Times New Roman"/>
        </w:rPr>
        <w:t>SSA</w:t>
      </w:r>
      <w:r w:rsidRPr="00EC14C9">
        <w:rPr>
          <w:rFonts w:ascii="Times New Roman" w:hAnsi="Times New Roman"/>
        </w:rPr>
        <w:t xml:space="preserve"> expects to use a variety of methodologies for these collections. For example, </w:t>
      </w:r>
      <w:r w:rsidR="006411C8">
        <w:rPr>
          <w:rFonts w:ascii="Times New Roman" w:hAnsi="Times New Roman"/>
        </w:rPr>
        <w:t>SSA,</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w:t>
      </w:r>
      <w:r w:rsidR="006411C8">
        <w:rPr>
          <w:rFonts w:ascii="Times New Roman" w:hAnsi="Times New Roman"/>
        </w:rPr>
        <w:t xml:space="preserve"> posted on target pages of SSA’s</w:t>
      </w:r>
      <w:bookmarkStart w:name="_GoBack" w:id="0"/>
      <w:bookmarkEnd w:id="0"/>
      <w:r w:rsidRPr="00EC14C9">
        <w:rPr>
          <w:rFonts w:ascii="Times New Roman" w:hAnsi="Times New Roman"/>
        </w:rPr>
        <w:t xml:space="preserve">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9070E" w14:textId="77777777" w:rsidR="00B60E45" w:rsidRDefault="00B60E45">
      <w:pPr>
        <w:spacing w:line="20" w:lineRule="exact"/>
      </w:pPr>
    </w:p>
  </w:endnote>
  <w:endnote w:type="continuationSeparator" w:id="0">
    <w:p w14:paraId="1A9E9A64" w14:textId="77777777" w:rsidR="00B60E45" w:rsidRDefault="00B60E45">
      <w:r>
        <w:t xml:space="preserve"> </w:t>
      </w:r>
    </w:p>
  </w:endnote>
  <w:endnote w:type="continuationNotice" w:id="1">
    <w:p w14:paraId="775B6BC0" w14:textId="77777777" w:rsidR="00B60E45" w:rsidRDefault="00B60E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42F4447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411C8">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42F4447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411C8">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85212" w14:textId="77777777" w:rsidR="00B60E45" w:rsidRDefault="00B60E45">
      <w:r>
        <w:separator/>
      </w:r>
    </w:p>
  </w:footnote>
  <w:footnote w:type="continuationSeparator" w:id="0">
    <w:p w14:paraId="23455264" w14:textId="77777777" w:rsidR="00B60E45" w:rsidRDefault="00B6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1452" w14:textId="77777777"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(XXXX) </w:t>
    </w:r>
    <w:r w:rsidR="00CB0C21">
      <w:rPr>
        <w:rFonts w:ascii="Times New Roman" w:hAnsi="Times New Roman"/>
        <w:sz w:val="20"/>
      </w:rPr>
      <w:t>YYYY-YYYY</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F64EBF">
      <w:rPr>
        <w:rFonts w:ascii="Times New Roman" w:hAnsi="Times New Roman"/>
        <w:sz w:val="20"/>
      </w:rPr>
      <w:t>0</w:t>
    </w:r>
    <w:r w:rsidR="00CB0C21">
      <w:rPr>
        <w:rFonts w:ascii="Times New Roman" w:hAnsi="Times New Roman"/>
        <w:sz w:val="20"/>
      </w:rPr>
      <w:t>2</w:t>
    </w:r>
    <w:r w:rsidR="00F64EBF">
      <w:rPr>
        <w:rFonts w:ascii="Times New Roman" w:hAnsi="Times New Roman"/>
        <w:sz w:val="20"/>
      </w:rPr>
      <w:t>/</w:t>
    </w:r>
    <w:r w:rsidR="00CB0C21">
      <w:rPr>
        <w:rFonts w:ascii="Times New Roman" w:hAnsi="Times New Roman"/>
        <w:sz w:val="20"/>
      </w:rPr>
      <w:t>21</w:t>
    </w:r>
    <w:r w:rsidR="00F64EBF">
      <w:rPr>
        <w:rFonts w:ascii="Times New Roman" w:hAnsi="Times New Roman"/>
        <w:sz w:val="20"/>
      </w:rPr>
      <w:t>/20</w:t>
    </w:r>
    <w:r>
      <w:rPr>
        <w:rFonts w:ascii="Times New Roman" w:hAnsi="Times New Roman"/>
        <w:sz w:val="20"/>
      </w:rPr>
      <w:t>1</w:t>
    </w:r>
    <w:r w:rsidR="00CB0C21">
      <w:rPr>
        <w:rFonts w:ascii="Times New Roman" w:hAnsi="Times New Roman"/>
        <w:sz w:val="20"/>
      </w:rPr>
      <w:t>9</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411C8"/>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643A-5AF9-4E05-8460-3B449D5E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Mandley, Tasha</cp:lastModifiedBy>
  <cp:revision>2</cp:revision>
  <cp:lastPrinted>2016-05-23T15:22:00Z</cp:lastPrinted>
  <dcterms:created xsi:type="dcterms:W3CDTF">2020-03-26T13:51:00Z</dcterms:created>
  <dcterms:modified xsi:type="dcterms:W3CDTF">2020-03-26T13:51:00Z</dcterms:modified>
</cp:coreProperties>
</file>