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Pr="004E0796">
        <w:t xml:space="preserve">,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9D35CE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5671B">
        <w:t xml:space="preserve">Calonie Gray </w:t>
      </w:r>
      <w:r w:rsidR="001C2C6A">
        <w:t>and Jessica Johnson</w:t>
      </w:r>
    </w:p>
    <w:p w:rsidR="0005680D" w:rsidP="0005680D" w:rsidRDefault="0005680D" w14:paraId="48DB0716" w14:textId="6690EAB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443CA0">
        <w:t>,</w:t>
      </w:r>
      <w:r w:rsidRPr="004E0796">
        <w:t xml:space="preserve">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41E172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C2C6A">
        <w:t xml:space="preserve">March </w:t>
      </w:r>
      <w:r w:rsidR="00E22D1B">
        <w:t>1</w:t>
      </w:r>
      <w:r w:rsidR="0041304B">
        <w:t>6</w:t>
      </w:r>
      <w:bookmarkStart w:name="_GoBack" w:id="0"/>
      <w:bookmarkEnd w:id="0"/>
      <w:r w:rsidRPr="0005671B">
        <w:t xml:space="preserve">, </w:t>
      </w:r>
      <w:r w:rsidRPr="0005671B" w:rsidR="0005671B">
        <w:t>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71B" w:rsidRDefault="0005680D" w14:paraId="3A89B6CD" w14:textId="34862C51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1C2C6A">
        <w:t>s</w:t>
      </w:r>
      <w:r>
        <w:t>ubstantive Change Request –</w:t>
      </w:r>
      <w:r w:rsidR="0005671B">
        <w:t xml:space="preserve">Sexual Risk Avoidance Education National Descriptive Study—Early Implementation Study (NDS-EIS) </w:t>
      </w:r>
      <w:r>
        <w:t>(OMB #0970-0</w:t>
      </w:r>
      <w:r w:rsidR="0005671B">
        <w:t>530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05671B" w:rsidR="00E525D4" w:rsidP="00DE6808" w:rsidRDefault="0005680D" w14:paraId="494EB7FC" w14:textId="56E0C2BA">
      <w:pPr>
        <w:widowControl/>
        <w:suppressAutoHyphens w:val="0"/>
        <w:autoSpaceDE w:val="0"/>
        <w:autoSpaceDN w:val="0"/>
        <w:adjustRightInd w:val="0"/>
      </w:pPr>
      <w:r w:rsidRPr="0005671B">
        <w:t xml:space="preserve">This memo requests approval of nonsubstantive changes to the approved information collection, </w:t>
      </w:r>
      <w:bookmarkStart w:name="_Hlk31874540" w:id="1"/>
      <w:r w:rsidRPr="0005671B" w:rsidR="0005671B">
        <w:rPr>
          <w:rFonts w:eastAsiaTheme="minorHAnsi"/>
          <w:kern w:val="0"/>
        </w:rPr>
        <w:t>Sexual Risk Avoidance Education</w:t>
      </w:r>
      <w:r w:rsidR="0005671B">
        <w:rPr>
          <w:rFonts w:eastAsiaTheme="minorHAnsi"/>
          <w:kern w:val="0"/>
        </w:rPr>
        <w:t xml:space="preserve"> </w:t>
      </w:r>
      <w:r w:rsidRPr="0005671B" w:rsidR="0005671B">
        <w:rPr>
          <w:rFonts w:eastAsiaTheme="minorHAnsi"/>
          <w:kern w:val="0"/>
        </w:rPr>
        <w:t>National Descriptive Study—Early</w:t>
      </w:r>
      <w:r w:rsidR="00DE6808">
        <w:rPr>
          <w:rFonts w:eastAsiaTheme="minorHAnsi"/>
          <w:kern w:val="0"/>
        </w:rPr>
        <w:t xml:space="preserve"> </w:t>
      </w:r>
      <w:r w:rsidRPr="0005671B" w:rsidR="0005671B">
        <w:rPr>
          <w:rFonts w:eastAsiaTheme="minorHAnsi"/>
          <w:kern w:val="0"/>
        </w:rPr>
        <w:t xml:space="preserve">Implementation Study (NDS-EIS) </w:t>
      </w:r>
      <w:bookmarkEnd w:id="1"/>
      <w:r w:rsidRPr="0005671B">
        <w:t>(OMB #0970-0</w:t>
      </w:r>
      <w:r w:rsidRPr="0005671B" w:rsidR="0005671B">
        <w:t>530</w:t>
      </w:r>
      <w:r w:rsidRPr="0005671B">
        <w:t xml:space="preserve">). </w:t>
      </w:r>
    </w:p>
    <w:p w:rsidRPr="0005671B"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Pr="003A7C23" w:rsidR="00CF7426" w:rsidP="00CF7426" w:rsidRDefault="00CF7426" w14:paraId="175C6FEC" w14:textId="7D5586E7">
      <w:pPr>
        <w:rPr>
          <w:iCs/>
        </w:rPr>
      </w:pPr>
      <w:r w:rsidRPr="00447451">
        <w:t>In</w:t>
      </w:r>
      <w:r w:rsidRPr="004F2898">
        <w:t xml:space="preserve"> </w:t>
      </w:r>
      <w:r>
        <w:t>July 2019</w:t>
      </w:r>
      <w:r w:rsidRPr="00447451">
        <w:t xml:space="preserve">, </w:t>
      </w:r>
      <w:r>
        <w:t>the Office of Management and Budget (</w:t>
      </w:r>
      <w:r w:rsidRPr="00447451">
        <w:t>OMB</w:t>
      </w:r>
      <w:r>
        <w:t>)</w:t>
      </w:r>
      <w:r w:rsidRPr="00447451">
        <w:t xml:space="preserve"> approved the collection of </w:t>
      </w:r>
      <w:r>
        <w:t xml:space="preserve">data </w:t>
      </w:r>
      <w:r w:rsidRPr="00447451">
        <w:rPr>
          <w:iCs/>
        </w:rPr>
        <w:t xml:space="preserve">from </w:t>
      </w:r>
      <w:r w:rsidRPr="0005671B" w:rsidR="00443CA0">
        <w:rPr>
          <w:rFonts w:eastAsiaTheme="minorHAnsi"/>
          <w:kern w:val="0"/>
        </w:rPr>
        <w:t>Sexual Risk Avoidance Education</w:t>
      </w:r>
      <w:r w:rsidR="00443CA0">
        <w:rPr>
          <w:rFonts w:eastAsiaTheme="minorHAnsi"/>
          <w:kern w:val="0"/>
        </w:rPr>
        <w:t xml:space="preserve"> (</w:t>
      </w:r>
      <w:r>
        <w:rPr>
          <w:iCs/>
        </w:rPr>
        <w:t>SRAE</w:t>
      </w:r>
      <w:r w:rsidR="00443CA0">
        <w:rPr>
          <w:iCs/>
        </w:rPr>
        <w:t>)</w:t>
      </w:r>
      <w:r>
        <w:rPr>
          <w:iCs/>
        </w:rPr>
        <w:t xml:space="preserve"> </w:t>
      </w:r>
      <w:r w:rsidRPr="00447451">
        <w:rPr>
          <w:iCs/>
        </w:rPr>
        <w:t>grantees</w:t>
      </w:r>
      <w:r>
        <w:rPr>
          <w:iCs/>
        </w:rPr>
        <w:t xml:space="preserve"> as part of the </w:t>
      </w:r>
      <w:r>
        <w:t>NDS-EIS</w:t>
      </w:r>
      <w:r>
        <w:rPr>
          <w:iCs/>
        </w:rPr>
        <w:t>. The a</w:t>
      </w:r>
      <w:r w:rsidRPr="00447451">
        <w:rPr>
          <w:iCs/>
        </w:rPr>
        <w:t>pproved information collection include</w:t>
      </w:r>
      <w:r>
        <w:rPr>
          <w:iCs/>
        </w:rPr>
        <w:t>s</w:t>
      </w:r>
      <w:r w:rsidRPr="00447451">
        <w:rPr>
          <w:iCs/>
        </w:rPr>
        <w:t xml:space="preserve"> </w:t>
      </w:r>
      <w:r>
        <w:rPr>
          <w:iCs/>
        </w:rPr>
        <w:t xml:space="preserve">program level information about decisions made regarding grantees’ implementation plans and the reasons for those decisions. </w:t>
      </w:r>
      <w:r>
        <w:t xml:space="preserve">The approved submission included two data </w:t>
      </w:r>
      <w:r w:rsidRPr="00C94240">
        <w:rPr>
          <w:iCs/>
        </w:rPr>
        <w:t xml:space="preserve">collection </w:t>
      </w:r>
      <w:r w:rsidRPr="00C94240">
        <w:t>instruments</w:t>
      </w:r>
      <w:r>
        <w:t>:</w:t>
      </w:r>
    </w:p>
    <w:p w:rsidR="009601C2" w:rsidP="009601C2" w:rsidRDefault="009601C2" w14:paraId="48A2ED01" w14:textId="77777777">
      <w:pPr>
        <w:rPr>
          <w:bCs/>
          <w:iCs/>
        </w:rPr>
      </w:pPr>
    </w:p>
    <w:p w:rsidRPr="009601C2" w:rsidR="00CF7426" w:rsidP="009601C2" w:rsidRDefault="009601C2" w14:paraId="05213716" w14:textId="3E622EEF">
      <w:pPr>
        <w:ind w:left="720"/>
        <w:rPr>
          <w:bCs/>
          <w:iCs/>
        </w:rPr>
      </w:pPr>
      <w:r w:rsidRPr="009601C2">
        <w:rPr>
          <w:b/>
          <w:iCs/>
        </w:rPr>
        <w:t>Instrument 1:</w:t>
      </w:r>
      <w:r>
        <w:rPr>
          <w:bCs/>
          <w:iCs/>
        </w:rPr>
        <w:t xml:space="preserve"> </w:t>
      </w:r>
      <w:r w:rsidRPr="009601C2" w:rsidR="00CF7426">
        <w:rPr>
          <w:bCs/>
          <w:iCs/>
        </w:rPr>
        <w:t xml:space="preserve">SRAE Grantee Web Survey </w:t>
      </w:r>
    </w:p>
    <w:p w:rsidRPr="009601C2" w:rsidR="00CF7426" w:rsidP="009601C2" w:rsidRDefault="009601C2" w14:paraId="664AF406" w14:textId="276735F5">
      <w:pPr>
        <w:ind w:left="720"/>
        <w:rPr>
          <w:bCs/>
          <w:iCs/>
        </w:rPr>
      </w:pPr>
      <w:r w:rsidRPr="009601C2">
        <w:rPr>
          <w:b/>
          <w:iCs/>
        </w:rPr>
        <w:t>Instrument 2:</w:t>
      </w:r>
      <w:r>
        <w:rPr>
          <w:bCs/>
          <w:iCs/>
        </w:rPr>
        <w:t xml:space="preserve"> </w:t>
      </w:r>
      <w:r w:rsidRPr="009601C2" w:rsidR="00CF7426">
        <w:rPr>
          <w:bCs/>
          <w:iCs/>
        </w:rPr>
        <w:t xml:space="preserve">Telephone Interview Protocol </w:t>
      </w:r>
    </w:p>
    <w:p w:rsidR="006262DA" w:rsidP="0005671B" w:rsidRDefault="006262DA" w14:paraId="2FD8E3AE" w14:textId="2EA3440F">
      <w:pPr>
        <w:rPr>
          <w:rStyle w:val="Emphasis"/>
          <w:i w:val="0"/>
        </w:rPr>
      </w:pPr>
    </w:p>
    <w:p w:rsidR="006E04DD" w:rsidP="006E04DD" w:rsidRDefault="006E04DD" w14:paraId="1A676783" w14:textId="5BCA52C2">
      <w:pPr>
        <w:rPr>
          <w:rStyle w:val="Emphasis"/>
          <w:i w:val="0"/>
        </w:rPr>
      </w:pPr>
      <w:r>
        <w:rPr>
          <w:rStyle w:val="Emphasis"/>
          <w:i w:val="0"/>
        </w:rPr>
        <w:t xml:space="preserve">A pretest of the grantee web survey was conducted with seven SRAE grantees. As a result of feedback received during the pretest we are proposing </w:t>
      </w:r>
      <w:r w:rsidR="00A3145A">
        <w:rPr>
          <w:rStyle w:val="Emphasis"/>
          <w:i w:val="0"/>
        </w:rPr>
        <w:t>nonsubstantive</w:t>
      </w:r>
      <w:r w:rsidR="00E11DA5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changes to the web survey. </w:t>
      </w:r>
    </w:p>
    <w:p w:rsidR="00A3145A" w:rsidP="006E04DD" w:rsidRDefault="00A3145A" w14:paraId="70175FA6" w14:textId="4BBD5BB7">
      <w:pPr>
        <w:rPr>
          <w:rStyle w:val="Emphasis"/>
          <w:i w:val="0"/>
        </w:rPr>
      </w:pPr>
    </w:p>
    <w:p w:rsidR="0005680D" w:rsidP="0005680D" w:rsidRDefault="00A3145A" w14:paraId="0B392A35" w14:textId="1316F0BD">
      <w:r>
        <w:rPr>
          <w:rStyle w:val="Emphasis"/>
          <w:i w:val="0"/>
        </w:rPr>
        <w:t xml:space="preserve">In addition, the </w:t>
      </w:r>
      <w:r w:rsidR="006B2835">
        <w:rPr>
          <w:rStyle w:val="Emphasis"/>
          <w:i w:val="0"/>
        </w:rPr>
        <w:t xml:space="preserve">ACF </w:t>
      </w:r>
      <w:r>
        <w:rPr>
          <w:rStyle w:val="Emphasis"/>
          <w:i w:val="0"/>
        </w:rPr>
        <w:t xml:space="preserve">Family Youth and Services Bureau, who administers the SRAE grants, requested that we survey a greater number of grantees than originally specified in the </w:t>
      </w:r>
      <w:r w:rsidR="001678B2">
        <w:rPr>
          <w:rStyle w:val="Emphasis"/>
          <w:i w:val="0"/>
        </w:rPr>
        <w:t>approved information collection</w:t>
      </w:r>
      <w:r>
        <w:rPr>
          <w:rStyle w:val="Emphasis"/>
          <w:i w:val="0"/>
        </w:rPr>
        <w:t xml:space="preserve">, including the FY18 General Departmental SRAE grantees and the FY19 General Departmental and Competitive grantees. </w:t>
      </w:r>
    </w:p>
    <w:p w:rsidR="0005680D" w:rsidP="0005680D" w:rsidRDefault="0005680D" w14:paraId="2B14ECA7" w14:textId="77777777"/>
    <w:p w:rsidRPr="006E04DD" w:rsidR="00FF4597" w:rsidP="006E04DD" w:rsidRDefault="0005680D" w14:paraId="52957590" w14:textId="1021C2A0">
      <w:pPr>
        <w:spacing w:after="100" w:afterAutospacing="1"/>
        <w:rPr>
          <w:rStyle w:val="Emphasis"/>
          <w:b/>
          <w:iCs w:val="0"/>
        </w:rPr>
      </w:pPr>
      <w:r w:rsidRPr="0005680D">
        <w:rPr>
          <w:b/>
          <w:i/>
        </w:rPr>
        <w:t>Overview of Requested Changes</w:t>
      </w:r>
    </w:p>
    <w:p w:rsidRPr="009A39C6" w:rsidR="006B2835" w:rsidP="009A39C6" w:rsidRDefault="006B2835" w14:paraId="0D25669C" w14:textId="77777777">
      <w:pPr>
        <w:spacing w:after="120"/>
        <w:rPr>
          <w:u w:val="single"/>
        </w:rPr>
      </w:pPr>
      <w:r w:rsidRPr="009A39C6">
        <w:rPr>
          <w:u w:val="single"/>
        </w:rPr>
        <w:t>Revisions to Instrument 1</w:t>
      </w:r>
    </w:p>
    <w:p w:rsidR="00FF4597" w:rsidP="00FF4597" w:rsidRDefault="00FF4597" w14:paraId="497CEED8" w14:textId="2AEAB592">
      <w:r>
        <w:t xml:space="preserve">We are currently submitting </w:t>
      </w:r>
      <w:r w:rsidR="001678B2">
        <w:t>a revised Instrument 1</w:t>
      </w:r>
      <w:r w:rsidR="00893E8B">
        <w:t xml:space="preserve"> </w:t>
      </w:r>
      <w:r>
        <w:t>that reflect</w:t>
      </w:r>
      <w:r w:rsidR="001678B2">
        <w:t>s</w:t>
      </w:r>
      <w:r>
        <w:t xml:space="preserve"> the following changes compared to the SRAE Grantee Web Survey approved in July 2019: </w:t>
      </w:r>
    </w:p>
    <w:p w:rsidRPr="00FF4597" w:rsidR="006E04DD" w:rsidP="00FF4597" w:rsidRDefault="006E04DD" w14:paraId="404FD48E" w14:textId="77777777">
      <w:pPr>
        <w:rPr>
          <w:iCs/>
        </w:rPr>
      </w:pPr>
    </w:p>
    <w:p w:rsidR="009A39C6" w:rsidP="00FF4597" w:rsidRDefault="009A39C6" w14:paraId="45DE2BE2" w14:textId="0E06000C">
      <w:pPr>
        <w:pStyle w:val="ListParagraph"/>
        <w:numPr>
          <w:ilvl w:val="0"/>
          <w:numId w:val="2"/>
        </w:numPr>
      </w:pPr>
      <w:r>
        <w:t>Re</w:t>
      </w:r>
      <w:r w:rsidR="007F3189">
        <w:t>vised</w:t>
      </w:r>
      <w:r>
        <w:t xml:space="preserve"> instructions to improve clarity and emphasize key information.</w:t>
      </w:r>
    </w:p>
    <w:p w:rsidR="00FF4597" w:rsidP="00FF4597" w:rsidRDefault="00A84867" w14:paraId="58E39F2C" w14:textId="5411409E">
      <w:pPr>
        <w:pStyle w:val="ListParagraph"/>
        <w:numPr>
          <w:ilvl w:val="0"/>
          <w:numId w:val="2"/>
        </w:numPr>
      </w:pPr>
      <w:r>
        <w:t>Drop</w:t>
      </w:r>
      <w:r w:rsidR="00D56556">
        <w:t>ped</w:t>
      </w:r>
      <w:r>
        <w:t xml:space="preserve"> 16 </w:t>
      </w:r>
      <w:r w:rsidR="00FF4597">
        <w:t>items</w:t>
      </w:r>
      <w:r>
        <w:t xml:space="preserve"> around </w:t>
      </w:r>
      <w:r w:rsidR="00FF4597">
        <w:t>attitudes and opinions of those in the</w:t>
      </w:r>
      <w:r w:rsidR="00025E04">
        <w:t xml:space="preserve"> geographic</w:t>
      </w:r>
      <w:r w:rsidR="00FF4597">
        <w:t xml:space="preserve"> areas served by the grant</w:t>
      </w:r>
      <w:r>
        <w:t xml:space="preserve">, </w:t>
      </w:r>
      <w:r w:rsidR="00A3145A">
        <w:t>and complex requests for hours of programming and supplemental content that are covered with less complexity elsewhere in the survey</w:t>
      </w:r>
      <w:r>
        <w:t xml:space="preserve"> </w:t>
      </w:r>
      <w:r w:rsidR="00FF4597">
        <w:t xml:space="preserve"> </w:t>
      </w:r>
    </w:p>
    <w:p w:rsidR="007F3189" w:rsidP="00FF4597" w:rsidRDefault="007F3189" w14:paraId="34E8C930" w14:textId="0958494F">
      <w:pPr>
        <w:pStyle w:val="ListParagraph"/>
        <w:numPr>
          <w:ilvl w:val="0"/>
          <w:numId w:val="2"/>
        </w:numPr>
      </w:pPr>
      <w:r>
        <w:lastRenderedPageBreak/>
        <w:t xml:space="preserve">Moved some questions around within survey and divided a few into sub-questions to improve navigation for </w:t>
      </w:r>
      <w:r w:rsidR="000E6CAC">
        <w:t>programming web-based survey.</w:t>
      </w:r>
    </w:p>
    <w:p w:rsidR="00FF4597" w:rsidP="00FF4597" w:rsidRDefault="00A84867" w14:paraId="2F5E387F" w14:textId="511EE533">
      <w:pPr>
        <w:pStyle w:val="ListParagraph"/>
        <w:numPr>
          <w:ilvl w:val="0"/>
          <w:numId w:val="2"/>
        </w:numPr>
      </w:pPr>
      <w:r>
        <w:t>M</w:t>
      </w:r>
      <w:r w:rsidR="00FF4597">
        <w:t>odif</w:t>
      </w:r>
      <w:r w:rsidR="00D56556">
        <w:t>ied</w:t>
      </w:r>
      <w:r w:rsidR="00FF4597">
        <w:t xml:space="preserve"> </w:t>
      </w:r>
      <w:r w:rsidR="00A3145A">
        <w:t xml:space="preserve">several remaining </w:t>
      </w:r>
      <w:r w:rsidR="00FF4597">
        <w:t>items to clarify wording</w:t>
      </w:r>
      <w:r w:rsidR="006E04DD">
        <w:t xml:space="preserve"> </w:t>
      </w:r>
    </w:p>
    <w:p w:rsidR="00013247" w:rsidP="00FF4597" w:rsidRDefault="00A3145A" w14:paraId="475C3F21" w14:textId="3EB4D2E5">
      <w:pPr>
        <w:pStyle w:val="ListParagraph"/>
        <w:numPr>
          <w:ilvl w:val="0"/>
          <w:numId w:val="2"/>
        </w:numPr>
      </w:pPr>
      <w:r>
        <w:t>Improve</w:t>
      </w:r>
      <w:r w:rsidR="00D56556">
        <w:t>d</w:t>
      </w:r>
      <w:r>
        <w:t xml:space="preserve"> questions about program provision when the grantee is the sole provider, ensuring questions are </w:t>
      </w:r>
      <w:r w:rsidR="00013247">
        <w:t xml:space="preserve">consistent with those with the grantee uses sub-awardees as providers. </w:t>
      </w:r>
    </w:p>
    <w:p w:rsidR="00A84867" w:rsidP="00FF4597" w:rsidRDefault="00A84867" w14:paraId="452E96CD" w14:textId="3A93EAC5">
      <w:pPr>
        <w:pStyle w:val="ListParagraph"/>
        <w:numPr>
          <w:ilvl w:val="0"/>
          <w:numId w:val="2"/>
        </w:numPr>
      </w:pPr>
      <w:r>
        <w:t xml:space="preserve">Added four text boxes to allow space for grantees to clarify responses, if needed </w:t>
      </w:r>
    </w:p>
    <w:p w:rsidR="00FF4597" w:rsidP="00FF4597" w:rsidRDefault="00FF4597" w14:paraId="3C5A9EC3" w14:textId="1B030005"/>
    <w:p w:rsidR="000C2A36" w:rsidP="000C2A36" w:rsidRDefault="00893E8B" w14:paraId="7BA7CF82" w14:textId="3E545E58">
      <w:pPr>
        <w:pStyle w:val="CommentTex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Based on the pretest, the proposed changes do not affect the estimated average time to complete. </w:t>
      </w:r>
      <w:r w:rsidR="000C2A36">
        <w:rPr>
          <w:iCs/>
          <w:sz w:val="24"/>
          <w:szCs w:val="24"/>
        </w:rPr>
        <w:t xml:space="preserve">We do not request any changes to Instrument 2. </w:t>
      </w:r>
    </w:p>
    <w:p w:rsidR="000C2A36" w:rsidP="00FF4597" w:rsidRDefault="000C2A36" w14:paraId="20125DDE" w14:textId="77777777"/>
    <w:p w:rsidRPr="0024536D" w:rsidR="006B2835" w:rsidP="0024536D" w:rsidRDefault="006B2835" w14:paraId="60CF47DC" w14:textId="77777777">
      <w:pPr>
        <w:pStyle w:val="CommentText"/>
        <w:spacing w:after="120"/>
        <w:rPr>
          <w:sz w:val="24"/>
          <w:szCs w:val="24"/>
          <w:u w:val="single"/>
        </w:rPr>
      </w:pPr>
      <w:r w:rsidRPr="0024536D">
        <w:rPr>
          <w:sz w:val="24"/>
          <w:szCs w:val="24"/>
          <w:u w:val="single"/>
        </w:rPr>
        <w:t>Adjustments to Burden Estimates</w:t>
      </w:r>
    </w:p>
    <w:p w:rsidRPr="000C2A36" w:rsidR="00FF4597" w:rsidP="000C2A36" w:rsidRDefault="006B2835" w14:paraId="6DAA30AC" w14:textId="7FA982FB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To account for the survey being administered to additional grantees, we have increased the total number of respondents to the survey from 85 to 122. </w:t>
      </w:r>
      <w:r w:rsidR="00B75C86">
        <w:rPr>
          <w:sz w:val="24"/>
          <w:szCs w:val="24"/>
        </w:rPr>
        <w:t>For budget reasons related to adding the additional survey respondents, w</w:t>
      </w:r>
      <w:r w:rsidR="00013247">
        <w:rPr>
          <w:sz w:val="24"/>
          <w:szCs w:val="24"/>
        </w:rPr>
        <w:t xml:space="preserve">e have decreased the number of grantees with whom we will conduct </w:t>
      </w:r>
      <w:r w:rsidR="001678B2">
        <w:rPr>
          <w:sz w:val="24"/>
          <w:szCs w:val="24"/>
        </w:rPr>
        <w:t xml:space="preserve">telephone </w:t>
      </w:r>
      <w:r w:rsidR="00013247">
        <w:rPr>
          <w:sz w:val="24"/>
          <w:szCs w:val="24"/>
        </w:rPr>
        <w:t>interviews</w:t>
      </w:r>
      <w:r w:rsidR="001678B2">
        <w:rPr>
          <w:sz w:val="24"/>
          <w:szCs w:val="24"/>
        </w:rPr>
        <w:t xml:space="preserve"> (Instrument 2)</w:t>
      </w:r>
      <w:r w:rsidR="00013247">
        <w:rPr>
          <w:sz w:val="24"/>
          <w:szCs w:val="24"/>
        </w:rPr>
        <w:t xml:space="preserve">. </w:t>
      </w:r>
      <w:r w:rsidR="006A4D65">
        <w:rPr>
          <w:sz w:val="24"/>
          <w:szCs w:val="24"/>
        </w:rPr>
        <w:t xml:space="preserve"> </w:t>
      </w:r>
      <w:r w:rsidR="00B75C86">
        <w:rPr>
          <w:sz w:val="24"/>
          <w:szCs w:val="24"/>
        </w:rPr>
        <w:t xml:space="preserve">As a result, overall burden remains the same. </w:t>
      </w:r>
      <w:r w:rsidR="000C2A36">
        <w:rPr>
          <w:sz w:val="24"/>
          <w:szCs w:val="24"/>
        </w:rPr>
        <w:t xml:space="preserve">Table 1 presents the updated </w:t>
      </w:r>
      <w:r w:rsidR="006A4D65">
        <w:rPr>
          <w:sz w:val="24"/>
          <w:szCs w:val="24"/>
        </w:rPr>
        <w:t>burden</w:t>
      </w:r>
      <w:r w:rsidR="00F45230">
        <w:rPr>
          <w:sz w:val="24"/>
          <w:szCs w:val="24"/>
        </w:rPr>
        <w:t xml:space="preserve"> estimates</w:t>
      </w:r>
      <w:r w:rsidR="006A4D65">
        <w:rPr>
          <w:sz w:val="24"/>
          <w:szCs w:val="24"/>
        </w:rPr>
        <w:t xml:space="preserve">. </w:t>
      </w:r>
    </w:p>
    <w:p w:rsidR="000C2A36" w:rsidP="0005680D" w:rsidRDefault="000C2A36" w14:paraId="6EA17263" w14:textId="42AE2651"/>
    <w:p w:rsidRPr="00FC38BE" w:rsidR="000C2A36" w:rsidP="000C2A36" w:rsidRDefault="000C2A36" w14:paraId="2F46E895" w14:textId="77777777">
      <w:pPr>
        <w:rPr>
          <w:b/>
        </w:rPr>
      </w:pPr>
      <w:r w:rsidRPr="00FC38BE">
        <w:rPr>
          <w:b/>
        </w:rPr>
        <w:t xml:space="preserve">Table </w:t>
      </w:r>
      <w:r>
        <w:rPr>
          <w:b/>
        </w:rPr>
        <w:t>1</w:t>
      </w:r>
      <w:r w:rsidRPr="00FC38BE">
        <w:rPr>
          <w:b/>
        </w:rPr>
        <w:t xml:space="preserve">. Estimated Annual Burden Estimates for </w:t>
      </w:r>
      <w:r>
        <w:rPr>
          <w:b/>
        </w:rPr>
        <w:t xml:space="preserve">SRAE Grantee Data Collection </w:t>
      </w:r>
    </w:p>
    <w:tbl>
      <w:tblPr>
        <w:tblW w:w="9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530"/>
        <w:gridCol w:w="1530"/>
        <w:gridCol w:w="1620"/>
        <w:gridCol w:w="1620"/>
        <w:gridCol w:w="1080"/>
      </w:tblGrid>
      <w:tr w:rsidRPr="00B47288" w:rsidR="006B2835" w:rsidTr="00B75C86" w14:paraId="63512053" w14:textId="77777777">
        <w:tc>
          <w:tcPr>
            <w:tcW w:w="2425" w:type="dxa"/>
            <w:shd w:val="clear" w:color="auto" w:fill="auto"/>
            <w:vAlign w:val="center"/>
          </w:tcPr>
          <w:p w:rsidRPr="00B47288" w:rsidR="006B2835" w:rsidP="00F56D76" w:rsidRDefault="006B2835" w14:paraId="4E556FE6" w14:textId="77777777">
            <w:pPr>
              <w:jc w:val="center"/>
            </w:pPr>
            <w:r w:rsidRPr="00B47288">
              <w:t>Instrument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B47288" w:rsidR="006B2835" w:rsidP="00F56D76" w:rsidRDefault="006B2835" w14:paraId="3EB2A73E" w14:textId="77777777">
            <w:pPr>
              <w:jc w:val="center"/>
            </w:pPr>
            <w:r w:rsidRPr="00B47288">
              <w:t>Total Number of Respondents</w:t>
            </w:r>
          </w:p>
        </w:tc>
        <w:tc>
          <w:tcPr>
            <w:tcW w:w="1530" w:type="dxa"/>
          </w:tcPr>
          <w:p w:rsidRPr="00B75C86" w:rsidR="006B2835" w:rsidP="00F56D76" w:rsidRDefault="006B2835" w14:paraId="5B8B471D" w14:textId="095D0AEE">
            <w:pPr>
              <w:jc w:val="center"/>
            </w:pPr>
            <w:r w:rsidRPr="00B75C86">
              <w:t>Annual Number of Respondents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B47288" w:rsidR="006B2835" w:rsidP="00F56D76" w:rsidRDefault="006B2835" w14:paraId="66C6C372" w14:textId="42874C6A">
            <w:pPr>
              <w:jc w:val="center"/>
            </w:pPr>
            <w:r w:rsidRPr="00B47288">
              <w:t>Number of Responses Per Respondent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B47288" w:rsidR="006B2835" w:rsidP="00F56D76" w:rsidRDefault="006B2835" w14:paraId="7244E904" w14:textId="77777777">
            <w:pPr>
              <w:jc w:val="center"/>
            </w:pPr>
            <w:r w:rsidRPr="00B47288">
              <w:t>Average Burden Hours Per Response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B47288" w:rsidR="006B2835" w:rsidP="00F56D76" w:rsidRDefault="006B2835" w14:paraId="58AC4147" w14:textId="77777777">
            <w:pPr>
              <w:jc w:val="center"/>
              <w:rPr>
                <w:bCs/>
              </w:rPr>
            </w:pPr>
            <w:r w:rsidRPr="00B47288">
              <w:rPr>
                <w:bCs/>
              </w:rPr>
              <w:t>Annual Burden Hours</w:t>
            </w:r>
          </w:p>
        </w:tc>
      </w:tr>
      <w:tr w:rsidRPr="00B47288" w:rsidR="006B2835" w:rsidTr="00B75C86" w14:paraId="3CB54DCE" w14:textId="77777777">
        <w:trPr>
          <w:trHeight w:val="602"/>
        </w:trPr>
        <w:tc>
          <w:tcPr>
            <w:tcW w:w="2425" w:type="dxa"/>
            <w:shd w:val="clear" w:color="auto" w:fill="auto"/>
          </w:tcPr>
          <w:p w:rsidRPr="006F518A" w:rsidR="006B2835" w:rsidP="00F56D76" w:rsidRDefault="006B2835" w14:paraId="3A5200B2" w14:textId="77777777">
            <w:pPr>
              <w:jc w:val="center"/>
            </w:pPr>
            <w:r w:rsidRPr="006F518A">
              <w:t xml:space="preserve">Survey for SRAE Grantees </w:t>
            </w:r>
          </w:p>
        </w:tc>
        <w:tc>
          <w:tcPr>
            <w:tcW w:w="1530" w:type="dxa"/>
            <w:shd w:val="clear" w:color="auto" w:fill="auto"/>
          </w:tcPr>
          <w:p w:rsidRPr="008B3427" w:rsidR="006B2835" w:rsidP="00F56D76" w:rsidRDefault="00B75C86" w14:paraId="76F17FC2" w14:textId="6A53C82B">
            <w:pPr>
              <w:jc w:val="center"/>
            </w:pPr>
            <w:r w:rsidRPr="00B75C86">
              <w:rPr>
                <w:strike/>
                <w:color w:val="FF0000"/>
                <w:kern w:val="24"/>
              </w:rPr>
              <w:t xml:space="preserve">85 </w:t>
            </w:r>
            <w:r w:rsidRPr="00B75C86" w:rsidR="006B2835">
              <w:rPr>
                <w:color w:val="FF0000"/>
              </w:rPr>
              <w:t>122</w:t>
            </w:r>
          </w:p>
        </w:tc>
        <w:tc>
          <w:tcPr>
            <w:tcW w:w="1530" w:type="dxa"/>
          </w:tcPr>
          <w:p w:rsidRPr="00B75C86" w:rsidR="006B2835" w:rsidP="00F56D76" w:rsidRDefault="00B75C86" w14:paraId="2A9A7CE7" w14:textId="77B84832">
            <w:pPr>
              <w:jc w:val="center"/>
              <w:rPr>
                <w:color w:val="FF0000"/>
              </w:rPr>
            </w:pPr>
            <w:r w:rsidRPr="00B75C86">
              <w:rPr>
                <w:strike/>
                <w:color w:val="FF0000"/>
                <w:kern w:val="24"/>
              </w:rPr>
              <w:t>28</w:t>
            </w:r>
            <w:r w:rsidRPr="00B75C86">
              <w:rPr>
                <w:color w:val="FF0000"/>
              </w:rPr>
              <w:t xml:space="preserve"> 41</w:t>
            </w:r>
          </w:p>
        </w:tc>
        <w:tc>
          <w:tcPr>
            <w:tcW w:w="1620" w:type="dxa"/>
            <w:shd w:val="clear" w:color="auto" w:fill="auto"/>
          </w:tcPr>
          <w:p w:rsidRPr="00B47288" w:rsidR="006B2835" w:rsidP="00F56D76" w:rsidRDefault="006B2835" w14:paraId="29BF202D" w14:textId="0933FDC1">
            <w:pPr>
              <w:jc w:val="center"/>
            </w:pPr>
            <w:r w:rsidRPr="00B47288">
              <w:t>1</w:t>
            </w:r>
          </w:p>
        </w:tc>
        <w:tc>
          <w:tcPr>
            <w:tcW w:w="1620" w:type="dxa"/>
            <w:shd w:val="clear" w:color="auto" w:fill="auto"/>
          </w:tcPr>
          <w:p w:rsidRPr="00B47288" w:rsidR="006B2835" w:rsidP="00F56D76" w:rsidRDefault="006B2835" w14:paraId="24422B00" w14:textId="77777777">
            <w:pPr>
              <w:jc w:val="center"/>
            </w:pPr>
            <w:r>
              <w:t>1.5</w:t>
            </w:r>
          </w:p>
        </w:tc>
        <w:tc>
          <w:tcPr>
            <w:tcW w:w="1080" w:type="dxa"/>
            <w:shd w:val="clear" w:color="auto" w:fill="auto"/>
          </w:tcPr>
          <w:p w:rsidRPr="00B47288" w:rsidR="006B2835" w:rsidP="00F56D76" w:rsidRDefault="00B75C86" w14:paraId="197871E0" w14:textId="2512D3CB">
            <w:pPr>
              <w:jc w:val="center"/>
            </w:pPr>
            <w:r w:rsidRPr="00B75C86">
              <w:rPr>
                <w:strike/>
                <w:kern w:val="24"/>
              </w:rPr>
              <w:t xml:space="preserve"> </w:t>
            </w:r>
            <w:r w:rsidRPr="00B75C86">
              <w:rPr>
                <w:strike/>
                <w:color w:val="FF0000"/>
                <w:kern w:val="24"/>
              </w:rPr>
              <w:t xml:space="preserve">42 </w:t>
            </w:r>
            <w:r w:rsidRPr="00B75C86" w:rsidR="006B2835">
              <w:rPr>
                <w:color w:val="FF0000"/>
              </w:rPr>
              <w:t>6</w:t>
            </w:r>
            <w:r w:rsidRPr="00B75C86">
              <w:rPr>
                <w:color w:val="FF0000"/>
              </w:rPr>
              <w:t>2</w:t>
            </w:r>
            <w:r>
              <w:t xml:space="preserve"> </w:t>
            </w:r>
          </w:p>
        </w:tc>
      </w:tr>
      <w:tr w:rsidRPr="00B47288" w:rsidR="006B2835" w:rsidTr="00B75C86" w14:paraId="107771FA" w14:textId="77777777">
        <w:trPr>
          <w:trHeight w:val="530"/>
        </w:trPr>
        <w:tc>
          <w:tcPr>
            <w:tcW w:w="2425" w:type="dxa"/>
            <w:shd w:val="clear" w:color="auto" w:fill="auto"/>
          </w:tcPr>
          <w:p w:rsidRPr="006F518A" w:rsidR="006B2835" w:rsidP="00F56D76" w:rsidRDefault="006B2835" w14:paraId="1276B0DB" w14:textId="77777777">
            <w:pPr>
              <w:jc w:val="center"/>
            </w:pPr>
            <w:r w:rsidRPr="006F518A">
              <w:t xml:space="preserve">Interview Guide for SRAE Grantees </w:t>
            </w:r>
          </w:p>
        </w:tc>
        <w:tc>
          <w:tcPr>
            <w:tcW w:w="1530" w:type="dxa"/>
            <w:shd w:val="clear" w:color="auto" w:fill="auto"/>
          </w:tcPr>
          <w:p w:rsidRPr="008B3427" w:rsidR="006B2835" w:rsidP="00F56D76" w:rsidRDefault="00B75C86" w14:paraId="6E6B6CF1" w14:textId="7599A377">
            <w:pPr>
              <w:jc w:val="center"/>
            </w:pPr>
            <w:r w:rsidRPr="00B75C86">
              <w:rPr>
                <w:strike/>
                <w:color w:val="FF0000"/>
                <w:kern w:val="24"/>
              </w:rPr>
              <w:t>85</w:t>
            </w:r>
            <w:r w:rsidRPr="00B75C86">
              <w:rPr>
                <w:color w:val="FF0000"/>
              </w:rPr>
              <w:t xml:space="preserve"> </w:t>
            </w:r>
            <w:r w:rsidRPr="00B75C86" w:rsidR="006B2835">
              <w:rPr>
                <w:color w:val="FF0000"/>
              </w:rPr>
              <w:t>45</w:t>
            </w:r>
          </w:p>
        </w:tc>
        <w:tc>
          <w:tcPr>
            <w:tcW w:w="1530" w:type="dxa"/>
          </w:tcPr>
          <w:p w:rsidRPr="00B75C86" w:rsidR="006B2835" w:rsidP="00F56D76" w:rsidRDefault="00B75C86" w14:paraId="08C1BF7E" w14:textId="46983F7D">
            <w:pPr>
              <w:jc w:val="center"/>
              <w:rPr>
                <w:color w:val="FF0000"/>
              </w:rPr>
            </w:pPr>
            <w:r w:rsidRPr="00B75C86">
              <w:rPr>
                <w:strike/>
                <w:color w:val="FF0000"/>
                <w:kern w:val="24"/>
              </w:rPr>
              <w:t>28</w:t>
            </w:r>
            <w:r w:rsidRPr="00B75C86">
              <w:rPr>
                <w:color w:val="FF0000"/>
              </w:rPr>
              <w:t xml:space="preserve"> 15</w:t>
            </w:r>
          </w:p>
        </w:tc>
        <w:tc>
          <w:tcPr>
            <w:tcW w:w="1620" w:type="dxa"/>
            <w:shd w:val="clear" w:color="auto" w:fill="auto"/>
          </w:tcPr>
          <w:p w:rsidRPr="00B47288" w:rsidR="006B2835" w:rsidP="00F56D76" w:rsidRDefault="006B2835" w14:paraId="2A3F39E9" w14:textId="03B66EB5">
            <w:pPr>
              <w:jc w:val="center"/>
            </w:pPr>
            <w:r w:rsidRPr="00B47288">
              <w:t>1</w:t>
            </w:r>
          </w:p>
        </w:tc>
        <w:tc>
          <w:tcPr>
            <w:tcW w:w="1620" w:type="dxa"/>
            <w:shd w:val="clear" w:color="auto" w:fill="auto"/>
          </w:tcPr>
          <w:p w:rsidRPr="00B47288" w:rsidR="006B2835" w:rsidP="00F56D76" w:rsidRDefault="006B2835" w14:paraId="569D69E6" w14:textId="77777777">
            <w:pPr>
              <w:jc w:val="center"/>
            </w:pPr>
            <w:r>
              <w:t>1.5</w:t>
            </w:r>
          </w:p>
        </w:tc>
        <w:tc>
          <w:tcPr>
            <w:tcW w:w="1080" w:type="dxa"/>
            <w:shd w:val="clear" w:color="auto" w:fill="auto"/>
          </w:tcPr>
          <w:p w:rsidRPr="00B47288" w:rsidR="006B2835" w:rsidP="00F56D76" w:rsidRDefault="00B75C86" w14:paraId="6FF4769E" w14:textId="7ED9FA3E">
            <w:pPr>
              <w:jc w:val="center"/>
            </w:pPr>
            <w:r w:rsidRPr="00B75C86">
              <w:rPr>
                <w:strike/>
                <w:color w:val="FF0000"/>
                <w:kern w:val="24"/>
              </w:rPr>
              <w:t>42</w:t>
            </w:r>
            <w:r w:rsidRPr="00B75C86">
              <w:rPr>
                <w:color w:val="FF0000"/>
              </w:rPr>
              <w:t xml:space="preserve"> </w:t>
            </w:r>
            <w:r w:rsidRPr="00B75C86" w:rsidR="006B2835">
              <w:rPr>
                <w:color w:val="FF0000"/>
              </w:rPr>
              <w:t>23</w:t>
            </w:r>
          </w:p>
        </w:tc>
      </w:tr>
    </w:tbl>
    <w:p w:rsidRPr="002167A9" w:rsidR="000C2A36" w:rsidP="000C2A36" w:rsidRDefault="000C2A36" w14:paraId="515C50EC" w14:textId="76DF6E8C">
      <w:pPr>
        <w:rPr>
          <w:rFonts w:ascii="Courier New" w:hAnsi="Courier New" w:cs="Courier New"/>
        </w:rPr>
      </w:pPr>
      <w:r w:rsidRPr="00B47288">
        <w:t xml:space="preserve">Estimated Total Annual Burden Hours: </w:t>
      </w:r>
      <w:r w:rsidRPr="00B47288">
        <w:tab/>
      </w:r>
      <w:r w:rsidRPr="00B47288">
        <w:tab/>
      </w:r>
      <w:r w:rsidRPr="00B47288">
        <w:tab/>
        <w:t xml:space="preserve">         </w:t>
      </w:r>
      <w:r>
        <w:tab/>
      </w:r>
      <w:r>
        <w:tab/>
        <w:t xml:space="preserve">          </w:t>
      </w:r>
      <w:r w:rsidRPr="008C4F54">
        <w:rPr>
          <w:rFonts w:ascii="Courier New" w:hAnsi="Courier New" w:cs="Courier New"/>
        </w:rPr>
        <w:t xml:space="preserve">    </w:t>
      </w:r>
      <w:r w:rsidR="005C2D35">
        <w:t>8</w:t>
      </w:r>
      <w:r w:rsidR="00B75C86">
        <w:t xml:space="preserve">5 </w:t>
      </w:r>
    </w:p>
    <w:p w:rsidR="000C2A36" w:rsidP="000C2A36" w:rsidRDefault="000C2A36" w14:paraId="5D99440D" w14:textId="77777777">
      <w:pPr>
        <w:rPr>
          <w:b/>
          <w:i/>
        </w:rPr>
      </w:pPr>
    </w:p>
    <w:p w:rsidR="000C2A36" w:rsidP="0005680D" w:rsidRDefault="000C2A36" w14:paraId="137B54B4" w14:textId="77777777"/>
    <w:p w:rsidRPr="0005680D" w:rsidR="0005680D" w:rsidP="0005680D" w:rsidRDefault="0005680D" w14:paraId="76859545" w14:textId="77777777"/>
    <w:p w:rsidR="0005680D" w:rsidP="0024536D" w:rsidRDefault="0005680D" w14:paraId="7DBC6097" w14:textId="1C7DBB89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D56556" w:rsidR="008A7C50" w:rsidP="0005680D" w:rsidRDefault="00013247" w14:paraId="414C18EE" w14:textId="768175FD">
      <w:pPr>
        <w:rPr>
          <w:bCs/>
          <w:iCs/>
        </w:rPr>
      </w:pPr>
      <w:r>
        <w:rPr>
          <w:bCs/>
          <w:iCs/>
        </w:rPr>
        <w:t xml:space="preserve">ACF plans to field the </w:t>
      </w:r>
      <w:r w:rsidR="009439C9">
        <w:rPr>
          <w:bCs/>
          <w:iCs/>
        </w:rPr>
        <w:t xml:space="preserve">information collections </w:t>
      </w:r>
      <w:r>
        <w:rPr>
          <w:bCs/>
          <w:iCs/>
        </w:rPr>
        <w:t>in April 2020 to ensure that all reporting can be completed by the end of 2020.</w:t>
      </w:r>
    </w:p>
    <w:p w:rsidR="008A7C50" w:rsidP="0005680D" w:rsidRDefault="008A7C50" w14:paraId="0A1A83E6" w14:textId="3642BD29">
      <w:pPr>
        <w:rPr>
          <w:b/>
          <w:i/>
        </w:rPr>
      </w:pPr>
    </w:p>
    <w:p w:rsidR="008A7C50" w:rsidP="0005680D" w:rsidRDefault="008A7C50" w14:paraId="395FA6FC" w14:textId="2595EA44">
      <w:pPr>
        <w:rPr>
          <w:b/>
          <w:i/>
        </w:rPr>
      </w:pPr>
    </w:p>
    <w:p w:rsidR="00CF7426" w:rsidP="0005680D" w:rsidRDefault="00CF7426" w14:paraId="3E644686" w14:textId="27F26630">
      <w:pPr>
        <w:rPr>
          <w:b/>
          <w:i/>
        </w:rPr>
      </w:pPr>
    </w:p>
    <w:p w:rsidR="00CF7426" w:rsidP="0005680D" w:rsidRDefault="00CF7426" w14:paraId="1946FB4F" w14:textId="5323BE32">
      <w:pPr>
        <w:rPr>
          <w:b/>
          <w:i/>
        </w:rPr>
      </w:pPr>
    </w:p>
    <w:p w:rsidR="00CF7426" w:rsidP="0005680D" w:rsidRDefault="00CF7426" w14:paraId="779AFF10" w14:textId="1037F529">
      <w:pPr>
        <w:rPr>
          <w:b/>
          <w:i/>
        </w:rPr>
      </w:pPr>
    </w:p>
    <w:sectPr w:rsidR="00CF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966F1" w16cid:durableId="21E65E2B"/>
  <w16cid:commentId w16cid:paraId="130BFE78" w16cid:durableId="21E65B6F"/>
  <w16cid:commentId w16cid:paraId="0947E4E4" w16cid:durableId="21E65B70"/>
  <w16cid:commentId w16cid:paraId="7B87066C" w16cid:durableId="21EE4955"/>
  <w16cid:commentId w16cid:paraId="120C6B72" w16cid:durableId="21E65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A8F2" w14:textId="77777777" w:rsidR="00423AEC" w:rsidRDefault="00423AEC" w:rsidP="00CF7426">
      <w:r>
        <w:separator/>
      </w:r>
    </w:p>
  </w:endnote>
  <w:endnote w:type="continuationSeparator" w:id="0">
    <w:p w14:paraId="2FA0A633" w14:textId="77777777" w:rsidR="00423AEC" w:rsidRDefault="00423AEC" w:rsidP="00CF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17259" w14:textId="77777777" w:rsidR="00423AEC" w:rsidRDefault="00423AEC" w:rsidP="00CF7426">
      <w:r>
        <w:separator/>
      </w:r>
    </w:p>
  </w:footnote>
  <w:footnote w:type="continuationSeparator" w:id="0">
    <w:p w14:paraId="7FCF9394" w14:textId="77777777" w:rsidR="00423AEC" w:rsidRDefault="00423AEC" w:rsidP="00CF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1E39"/>
    <w:multiLevelType w:val="hybridMultilevel"/>
    <w:tmpl w:val="60BA5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E47"/>
    <w:multiLevelType w:val="hybridMultilevel"/>
    <w:tmpl w:val="5C324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100B4"/>
    <w:rsid w:val="00013247"/>
    <w:rsid w:val="00025E04"/>
    <w:rsid w:val="0005671B"/>
    <w:rsid w:val="0005680D"/>
    <w:rsid w:val="000C1A91"/>
    <w:rsid w:val="000C2A36"/>
    <w:rsid w:val="000E6CAC"/>
    <w:rsid w:val="001110E7"/>
    <w:rsid w:val="001678B2"/>
    <w:rsid w:val="00177792"/>
    <w:rsid w:val="001C2C6A"/>
    <w:rsid w:val="001E790E"/>
    <w:rsid w:val="00201D4A"/>
    <w:rsid w:val="002051DE"/>
    <w:rsid w:val="0024536D"/>
    <w:rsid w:val="002C2B1E"/>
    <w:rsid w:val="003367F1"/>
    <w:rsid w:val="0033737A"/>
    <w:rsid w:val="003648E0"/>
    <w:rsid w:val="003E4F91"/>
    <w:rsid w:val="0041304B"/>
    <w:rsid w:val="004155F0"/>
    <w:rsid w:val="00416E1B"/>
    <w:rsid w:val="00423AEC"/>
    <w:rsid w:val="00443CA0"/>
    <w:rsid w:val="005C2D35"/>
    <w:rsid w:val="005F3C7C"/>
    <w:rsid w:val="006262DA"/>
    <w:rsid w:val="006A4D65"/>
    <w:rsid w:val="006B2835"/>
    <w:rsid w:val="006E04DD"/>
    <w:rsid w:val="006F0149"/>
    <w:rsid w:val="006F518A"/>
    <w:rsid w:val="0076658E"/>
    <w:rsid w:val="007B5F0F"/>
    <w:rsid w:val="007F3189"/>
    <w:rsid w:val="00893E8B"/>
    <w:rsid w:val="008A7C50"/>
    <w:rsid w:val="00934460"/>
    <w:rsid w:val="009439C9"/>
    <w:rsid w:val="009601C2"/>
    <w:rsid w:val="00961699"/>
    <w:rsid w:val="0099324C"/>
    <w:rsid w:val="00995018"/>
    <w:rsid w:val="009A39C6"/>
    <w:rsid w:val="009F72F0"/>
    <w:rsid w:val="00A3145A"/>
    <w:rsid w:val="00A44387"/>
    <w:rsid w:val="00A50C07"/>
    <w:rsid w:val="00A84867"/>
    <w:rsid w:val="00B67B4A"/>
    <w:rsid w:val="00B75C86"/>
    <w:rsid w:val="00C02526"/>
    <w:rsid w:val="00C05E83"/>
    <w:rsid w:val="00CD06BB"/>
    <w:rsid w:val="00CF7426"/>
    <w:rsid w:val="00D56556"/>
    <w:rsid w:val="00DE6808"/>
    <w:rsid w:val="00E11DA5"/>
    <w:rsid w:val="00E147F3"/>
    <w:rsid w:val="00E22D1B"/>
    <w:rsid w:val="00E525D4"/>
    <w:rsid w:val="00E6273E"/>
    <w:rsid w:val="00E95D91"/>
    <w:rsid w:val="00EA79E0"/>
    <w:rsid w:val="00F10B63"/>
    <w:rsid w:val="00F30E99"/>
    <w:rsid w:val="00F31F52"/>
    <w:rsid w:val="00F4523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Emphasis">
    <w:name w:val="Emphasis"/>
    <w:uiPriority w:val="99"/>
    <w:qFormat/>
    <w:rsid w:val="0005671B"/>
    <w:rPr>
      <w:rFonts w:cs="Times New Roman"/>
      <w:i/>
      <w:iCs/>
    </w:rPr>
  </w:style>
  <w:style w:type="paragraph" w:customStyle="1" w:styleId="NormalSS">
    <w:name w:val="NormalSS"/>
    <w:basedOn w:val="Normal"/>
    <w:link w:val="NormalSSChar"/>
    <w:qFormat/>
    <w:rsid w:val="00FF4597"/>
    <w:pPr>
      <w:widowControl/>
      <w:tabs>
        <w:tab w:val="left" w:pos="432"/>
      </w:tabs>
      <w:suppressAutoHyphens w:val="0"/>
      <w:spacing w:after="240"/>
      <w:ind w:firstLine="432"/>
      <w:jc w:val="both"/>
    </w:pPr>
    <w:rPr>
      <w:rFonts w:ascii="Garamond" w:eastAsia="Times New Roman" w:hAnsi="Garamond"/>
      <w:kern w:val="0"/>
    </w:rPr>
  </w:style>
  <w:style w:type="character" w:customStyle="1" w:styleId="NormalSSChar">
    <w:name w:val="NormalSS Char"/>
    <w:link w:val="NormalSS"/>
    <w:rsid w:val="00FF4597"/>
    <w:rPr>
      <w:rFonts w:ascii="Garamond" w:eastAsia="Times New Roman" w:hAnsi="Garamond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4597"/>
    <w:pPr>
      <w:ind w:left="720"/>
      <w:contextualSpacing/>
    </w:p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locked/>
    <w:rsid w:val="00CF7426"/>
    <w:rPr>
      <w:sz w:val="20"/>
    </w:rPr>
  </w:style>
  <w:style w:type="paragraph" w:styleId="FootnoteText">
    <w:name w:val="footnote text"/>
    <w:aliases w:val="F1,Footnote Text2,F"/>
    <w:basedOn w:val="Normal"/>
    <w:link w:val="FootnoteTextChar"/>
    <w:unhideWhenUsed/>
    <w:qFormat/>
    <w:rsid w:val="00CF7426"/>
    <w:pPr>
      <w:widowControl/>
      <w:tabs>
        <w:tab w:val="left" w:pos="432"/>
      </w:tabs>
      <w:suppressAutoHyphens w:val="0"/>
      <w:spacing w:after="120"/>
      <w:ind w:firstLine="432"/>
      <w:jc w:val="both"/>
    </w:pPr>
    <w:rPr>
      <w:rFonts w:asciiTheme="minorHAnsi" w:eastAsiaTheme="minorHAnsi" w:hAnsiTheme="minorHAnsi" w:cstheme="minorBidi"/>
      <w:kern w:val="0"/>
      <w:sz w:val="20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CF742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CF7426"/>
    <w:rPr>
      <w:spacing w:val="0"/>
      <w:position w:val="0"/>
      <w:u w:color="000080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5</cp:revision>
  <dcterms:created xsi:type="dcterms:W3CDTF">2020-03-12T20:42:00Z</dcterms:created>
  <dcterms:modified xsi:type="dcterms:W3CDTF">2020-03-16T15:06:00Z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