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7529D" w:rsidR="00F7529D" w:rsidP="007F0EDD" w:rsidRDefault="00F7529D">
      <w:pPr>
        <w:autoSpaceDE w:val="0"/>
        <w:autoSpaceDN w:val="0"/>
        <w:adjustRightInd w:val="0"/>
        <w:jc w:val="center"/>
        <w:rPr>
          <w:b/>
        </w:rPr>
      </w:pPr>
      <w:r w:rsidRPr="00F7529D">
        <w:rPr>
          <w:b/>
        </w:rPr>
        <w:t>SUPPORTING STATEMENT</w:t>
      </w:r>
    </w:p>
    <w:p w:rsidRPr="00F7529D" w:rsidR="00F7529D" w:rsidP="007F0EDD" w:rsidRDefault="00D050B7">
      <w:pPr>
        <w:autoSpaceDE w:val="0"/>
        <w:autoSpaceDN w:val="0"/>
        <w:adjustRightInd w:val="0"/>
        <w:jc w:val="center"/>
      </w:pPr>
      <w:r>
        <w:rPr>
          <w:b/>
        </w:rPr>
        <w:t xml:space="preserve">Industry-Recognized Apprenticeship Program </w:t>
      </w:r>
      <w:r w:rsidR="00CB5A7A">
        <w:rPr>
          <w:b/>
        </w:rPr>
        <w:t>Standards Recognition</w:t>
      </w:r>
      <w:r w:rsidR="00EF515B">
        <w:rPr>
          <w:b/>
        </w:rPr>
        <w:t xml:space="preserve"> Entity </w:t>
      </w:r>
      <w:r w:rsidR="00D70DFD">
        <w:rPr>
          <w:b/>
        </w:rPr>
        <w:t xml:space="preserve">Regulation and </w:t>
      </w:r>
      <w:r w:rsidR="00C74A06">
        <w:rPr>
          <w:b/>
        </w:rPr>
        <w:t>Application</w:t>
      </w:r>
    </w:p>
    <w:p w:rsidR="00F7529D" w:rsidP="007F0EDD" w:rsidRDefault="00D70DFD">
      <w:pPr>
        <w:autoSpaceDE w:val="0"/>
        <w:autoSpaceDN w:val="0"/>
        <w:adjustRightInd w:val="0"/>
        <w:jc w:val="center"/>
        <w:rPr>
          <w:b/>
        </w:rPr>
      </w:pPr>
      <w:r w:rsidRPr="00D72C43">
        <w:rPr>
          <w:b/>
        </w:rPr>
        <w:t>Office of Management and Budget</w:t>
      </w:r>
      <w:r w:rsidRPr="00F7529D">
        <w:rPr>
          <w:b/>
        </w:rPr>
        <w:t xml:space="preserve"> </w:t>
      </w:r>
      <w:r>
        <w:rPr>
          <w:b/>
        </w:rPr>
        <w:t>(</w:t>
      </w:r>
      <w:r w:rsidRPr="00F7529D" w:rsidR="00F7529D">
        <w:rPr>
          <w:b/>
        </w:rPr>
        <w:t>OMB</w:t>
      </w:r>
      <w:r>
        <w:rPr>
          <w:b/>
        </w:rPr>
        <w:t>)</w:t>
      </w:r>
      <w:r w:rsidRPr="00F7529D" w:rsidR="00F7529D">
        <w:rPr>
          <w:b/>
        </w:rPr>
        <w:t xml:space="preserve"> </w:t>
      </w:r>
      <w:r w:rsidRPr="0010689F" w:rsidR="00F7529D">
        <w:rPr>
          <w:b/>
        </w:rPr>
        <w:t>Control N</w:t>
      </w:r>
      <w:r w:rsidR="00D91E30">
        <w:rPr>
          <w:b/>
        </w:rPr>
        <w:t>umber 1205-</w:t>
      </w:r>
      <w:r w:rsidR="00964B4B">
        <w:rPr>
          <w:b/>
        </w:rPr>
        <w:t>0536</w:t>
      </w:r>
    </w:p>
    <w:p w:rsidRPr="00F7529D" w:rsidR="007F0EDD" w:rsidP="007F0EDD" w:rsidRDefault="007F0EDD">
      <w:pPr>
        <w:autoSpaceDE w:val="0"/>
        <w:autoSpaceDN w:val="0"/>
        <w:adjustRightInd w:val="0"/>
      </w:pPr>
    </w:p>
    <w:p w:rsidR="00421A1D" w:rsidP="00421A1D" w:rsidRDefault="00421A1D">
      <w:pPr>
        <w:widowControl w:val="0"/>
        <w:autoSpaceDE w:val="0"/>
        <w:autoSpaceDN w:val="0"/>
        <w:adjustRightInd w:val="0"/>
        <w:rPr>
          <w:b/>
        </w:rPr>
      </w:pPr>
    </w:p>
    <w:p w:rsidRPr="00F7529D" w:rsidR="007F0EDD" w:rsidP="007F0EDD" w:rsidRDefault="007F0EDD">
      <w:pPr>
        <w:widowControl w:val="0"/>
        <w:autoSpaceDE w:val="0"/>
        <w:autoSpaceDN w:val="0"/>
        <w:adjustRightInd w:val="0"/>
        <w:rPr>
          <w:b/>
          <w:u w:val="single"/>
        </w:rPr>
      </w:pPr>
      <w:r w:rsidRPr="00F7529D">
        <w:rPr>
          <w:b/>
        </w:rPr>
        <w:t>A.</w:t>
      </w:r>
      <w:r w:rsidRPr="00F7529D">
        <w:rPr>
          <w:b/>
        </w:rPr>
        <w:tab/>
      </w:r>
      <w:r w:rsidRPr="00F7529D">
        <w:rPr>
          <w:b/>
          <w:u w:val="single"/>
        </w:rPr>
        <w:t>Justification.</w:t>
      </w:r>
    </w:p>
    <w:p w:rsidRPr="00F1250A" w:rsidR="00F7529D" w:rsidP="00F1250A" w:rsidRDefault="00A84F58">
      <w:pPr>
        <w:tabs>
          <w:tab w:val="center" w:pos="4680"/>
        </w:tabs>
        <w:autoSpaceDE w:val="0"/>
        <w:autoSpaceDN w:val="0"/>
        <w:adjustRightInd w:val="0"/>
      </w:pPr>
      <w:r>
        <w:tab/>
      </w:r>
    </w:p>
    <w:p w:rsidRPr="00F7529D" w:rsidR="00F7529D" w:rsidP="003218D1" w:rsidRDefault="00F7529D">
      <w:pPr>
        <w:widowControl w:val="0"/>
        <w:numPr>
          <w:ilvl w:val="0"/>
          <w:numId w:val="16"/>
        </w:numPr>
        <w:tabs>
          <w:tab w:val="right" w:pos="-1080"/>
        </w:tabs>
        <w:autoSpaceDE w:val="0"/>
        <w:autoSpaceDN w:val="0"/>
        <w:adjustRightInd w:val="0"/>
        <w:ind w:left="720" w:hanging="720"/>
        <w:contextualSpacing/>
        <w:rPr>
          <w:i/>
        </w:rPr>
      </w:pPr>
      <w:r w:rsidRPr="00F7529D">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7529D" w:rsidR="00F7529D" w:rsidP="00F7529D" w:rsidRDefault="00F7529D">
      <w:pPr>
        <w:autoSpaceDE w:val="0"/>
        <w:autoSpaceDN w:val="0"/>
        <w:adjustRightInd w:val="0"/>
      </w:pPr>
    </w:p>
    <w:p w:rsidR="006A0D65" w:rsidP="00F7529D" w:rsidRDefault="00F7529D">
      <w:pPr>
        <w:widowControl w:val="0"/>
        <w:autoSpaceDE w:val="0"/>
        <w:autoSpaceDN w:val="0"/>
        <w:adjustRightInd w:val="0"/>
      </w:pPr>
      <w:r w:rsidRPr="00F7529D">
        <w:t xml:space="preserve">The National Apprenticeship Act (29 U.S.C. </w:t>
      </w:r>
      <w:r w:rsidR="003F3B4B">
        <w:t>§</w:t>
      </w:r>
      <w:r w:rsidR="001901CC">
        <w:t> </w:t>
      </w:r>
      <w:r w:rsidRPr="00F7529D">
        <w:t xml:space="preserve">50) authorizes </w:t>
      </w:r>
      <w:r w:rsidR="00506326">
        <w:t xml:space="preserve">the </w:t>
      </w:r>
      <w:r w:rsidRPr="00F7529D">
        <w:t xml:space="preserve">Department </w:t>
      </w:r>
      <w:r w:rsidR="00242EE6">
        <w:t>“</w:t>
      </w:r>
      <w:r w:rsidRPr="00F7529D">
        <w:t>to formulate and promote the furtherance of labor standards necessary to safeguard the welfare of apprentices</w:t>
      </w:r>
      <w:r w:rsidR="00242EE6">
        <w:t>,” as well as to “to bring together</w:t>
      </w:r>
      <w:r w:rsidR="00C61E5A">
        <w:t xml:space="preserve"> employers</w:t>
      </w:r>
      <w:r w:rsidR="00AA5BA3">
        <w:t xml:space="preserve"> and labor</w:t>
      </w:r>
      <w:r w:rsidR="00C61E5A">
        <w:t xml:space="preserve"> for the formulation of programs of apprenticeship</w:t>
      </w:r>
      <w:r w:rsidRPr="00F7529D">
        <w:t>.</w:t>
      </w:r>
      <w:r w:rsidR="00AA5BA3">
        <w:t>”</w:t>
      </w:r>
      <w:r w:rsidR="00C61E5A">
        <w:t xml:space="preserve"> </w:t>
      </w:r>
      <w:r w:rsidRPr="00F7529D">
        <w:t xml:space="preserve">On June 15, </w:t>
      </w:r>
      <w:r w:rsidR="00613CE1">
        <w:t>2017</w:t>
      </w:r>
      <w:r w:rsidRPr="00F7529D">
        <w:t xml:space="preserve">, President Trump issued Executive Order </w:t>
      </w:r>
      <w:r w:rsidR="002F5B73">
        <w:t xml:space="preserve">(EO) </w:t>
      </w:r>
      <w:r w:rsidRPr="00F7529D">
        <w:t>13801 (82 FR 28229), titled</w:t>
      </w:r>
      <w:r w:rsidR="00A15DD2">
        <w:t xml:space="preserve"> </w:t>
      </w:r>
      <w:r w:rsidRPr="00F7529D">
        <w:t>“</w:t>
      </w:r>
      <w:r w:rsidRPr="00A15DD2">
        <w:t>Expanding Apprenticeships in America</w:t>
      </w:r>
      <w:r w:rsidRPr="00F7529D">
        <w:t>,” which directed the Secretary of Labor (in consultation with the Secretaries of Education and Commerce) to consider “proposing regulations, consistent with applicable law, including 29 U.S.C. 50, that promote the development of apprenticeship programs.</w:t>
      </w:r>
      <w:r w:rsidR="00DA0B08">
        <w:t xml:space="preserve">” </w:t>
      </w:r>
      <w:r w:rsidR="002D1FBB">
        <w:t xml:space="preserve">The </w:t>
      </w:r>
      <w:r w:rsidR="00A15DD2">
        <w:t>EO</w:t>
      </w:r>
      <w:r w:rsidR="002D1FBB">
        <w:t xml:space="preserve"> also </w:t>
      </w:r>
      <w:r w:rsidRPr="00F7529D" w:rsidR="002D1FBB">
        <w:t>direct</w:t>
      </w:r>
      <w:r w:rsidR="002D1FBB">
        <w:t>ed</w:t>
      </w:r>
      <w:r w:rsidRPr="00F7529D" w:rsidR="002D1FBB">
        <w:t xml:space="preserve"> the Department to determine how qualified</w:t>
      </w:r>
      <w:r w:rsidR="004C7B0E">
        <w:t xml:space="preserve"> entities</w:t>
      </w:r>
      <w:r w:rsidRPr="00F7529D" w:rsidR="002D1FBB">
        <w:t xml:space="preserve"> may provide recognition to “industry-recognized apprenticeship programs</w:t>
      </w:r>
      <w:r w:rsidR="00201A04">
        <w:t>,</w:t>
      </w:r>
      <w:r w:rsidRPr="00F7529D" w:rsidR="002D1FBB">
        <w:t>” and</w:t>
      </w:r>
      <w:r w:rsidR="00201A04">
        <w:t xml:space="preserve"> to</w:t>
      </w:r>
      <w:r w:rsidRPr="00F7529D" w:rsidR="002D1FBB">
        <w:t xml:space="preserve"> “establish guidelines or requirements that qualified </w:t>
      </w:r>
      <w:r w:rsidR="002D1FBB">
        <w:t>[</w:t>
      </w:r>
      <w:r w:rsidR="00CB5A7A">
        <w:t>Standards Recognition Entities</w:t>
      </w:r>
      <w:r w:rsidR="002D1FBB">
        <w:t>]</w:t>
      </w:r>
      <w:r w:rsidRPr="00F7529D" w:rsidR="002D1FBB">
        <w:t xml:space="preserve"> should</w:t>
      </w:r>
      <w:r w:rsidR="002D1FBB">
        <w:t xml:space="preserve"> or must follow to ensure that the industry-recognized</w:t>
      </w:r>
      <w:r w:rsidRPr="00F7529D" w:rsidR="002D1FBB">
        <w:t xml:space="preserve"> apprenticeship programs they recognize meet quality standards.” </w:t>
      </w:r>
      <w:r w:rsidR="002D1FBB">
        <w:t xml:space="preserve"> </w:t>
      </w:r>
    </w:p>
    <w:p w:rsidR="006A0D65" w:rsidP="00F7529D" w:rsidRDefault="006A0D65">
      <w:pPr>
        <w:widowControl w:val="0"/>
        <w:autoSpaceDE w:val="0"/>
        <w:autoSpaceDN w:val="0"/>
        <w:adjustRightInd w:val="0"/>
      </w:pPr>
    </w:p>
    <w:p w:rsidR="00292966" w:rsidP="009C7D2E" w:rsidRDefault="00292966">
      <w:pPr>
        <w:widowControl w:val="0"/>
        <w:autoSpaceDE w:val="0"/>
        <w:autoSpaceDN w:val="0"/>
        <w:adjustRightInd w:val="0"/>
        <w:rPr>
          <w:rFonts w:eastAsia="Calibri"/>
          <w:color w:val="000000"/>
        </w:rPr>
      </w:pPr>
      <w:r w:rsidRPr="00292966">
        <w:rPr>
          <w:rFonts w:eastAsia="Calibri"/>
          <w:color w:val="000000"/>
        </w:rPr>
        <w:t>Section 29.22(h) provides that SREs must annually report to the Administrator and make publicly available certain information the Department considers important for providing employers and prospective apprentices the details necessary to make informed decisions about IRAPs. Affected parties do not have to comply with the information collection requirements in § 29.22(h) until the Department publishes in the Federal Register the control numbers assigned by the OMB to these information collection requirements. Publication of the control numbers notifies the public that OMB has approved these information collection requirements under PRA. The Department will publish a Federal Register notice requesting public comment on the collections required by § 29.22(h) and submit an ICR to the OMB for review and approval in accordance with PRA prior to requiring or accepting any data collections. A copy of that ICR, with applicable supporting documentation—including a description of the likely respondents, proposed format and frequency of responses, and estimated total burden—will be availa</w:t>
      </w:r>
      <w:r>
        <w:rPr>
          <w:rFonts w:eastAsia="Calibri"/>
          <w:color w:val="000000"/>
        </w:rPr>
        <w:t>ble on the RegInfo.gov website.</w:t>
      </w:r>
      <w:bookmarkStart w:name="_GoBack" w:id="0"/>
      <w:bookmarkEnd w:id="0"/>
    </w:p>
    <w:p w:rsidR="00292966" w:rsidP="009C7D2E" w:rsidRDefault="00292966">
      <w:pPr>
        <w:widowControl w:val="0"/>
        <w:autoSpaceDE w:val="0"/>
        <w:autoSpaceDN w:val="0"/>
        <w:adjustRightInd w:val="0"/>
        <w:rPr>
          <w:rFonts w:eastAsia="Calibri"/>
          <w:color w:val="000000"/>
        </w:rPr>
      </w:pPr>
    </w:p>
    <w:p w:rsidR="00345197" w:rsidP="009C7D2E" w:rsidRDefault="005676B6">
      <w:pPr>
        <w:widowControl w:val="0"/>
        <w:autoSpaceDE w:val="0"/>
        <w:autoSpaceDN w:val="0"/>
        <w:adjustRightInd w:val="0"/>
        <w:rPr>
          <w:rFonts w:eastAsia="Calibri"/>
        </w:rPr>
      </w:pPr>
      <w:r>
        <w:rPr>
          <w:rFonts w:eastAsia="Calibri"/>
          <w:color w:val="000000"/>
        </w:rPr>
        <w:t xml:space="preserve">The Department </w:t>
      </w:r>
      <w:r w:rsidRPr="009B37C3">
        <w:t>is submitting</w:t>
      </w:r>
      <w:r>
        <w:t xml:space="preserve"> </w:t>
      </w:r>
      <w:r w:rsidRPr="009B37C3">
        <w:t xml:space="preserve">for your approval </w:t>
      </w:r>
      <w:r>
        <w:t xml:space="preserve">an updated Information </w:t>
      </w:r>
      <w:r>
        <w:lastRenderedPageBreak/>
        <w:t>Collection Request (ICR)</w:t>
      </w:r>
      <w:r w:rsidR="00A16D9E">
        <w:t>,</w:t>
      </w:r>
      <w:r>
        <w:t xml:space="preserve"> titled </w:t>
      </w:r>
      <w:r w:rsidRPr="000B61E0">
        <w:rPr>
          <w:i/>
          <w:iCs/>
        </w:rPr>
        <w:t>Industry-Recognized Apprenticeship Program Standards Recognition Entity Regulation and Application</w:t>
      </w:r>
      <w:r w:rsidRPr="000B61E0">
        <w:t xml:space="preserve">. </w:t>
      </w:r>
      <w:r>
        <w:t xml:space="preserve">This ICR was previously submitted under OMB Control Number 1205-0536 as a part of the IRAP Notice of Proposed Rulemaking (NPRM) and has been updated to reflect the changes in the Final Rule based on public comments. </w:t>
      </w:r>
      <w:r w:rsidRPr="00F7529D" w:rsidR="00F7529D">
        <w:rPr>
          <w:rFonts w:eastAsia="Calibri"/>
          <w:color w:val="000000"/>
        </w:rPr>
        <w:t xml:space="preserve"> </w:t>
      </w:r>
    </w:p>
    <w:p w:rsidRPr="00F7529D" w:rsidR="00F7529D" w:rsidP="00F7529D" w:rsidRDefault="00F7529D">
      <w:pPr>
        <w:widowControl w:val="0"/>
        <w:autoSpaceDE w:val="0"/>
        <w:autoSpaceDN w:val="0"/>
        <w:adjustRightInd w:val="0"/>
      </w:pPr>
    </w:p>
    <w:p w:rsidRPr="00F7529D" w:rsidR="00F7529D" w:rsidP="003218D1" w:rsidRDefault="00F7529D">
      <w:pPr>
        <w:widowControl w:val="0"/>
        <w:numPr>
          <w:ilvl w:val="0"/>
          <w:numId w:val="16"/>
        </w:numPr>
        <w:tabs>
          <w:tab w:val="right" w:pos="-1080"/>
        </w:tabs>
        <w:autoSpaceDE w:val="0"/>
        <w:autoSpaceDN w:val="0"/>
        <w:adjustRightInd w:val="0"/>
        <w:ind w:left="720" w:hanging="720"/>
        <w:contextualSpacing/>
        <w:rPr>
          <w:i/>
        </w:rPr>
      </w:pPr>
      <w:r w:rsidRPr="00F7529D">
        <w:rPr>
          <w:i/>
        </w:rPr>
        <w:t>Indicate how, by whom, and for what purpose the information is to be used. Except for a new collection, indicate the actual use the agency has made of the information received from the current collection.</w:t>
      </w:r>
    </w:p>
    <w:p w:rsidRPr="00F7529D" w:rsidR="00F7529D" w:rsidP="00F7529D" w:rsidRDefault="00F7529D">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u w:val="single"/>
        </w:rPr>
      </w:pPr>
    </w:p>
    <w:p w:rsidRPr="00B17DDE" w:rsidR="00B17DDE" w:rsidP="00B17DDE" w:rsidRDefault="00B17DDE">
      <w:pPr>
        <w:spacing w:after="200"/>
        <w:rPr>
          <w:rFonts w:eastAsia="Calibri"/>
          <w:color w:val="020202"/>
        </w:rPr>
      </w:pPr>
      <w:r w:rsidRPr="00B17DDE">
        <w:rPr>
          <w:rFonts w:eastAsia="Calibri"/>
          <w:color w:val="020202"/>
        </w:rPr>
        <w:t xml:space="preserve">The information collected </w:t>
      </w:r>
      <w:r w:rsidR="00E77A2A">
        <w:rPr>
          <w:rFonts w:eastAsia="Calibri"/>
          <w:color w:val="020202"/>
        </w:rPr>
        <w:t>i</w:t>
      </w:r>
      <w:r w:rsidRPr="00B17DDE">
        <w:rPr>
          <w:rFonts w:eastAsia="Calibri"/>
          <w:color w:val="020202"/>
        </w:rPr>
        <w:t xml:space="preserve">n the </w:t>
      </w:r>
      <w:r w:rsidR="006E25C3">
        <w:rPr>
          <w:rFonts w:eastAsia="Calibri"/>
          <w:color w:val="020202"/>
        </w:rPr>
        <w:t xml:space="preserve">Form ETA-9183, </w:t>
      </w:r>
      <w:r w:rsidRPr="00D72C43">
        <w:rPr>
          <w:i/>
        </w:rPr>
        <w:t>Industry-Recognized Apprenticeship Program Standards Recognition Entity</w:t>
      </w:r>
      <w:r w:rsidRPr="00D72C43" w:rsidR="00E77A2A">
        <w:rPr>
          <w:i/>
        </w:rPr>
        <w:t xml:space="preserve"> Application</w:t>
      </w:r>
      <w:r w:rsidRPr="00B17DDE">
        <w:rPr>
          <w:rFonts w:eastAsia="Calibri"/>
          <w:color w:val="020202"/>
        </w:rPr>
        <w:t xml:space="preserve"> </w:t>
      </w:r>
      <w:r w:rsidR="006E25C3">
        <w:rPr>
          <w:rFonts w:eastAsia="Calibri"/>
          <w:color w:val="020202"/>
        </w:rPr>
        <w:t xml:space="preserve">(SRE application) </w:t>
      </w:r>
      <w:r w:rsidRPr="00B17DDE">
        <w:rPr>
          <w:rFonts w:eastAsia="Calibri"/>
          <w:color w:val="020202"/>
        </w:rPr>
        <w:t>is</w:t>
      </w:r>
      <w:r w:rsidR="00297DF9">
        <w:rPr>
          <w:rFonts w:eastAsia="Calibri"/>
          <w:color w:val="020202"/>
        </w:rPr>
        <w:t xml:space="preserve"> aligned with the amendments to</w:t>
      </w:r>
      <w:r>
        <w:rPr>
          <w:rFonts w:eastAsia="Calibri"/>
          <w:color w:val="020202"/>
        </w:rPr>
        <w:t xml:space="preserve"> </w:t>
      </w:r>
      <w:r w:rsidRPr="00B17DDE">
        <w:rPr>
          <w:rFonts w:eastAsia="Calibri"/>
          <w:color w:val="020202"/>
        </w:rPr>
        <w:t>29 CFR part 29</w:t>
      </w:r>
      <w:r w:rsidR="00A943A2">
        <w:rPr>
          <w:rFonts w:eastAsia="Calibri"/>
          <w:color w:val="020202"/>
        </w:rPr>
        <w:t>, as</w:t>
      </w:r>
      <w:r w:rsidR="00297DF9">
        <w:rPr>
          <w:rFonts w:eastAsia="Calibri"/>
          <w:color w:val="020202"/>
        </w:rPr>
        <w:t xml:space="preserve"> set forth in </w:t>
      </w:r>
      <w:r w:rsidRPr="005900DD" w:rsidR="005900DD">
        <w:rPr>
          <w:rFonts w:eastAsia="Calibri"/>
          <w:color w:val="020202"/>
        </w:rPr>
        <w:t>subpart B</w:t>
      </w:r>
      <w:r w:rsidR="00297DF9">
        <w:rPr>
          <w:rFonts w:eastAsia="Calibri"/>
          <w:color w:val="020202"/>
        </w:rPr>
        <w:t>.</w:t>
      </w:r>
      <w:r w:rsidR="007F2F13">
        <w:rPr>
          <w:rFonts w:eastAsia="Calibri"/>
          <w:color w:val="020202"/>
        </w:rPr>
        <w:t xml:space="preserve"> The Department’s Office of Apprenticeship (OA) will use this information to evaluate whether an applicant has met the requirements to be recognized by the Department as a</w:t>
      </w:r>
      <w:r w:rsidR="00597E52">
        <w:rPr>
          <w:rFonts w:eastAsia="Calibri"/>
          <w:color w:val="020202"/>
        </w:rPr>
        <w:t>n</w:t>
      </w:r>
      <w:r w:rsidR="007F2F13">
        <w:rPr>
          <w:rFonts w:eastAsia="Calibri"/>
          <w:color w:val="020202"/>
        </w:rPr>
        <w:t xml:space="preserve"> SRE. Specifically, OA will use the information gathered to gauge the qualifications, plans, and processes of a</w:t>
      </w:r>
      <w:r w:rsidR="00597E52">
        <w:rPr>
          <w:rFonts w:eastAsia="Calibri"/>
          <w:color w:val="020202"/>
        </w:rPr>
        <w:t xml:space="preserve"> prospective</w:t>
      </w:r>
      <w:r w:rsidR="007F2F13">
        <w:rPr>
          <w:rFonts w:eastAsia="Calibri"/>
          <w:color w:val="020202"/>
        </w:rPr>
        <w:t xml:space="preserve"> SRE to </w:t>
      </w:r>
      <w:r w:rsidR="001135A7">
        <w:rPr>
          <w:rFonts w:eastAsia="Calibri"/>
          <w:color w:val="020202"/>
        </w:rPr>
        <w:t>determine whether</w:t>
      </w:r>
      <w:r w:rsidR="007F2F13">
        <w:rPr>
          <w:rFonts w:eastAsia="Calibri"/>
          <w:color w:val="020202"/>
        </w:rPr>
        <w:t xml:space="preserve"> </w:t>
      </w:r>
      <w:r w:rsidR="00597E52">
        <w:rPr>
          <w:rFonts w:eastAsia="Calibri"/>
          <w:color w:val="020202"/>
        </w:rPr>
        <w:t>it</w:t>
      </w:r>
      <w:r w:rsidR="007F2F13">
        <w:rPr>
          <w:rFonts w:eastAsia="Calibri"/>
          <w:color w:val="020202"/>
        </w:rPr>
        <w:t xml:space="preserve"> meet</w:t>
      </w:r>
      <w:r w:rsidR="00597E52">
        <w:rPr>
          <w:rFonts w:eastAsia="Calibri"/>
          <w:color w:val="020202"/>
        </w:rPr>
        <w:t>s</w:t>
      </w:r>
      <w:r w:rsidR="007F2F13">
        <w:rPr>
          <w:rFonts w:eastAsia="Calibri"/>
          <w:color w:val="020202"/>
        </w:rPr>
        <w:t xml:space="preserve"> the standards described in </w:t>
      </w:r>
      <w:r w:rsidR="005900DD">
        <w:rPr>
          <w:rFonts w:eastAsia="Calibri"/>
          <w:color w:val="000000"/>
        </w:rPr>
        <w:t>subpart B</w:t>
      </w:r>
      <w:r w:rsidR="007F2F13">
        <w:rPr>
          <w:rFonts w:eastAsia="Calibri"/>
          <w:color w:val="020202"/>
        </w:rPr>
        <w:t xml:space="preserve">. </w:t>
      </w:r>
      <w:r w:rsidR="00FE0D10">
        <w:rPr>
          <w:rFonts w:eastAsia="Calibri"/>
          <w:color w:val="020202"/>
        </w:rPr>
        <w:t xml:space="preserve"> </w:t>
      </w:r>
      <w:r w:rsidRPr="00FE0D10" w:rsidR="00FE0D10">
        <w:rPr>
          <w:rFonts w:eastAsia="Calibri"/>
          <w:color w:val="020202"/>
        </w:rPr>
        <w:t>The overarching intent of this effort is to expand and grow the apprenticeship model, including increased participation of under-represented populations and penetration into non-traditional occupations.</w:t>
      </w:r>
    </w:p>
    <w:p w:rsidR="006B3F88" w:rsidP="00A8579D" w:rsidRDefault="006B3F88">
      <w:pPr>
        <w:rPr>
          <w:rFonts w:eastAsia="Calibri"/>
        </w:rPr>
      </w:pPr>
      <w:r>
        <w:rPr>
          <w:rFonts w:eastAsia="Calibri"/>
        </w:rPr>
        <w:t xml:space="preserve">If the information collection described herein </w:t>
      </w:r>
      <w:r w:rsidR="00A164F9">
        <w:rPr>
          <w:rFonts w:eastAsia="Calibri"/>
        </w:rPr>
        <w:t xml:space="preserve">is </w:t>
      </w:r>
      <w:r>
        <w:rPr>
          <w:rFonts w:eastAsia="Calibri"/>
        </w:rPr>
        <w:t>approved, the Department will continue to monitor the quality and practical utility of the information yielded from</w:t>
      </w:r>
      <w:r w:rsidR="00587A41">
        <w:rPr>
          <w:rFonts w:eastAsia="Calibri"/>
        </w:rPr>
        <w:t xml:space="preserve"> this</w:t>
      </w:r>
      <w:r>
        <w:rPr>
          <w:rFonts w:eastAsia="Calibri"/>
        </w:rPr>
        <w:t xml:space="preserve"> </w:t>
      </w:r>
      <w:r w:rsidR="005861B5">
        <w:rPr>
          <w:rFonts w:eastAsia="Calibri"/>
        </w:rPr>
        <w:t>application</w:t>
      </w:r>
      <w:r w:rsidRPr="00A8579D">
        <w:rPr>
          <w:rFonts w:eastAsia="Calibri"/>
        </w:rPr>
        <w:t>.</w:t>
      </w:r>
      <w:r>
        <w:rPr>
          <w:rFonts w:eastAsia="Calibri"/>
        </w:rPr>
        <w:t xml:space="preserve"> </w:t>
      </w:r>
    </w:p>
    <w:p w:rsidR="00C0238A" w:rsidP="00A8579D" w:rsidRDefault="00C0238A">
      <w:pPr>
        <w:rPr>
          <w:rFonts w:eastAsia="Calibri"/>
        </w:rPr>
      </w:pPr>
    </w:p>
    <w:p w:rsidRPr="009A3151" w:rsidR="00C0238A" w:rsidP="00C0238A" w:rsidRDefault="00C0238A">
      <w:pPr>
        <w:rPr>
          <w:b/>
        </w:rPr>
      </w:pPr>
      <w:r>
        <w:rPr>
          <w:color w:val="000000"/>
        </w:rPr>
        <w:t xml:space="preserve">The </w:t>
      </w:r>
      <w:r w:rsidRPr="009A3151">
        <w:rPr>
          <w:color w:val="000000"/>
        </w:rPr>
        <w:t>regulations at 2</w:t>
      </w:r>
      <w:r>
        <w:rPr>
          <w:color w:val="000000"/>
        </w:rPr>
        <w:t>9</w:t>
      </w:r>
      <w:r w:rsidRPr="009A3151">
        <w:rPr>
          <w:color w:val="000000"/>
        </w:rPr>
        <w:t xml:space="preserve"> CFR part </w:t>
      </w:r>
      <w:r>
        <w:rPr>
          <w:color w:val="000000"/>
        </w:rPr>
        <w:t>29, subpart B</w:t>
      </w:r>
      <w:r w:rsidRPr="009A3151">
        <w:rPr>
          <w:color w:val="000000"/>
        </w:rPr>
        <w:t xml:space="preserve"> specif</w:t>
      </w:r>
      <w:r>
        <w:rPr>
          <w:color w:val="000000"/>
        </w:rPr>
        <w:t>y</w:t>
      </w:r>
      <w:r w:rsidRPr="009A3151">
        <w:rPr>
          <w:color w:val="000000"/>
        </w:rPr>
        <w:t xml:space="preserve"> the following information collection requirements</w:t>
      </w:r>
      <w:r>
        <w:rPr>
          <w:color w:val="000000"/>
        </w:rPr>
        <w:t xml:space="preserve">. </w:t>
      </w:r>
      <w:r w:rsidR="00251CC9">
        <w:rPr>
          <w:color w:val="000000"/>
        </w:rPr>
        <w:t xml:space="preserve">The Department’s authority for </w:t>
      </w:r>
      <w:r>
        <w:rPr>
          <w:color w:val="000000"/>
        </w:rPr>
        <w:t>these regulations is the National Apprenticeship Act, 29 U.S.C. 50</w:t>
      </w:r>
      <w:r w:rsidRPr="009A3151">
        <w:rPr>
          <w:color w:val="000000"/>
        </w:rPr>
        <w:t>:</w:t>
      </w:r>
    </w:p>
    <w:p w:rsidRPr="00421A1D" w:rsidR="00C0238A" w:rsidP="00C0238A" w:rsidRDefault="00C0238A">
      <w:pPr>
        <w:widowControl w:val="0"/>
        <w:tabs>
          <w:tab w:val="left" w:pos="0"/>
        </w:tabs>
        <w:autoSpaceDE w:val="0"/>
        <w:autoSpaceDN w:val="0"/>
        <w:adjustRightInd w:val="0"/>
      </w:pPr>
    </w:p>
    <w:p w:rsidR="003C3391" w:rsidP="003C3391" w:rsidRDefault="003C3391">
      <w:pPr>
        <w:widowControl w:val="0"/>
        <w:tabs>
          <w:tab w:val="left" w:pos="0"/>
        </w:tabs>
        <w:autoSpaceDE w:val="0"/>
        <w:autoSpaceDN w:val="0"/>
        <w:adjustRightInd w:val="0"/>
      </w:pPr>
      <w:r w:rsidRPr="002C370A">
        <w:lastRenderedPageBreak/>
        <w:t>§ 29.21(a)</w:t>
      </w:r>
      <w:r w:rsidR="001264AC">
        <w:t xml:space="preserve"> –</w:t>
      </w:r>
      <w:r>
        <w:rPr>
          <w:b/>
        </w:rPr>
        <w:t xml:space="preserve"> </w:t>
      </w:r>
      <w:r>
        <w:t xml:space="preserve">Provides that </w:t>
      </w:r>
      <w:r w:rsidRPr="00857624">
        <w:t xml:space="preserve">an entity </w:t>
      </w:r>
      <w:r w:rsidRPr="00144CBC" w:rsidR="00374A64">
        <w:rPr>
          <w:rFonts w:eastAsia="Calibri"/>
        </w:rPr>
        <w:t xml:space="preserve">(or consortium or partnership of entities) </w:t>
      </w:r>
      <w:r w:rsidRPr="00857624">
        <w:t xml:space="preserve">must submit an application to the Administrator </w:t>
      </w:r>
      <w:r w:rsidRPr="00144CBC" w:rsidR="00231439">
        <w:rPr>
          <w:rFonts w:eastAsia="Calibri"/>
        </w:rPr>
        <w:t>for recognition as an SRE</w:t>
      </w:r>
      <w:r w:rsidRPr="00AE0BD4">
        <w:t>.</w:t>
      </w:r>
    </w:p>
    <w:p w:rsidR="003C3391" w:rsidP="003C3391" w:rsidRDefault="003C3391">
      <w:pPr>
        <w:widowControl w:val="0"/>
        <w:tabs>
          <w:tab w:val="left" w:pos="0"/>
        </w:tabs>
        <w:autoSpaceDE w:val="0"/>
        <w:autoSpaceDN w:val="0"/>
        <w:adjustRightInd w:val="0"/>
      </w:pPr>
    </w:p>
    <w:p w:rsidR="003C3391" w:rsidP="003C3391" w:rsidRDefault="003C3391">
      <w:pPr>
        <w:widowControl w:val="0"/>
        <w:tabs>
          <w:tab w:val="left" w:pos="0"/>
        </w:tabs>
        <w:autoSpaceDE w:val="0"/>
        <w:autoSpaceDN w:val="0"/>
        <w:adjustRightInd w:val="0"/>
      </w:pPr>
      <w:r>
        <w:t>§ 29.21(b)(1)</w:t>
      </w:r>
      <w:r w:rsidR="001264AC">
        <w:t xml:space="preserve"> –</w:t>
      </w:r>
      <w:r>
        <w:t xml:space="preserve"> Provides </w:t>
      </w:r>
      <w:r w:rsidR="00C74A06">
        <w:t xml:space="preserve">that </w:t>
      </w:r>
      <w:r>
        <w:t xml:space="preserve">an entity must demonstrate it </w:t>
      </w:r>
      <w:r w:rsidRPr="00F6095C">
        <w:t xml:space="preserve">has the expertise to set </w:t>
      </w:r>
      <w:r>
        <w:t xml:space="preserve">competency-based </w:t>
      </w:r>
      <w:r w:rsidRPr="00F6095C">
        <w:t>standards, through a consensus-based process involving industry experts, for the requisite training, structure, and curricula for apprenticeship programs in the industry(ies) or occupational area(s) in which it seeks to be</w:t>
      </w:r>
      <w:r w:rsidR="00E120A7">
        <w:t xml:space="preserve"> recognized as an SRE.</w:t>
      </w:r>
    </w:p>
    <w:p w:rsidR="003C3391" w:rsidP="003C3391" w:rsidRDefault="003C3391">
      <w:pPr>
        <w:widowControl w:val="0"/>
        <w:tabs>
          <w:tab w:val="left" w:pos="0"/>
        </w:tabs>
        <w:autoSpaceDE w:val="0"/>
        <w:autoSpaceDN w:val="0"/>
        <w:adjustRightInd w:val="0"/>
      </w:pPr>
    </w:p>
    <w:p w:rsidRPr="00B62308" w:rsidR="003C3391" w:rsidP="003C3391" w:rsidRDefault="003C3391">
      <w:pPr>
        <w:widowControl w:val="0"/>
        <w:tabs>
          <w:tab w:val="left" w:pos="0"/>
        </w:tabs>
        <w:autoSpaceDE w:val="0"/>
        <w:autoSpaceDN w:val="0"/>
        <w:adjustRightInd w:val="0"/>
      </w:pPr>
      <w:r>
        <w:t>§ 29.21(b)(2)</w:t>
      </w:r>
      <w:r w:rsidR="001264AC">
        <w:t xml:space="preserve"> –</w:t>
      </w:r>
      <w:r>
        <w:t xml:space="preserve"> Provides</w:t>
      </w:r>
      <w:r w:rsidR="00C74A06">
        <w:t xml:space="preserve"> that</w:t>
      </w:r>
      <w:r>
        <w:t xml:space="preserve"> an entity must demonstrate it </w:t>
      </w:r>
      <w:r w:rsidRPr="00B62308">
        <w:t xml:space="preserve">has the capacity and quality assurance processes and procedures sufficient to comply with § 29.22(a)(4), given the scope of the </w:t>
      </w:r>
      <w:r>
        <w:t>IRAPs</w:t>
      </w:r>
      <w:r w:rsidRPr="00B62308">
        <w:t xml:space="preserve"> to be recognized.</w:t>
      </w:r>
    </w:p>
    <w:p w:rsidR="003C3391" w:rsidP="003C3391" w:rsidRDefault="003C3391">
      <w:pPr>
        <w:widowControl w:val="0"/>
        <w:tabs>
          <w:tab w:val="left" w:pos="0"/>
        </w:tabs>
        <w:autoSpaceDE w:val="0"/>
        <w:autoSpaceDN w:val="0"/>
        <w:adjustRightInd w:val="0"/>
      </w:pPr>
    </w:p>
    <w:p w:rsidR="003C3391" w:rsidP="003C3391" w:rsidRDefault="003C3391">
      <w:pPr>
        <w:widowControl w:val="0"/>
        <w:tabs>
          <w:tab w:val="left" w:pos="0"/>
        </w:tabs>
        <w:autoSpaceDE w:val="0"/>
        <w:autoSpaceDN w:val="0"/>
        <w:adjustRightInd w:val="0"/>
      </w:pPr>
      <w:r>
        <w:t>§ 29.21(b)(3)</w:t>
      </w:r>
      <w:r w:rsidR="001264AC">
        <w:t xml:space="preserve"> –</w:t>
      </w:r>
      <w:r>
        <w:t xml:space="preserve"> Provides that an entity must </w:t>
      </w:r>
      <w:r w:rsidR="00231439">
        <w:t xml:space="preserve">demonstrate </w:t>
      </w:r>
      <w:r>
        <w:t xml:space="preserve">it has </w:t>
      </w:r>
      <w:r w:rsidRPr="00B27409">
        <w:rPr>
          <w:rFonts w:eastAsia="Calibri"/>
        </w:rPr>
        <w:t xml:space="preserve">resources to operate as </w:t>
      </w:r>
      <w:r>
        <w:rPr>
          <w:rFonts w:eastAsia="Calibri"/>
        </w:rPr>
        <w:t>an SRE for a 5-year period and r</w:t>
      </w:r>
      <w:r w:rsidRPr="00B27409">
        <w:rPr>
          <w:rFonts w:eastAsia="Calibri"/>
        </w:rPr>
        <w:t xml:space="preserve">eport any </w:t>
      </w:r>
      <w:r>
        <w:rPr>
          <w:rFonts w:eastAsia="Calibri"/>
        </w:rPr>
        <w:t xml:space="preserve">bankruptcies from </w:t>
      </w:r>
      <w:r w:rsidRPr="00B27409">
        <w:rPr>
          <w:rFonts w:eastAsia="Calibri"/>
        </w:rPr>
        <w:t xml:space="preserve">the past </w:t>
      </w:r>
      <w:r>
        <w:rPr>
          <w:rFonts w:eastAsia="Calibri"/>
        </w:rPr>
        <w:t>5</w:t>
      </w:r>
      <w:r w:rsidRPr="00B27409">
        <w:rPr>
          <w:rFonts w:eastAsia="Calibri"/>
        </w:rPr>
        <w:t xml:space="preserve"> years</w:t>
      </w:r>
      <w:r w:rsidRPr="00304F26">
        <w:rPr>
          <w:rFonts w:eastAsia="Calibri"/>
        </w:rPr>
        <w:t>.</w:t>
      </w:r>
    </w:p>
    <w:p w:rsidR="003C3391" w:rsidP="003C3391" w:rsidRDefault="003C3391">
      <w:pPr>
        <w:widowControl w:val="0"/>
        <w:tabs>
          <w:tab w:val="left" w:pos="0"/>
        </w:tabs>
        <w:autoSpaceDE w:val="0"/>
        <w:autoSpaceDN w:val="0"/>
        <w:adjustRightInd w:val="0"/>
      </w:pPr>
    </w:p>
    <w:p w:rsidR="003C3391" w:rsidP="003C3391" w:rsidRDefault="003C3391">
      <w:pPr>
        <w:widowControl w:val="0"/>
        <w:tabs>
          <w:tab w:val="left" w:pos="0"/>
        </w:tabs>
        <w:autoSpaceDE w:val="0"/>
        <w:autoSpaceDN w:val="0"/>
        <w:adjustRightInd w:val="0"/>
      </w:pPr>
      <w:r>
        <w:t>§ 29.21(b)(4)</w:t>
      </w:r>
      <w:r w:rsidR="001264AC">
        <w:t xml:space="preserve"> –</w:t>
      </w:r>
      <w:r>
        <w:t xml:space="preserve"> Provides that an entity must disclose information about</w:t>
      </w:r>
      <w:r w:rsidR="006F7B04">
        <w:t xml:space="preserve"> </w:t>
      </w:r>
      <w:r w:rsidRPr="00144CBC" w:rsidR="006F7B04">
        <w:rPr>
          <w:rFonts w:eastAsia="Calibri"/>
        </w:rPr>
        <w:t>any confirmed or potential partner who will be engage</w:t>
      </w:r>
      <w:r w:rsidR="006F7B04">
        <w:rPr>
          <w:rFonts w:eastAsia="Calibri"/>
        </w:rPr>
        <w:t>d in the recognition activities</w:t>
      </w:r>
      <w:r w:rsidR="00231439">
        <w:rPr>
          <w:rFonts w:eastAsia="Calibri"/>
        </w:rPr>
        <w:t xml:space="preserve"> and </w:t>
      </w:r>
      <w:r w:rsidRPr="00144CBC" w:rsidR="006F7B04">
        <w:rPr>
          <w:rFonts w:eastAsia="Calibri"/>
        </w:rPr>
        <w:t>describ</w:t>
      </w:r>
      <w:r w:rsidR="00231439">
        <w:rPr>
          <w:rFonts w:eastAsia="Calibri"/>
        </w:rPr>
        <w:t>es</w:t>
      </w:r>
      <w:r w:rsidRPr="00144CBC" w:rsidR="006F7B04">
        <w:rPr>
          <w:rFonts w:eastAsia="Calibri"/>
        </w:rPr>
        <w:t xml:space="preserve"> their roles, including relationships with subsidiaries or other related entities that could reasonably impact its impartiality. </w:t>
      </w:r>
    </w:p>
    <w:p w:rsidR="003C3391" w:rsidP="003C3391" w:rsidRDefault="003C3391">
      <w:pPr>
        <w:widowControl w:val="0"/>
        <w:tabs>
          <w:tab w:val="left" w:pos="0"/>
        </w:tabs>
        <w:autoSpaceDE w:val="0"/>
        <w:autoSpaceDN w:val="0"/>
        <w:adjustRightInd w:val="0"/>
      </w:pPr>
    </w:p>
    <w:p w:rsidR="003C3391" w:rsidP="003C3391" w:rsidRDefault="003C3391">
      <w:pPr>
        <w:widowControl w:val="0"/>
        <w:tabs>
          <w:tab w:val="left" w:pos="0"/>
        </w:tabs>
        <w:autoSpaceDE w:val="0"/>
        <w:autoSpaceDN w:val="0"/>
        <w:adjustRightInd w:val="0"/>
      </w:pPr>
      <w:r>
        <w:t>§ 29.21(b)(5)</w:t>
      </w:r>
      <w:r w:rsidR="001264AC">
        <w:t xml:space="preserve"> –</w:t>
      </w:r>
      <w:r w:rsidRPr="00A70677">
        <w:t xml:space="preserve"> </w:t>
      </w:r>
      <w:r>
        <w:t xml:space="preserve">Provides that an entity must </w:t>
      </w:r>
      <w:r w:rsidR="00231439">
        <w:t xml:space="preserve">demonstrate </w:t>
      </w:r>
      <w:r>
        <w:t>i</w:t>
      </w:r>
      <w:r w:rsidRPr="00A70677">
        <w:t>t is not suspended or debarred from conducting business with the U.S. Federal Government.</w:t>
      </w:r>
    </w:p>
    <w:p w:rsidR="003C3391" w:rsidP="003C3391" w:rsidRDefault="003C3391">
      <w:pPr>
        <w:widowControl w:val="0"/>
        <w:tabs>
          <w:tab w:val="left" w:pos="0"/>
        </w:tabs>
        <w:autoSpaceDE w:val="0"/>
        <w:autoSpaceDN w:val="0"/>
        <w:adjustRightInd w:val="0"/>
      </w:pPr>
    </w:p>
    <w:p w:rsidRPr="006927FF" w:rsidR="003C3391" w:rsidP="003C3391" w:rsidRDefault="003C3391">
      <w:pPr>
        <w:widowControl w:val="0"/>
        <w:tabs>
          <w:tab w:val="left" w:pos="0"/>
        </w:tabs>
        <w:autoSpaceDE w:val="0"/>
        <w:autoSpaceDN w:val="0"/>
        <w:adjustRightInd w:val="0"/>
      </w:pPr>
      <w:r>
        <w:t>§ 29.21(b)(6)</w:t>
      </w:r>
      <w:r w:rsidR="001264AC">
        <w:t xml:space="preserve"> –</w:t>
      </w:r>
      <w:r>
        <w:t xml:space="preserve"> Provides</w:t>
      </w:r>
      <w:r w:rsidR="00A8334F">
        <w:t xml:space="preserve"> that</w:t>
      </w:r>
      <w:r>
        <w:t xml:space="preserve"> an entity must </w:t>
      </w:r>
      <w:r w:rsidR="00231439">
        <w:t xml:space="preserve">demonstrate its ability to </w:t>
      </w:r>
      <w:r>
        <w:t>mitigate</w:t>
      </w:r>
      <w:r w:rsidR="001264AC">
        <w:t>,</w:t>
      </w:r>
      <w:r w:rsidRPr="00A70677">
        <w:t xml:space="preserve"> </w:t>
      </w:r>
      <w:r w:rsidR="00374A64">
        <w:rPr>
          <w:rFonts w:eastAsia="Calibri"/>
        </w:rPr>
        <w:t>via any specific policies, processes, procedures, or structures</w:t>
      </w:r>
      <w:r w:rsidR="00A8334F">
        <w:rPr>
          <w:rFonts w:eastAsia="Calibri"/>
        </w:rPr>
        <w:t>,</w:t>
      </w:r>
      <w:r w:rsidR="001264AC">
        <w:rPr>
          <w:rFonts w:eastAsia="Calibri"/>
        </w:rPr>
        <w:t xml:space="preserve"> </w:t>
      </w:r>
      <w:r w:rsidRPr="00A70677">
        <w:t xml:space="preserve">any actual or potential conflicts of interest, including, but not limited to, conflicts that may arise from the entity recognizing its own apprenticeship program(s) and conflicts relating to the entity’s provision of services to actual </w:t>
      </w:r>
      <w:r w:rsidRPr="00A70677">
        <w:lastRenderedPageBreak/>
        <w:t>or prospective IRAPs.</w:t>
      </w:r>
    </w:p>
    <w:p w:rsidR="003C3391" w:rsidP="003C3391" w:rsidRDefault="003C3391">
      <w:pPr>
        <w:widowControl w:val="0"/>
        <w:tabs>
          <w:tab w:val="left" w:pos="0"/>
        </w:tabs>
        <w:autoSpaceDE w:val="0"/>
        <w:autoSpaceDN w:val="0"/>
        <w:adjustRightInd w:val="0"/>
      </w:pPr>
    </w:p>
    <w:p w:rsidR="003C3391" w:rsidP="003C3391" w:rsidRDefault="003C3391">
      <w:pPr>
        <w:widowControl w:val="0"/>
        <w:tabs>
          <w:tab w:val="left" w:pos="0"/>
        </w:tabs>
        <w:autoSpaceDE w:val="0"/>
        <w:autoSpaceDN w:val="0"/>
        <w:adjustRightInd w:val="0"/>
      </w:pPr>
      <w:r>
        <w:t>§ 29.21(b)(7)</w:t>
      </w:r>
      <w:r w:rsidR="001264AC">
        <w:t xml:space="preserve"> –</w:t>
      </w:r>
      <w:r>
        <w:t xml:space="preserve"> Provides that an entity must demonstrate appropriate knowledge and resources to recognize IRAPs </w:t>
      </w:r>
      <w:r w:rsidRPr="00144CBC" w:rsidR="00867C8F">
        <w:rPr>
          <w:rFonts w:eastAsia="Calibri"/>
        </w:rPr>
        <w:t>in the industry(ies) or occupational areas in the intended geographical area, that may be nationwide or limited to a region, State, or local area</w:t>
      </w:r>
      <w:r>
        <w:t xml:space="preserve">. </w:t>
      </w:r>
    </w:p>
    <w:p w:rsidR="003C3391" w:rsidP="003C3391" w:rsidRDefault="003C3391">
      <w:pPr>
        <w:widowControl w:val="0"/>
        <w:tabs>
          <w:tab w:val="left" w:pos="0"/>
        </w:tabs>
        <w:autoSpaceDE w:val="0"/>
        <w:autoSpaceDN w:val="0"/>
        <w:adjustRightInd w:val="0"/>
      </w:pPr>
    </w:p>
    <w:p w:rsidRPr="00A70677" w:rsidR="003C3391" w:rsidP="003C3391" w:rsidRDefault="003C3391">
      <w:pPr>
        <w:widowControl w:val="0"/>
        <w:tabs>
          <w:tab w:val="left" w:pos="0"/>
        </w:tabs>
        <w:autoSpaceDE w:val="0"/>
        <w:autoSpaceDN w:val="0"/>
        <w:adjustRightInd w:val="0"/>
      </w:pPr>
      <w:r>
        <w:t>§ 29.21(c)(1)</w:t>
      </w:r>
      <w:r w:rsidR="001264AC">
        <w:t xml:space="preserve"> –</w:t>
      </w:r>
      <w:r>
        <w:t xml:space="preserve"> Provides</w:t>
      </w:r>
      <w:r w:rsidR="008D3744">
        <w:t xml:space="preserve"> that</w:t>
      </w:r>
      <w:r>
        <w:t xml:space="preserve"> an entity must reapply </w:t>
      </w:r>
      <w:r w:rsidR="008A528B">
        <w:t xml:space="preserve">by submitting an updated application to the Administrator </w:t>
      </w:r>
      <w:r w:rsidRPr="00144CBC" w:rsidR="006F7B04">
        <w:rPr>
          <w:rFonts w:eastAsia="Calibri"/>
        </w:rPr>
        <w:t>at least 6 months before the date that its current recognition is set to expire</w:t>
      </w:r>
      <w:r w:rsidR="006F7B04">
        <w:t xml:space="preserve"> </w:t>
      </w:r>
      <w:r w:rsidR="008A528B">
        <w:t>if it seeks re-recognition</w:t>
      </w:r>
      <w:r>
        <w:t xml:space="preserve">. </w:t>
      </w:r>
    </w:p>
    <w:p w:rsidR="003C3391" w:rsidP="003C3391" w:rsidRDefault="003C3391">
      <w:pPr>
        <w:widowControl w:val="0"/>
        <w:tabs>
          <w:tab w:val="left" w:pos="0"/>
        </w:tabs>
        <w:autoSpaceDE w:val="0"/>
        <w:autoSpaceDN w:val="0"/>
        <w:adjustRightInd w:val="0"/>
      </w:pPr>
    </w:p>
    <w:p w:rsidR="003C3391" w:rsidP="003C3391" w:rsidRDefault="003C3391">
      <w:pPr>
        <w:widowControl w:val="0"/>
        <w:tabs>
          <w:tab w:val="left" w:pos="0"/>
        </w:tabs>
        <w:autoSpaceDE w:val="0"/>
        <w:autoSpaceDN w:val="0"/>
        <w:adjustRightInd w:val="0"/>
      </w:pPr>
      <w:r w:rsidRPr="002C370A">
        <w:t>§ 29.21(c)(2)</w:t>
      </w:r>
      <w:r w:rsidR="001264AC">
        <w:t xml:space="preserve"> –</w:t>
      </w:r>
      <w:r>
        <w:t xml:space="preserve"> Provides that </w:t>
      </w:r>
      <w:r w:rsidRPr="00857624">
        <w:t xml:space="preserve">an SRE </w:t>
      </w:r>
      <w:r w:rsidR="00255C70">
        <w:t xml:space="preserve">must </w:t>
      </w:r>
      <w:r w:rsidRPr="00857624">
        <w:t xml:space="preserve">notify the Administrator and </w:t>
      </w:r>
      <w:r w:rsidR="00255C70">
        <w:t xml:space="preserve">must </w:t>
      </w:r>
      <w:r w:rsidRPr="00857624">
        <w:t>provide all related material information if it makes any major change that could affect the operations of the program</w:t>
      </w:r>
      <w:r>
        <w:t xml:space="preserve">, </w:t>
      </w:r>
      <w:r w:rsidRPr="00144CBC" w:rsidR="00255C70">
        <w:rPr>
          <w:rFonts w:eastAsia="Calibri"/>
        </w:rPr>
        <w:t>or any other change that materially affects the SRE’s ability to function in its recognition capacity;</w:t>
      </w:r>
      <w:r w:rsidR="00255C70">
        <w:rPr>
          <w:rFonts w:eastAsia="Calibri"/>
        </w:rPr>
        <w:t xml:space="preserve"> </w:t>
      </w:r>
      <w:r>
        <w:t xml:space="preserve">or seeks to recognize apprenticeship programs in additional industries, </w:t>
      </w:r>
      <w:r w:rsidRPr="00C709F1">
        <w:rPr>
          <w:rFonts w:eastAsia="Calibri"/>
        </w:rPr>
        <w:t>occupational areas</w:t>
      </w:r>
      <w:r>
        <w:rPr>
          <w:rFonts w:eastAsia="Calibri"/>
        </w:rPr>
        <w:t>, or geographical areas</w:t>
      </w:r>
      <w:r w:rsidRPr="00C709F1">
        <w:rPr>
          <w:rFonts w:eastAsia="Calibri"/>
        </w:rPr>
        <w:t>.</w:t>
      </w:r>
    </w:p>
    <w:p w:rsidR="003C3391" w:rsidP="003C3391" w:rsidRDefault="003C3391">
      <w:pPr>
        <w:widowControl w:val="0"/>
        <w:tabs>
          <w:tab w:val="left" w:pos="0"/>
        </w:tabs>
        <w:autoSpaceDE w:val="0"/>
        <w:autoSpaceDN w:val="0"/>
        <w:adjustRightInd w:val="0"/>
        <w:rPr>
          <w:b/>
        </w:rPr>
      </w:pPr>
    </w:p>
    <w:p w:rsidR="003C3391" w:rsidP="003C3391" w:rsidRDefault="003C3391">
      <w:pPr>
        <w:widowControl w:val="0"/>
        <w:tabs>
          <w:tab w:val="left" w:pos="0"/>
        </w:tabs>
        <w:autoSpaceDE w:val="0"/>
        <w:autoSpaceDN w:val="0"/>
        <w:adjustRightInd w:val="0"/>
      </w:pPr>
      <w:r>
        <w:t xml:space="preserve">§ </w:t>
      </w:r>
      <w:r w:rsidRPr="007A3143">
        <w:t>29.22</w:t>
      </w:r>
      <w:r>
        <w:t>(a)(1)</w:t>
      </w:r>
      <w:r w:rsidR="001264AC">
        <w:t xml:space="preserve"> –</w:t>
      </w:r>
      <w:r>
        <w:t xml:space="preserve"> Provides that an SRE </w:t>
      </w:r>
      <w:r w:rsidR="00AF25F0">
        <w:t xml:space="preserve">must </w:t>
      </w:r>
      <w:r>
        <w:t>r</w:t>
      </w:r>
      <w:r w:rsidRPr="007A3143">
        <w:t>ecognize or reject an apprenticeship program seeking recognition</w:t>
      </w:r>
      <w:r w:rsidR="0034048E">
        <w:t xml:space="preserve"> as an IRAP</w:t>
      </w:r>
      <w:r w:rsidRPr="007A3143">
        <w:t xml:space="preserve"> in a timely manner</w:t>
      </w:r>
      <w:r>
        <w:t>.</w:t>
      </w:r>
    </w:p>
    <w:p w:rsidRPr="00CA47C4" w:rsidR="003C3391" w:rsidP="003C3391" w:rsidRDefault="003C3391">
      <w:pPr>
        <w:widowControl w:val="0"/>
        <w:tabs>
          <w:tab w:val="left" w:pos="0"/>
        </w:tabs>
        <w:autoSpaceDE w:val="0"/>
        <w:autoSpaceDN w:val="0"/>
        <w:adjustRightInd w:val="0"/>
        <w:rPr>
          <w:b/>
        </w:rPr>
      </w:pPr>
      <w:r w:rsidRPr="00E31022">
        <w:t xml:space="preserve">  </w:t>
      </w:r>
    </w:p>
    <w:p w:rsidR="003C3391" w:rsidP="003C3391" w:rsidRDefault="003C3391">
      <w:pPr>
        <w:contextualSpacing/>
      </w:pPr>
      <w:r>
        <w:t>§ 29.22(a)(4)(ii)</w:t>
      </w:r>
      <w:r w:rsidR="001264AC">
        <w:t xml:space="preserve"> –</w:t>
      </w:r>
      <w:r>
        <w:t xml:space="preserve"> Provides that an IRAP have a written training plan</w:t>
      </w:r>
      <w:r w:rsidR="00B352A0">
        <w:t>, provided to an apprentice prior to beginning an IRAP,</w:t>
      </w:r>
      <w:r w:rsidRPr="00A105F4">
        <w:rPr>
          <w:rFonts w:eastAsia="Calibri"/>
        </w:rPr>
        <w:t xml:space="preserve"> </w:t>
      </w:r>
      <w:r>
        <w:rPr>
          <w:rFonts w:eastAsia="Calibri"/>
        </w:rPr>
        <w:t xml:space="preserve">with details of the </w:t>
      </w:r>
      <w:r w:rsidR="00E80A20">
        <w:rPr>
          <w:rFonts w:eastAsia="Calibri"/>
        </w:rPr>
        <w:t xml:space="preserve">program’s </w:t>
      </w:r>
      <w:r w:rsidRPr="00C1752C">
        <w:rPr>
          <w:rFonts w:eastAsia="Calibri"/>
        </w:rPr>
        <w:t>structured work experiences and appropriate related instruction</w:t>
      </w:r>
      <w:r w:rsidR="004B7D6E">
        <w:rPr>
          <w:rFonts w:eastAsia="Calibri"/>
        </w:rPr>
        <w:t>,</w:t>
      </w:r>
      <w:r w:rsidRPr="004B7D6E" w:rsidR="004B7D6E">
        <w:t xml:space="preserve"> </w:t>
      </w:r>
      <w:r w:rsidRPr="004B7D6E" w:rsidR="004B7D6E">
        <w:rPr>
          <w:rFonts w:eastAsia="Calibri"/>
        </w:rPr>
        <w:t>designed so that apprentices demonstrate competency and earn credential(s), and provide apprentices progressively advancing industry-essential skills.</w:t>
      </w:r>
      <w:r>
        <w:t xml:space="preserve"> </w:t>
      </w:r>
    </w:p>
    <w:p w:rsidR="003C3391" w:rsidP="003C3391" w:rsidRDefault="003C3391">
      <w:pPr>
        <w:widowControl w:val="0"/>
        <w:tabs>
          <w:tab w:val="left" w:pos="0"/>
        </w:tabs>
        <w:autoSpaceDE w:val="0"/>
        <w:autoSpaceDN w:val="0"/>
        <w:adjustRightInd w:val="0"/>
      </w:pPr>
    </w:p>
    <w:p w:rsidR="003C3391" w:rsidP="003C3391" w:rsidRDefault="003C3391">
      <w:pPr>
        <w:widowControl w:val="0"/>
        <w:tabs>
          <w:tab w:val="left" w:pos="0"/>
        </w:tabs>
        <w:autoSpaceDE w:val="0"/>
        <w:autoSpaceDN w:val="0"/>
        <w:adjustRightInd w:val="0"/>
      </w:pPr>
      <w:r>
        <w:t xml:space="preserve">§ </w:t>
      </w:r>
      <w:r w:rsidRPr="007A3143">
        <w:t>29.22</w:t>
      </w:r>
      <w:r>
        <w:t>(a)(4)(vii)</w:t>
      </w:r>
      <w:r w:rsidR="001264AC">
        <w:t xml:space="preserve"> –</w:t>
      </w:r>
      <w:r>
        <w:t xml:space="preserve"> Provides that an IRAP</w:t>
      </w:r>
      <w:r w:rsidRPr="00B72B48">
        <w:t xml:space="preserve"> provide a written notice to apprentices of what wages apprentices will receive and under what circumstances apprentices’ wages will increase</w:t>
      </w:r>
      <w:r>
        <w:t>.</w:t>
      </w:r>
    </w:p>
    <w:p w:rsidR="003C3391" w:rsidP="003C3391" w:rsidRDefault="003C3391">
      <w:pPr>
        <w:widowControl w:val="0"/>
        <w:tabs>
          <w:tab w:val="left" w:pos="0"/>
        </w:tabs>
        <w:autoSpaceDE w:val="0"/>
        <w:autoSpaceDN w:val="0"/>
        <w:adjustRightInd w:val="0"/>
      </w:pPr>
    </w:p>
    <w:p w:rsidRPr="00251CC9" w:rsidR="003C3391" w:rsidP="003C3391" w:rsidRDefault="003C3391">
      <w:pPr>
        <w:spacing w:after="160"/>
        <w:contextualSpacing/>
        <w:rPr>
          <w:rFonts w:eastAsia="Calibri"/>
        </w:rPr>
      </w:pPr>
      <w:r>
        <w:lastRenderedPageBreak/>
        <w:t xml:space="preserve">§ </w:t>
      </w:r>
      <w:r w:rsidRPr="007A3143">
        <w:t>29.22</w:t>
      </w:r>
      <w:r>
        <w:t>(a)(4)(ix)</w:t>
      </w:r>
      <w:r w:rsidR="001264AC">
        <w:t xml:space="preserve"> –</w:t>
      </w:r>
      <w:r>
        <w:t xml:space="preserve"> Provides that an IRAP</w:t>
      </w:r>
      <w:r w:rsidRPr="00865D19">
        <w:t xml:space="preserve"> </w:t>
      </w:r>
      <w:r w:rsidRPr="00C1752C">
        <w:rPr>
          <w:rFonts w:eastAsia="Calibri"/>
        </w:rPr>
        <w:t>disclose</w:t>
      </w:r>
      <w:r w:rsidR="002E6C40">
        <w:rPr>
          <w:rFonts w:eastAsia="Calibri"/>
        </w:rPr>
        <w:t xml:space="preserve"> to apprentices, before they</w:t>
      </w:r>
      <w:r w:rsidRPr="00C1752C">
        <w:rPr>
          <w:rFonts w:eastAsia="Calibri"/>
        </w:rPr>
        <w:t xml:space="preserve"> agree to participate in the program, any costs or expenses that will be charged to </w:t>
      </w:r>
      <w:r w:rsidR="007C0431">
        <w:rPr>
          <w:rFonts w:eastAsia="Calibri"/>
        </w:rPr>
        <w:t>them</w:t>
      </w:r>
      <w:r>
        <w:rPr>
          <w:rFonts w:eastAsia="Calibri"/>
        </w:rPr>
        <w:t>.</w:t>
      </w:r>
      <w:r w:rsidRPr="00C1752C">
        <w:rPr>
          <w:rFonts w:eastAsia="Calibri"/>
        </w:rPr>
        <w:t xml:space="preserve"> </w:t>
      </w:r>
    </w:p>
    <w:p w:rsidR="003C3391" w:rsidP="003C3391" w:rsidRDefault="003C3391">
      <w:pPr>
        <w:contextualSpacing/>
      </w:pPr>
    </w:p>
    <w:p w:rsidR="003C3391" w:rsidP="003C3391" w:rsidRDefault="003C3391">
      <w:pPr>
        <w:contextualSpacing/>
      </w:pPr>
      <w:r>
        <w:t>§ 29.22(a)(4)(x)</w:t>
      </w:r>
      <w:r w:rsidR="001264AC">
        <w:t xml:space="preserve"> –</w:t>
      </w:r>
      <w:r>
        <w:t xml:space="preserve"> Provides that an IRAP </w:t>
      </w:r>
      <w:r w:rsidR="007C0431">
        <w:t xml:space="preserve">maintain </w:t>
      </w:r>
      <w:r>
        <w:t xml:space="preserve">a written apprenticeship agreement </w:t>
      </w:r>
      <w:r w:rsidR="007C0431">
        <w:t xml:space="preserve">for each apprentice that </w:t>
      </w:r>
      <w:r w:rsidRPr="004B7D6E" w:rsidR="004B7D6E">
        <w:t>outlin</w:t>
      </w:r>
      <w:r w:rsidR="007C0431">
        <w:t>es</w:t>
      </w:r>
      <w:r w:rsidRPr="004B7D6E" w:rsidR="004B7D6E">
        <w:t xml:space="preserve"> the terms and conditions of the </w:t>
      </w:r>
      <w:r w:rsidR="007C0431">
        <w:t xml:space="preserve">apprentice’s </w:t>
      </w:r>
      <w:r w:rsidRPr="004B7D6E" w:rsidR="004B7D6E">
        <w:t>employment and training</w:t>
      </w:r>
      <w:r w:rsidR="00BD7975">
        <w:t xml:space="preserve"> consistent with the SRE’s requirements</w:t>
      </w:r>
      <w:r>
        <w:t xml:space="preserve">. </w:t>
      </w:r>
    </w:p>
    <w:p w:rsidRPr="00865D19" w:rsidR="003C3391" w:rsidP="003C3391" w:rsidRDefault="003C3391">
      <w:pPr>
        <w:widowControl w:val="0"/>
        <w:tabs>
          <w:tab w:val="left" w:pos="0"/>
        </w:tabs>
        <w:autoSpaceDE w:val="0"/>
        <w:autoSpaceDN w:val="0"/>
        <w:adjustRightInd w:val="0"/>
      </w:pPr>
    </w:p>
    <w:p w:rsidRPr="00677CBD" w:rsidR="003C3391" w:rsidP="003C3391" w:rsidRDefault="003C3391">
      <w:pPr>
        <w:spacing w:after="160" w:line="259" w:lineRule="auto"/>
        <w:contextualSpacing/>
        <w:rPr>
          <w:rFonts w:eastAsia="Calibri"/>
        </w:rPr>
      </w:pPr>
      <w:r>
        <w:t xml:space="preserve">§ </w:t>
      </w:r>
      <w:r w:rsidRPr="007A3143">
        <w:t>29.22</w:t>
      </w:r>
      <w:r>
        <w:t>(b)</w:t>
      </w:r>
      <w:r w:rsidR="001264AC">
        <w:t xml:space="preserve"> –</w:t>
      </w:r>
      <w:r>
        <w:t xml:space="preserve"> Provides that an SRE </w:t>
      </w:r>
      <w:r w:rsidR="00A85203">
        <w:t xml:space="preserve">must </w:t>
      </w:r>
      <w:r>
        <w:t xml:space="preserve">validate its IRAPs’ compliance with the requirements listed in paragraph § 29.22(a)(4) when </w:t>
      </w:r>
      <w:r w:rsidR="00A85203">
        <w:t>it</w:t>
      </w:r>
      <w:r>
        <w:t xml:space="preserve"> provides the Administrator with notice of recognition of an IRAP.</w:t>
      </w:r>
    </w:p>
    <w:p w:rsidR="003C3391" w:rsidP="003C3391" w:rsidRDefault="003C3391">
      <w:pPr>
        <w:widowControl w:val="0"/>
        <w:tabs>
          <w:tab w:val="left" w:pos="0"/>
        </w:tabs>
        <w:autoSpaceDE w:val="0"/>
        <w:autoSpaceDN w:val="0"/>
        <w:adjustRightInd w:val="0"/>
        <w:rPr>
          <w:b/>
        </w:rPr>
      </w:pPr>
    </w:p>
    <w:p w:rsidR="003C3391" w:rsidP="003C3391" w:rsidRDefault="003C3391">
      <w:pPr>
        <w:contextualSpacing/>
      </w:pPr>
      <w:r>
        <w:t>§ 29.22(b)</w:t>
      </w:r>
      <w:r w:rsidR="001264AC">
        <w:t xml:space="preserve"> –</w:t>
      </w:r>
      <w:r>
        <w:t xml:space="preserve"> Provides that an SRE validate its IRAPs’ compliance on an annual basis </w:t>
      </w:r>
      <w:r w:rsidR="00A85203">
        <w:t xml:space="preserve">thereafter, and must at the time provide </w:t>
      </w:r>
      <w:r>
        <w:t>the Administrator a written attestation that its IRAPs meet the requirements of § 29.22(a)(4)</w:t>
      </w:r>
      <w:r w:rsidR="00D76374">
        <w:t xml:space="preserve"> and any other requirements of the SRE</w:t>
      </w:r>
      <w:r>
        <w:t>.</w:t>
      </w:r>
    </w:p>
    <w:p w:rsidR="003C3391" w:rsidP="003C3391" w:rsidRDefault="003C3391">
      <w:pPr>
        <w:widowControl w:val="0"/>
        <w:tabs>
          <w:tab w:val="left" w:pos="0"/>
        </w:tabs>
        <w:autoSpaceDE w:val="0"/>
        <w:autoSpaceDN w:val="0"/>
        <w:adjustRightInd w:val="0"/>
        <w:rPr>
          <w:b/>
        </w:rPr>
      </w:pPr>
    </w:p>
    <w:p w:rsidR="003C3391" w:rsidP="003C3391" w:rsidRDefault="003C3391">
      <w:pPr>
        <w:widowControl w:val="0"/>
        <w:tabs>
          <w:tab w:val="left" w:pos="0"/>
        </w:tabs>
        <w:autoSpaceDE w:val="0"/>
        <w:autoSpaceDN w:val="0"/>
        <w:adjustRightInd w:val="0"/>
        <w:rPr>
          <w:b/>
        </w:rPr>
      </w:pPr>
      <w:r w:rsidRPr="009778CB">
        <w:t>§ 29.22(c)</w:t>
      </w:r>
      <w:r w:rsidR="001264AC">
        <w:t xml:space="preserve"> –</w:t>
      </w:r>
      <w:r w:rsidRPr="009778CB">
        <w:t xml:space="preserve"> </w:t>
      </w:r>
      <w:r>
        <w:t>Provides that an SRE</w:t>
      </w:r>
      <w:r w:rsidR="00A85203">
        <w:t xml:space="preserve"> must publicly</w:t>
      </w:r>
      <w:r>
        <w:t xml:space="preserve"> di</w:t>
      </w:r>
      <w:r w:rsidRPr="009778CB">
        <w:t>sclose the credential(s) that apprentices will earn</w:t>
      </w:r>
      <w:r w:rsidRPr="00D76374" w:rsidR="00D76374">
        <w:t xml:space="preserve"> during their participation in</w:t>
      </w:r>
      <w:r w:rsidR="00D76374">
        <w:t xml:space="preserve"> or upon completion of an IRAP.</w:t>
      </w:r>
      <w:r w:rsidRPr="009778CB">
        <w:rPr>
          <w:b/>
        </w:rPr>
        <w:t xml:space="preserve">  </w:t>
      </w:r>
    </w:p>
    <w:p w:rsidR="003C3391" w:rsidP="003C3391" w:rsidRDefault="003C3391">
      <w:pPr>
        <w:widowControl w:val="0"/>
        <w:tabs>
          <w:tab w:val="left" w:pos="0"/>
        </w:tabs>
        <w:autoSpaceDE w:val="0"/>
        <w:autoSpaceDN w:val="0"/>
        <w:adjustRightInd w:val="0"/>
      </w:pPr>
    </w:p>
    <w:p w:rsidRPr="00F57C66" w:rsidR="003C3391" w:rsidP="003C3391" w:rsidRDefault="003C3391">
      <w:pPr>
        <w:widowControl w:val="0"/>
        <w:tabs>
          <w:tab w:val="left" w:pos="0"/>
        </w:tabs>
        <w:autoSpaceDE w:val="0"/>
        <w:autoSpaceDN w:val="0"/>
        <w:adjustRightInd w:val="0"/>
      </w:pPr>
      <w:r>
        <w:t>§29.22(f)</w:t>
      </w:r>
      <w:r w:rsidR="001264AC">
        <w:t xml:space="preserve"> –</w:t>
      </w:r>
      <w:r>
        <w:t xml:space="preserve"> Provides </w:t>
      </w:r>
      <w:r w:rsidR="008D3744">
        <w:t xml:space="preserve">that </w:t>
      </w:r>
      <w:r>
        <w:t>a</w:t>
      </w:r>
      <w:r w:rsidR="00AE5479">
        <w:t>n</w:t>
      </w:r>
      <w:r>
        <w:t xml:space="preserve"> SRE must </w:t>
      </w:r>
      <w:r w:rsidR="00BD7975">
        <w:t>remain in</w:t>
      </w:r>
      <w:r>
        <w:t xml:space="preserve"> an ongoing quality-control relationship with IRAPs it has recognized. </w:t>
      </w:r>
    </w:p>
    <w:p w:rsidRPr="00421A1D" w:rsidR="003C3391" w:rsidP="003C3391" w:rsidRDefault="003C3391">
      <w:pPr>
        <w:widowControl w:val="0"/>
        <w:tabs>
          <w:tab w:val="left" w:pos="0"/>
        </w:tabs>
        <w:autoSpaceDE w:val="0"/>
        <w:autoSpaceDN w:val="0"/>
        <w:adjustRightInd w:val="0"/>
        <w:rPr>
          <w:b/>
        </w:rPr>
      </w:pPr>
    </w:p>
    <w:p w:rsidR="003C3391" w:rsidP="003C3391" w:rsidRDefault="003C3391">
      <w:pPr>
        <w:widowControl w:val="0"/>
        <w:tabs>
          <w:tab w:val="left" w:pos="0"/>
        </w:tabs>
        <w:autoSpaceDE w:val="0"/>
        <w:autoSpaceDN w:val="0"/>
        <w:adjustRightInd w:val="0"/>
      </w:pPr>
      <w:r w:rsidRPr="00C44FAC">
        <w:t>§ 29.22(h)</w:t>
      </w:r>
      <w:r w:rsidR="001264AC">
        <w:t xml:space="preserve"> –</w:t>
      </w:r>
      <w:r w:rsidRPr="00C44FAC">
        <w:rPr>
          <w:b/>
        </w:rPr>
        <w:t xml:space="preserve"> </w:t>
      </w:r>
      <w:r w:rsidRPr="00C44FAC">
        <w:t xml:space="preserve">Provides that SREs </w:t>
      </w:r>
      <w:r>
        <w:t>must annually report to the Administrator</w:t>
      </w:r>
      <w:r w:rsidR="006F216D">
        <w:t>, in a format prescribed by the Administrator,</w:t>
      </w:r>
      <w:r>
        <w:t xml:space="preserve"> and </w:t>
      </w:r>
      <w:r w:rsidRPr="00C44FAC">
        <w:t xml:space="preserve">make publicly available information </w:t>
      </w:r>
      <w:r w:rsidR="006F216D">
        <w:t>on</w:t>
      </w:r>
      <w:r w:rsidR="00D475C0">
        <w:t xml:space="preserve"> each</w:t>
      </w:r>
      <w:r w:rsidRPr="00C44FAC">
        <w:t xml:space="preserve"> </w:t>
      </w:r>
      <w:r>
        <w:t>IRAP</w:t>
      </w:r>
      <w:r w:rsidR="00D475C0">
        <w:t xml:space="preserve"> it recognize</w:t>
      </w:r>
      <w:r w:rsidRPr="00C44FAC">
        <w:t>s</w:t>
      </w:r>
      <w:r w:rsidR="00B759AE">
        <w:t>.</w:t>
      </w:r>
    </w:p>
    <w:p w:rsidR="003C3391" w:rsidP="003C3391" w:rsidRDefault="003C3391">
      <w:pPr>
        <w:widowControl w:val="0"/>
        <w:tabs>
          <w:tab w:val="left" w:pos="0"/>
        </w:tabs>
        <w:autoSpaceDE w:val="0"/>
        <w:autoSpaceDN w:val="0"/>
        <w:adjustRightInd w:val="0"/>
      </w:pPr>
      <w:r w:rsidRPr="00E31022">
        <w:t xml:space="preserve"> </w:t>
      </w:r>
    </w:p>
    <w:p w:rsidR="003C3391" w:rsidP="003C3391" w:rsidRDefault="003C3391">
      <w:pPr>
        <w:contextualSpacing/>
      </w:pPr>
      <w:r w:rsidRPr="002C370A">
        <w:t>§</w:t>
      </w:r>
      <w:r>
        <w:t xml:space="preserve"> 29.22(o)</w:t>
      </w:r>
      <w:r w:rsidR="001264AC">
        <w:t xml:space="preserve"> –</w:t>
      </w:r>
      <w:r>
        <w:t xml:space="preserve"> Provides that an SRE </w:t>
      </w:r>
      <w:r w:rsidR="00D475C0">
        <w:t xml:space="preserve">must </w:t>
      </w:r>
      <w:r>
        <w:t xml:space="preserve">ensure that records regarding each IRAP </w:t>
      </w:r>
      <w:r w:rsidR="00D475C0">
        <w:t xml:space="preserve">recognized </w:t>
      </w:r>
      <w:r>
        <w:t>are maintained for a minimum of five years.</w:t>
      </w:r>
    </w:p>
    <w:p w:rsidR="003C3391" w:rsidP="003C3391" w:rsidRDefault="003C3391">
      <w:pPr>
        <w:contextualSpacing/>
      </w:pPr>
    </w:p>
    <w:p w:rsidR="003C3391" w:rsidP="003C3391" w:rsidRDefault="003C3391">
      <w:pPr>
        <w:contextualSpacing/>
      </w:pPr>
      <w:r>
        <w:t>§ 29.23(a)</w:t>
      </w:r>
      <w:r w:rsidR="001264AC">
        <w:t xml:space="preserve"> –</w:t>
      </w:r>
      <w:r>
        <w:t xml:space="preserve"> Provides that the Administrator may request and review materials from SREs</w:t>
      </w:r>
      <w:r w:rsidR="00D475C0">
        <w:t xml:space="preserve">, </w:t>
      </w:r>
      <w:r w:rsidRPr="00144CBC" w:rsidR="00D475C0">
        <w:rPr>
          <w:rFonts w:eastAsia="Calibri"/>
        </w:rPr>
        <w:t>and may conduct periodic</w:t>
      </w:r>
      <w:r>
        <w:t xml:space="preserve"> for compliance assistance reviews </w:t>
      </w:r>
      <w:r w:rsidR="00D475C0">
        <w:t xml:space="preserve">of SREs </w:t>
      </w:r>
      <w:r>
        <w:t>to ascertain their conformity with the requirements of subpart B.</w:t>
      </w:r>
    </w:p>
    <w:p w:rsidR="003C3391" w:rsidP="003C3391" w:rsidRDefault="003C3391">
      <w:pPr>
        <w:contextualSpacing/>
      </w:pPr>
    </w:p>
    <w:p w:rsidRPr="00F603F6" w:rsidR="003C3391" w:rsidP="003C3391" w:rsidRDefault="003C3391">
      <w:pPr>
        <w:contextualSpacing/>
      </w:pPr>
      <w:r>
        <w:t>§29.23(b)</w:t>
      </w:r>
      <w:r w:rsidR="001264AC">
        <w:t xml:space="preserve"> –</w:t>
      </w:r>
      <w:r>
        <w:t xml:space="preserve"> Provides that SREs must provide requested materials to the Administrator. </w:t>
      </w:r>
    </w:p>
    <w:p w:rsidR="00C0238A" w:rsidP="00C0238A" w:rsidRDefault="00C0238A">
      <w:pPr>
        <w:widowControl w:val="0"/>
        <w:tabs>
          <w:tab w:val="left" w:pos="0"/>
        </w:tabs>
        <w:autoSpaceDE w:val="0"/>
        <w:autoSpaceDN w:val="0"/>
        <w:adjustRightInd w:val="0"/>
      </w:pPr>
    </w:p>
    <w:p w:rsidRPr="00962B37" w:rsidR="00C0238A" w:rsidP="00C0238A" w:rsidRDefault="00C0238A">
      <w:pPr>
        <w:contextualSpacing/>
        <w:rPr>
          <w:rFonts w:ascii="Calibri" w:hAnsi="Calibri" w:cs="Calibri"/>
          <w:sz w:val="22"/>
          <w:szCs w:val="22"/>
        </w:rPr>
      </w:pPr>
      <w:r>
        <w:t>An SRE must develop the following policies and procedures:</w:t>
      </w:r>
    </w:p>
    <w:p w:rsidR="00855577" w:rsidP="00C0238A" w:rsidRDefault="00C0238A">
      <w:pPr>
        <w:pStyle w:val="ListParagraph"/>
        <w:numPr>
          <w:ilvl w:val="1"/>
          <w:numId w:val="47"/>
        </w:numPr>
        <w:ind w:left="720" w:hanging="450"/>
        <w:contextualSpacing/>
      </w:pPr>
      <w:r w:rsidRPr="002C370A">
        <w:t>§</w:t>
      </w:r>
      <w:r>
        <w:t xml:space="preserve"> 29.21(b)(6)</w:t>
      </w:r>
      <w:r w:rsidR="001264AC">
        <w:t xml:space="preserve"> –</w:t>
      </w:r>
      <w:r>
        <w:t xml:space="preserve"> A prospective SRE must demonstrate that it will mitigate </w:t>
      </w:r>
      <w:r w:rsidR="004316B7">
        <w:t xml:space="preserve">via any specific policies, processes, procedures, or structures </w:t>
      </w:r>
      <w:r>
        <w:t>any actual or potential conflicts of interest</w:t>
      </w:r>
      <w:r w:rsidR="004316B7">
        <w:t>.</w:t>
      </w:r>
    </w:p>
    <w:p w:rsidR="00C0238A" w:rsidP="00B92B31" w:rsidRDefault="00C0238A">
      <w:pPr>
        <w:pStyle w:val="ListParagraph"/>
        <w:numPr>
          <w:ilvl w:val="1"/>
          <w:numId w:val="47"/>
        </w:numPr>
        <w:ind w:left="720" w:hanging="450"/>
        <w:contextualSpacing/>
      </w:pPr>
      <w:r w:rsidRPr="002C370A">
        <w:t>§</w:t>
      </w:r>
      <w:r>
        <w:t xml:space="preserve"> 29.22(d)</w:t>
      </w:r>
      <w:r w:rsidR="001264AC">
        <w:t xml:space="preserve"> –</w:t>
      </w:r>
      <w:r>
        <w:t xml:space="preserve"> An SRE must </w:t>
      </w:r>
      <w:r w:rsidR="004316B7">
        <w:t xml:space="preserve">establish and </w:t>
      </w:r>
      <w:r w:rsidR="006A1E55">
        <w:t>submit</w:t>
      </w:r>
      <w:r w:rsidR="00E7015A">
        <w:t xml:space="preserve"> </w:t>
      </w:r>
      <w:r>
        <w:t>to the Administrator polic</w:t>
      </w:r>
      <w:r w:rsidR="004316B7">
        <w:t>ies</w:t>
      </w:r>
      <w:r>
        <w:t xml:space="preserve"> </w:t>
      </w:r>
      <w:r w:rsidR="004316B7">
        <w:t xml:space="preserve">and </w:t>
      </w:r>
      <w:r>
        <w:t>procedure</w:t>
      </w:r>
      <w:r w:rsidR="004316B7">
        <w:t>s</w:t>
      </w:r>
      <w:r>
        <w:t xml:space="preserve"> for </w:t>
      </w:r>
      <w:r w:rsidRPr="00B759AE" w:rsidR="00B759AE">
        <w:t xml:space="preserve">recognizing, and validating compliance of, programs that ensure that SRE decisions are impartial, consistent, and based on objective and merit-based criteria; confidential except as required or permitted by </w:t>
      </w:r>
      <w:r w:rsidR="00B759AE">
        <w:t>subpart B</w:t>
      </w:r>
      <w:r w:rsidRPr="00B759AE" w:rsidR="00B759AE">
        <w:t>, or otherwise required by law; and written in sufficient detail to reasonably achieve the foregoing criteria.</w:t>
      </w:r>
    </w:p>
    <w:p w:rsidR="00C0238A" w:rsidP="00C0238A" w:rsidRDefault="00C0238A">
      <w:pPr>
        <w:pStyle w:val="ListParagraph"/>
        <w:numPr>
          <w:ilvl w:val="1"/>
          <w:numId w:val="47"/>
        </w:numPr>
        <w:ind w:left="720" w:hanging="450"/>
        <w:contextualSpacing/>
      </w:pPr>
      <w:r w:rsidRPr="002C370A">
        <w:t>§</w:t>
      </w:r>
      <w:r>
        <w:t xml:space="preserve"> 29.22(f)(5)</w:t>
      </w:r>
      <w:r w:rsidR="001264AC">
        <w:t xml:space="preserve"> –</w:t>
      </w:r>
      <w:r>
        <w:t xml:space="preserve"> An SRE must have policies and procedures for the suspension or derecognition of an IRAP. </w:t>
      </w:r>
    </w:p>
    <w:p w:rsidR="00C0238A" w:rsidP="00C0238A" w:rsidRDefault="00C0238A">
      <w:pPr>
        <w:pStyle w:val="ListParagraph"/>
        <w:numPr>
          <w:ilvl w:val="1"/>
          <w:numId w:val="47"/>
        </w:numPr>
        <w:ind w:left="720" w:hanging="450"/>
        <w:contextualSpacing/>
      </w:pPr>
      <w:r w:rsidRPr="002C370A">
        <w:t>§</w:t>
      </w:r>
      <w:r>
        <w:t xml:space="preserve"> 29.22(i)</w:t>
      </w:r>
      <w:r w:rsidR="001264AC">
        <w:t xml:space="preserve"> –</w:t>
      </w:r>
      <w:r>
        <w:t xml:space="preserve"> An SRE must have policies and procedures that require IRAPs</w:t>
      </w:r>
      <w:r w:rsidR="00E7015A">
        <w:t>’</w:t>
      </w:r>
      <w:r>
        <w:t xml:space="preserve"> adhere</w:t>
      </w:r>
      <w:r w:rsidR="00E7015A">
        <w:t>nce</w:t>
      </w:r>
      <w:r>
        <w:t xml:space="preserve"> to applicable Federal, State, and local</w:t>
      </w:r>
      <w:r w:rsidR="00E7015A">
        <w:t xml:space="preserve"> laws pertaining to</w:t>
      </w:r>
      <w:r>
        <w:t xml:space="preserve"> </w:t>
      </w:r>
      <w:r w:rsidRPr="00C1752C">
        <w:rPr>
          <w:rFonts w:eastAsia="Calibri"/>
        </w:rPr>
        <w:t>Equal Employment Opportunity</w:t>
      </w:r>
      <w:r>
        <w:t>.</w:t>
      </w:r>
    </w:p>
    <w:p w:rsidR="00C0238A" w:rsidP="00C0238A" w:rsidRDefault="00C0238A">
      <w:pPr>
        <w:pStyle w:val="ListParagraph"/>
        <w:numPr>
          <w:ilvl w:val="1"/>
          <w:numId w:val="47"/>
        </w:numPr>
        <w:ind w:left="720" w:hanging="450"/>
        <w:contextualSpacing/>
      </w:pPr>
      <w:r w:rsidRPr="002C370A">
        <w:t>§</w:t>
      </w:r>
      <w:r>
        <w:t xml:space="preserve"> 29.22(j)</w:t>
      </w:r>
      <w:r w:rsidR="001264AC">
        <w:t xml:space="preserve"> –</w:t>
      </w:r>
      <w:r>
        <w:t xml:space="preserve"> An SRE must have policies and procedures for addressing complaints against each IRAP it recognizes.</w:t>
      </w:r>
    </w:p>
    <w:p w:rsidR="00C0238A" w:rsidP="00C0238A" w:rsidRDefault="00C0238A">
      <w:pPr>
        <w:ind w:left="360"/>
        <w:contextualSpacing/>
      </w:pPr>
      <w:r>
        <w:t xml:space="preserve"> </w:t>
      </w:r>
    </w:p>
    <w:p w:rsidRPr="001869F9" w:rsidR="00C0238A" w:rsidP="00C0238A" w:rsidRDefault="00C0238A">
      <w:r w:rsidRPr="00256628">
        <w:t xml:space="preserve">Public </w:t>
      </w:r>
      <w:r>
        <w:t>N</w:t>
      </w:r>
      <w:r w:rsidRPr="00256628">
        <w:t>otifications</w:t>
      </w:r>
      <w:r>
        <w:t>:</w:t>
      </w:r>
    </w:p>
    <w:p w:rsidRPr="001869F9" w:rsidR="00C0238A" w:rsidP="00855577" w:rsidRDefault="00C0238A">
      <w:pPr>
        <w:pStyle w:val="ListParagraph"/>
        <w:numPr>
          <w:ilvl w:val="0"/>
          <w:numId w:val="46"/>
        </w:numPr>
        <w:ind w:hanging="450"/>
        <w:contextualSpacing/>
      </w:pPr>
      <w:r w:rsidRPr="002C370A">
        <w:t>§</w:t>
      </w:r>
      <w:r>
        <w:t xml:space="preserve"> </w:t>
      </w:r>
      <w:r w:rsidRPr="001869F9">
        <w:t>29.22(j)</w:t>
      </w:r>
      <w:r w:rsidR="001264AC">
        <w:t xml:space="preserve"> –</w:t>
      </w:r>
      <w:r w:rsidRPr="001869F9">
        <w:t xml:space="preserve"> An SRE must make publicly available the aggregated number of complaints pertaining to each IRAP.</w:t>
      </w:r>
    </w:p>
    <w:p w:rsidRPr="001869F9" w:rsidR="00C0238A" w:rsidP="00855577" w:rsidRDefault="00C0238A">
      <w:pPr>
        <w:pStyle w:val="ListParagraph"/>
        <w:numPr>
          <w:ilvl w:val="0"/>
          <w:numId w:val="46"/>
        </w:numPr>
        <w:ind w:hanging="450"/>
        <w:contextualSpacing/>
      </w:pPr>
      <w:r w:rsidRPr="002C370A">
        <w:lastRenderedPageBreak/>
        <w:t>§</w:t>
      </w:r>
      <w:r>
        <w:t xml:space="preserve"> </w:t>
      </w:r>
      <w:r w:rsidRPr="001869F9">
        <w:t>29.22(k)</w:t>
      </w:r>
      <w:r w:rsidR="001264AC">
        <w:t xml:space="preserve"> –</w:t>
      </w:r>
      <w:r w:rsidRPr="001869F9">
        <w:t xml:space="preserve"> An SRE must notify the public about the right to file a complaint against an </w:t>
      </w:r>
      <w:r>
        <w:t>IRAP</w:t>
      </w:r>
      <w:r w:rsidRPr="001869F9">
        <w:t xml:space="preserve"> and the requirements for filing a complaint.</w:t>
      </w:r>
    </w:p>
    <w:p w:rsidRPr="001869F9" w:rsidR="00C0238A" w:rsidP="00855577" w:rsidRDefault="00C0238A">
      <w:pPr>
        <w:pStyle w:val="ListParagraph"/>
        <w:numPr>
          <w:ilvl w:val="0"/>
          <w:numId w:val="46"/>
        </w:numPr>
        <w:ind w:hanging="450"/>
        <w:contextualSpacing/>
      </w:pPr>
      <w:r w:rsidRPr="002C370A">
        <w:t>§</w:t>
      </w:r>
      <w:r>
        <w:t xml:space="preserve"> </w:t>
      </w:r>
      <w:r w:rsidRPr="001869F9">
        <w:t>29.22(l)</w:t>
      </w:r>
      <w:r w:rsidR="001264AC">
        <w:t xml:space="preserve"> –</w:t>
      </w:r>
      <w:r w:rsidRPr="001869F9">
        <w:t xml:space="preserve"> An SRE must notify the public about the right to file a complaint against it</w:t>
      </w:r>
      <w:r w:rsidRPr="00337389">
        <w:t xml:space="preserve"> </w:t>
      </w:r>
      <w:r w:rsidRPr="00D935E9">
        <w:t>with the Administrator</w:t>
      </w:r>
      <w:r w:rsidR="008D3744">
        <w:t xml:space="preserve"> </w:t>
      </w:r>
      <w:r w:rsidR="001C445E">
        <w:t>as set forth in the regulations</w:t>
      </w:r>
      <w:r w:rsidRPr="001869F9">
        <w:t>.</w:t>
      </w:r>
    </w:p>
    <w:p w:rsidRPr="001869F9" w:rsidR="00C0238A" w:rsidP="00855577" w:rsidRDefault="00C0238A">
      <w:pPr>
        <w:pStyle w:val="ListParagraph"/>
        <w:numPr>
          <w:ilvl w:val="0"/>
          <w:numId w:val="46"/>
        </w:numPr>
        <w:ind w:hanging="450"/>
        <w:contextualSpacing/>
      </w:pPr>
      <w:r w:rsidRPr="002C370A">
        <w:t>§</w:t>
      </w:r>
      <w:r>
        <w:t xml:space="preserve"> </w:t>
      </w:r>
      <w:r w:rsidRPr="001869F9">
        <w:t>29.22(m)</w:t>
      </w:r>
      <w:r w:rsidR="001264AC">
        <w:t xml:space="preserve"> –</w:t>
      </w:r>
      <w:r w:rsidRPr="001869F9">
        <w:t xml:space="preserve"> Upon receipt of </w:t>
      </w:r>
      <w:r w:rsidR="008D3744">
        <w:t xml:space="preserve">a </w:t>
      </w:r>
      <w:r w:rsidRPr="001869F9">
        <w:t xml:space="preserve">derecognition notice, </w:t>
      </w:r>
      <w:r w:rsidR="008D3744">
        <w:t>an</w:t>
      </w:r>
      <w:r w:rsidRPr="001869F9">
        <w:t xml:space="preserve"> SRE must inform </w:t>
      </w:r>
      <w:r w:rsidR="001C445E">
        <w:t xml:space="preserve">each </w:t>
      </w:r>
      <w:r w:rsidRPr="001869F9">
        <w:t xml:space="preserve">IRAP </w:t>
      </w:r>
      <w:r w:rsidR="001C445E">
        <w:t xml:space="preserve">it has recognized </w:t>
      </w:r>
      <w:r w:rsidRPr="001869F9">
        <w:t>and the public of its derecognition status. </w:t>
      </w:r>
    </w:p>
    <w:p w:rsidRPr="001869F9" w:rsidR="00C0238A" w:rsidP="00855577" w:rsidRDefault="00C0238A">
      <w:pPr>
        <w:pStyle w:val="ListParagraph"/>
        <w:numPr>
          <w:ilvl w:val="0"/>
          <w:numId w:val="46"/>
        </w:numPr>
        <w:ind w:hanging="450"/>
        <w:contextualSpacing/>
      </w:pPr>
      <w:r w:rsidRPr="002C370A">
        <w:t>§</w:t>
      </w:r>
      <w:r>
        <w:t xml:space="preserve"> </w:t>
      </w:r>
      <w:r w:rsidRPr="001869F9">
        <w:t>29.22(n)</w:t>
      </w:r>
      <w:r w:rsidR="001264AC">
        <w:t xml:space="preserve"> –</w:t>
      </w:r>
      <w:r w:rsidRPr="001869F9">
        <w:t xml:space="preserve"> An SRE must publicly </w:t>
      </w:r>
      <w:r w:rsidR="00B30DD2">
        <w:t xml:space="preserve">disclose </w:t>
      </w:r>
      <w:r w:rsidRPr="001869F9">
        <w:t>any fees it charges to IRAPs.</w:t>
      </w:r>
    </w:p>
    <w:p w:rsidR="00C0238A" w:rsidP="00A8579D" w:rsidRDefault="00C0238A">
      <w:pPr>
        <w:rPr>
          <w:rFonts w:eastAsia="Calibri"/>
        </w:rPr>
      </w:pPr>
    </w:p>
    <w:p w:rsidR="00F7529D" w:rsidP="00A8579D" w:rsidRDefault="00F7529D">
      <w:pPr>
        <w:rPr>
          <w:rFonts w:eastAsia="Calibri"/>
          <w:color w:val="020202"/>
        </w:rPr>
      </w:pPr>
    </w:p>
    <w:p w:rsidRPr="00F7529D" w:rsidR="00F7529D" w:rsidP="003218D1" w:rsidRDefault="00F7529D">
      <w:pPr>
        <w:widowControl w:val="0"/>
        <w:numPr>
          <w:ilvl w:val="0"/>
          <w:numId w:val="16"/>
        </w:numPr>
        <w:tabs>
          <w:tab w:val="right" w:pos="-1080"/>
        </w:tabs>
        <w:autoSpaceDE w:val="0"/>
        <w:autoSpaceDN w:val="0"/>
        <w:adjustRightInd w:val="0"/>
        <w:ind w:left="720" w:hanging="720"/>
        <w:contextualSpacing/>
        <w:rPr>
          <w:i/>
        </w:rPr>
      </w:pPr>
      <w:r w:rsidRPr="00F7529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F7529D" w:rsidR="00F7529D" w:rsidP="00F7529D" w:rsidRDefault="00F7529D">
      <w:pPr>
        <w:widowControl w:val="0"/>
        <w:autoSpaceDE w:val="0"/>
        <w:autoSpaceDN w:val="0"/>
        <w:adjustRightInd w:val="0"/>
        <w:rPr>
          <w:u w:val="single"/>
        </w:rPr>
      </w:pPr>
    </w:p>
    <w:p w:rsidR="00CD5C68" w:rsidP="00F7529D" w:rsidRDefault="00FE4D98">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720"/>
      </w:pPr>
      <w:r>
        <w:tab/>
      </w:r>
      <w:r w:rsidR="001264AC">
        <w:t xml:space="preserve">The Department </w:t>
      </w:r>
      <w:r w:rsidR="00D9350A">
        <w:t xml:space="preserve">intends to </w:t>
      </w:r>
      <w:r w:rsidR="007C62EE">
        <w:t>relieve paperwork burdens by</w:t>
      </w:r>
      <w:r w:rsidR="00D9350A">
        <w:t xml:space="preserve"> </w:t>
      </w:r>
      <w:r w:rsidR="00251CC9">
        <w:t>making this application available online at</w:t>
      </w:r>
      <w:r w:rsidR="00D9350A">
        <w:t xml:space="preserve"> </w:t>
      </w:r>
      <w:r w:rsidR="0046494A">
        <w:t>www.</w:t>
      </w:r>
      <w:r w:rsidR="007A46FF">
        <w:t>dol.gov/</w:t>
      </w:r>
      <w:r w:rsidR="0046494A">
        <w:t>apprenticeship</w:t>
      </w:r>
      <w:r w:rsidR="00D9350A">
        <w:t>.</w:t>
      </w:r>
      <w:r w:rsidR="00C17CCF">
        <w:t xml:space="preserve"> </w:t>
      </w:r>
      <w:r w:rsidR="007C62EE">
        <w:t xml:space="preserve">The online </w:t>
      </w:r>
      <w:r w:rsidR="005861B5">
        <w:t xml:space="preserve">web-based </w:t>
      </w:r>
      <w:r w:rsidR="00251CC9">
        <w:t>application</w:t>
      </w:r>
      <w:r w:rsidR="005861B5">
        <w:t xml:space="preserve"> </w:t>
      </w:r>
      <w:r w:rsidR="0090644A">
        <w:t>ensure</w:t>
      </w:r>
      <w:r w:rsidR="007C62EE">
        <w:t>s</w:t>
      </w:r>
      <w:r w:rsidR="0090644A">
        <w:t xml:space="preserve"> </w:t>
      </w:r>
      <w:r w:rsidR="006E3212">
        <w:t xml:space="preserve">that the information collection process is </w:t>
      </w:r>
      <w:r w:rsidRPr="00F7529D" w:rsidR="00F7529D">
        <w:t xml:space="preserve">consistent with the </w:t>
      </w:r>
      <w:r w:rsidR="006E3212">
        <w:t xml:space="preserve">purposes and requirements of both the </w:t>
      </w:r>
      <w:r w:rsidRPr="00F7529D" w:rsidR="00F7529D">
        <w:t xml:space="preserve">Government Paperwork Elimination Act </w:t>
      </w:r>
      <w:r w:rsidR="006E3212">
        <w:t>(</w:t>
      </w:r>
      <w:r w:rsidR="00A34235">
        <w:t>GPEA</w:t>
      </w:r>
      <w:r w:rsidR="006E3212">
        <w:t xml:space="preserve">) </w:t>
      </w:r>
      <w:r w:rsidRPr="00F7529D" w:rsidR="00F7529D">
        <w:t xml:space="preserve">and </w:t>
      </w:r>
      <w:r w:rsidR="006E3212">
        <w:t xml:space="preserve">the </w:t>
      </w:r>
      <w:r w:rsidRPr="00F7529D" w:rsidR="00F7529D">
        <w:t xml:space="preserve">E-Government </w:t>
      </w:r>
      <w:r w:rsidR="006E3212">
        <w:t>Act</w:t>
      </w:r>
      <w:r w:rsidR="00D275E1">
        <w:t>.</w:t>
      </w:r>
      <w:r w:rsidR="007B68EF">
        <w:t xml:space="preserve"> </w:t>
      </w:r>
    </w:p>
    <w:p w:rsidR="00CD5C68" w:rsidP="00F7529D" w:rsidRDefault="00CD5C68">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720"/>
      </w:pPr>
    </w:p>
    <w:p w:rsidRPr="00F7529D" w:rsidR="00F7529D" w:rsidP="003218D1" w:rsidRDefault="00F7529D">
      <w:pPr>
        <w:widowControl w:val="0"/>
        <w:numPr>
          <w:ilvl w:val="0"/>
          <w:numId w:val="16"/>
        </w:numPr>
        <w:tabs>
          <w:tab w:val="right" w:pos="-1080"/>
        </w:tabs>
        <w:autoSpaceDE w:val="0"/>
        <w:autoSpaceDN w:val="0"/>
        <w:adjustRightInd w:val="0"/>
        <w:ind w:left="720" w:hanging="720"/>
        <w:contextualSpacing/>
        <w:rPr>
          <w:i/>
        </w:rPr>
      </w:pPr>
      <w:r w:rsidRPr="00F7529D">
        <w:rPr>
          <w:i/>
        </w:rPr>
        <w:t>Describe efforts to identify duplication. Show specifically why any similar information already available cannot be used or modified for use for the purposes described in Item 2 above.</w:t>
      </w:r>
    </w:p>
    <w:p w:rsidRPr="00F7529D" w:rsidR="00F7529D" w:rsidP="00F7529D" w:rsidRDefault="00F7529D">
      <w:pPr>
        <w:widowControl w:val="0"/>
        <w:autoSpaceDE w:val="0"/>
        <w:autoSpaceDN w:val="0"/>
        <w:adjustRightInd w:val="0"/>
      </w:pPr>
    </w:p>
    <w:p w:rsidRPr="00F7529D" w:rsidR="00F7529D" w:rsidP="00F7529D" w:rsidRDefault="004D611C">
      <w:pPr>
        <w:autoSpaceDE w:val="0"/>
        <w:autoSpaceDN w:val="0"/>
        <w:adjustRightInd w:val="0"/>
      </w:pPr>
      <w:r w:rsidRPr="002E0DB9">
        <w:lastRenderedPageBreak/>
        <w:t>While the Department currently collects data from registered apprenticeship programs, t</w:t>
      </w:r>
      <w:r w:rsidRPr="002E0DB9" w:rsidR="00B355AF">
        <w:t xml:space="preserve">he </w:t>
      </w:r>
      <w:r w:rsidR="00DA7F98">
        <w:t>I</w:t>
      </w:r>
      <w:r w:rsidRPr="002E0DB9" w:rsidR="00B355AF">
        <w:t>ndustry-</w:t>
      </w:r>
      <w:r w:rsidR="00DA7F98">
        <w:t>R</w:t>
      </w:r>
      <w:r w:rsidRPr="002E0DB9" w:rsidR="00DA7F98">
        <w:t xml:space="preserve">ecognized </w:t>
      </w:r>
      <w:r w:rsidR="00DA7F98">
        <w:t>A</w:t>
      </w:r>
      <w:r w:rsidRPr="002E0DB9" w:rsidR="00DA7F98">
        <w:t>pprenticeship</w:t>
      </w:r>
      <w:r w:rsidR="00DA7F98">
        <w:t xml:space="preserve"> P</w:t>
      </w:r>
      <w:r w:rsidR="00077184">
        <w:t>rogram</w:t>
      </w:r>
      <w:r w:rsidRPr="002E0DB9" w:rsidR="00B355AF">
        <w:t xml:space="preserve">s described in </w:t>
      </w:r>
      <w:r w:rsidR="005900DD">
        <w:rPr>
          <w:rFonts w:eastAsia="Calibri"/>
          <w:color w:val="000000"/>
        </w:rPr>
        <w:t>subpart B</w:t>
      </w:r>
      <w:r w:rsidRPr="002E0DB9" w:rsidR="006C2C1C">
        <w:t xml:space="preserve"> </w:t>
      </w:r>
      <w:r w:rsidRPr="002E0DB9" w:rsidR="007F2F13">
        <w:t>would be</w:t>
      </w:r>
      <w:r w:rsidRPr="002E0DB9" w:rsidR="00597E52">
        <w:t xml:space="preserve"> part of</w:t>
      </w:r>
      <w:r w:rsidRPr="002E0DB9" w:rsidR="007F2F13">
        <w:t xml:space="preserve"> </w:t>
      </w:r>
      <w:r w:rsidRPr="002E0DB9" w:rsidR="00B355AF">
        <w:t>a new</w:t>
      </w:r>
      <w:r w:rsidRPr="002E0DB9" w:rsidR="00877B63">
        <w:t xml:space="preserve"> government</w:t>
      </w:r>
      <w:r w:rsidRPr="002E0DB9" w:rsidR="007F2F13">
        <w:t xml:space="preserve"> program</w:t>
      </w:r>
      <w:r w:rsidRPr="002E0DB9" w:rsidR="00B355AF">
        <w:t xml:space="preserve">. </w:t>
      </w:r>
      <w:r w:rsidRPr="002E0DB9" w:rsidR="00036EBD">
        <w:t xml:space="preserve">As noted </w:t>
      </w:r>
      <w:r w:rsidRPr="002E0DB9" w:rsidR="00533623">
        <w:t xml:space="preserve">in </w:t>
      </w:r>
      <w:r w:rsidR="005900DD">
        <w:rPr>
          <w:rFonts w:eastAsia="Calibri"/>
          <w:color w:val="000000"/>
        </w:rPr>
        <w:t>subpart B</w:t>
      </w:r>
      <w:r w:rsidRPr="002E0DB9" w:rsidR="00036EBD">
        <w:t>,</w:t>
      </w:r>
      <w:r w:rsidRPr="002E0DB9" w:rsidR="00973326">
        <w:t xml:space="preserve"> the Department does not expect that many, if any, </w:t>
      </w:r>
      <w:r w:rsidR="00DA7F98">
        <w:t>IRAPs</w:t>
      </w:r>
      <w:r w:rsidRPr="002E0DB9">
        <w:t xml:space="preserve"> would </w:t>
      </w:r>
      <w:r w:rsidRPr="002E0DB9" w:rsidR="00973326">
        <w:t xml:space="preserve">also </w:t>
      </w:r>
      <w:r w:rsidRPr="002E0DB9">
        <w:t>be registered with the Department</w:t>
      </w:r>
      <w:r w:rsidRPr="002E0DB9" w:rsidR="007F2F13">
        <w:t xml:space="preserve"> according to the current part 29</w:t>
      </w:r>
      <w:r w:rsidRPr="002E0DB9" w:rsidR="00973326">
        <w:t>. Instead</w:t>
      </w:r>
      <w:r w:rsidR="00FE3A8A">
        <w:t>,</w:t>
      </w:r>
      <w:r w:rsidRPr="002E0DB9" w:rsidR="00973326">
        <w:t xml:space="preserve"> this program</w:t>
      </w:r>
      <w:r w:rsidRPr="002E0DB9" w:rsidR="00036EBD">
        <w:t xml:space="preserve"> </w:t>
      </w:r>
      <w:r w:rsidRPr="002E0DB9">
        <w:t>would complement the existing registered system.</w:t>
      </w:r>
      <w:r w:rsidRPr="002E0DB9" w:rsidR="00F7529D">
        <w:t xml:space="preserve">  </w:t>
      </w:r>
    </w:p>
    <w:p w:rsidRPr="00F7529D" w:rsidR="00F7529D" w:rsidP="00F7529D" w:rsidRDefault="00F7529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F7529D" w:rsidR="00F7529D" w:rsidP="003218D1" w:rsidRDefault="00F7529D">
      <w:pPr>
        <w:widowControl w:val="0"/>
        <w:numPr>
          <w:ilvl w:val="0"/>
          <w:numId w:val="16"/>
        </w:numPr>
        <w:tabs>
          <w:tab w:val="right" w:pos="-1080"/>
        </w:tabs>
        <w:autoSpaceDE w:val="0"/>
        <w:autoSpaceDN w:val="0"/>
        <w:adjustRightInd w:val="0"/>
        <w:ind w:left="720" w:hanging="720"/>
        <w:contextualSpacing/>
        <w:rPr>
          <w:i/>
        </w:rPr>
      </w:pPr>
      <w:r w:rsidRPr="00F7529D">
        <w:rPr>
          <w:i/>
        </w:rPr>
        <w:t>If the collection of information impacts small businesses or other small entities, describe any methods used to minimize burden.</w:t>
      </w:r>
    </w:p>
    <w:p w:rsidRPr="00F7529D" w:rsidR="00F7529D" w:rsidP="00F7529D" w:rsidRDefault="00F7529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F7529D" w:rsidR="00357C86" w:rsidP="00357C86" w:rsidRDefault="00357C86">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357C86">
        <w:rPr>
          <w:rFonts w:eastAsia="Calibri"/>
        </w:rPr>
        <w:t xml:space="preserve">Because all the information </w:t>
      </w:r>
      <w:r w:rsidR="003C3391">
        <w:rPr>
          <w:rFonts w:eastAsia="Calibri"/>
        </w:rPr>
        <w:t>to be</w:t>
      </w:r>
      <w:r w:rsidRPr="00357C86" w:rsidR="003C3391">
        <w:rPr>
          <w:rFonts w:eastAsia="Calibri"/>
        </w:rPr>
        <w:t xml:space="preserve"> </w:t>
      </w:r>
      <w:r w:rsidRPr="00357C86">
        <w:rPr>
          <w:rFonts w:eastAsia="Calibri"/>
        </w:rPr>
        <w:t xml:space="preserve">collected by the </w:t>
      </w:r>
      <w:r w:rsidR="005861B5">
        <w:rPr>
          <w:rFonts w:eastAsia="Calibri"/>
        </w:rPr>
        <w:t>application</w:t>
      </w:r>
      <w:r w:rsidRPr="00357C86" w:rsidR="005861B5">
        <w:rPr>
          <w:rFonts w:eastAsia="Calibri"/>
        </w:rPr>
        <w:t xml:space="preserve"> </w:t>
      </w:r>
      <w:r w:rsidRPr="00357C86">
        <w:rPr>
          <w:rFonts w:eastAsia="Calibri"/>
        </w:rPr>
        <w:t>is necessary to assess the capabilities of</w:t>
      </w:r>
      <w:r w:rsidR="003E1981">
        <w:rPr>
          <w:rFonts w:eastAsia="Calibri"/>
        </w:rPr>
        <w:t xml:space="preserve"> </w:t>
      </w:r>
      <w:r w:rsidRPr="00357C86">
        <w:rPr>
          <w:rFonts w:eastAsia="Calibri"/>
        </w:rPr>
        <w:t xml:space="preserve">potential </w:t>
      </w:r>
      <w:r w:rsidR="00036EBD">
        <w:t>SREs</w:t>
      </w:r>
      <w:r w:rsidRPr="00357C86">
        <w:rPr>
          <w:rFonts w:eastAsia="Calibri"/>
        </w:rPr>
        <w:t xml:space="preserve"> (which could include small businesses or other small entities), the burden on these </w:t>
      </w:r>
      <w:r w:rsidR="00036EBD">
        <w:t>SREs</w:t>
      </w:r>
      <w:r w:rsidR="00023444">
        <w:t xml:space="preserve"> </w:t>
      </w:r>
      <w:r w:rsidRPr="00357C86">
        <w:rPr>
          <w:rFonts w:eastAsia="Calibri"/>
        </w:rPr>
        <w:t xml:space="preserve">cannot be readily minimized, regardless of size. However, </w:t>
      </w:r>
      <w:r w:rsidR="008D0313">
        <w:rPr>
          <w:rFonts w:eastAsia="Calibri"/>
        </w:rPr>
        <w:t xml:space="preserve">all applicants must file </w:t>
      </w:r>
      <w:r w:rsidRPr="00357C86">
        <w:rPr>
          <w:rFonts w:eastAsia="Calibri"/>
        </w:rPr>
        <w:t>electronically through a</w:t>
      </w:r>
      <w:r w:rsidR="006C2C1C">
        <w:rPr>
          <w:rFonts w:eastAsia="Calibri"/>
        </w:rPr>
        <w:t>n</w:t>
      </w:r>
      <w:r w:rsidRPr="00357C86">
        <w:rPr>
          <w:rFonts w:eastAsia="Calibri"/>
        </w:rPr>
        <w:t xml:space="preserve"> online </w:t>
      </w:r>
      <w:r w:rsidR="008D0313">
        <w:rPr>
          <w:rFonts w:eastAsia="Calibri"/>
        </w:rPr>
        <w:t xml:space="preserve">web-based </w:t>
      </w:r>
      <w:r w:rsidR="00DE431D">
        <w:rPr>
          <w:rFonts w:eastAsia="Calibri"/>
        </w:rPr>
        <w:t>application</w:t>
      </w:r>
      <w:r w:rsidR="008D0313">
        <w:rPr>
          <w:rFonts w:eastAsia="Calibri"/>
        </w:rPr>
        <w:t xml:space="preserve"> system</w:t>
      </w:r>
      <w:r w:rsidR="006C2C1C">
        <w:rPr>
          <w:rFonts w:eastAsia="Calibri"/>
        </w:rPr>
        <w:t>.</w:t>
      </w:r>
      <w:r w:rsidR="008D0313">
        <w:rPr>
          <w:rFonts w:eastAsia="Calibri"/>
        </w:rPr>
        <w:t xml:space="preserve"> The web-based </w:t>
      </w:r>
      <w:r w:rsidR="00DE431D">
        <w:rPr>
          <w:rFonts w:eastAsia="Calibri"/>
        </w:rPr>
        <w:t>application</w:t>
      </w:r>
      <w:r w:rsidR="008D0313">
        <w:rPr>
          <w:rFonts w:eastAsia="Calibri"/>
        </w:rPr>
        <w:t xml:space="preserve"> offers </w:t>
      </w:r>
      <w:r w:rsidR="00FD4F48">
        <w:rPr>
          <w:rFonts w:eastAsia="Calibri"/>
        </w:rPr>
        <w:t xml:space="preserve">efficient features that allows </w:t>
      </w:r>
      <w:r w:rsidR="00DA7F98">
        <w:rPr>
          <w:rFonts w:eastAsia="Calibri"/>
        </w:rPr>
        <w:t>prospective SREs</w:t>
      </w:r>
      <w:r w:rsidR="00FD4F48">
        <w:rPr>
          <w:rFonts w:eastAsia="Calibri"/>
        </w:rPr>
        <w:t xml:space="preserve"> to </w:t>
      </w:r>
      <w:r w:rsidR="00DE431D">
        <w:rPr>
          <w:rFonts w:eastAsia="Calibri"/>
        </w:rPr>
        <w:t xml:space="preserve">easily save, update, and </w:t>
      </w:r>
      <w:r w:rsidR="00FD4F48">
        <w:rPr>
          <w:rFonts w:eastAsia="Calibri"/>
        </w:rPr>
        <w:t>submit their application</w:t>
      </w:r>
      <w:r w:rsidR="008D3744">
        <w:rPr>
          <w:rFonts w:eastAsia="Calibri"/>
        </w:rPr>
        <w:t>s</w:t>
      </w:r>
      <w:r w:rsidR="00DA7F98">
        <w:rPr>
          <w:rFonts w:eastAsia="Calibri"/>
        </w:rPr>
        <w:t xml:space="preserve"> to DOL</w:t>
      </w:r>
      <w:r w:rsidR="00DE431D">
        <w:rPr>
          <w:rFonts w:eastAsia="Calibri"/>
        </w:rPr>
        <w:t xml:space="preserve"> in a timely manner</w:t>
      </w:r>
      <w:r w:rsidR="00FD4F48">
        <w:rPr>
          <w:rFonts w:eastAsia="Calibri"/>
        </w:rPr>
        <w:t>.</w:t>
      </w:r>
    </w:p>
    <w:p w:rsidRPr="00F7529D" w:rsidR="00F7529D" w:rsidP="00F7529D" w:rsidRDefault="00F7529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
        </w:rPr>
      </w:pPr>
    </w:p>
    <w:p w:rsidRPr="00F7529D" w:rsidR="00F7529D" w:rsidP="003218D1" w:rsidRDefault="00F7529D">
      <w:pPr>
        <w:widowControl w:val="0"/>
        <w:numPr>
          <w:ilvl w:val="0"/>
          <w:numId w:val="16"/>
        </w:numPr>
        <w:tabs>
          <w:tab w:val="right" w:pos="-1080"/>
        </w:tabs>
        <w:autoSpaceDE w:val="0"/>
        <w:autoSpaceDN w:val="0"/>
        <w:adjustRightInd w:val="0"/>
        <w:ind w:left="720" w:hanging="720"/>
        <w:contextualSpacing/>
        <w:rPr>
          <w:i/>
        </w:rPr>
      </w:pPr>
      <w:r w:rsidRPr="00F7529D">
        <w:rPr>
          <w:i/>
        </w:rPr>
        <w:t>Describe the consequence to Federal program or policy activities if the collection is not conducted or is conducted less frequently, as well as any technical or legal obstacles to reducing burden.</w:t>
      </w:r>
    </w:p>
    <w:p w:rsidRPr="00F7529D" w:rsidR="00F7529D" w:rsidP="00F7529D" w:rsidRDefault="00F7529D">
      <w:pPr>
        <w:widowControl w:val="0"/>
        <w:autoSpaceDE w:val="0"/>
        <w:autoSpaceDN w:val="0"/>
        <w:adjustRightInd w:val="0"/>
        <w:rPr>
          <w:b/>
        </w:rPr>
      </w:pPr>
    </w:p>
    <w:p w:rsidRPr="00F7529D" w:rsidR="00F7529D" w:rsidP="00094D1B" w:rsidRDefault="00094D1B">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Pr>
          <w:rFonts w:eastAsia="Calibri"/>
        </w:rPr>
        <w:t>If authorization to collect th</w:t>
      </w:r>
      <w:r w:rsidR="00273034">
        <w:rPr>
          <w:rFonts w:eastAsia="Calibri"/>
        </w:rPr>
        <w:t>e foregoing</w:t>
      </w:r>
      <w:r>
        <w:rPr>
          <w:rFonts w:eastAsia="Calibri"/>
        </w:rPr>
        <w:t xml:space="preserve"> information </w:t>
      </w:r>
      <w:r w:rsidR="008D3744">
        <w:rPr>
          <w:rFonts w:eastAsia="Calibri"/>
        </w:rPr>
        <w:t>were</w:t>
      </w:r>
      <w:r w:rsidR="00036EBD">
        <w:rPr>
          <w:rFonts w:eastAsia="Calibri"/>
        </w:rPr>
        <w:t xml:space="preserve"> </w:t>
      </w:r>
      <w:r>
        <w:rPr>
          <w:rFonts w:eastAsia="Calibri"/>
        </w:rPr>
        <w:t xml:space="preserve">not granted, the Department would be </w:t>
      </w:r>
      <w:r w:rsidR="00687DE6">
        <w:rPr>
          <w:rFonts w:eastAsia="Calibri"/>
        </w:rPr>
        <w:t>un</w:t>
      </w:r>
      <w:r>
        <w:rPr>
          <w:rFonts w:eastAsia="Calibri"/>
        </w:rPr>
        <w:t xml:space="preserve">able to </w:t>
      </w:r>
      <w:r w:rsidR="00F52D19">
        <w:rPr>
          <w:rFonts w:eastAsia="Calibri"/>
        </w:rPr>
        <w:t>determine whether</w:t>
      </w:r>
      <w:r w:rsidR="00C82330">
        <w:rPr>
          <w:rFonts w:eastAsia="Calibri"/>
        </w:rPr>
        <w:t xml:space="preserve"> </w:t>
      </w:r>
      <w:r w:rsidR="00CA0875">
        <w:rPr>
          <w:rFonts w:eastAsia="Calibri"/>
        </w:rPr>
        <w:t>or not</w:t>
      </w:r>
      <w:r w:rsidR="00C82330">
        <w:rPr>
          <w:rFonts w:eastAsia="Calibri"/>
        </w:rPr>
        <w:t xml:space="preserve"> </w:t>
      </w:r>
      <w:r w:rsidR="00036EBD">
        <w:rPr>
          <w:rFonts w:eastAsia="Calibri"/>
        </w:rPr>
        <w:t>SREs</w:t>
      </w:r>
      <w:r>
        <w:rPr>
          <w:rFonts w:eastAsia="Calibri"/>
        </w:rPr>
        <w:t xml:space="preserve"> </w:t>
      </w:r>
      <w:r w:rsidR="00CA0875">
        <w:rPr>
          <w:rFonts w:eastAsia="Calibri"/>
        </w:rPr>
        <w:t xml:space="preserve">possess the </w:t>
      </w:r>
      <w:r w:rsidR="00533623">
        <w:rPr>
          <w:rFonts w:eastAsia="Calibri"/>
        </w:rPr>
        <w:t>characteristics and</w:t>
      </w:r>
      <w:r w:rsidR="002B0465">
        <w:rPr>
          <w:rFonts w:eastAsia="Calibri"/>
        </w:rPr>
        <w:t xml:space="preserve"> </w:t>
      </w:r>
      <w:r w:rsidR="00CA0875">
        <w:rPr>
          <w:rFonts w:eastAsia="Calibri"/>
        </w:rPr>
        <w:t xml:space="preserve">established </w:t>
      </w:r>
      <w:r w:rsidR="002B0465">
        <w:rPr>
          <w:rFonts w:eastAsia="Calibri"/>
        </w:rPr>
        <w:t xml:space="preserve">processes consistent with the </w:t>
      </w:r>
      <w:r w:rsidR="00020F72">
        <w:rPr>
          <w:rFonts w:eastAsia="Calibri"/>
        </w:rPr>
        <w:t xml:space="preserve">criteria </w:t>
      </w:r>
      <w:r w:rsidR="00CA0875">
        <w:rPr>
          <w:rFonts w:eastAsia="Calibri"/>
        </w:rPr>
        <w:t>outlined in</w:t>
      </w:r>
      <w:r w:rsidRPr="005900DD" w:rsidR="005900DD">
        <w:rPr>
          <w:rFonts w:eastAsia="Calibri"/>
          <w:color w:val="000000"/>
        </w:rPr>
        <w:t xml:space="preserve"> </w:t>
      </w:r>
      <w:r w:rsidR="005900DD">
        <w:rPr>
          <w:rFonts w:eastAsia="Calibri"/>
          <w:color w:val="000000"/>
        </w:rPr>
        <w:t>subpart B</w:t>
      </w:r>
      <w:r w:rsidR="00FE4D98">
        <w:rPr>
          <w:rFonts w:eastAsia="Calibri"/>
          <w:color w:val="000000"/>
        </w:rPr>
        <w:t>, and thus could not effectively administer the IRAP program</w:t>
      </w:r>
      <w:r w:rsidR="00CA0875">
        <w:rPr>
          <w:rFonts w:eastAsia="Calibri"/>
        </w:rPr>
        <w:t>.</w:t>
      </w:r>
      <w:r w:rsidR="00F874A0">
        <w:rPr>
          <w:rFonts w:eastAsia="Calibri"/>
        </w:rPr>
        <w:t xml:space="preserve"> </w:t>
      </w:r>
      <w:r>
        <w:rPr>
          <w:rFonts w:eastAsia="Calibri"/>
        </w:rPr>
        <w:t xml:space="preserve"> </w:t>
      </w:r>
    </w:p>
    <w:p w:rsidRPr="00F7529D" w:rsidR="00C03807" w:rsidP="00F7529D" w:rsidRDefault="00C0380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p>
    <w:p w:rsidRPr="00F7529D" w:rsidR="00F7529D" w:rsidP="003218D1" w:rsidRDefault="00F7529D">
      <w:pPr>
        <w:widowControl w:val="0"/>
        <w:numPr>
          <w:ilvl w:val="0"/>
          <w:numId w:val="16"/>
        </w:numPr>
        <w:tabs>
          <w:tab w:val="right" w:pos="-1080"/>
        </w:tabs>
        <w:autoSpaceDE w:val="0"/>
        <w:autoSpaceDN w:val="0"/>
        <w:adjustRightInd w:val="0"/>
        <w:ind w:left="720" w:hanging="720"/>
        <w:contextualSpacing/>
        <w:rPr>
          <w:i/>
        </w:rPr>
      </w:pPr>
      <w:r w:rsidRPr="00F7529D">
        <w:rPr>
          <w:i/>
        </w:rPr>
        <w:t xml:space="preserve">Explain any special circumstances that would cause an information </w:t>
      </w:r>
      <w:r w:rsidRPr="00F7529D">
        <w:rPr>
          <w:i/>
        </w:rPr>
        <w:lastRenderedPageBreak/>
        <w:t>collection to be conducted in a manner that implicates the special circumstances listed in regulations 5 CFR 1320.5</w:t>
      </w:r>
      <w:r w:rsidR="00CB7D8E">
        <w:rPr>
          <w:i/>
        </w:rPr>
        <w:t>.</w:t>
      </w:r>
    </w:p>
    <w:p w:rsidRPr="00F7529D" w:rsidR="00F7529D" w:rsidP="00F7529D" w:rsidRDefault="00F7529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p>
    <w:p w:rsidR="00CB7D8E" w:rsidP="00F7529D" w:rsidRDefault="00CB7D8E">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CB7D8E">
        <w:t>These data collection efforts do not involve any special circumstances.</w:t>
      </w:r>
    </w:p>
    <w:p w:rsidRPr="00F7529D" w:rsidR="00F7529D" w:rsidP="00F7529D" w:rsidRDefault="00F7529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F7529D" w:rsidR="00F7529D" w:rsidP="003218D1" w:rsidRDefault="00F7529D">
      <w:pPr>
        <w:widowControl w:val="0"/>
        <w:numPr>
          <w:ilvl w:val="0"/>
          <w:numId w:val="16"/>
        </w:numPr>
        <w:tabs>
          <w:tab w:val="right" w:pos="-1080"/>
        </w:tabs>
        <w:autoSpaceDE w:val="0"/>
        <w:autoSpaceDN w:val="0"/>
        <w:adjustRightInd w:val="0"/>
        <w:ind w:left="720" w:hanging="720"/>
        <w:contextualSpacing/>
        <w:rPr>
          <w:i/>
        </w:rPr>
      </w:pPr>
      <w:r w:rsidRPr="00F7529D">
        <w:rPr>
          <w:i/>
        </w:rPr>
        <w:t xml:space="preserve">If applicable, provide a copy and identify the data and page number of publication in the Federal Register of the </w:t>
      </w:r>
      <w:r w:rsidRPr="00F7529D" w:rsidR="0024322F">
        <w:rPr>
          <w:i/>
        </w:rPr>
        <w:t>agency</w:t>
      </w:r>
      <w:r w:rsidR="0024322F">
        <w:rPr>
          <w:i/>
        </w:rPr>
        <w:t>’</w:t>
      </w:r>
      <w:r w:rsidRPr="00F7529D" w:rsidR="0024322F">
        <w:rPr>
          <w:i/>
        </w:rPr>
        <w:t xml:space="preserve">s </w:t>
      </w:r>
      <w:r w:rsidRPr="00F7529D">
        <w:rPr>
          <w:i/>
        </w:rPr>
        <w:t>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7529D" w:rsidP="00F7529D" w:rsidRDefault="00F7529D">
      <w:pPr>
        <w:tabs>
          <w:tab w:val="right" w:pos="-1080"/>
        </w:tabs>
        <w:autoSpaceDE w:val="0"/>
        <w:autoSpaceDN w:val="0"/>
        <w:adjustRightInd w:val="0"/>
        <w:ind w:left="720"/>
        <w:contextualSpacing/>
        <w:rPr>
          <w:i/>
        </w:rPr>
      </w:pPr>
    </w:p>
    <w:p w:rsidR="00047DB3" w:rsidP="000B61E0" w:rsidRDefault="006E3708">
      <w:pPr>
        <w:tabs>
          <w:tab w:val="right" w:pos="-1080"/>
        </w:tabs>
        <w:autoSpaceDE w:val="0"/>
        <w:autoSpaceDN w:val="0"/>
        <w:adjustRightInd w:val="0"/>
        <w:contextualSpacing/>
        <w:rPr>
          <w:u w:val="single"/>
        </w:rPr>
      </w:pPr>
      <w:r>
        <w:t xml:space="preserve">On June 25, 2019, </w:t>
      </w:r>
      <w:r w:rsidRPr="000B61E0" w:rsidR="00047DB3">
        <w:t xml:space="preserve">Page 29970 of the </w:t>
      </w:r>
      <w:r w:rsidRPr="005B16ED" w:rsidR="00047DB3">
        <w:t>Federal Register</w:t>
      </w:r>
      <w:r w:rsidRPr="000B61E0" w:rsidR="00783B78">
        <w:t xml:space="preserve"> </w:t>
      </w:r>
      <w:r>
        <w:t>(</w:t>
      </w:r>
      <w:r w:rsidRPr="006E3708">
        <w:t>84 FR 29970</w:t>
      </w:r>
      <w:r>
        <w:t xml:space="preserve">) </w:t>
      </w:r>
      <w:r w:rsidRPr="000B61E0" w:rsidR="00783B78">
        <w:t>included the following information soliciting comments on the information collection:</w:t>
      </w:r>
    </w:p>
    <w:p w:rsidR="00047DB3" w:rsidP="000B61E0" w:rsidRDefault="00047DB3">
      <w:pPr>
        <w:tabs>
          <w:tab w:val="right" w:pos="-1080"/>
        </w:tabs>
        <w:autoSpaceDE w:val="0"/>
        <w:autoSpaceDN w:val="0"/>
        <w:adjustRightInd w:val="0"/>
        <w:contextualSpacing/>
        <w:rPr>
          <w:u w:val="single"/>
        </w:rPr>
      </w:pPr>
    </w:p>
    <w:p w:rsidRPr="00B92B31" w:rsidR="00047DB3" w:rsidP="00783B78" w:rsidRDefault="00047DB3">
      <w:pPr>
        <w:tabs>
          <w:tab w:val="right" w:pos="-1080"/>
        </w:tabs>
        <w:autoSpaceDE w:val="0"/>
        <w:autoSpaceDN w:val="0"/>
        <w:adjustRightInd w:val="0"/>
        <w:ind w:left="720"/>
        <w:contextualSpacing/>
        <w:rPr>
          <w:shd w:val="clear" w:color="auto" w:fill="FFFFFF"/>
        </w:rPr>
      </w:pPr>
      <w:r w:rsidRPr="00B92B31">
        <w:rPr>
          <w:shd w:val="clear" w:color="auto" w:fill="FFFFFF"/>
        </w:rPr>
        <w:t>In addition to filing comments on any aspect of this rule with the Agency, interested parties may file comments on the information collections contained in or supporting this proposed rule with the Office of Management and Budget (OMB). This opportunity is limited to the information collections that must also be approved under the Paperwork Reduction Act, and the period to submit comments to OMB expires 30 days after the date this proposed rule is published in the Federal Register. Please submit comments about this request by mail to the Office of Information and Regulatory Affairs, Attn: OMB Desk Officer for DOL-ETA, Office of Management and Budget, Room 10235, 725 17th Street NW, Washington, DC 20503; by Fax: 202-395-5806 (this is not a toll-free number); or by email: </w:t>
      </w:r>
      <w:r w:rsidRPr="00B92B31">
        <w:rPr>
          <w:i/>
          <w:iCs/>
          <w:shd w:val="clear" w:color="auto" w:fill="FFFFFF"/>
        </w:rPr>
        <w:t>OIRA_submission@omb.eop.gov.</w:t>
      </w:r>
      <w:r w:rsidRPr="00B92B31">
        <w:rPr>
          <w:shd w:val="clear" w:color="auto" w:fill="FFFFFF"/>
        </w:rPr>
        <w:t xml:space="preserve"> Commenters are encouraged, but not required, to send a courtesy copy of any comments by mail or courier to the </w:t>
      </w:r>
      <w:r w:rsidRPr="00B92B31">
        <w:rPr>
          <w:shd w:val="clear" w:color="auto" w:fill="FFFFFF"/>
        </w:rPr>
        <w:lastRenderedPageBreak/>
        <w:t>Agency using the same method as for any other comments on the rule.”</w:t>
      </w:r>
    </w:p>
    <w:p w:rsidRPr="000B61E0" w:rsidR="00047DB3" w:rsidP="000B61E0" w:rsidRDefault="00047DB3">
      <w:pPr>
        <w:tabs>
          <w:tab w:val="right" w:pos="-1080"/>
        </w:tabs>
        <w:autoSpaceDE w:val="0"/>
        <w:autoSpaceDN w:val="0"/>
        <w:adjustRightInd w:val="0"/>
        <w:contextualSpacing/>
      </w:pPr>
    </w:p>
    <w:p w:rsidR="00783B78" w:rsidP="00320FB7" w:rsidRDefault="00783B78">
      <w:pPr>
        <w:rPr>
          <w:rFonts w:eastAsia="Calibri"/>
          <w:bCs/>
        </w:rPr>
      </w:pPr>
      <w:r>
        <w:rPr>
          <w:rFonts w:eastAsia="Calibri"/>
          <w:bCs/>
        </w:rPr>
        <w:t>As referenced above, all information</w:t>
      </w:r>
      <w:r w:rsidR="008D3744">
        <w:rPr>
          <w:rFonts w:eastAsia="Calibri"/>
          <w:bCs/>
        </w:rPr>
        <w:t>-</w:t>
      </w:r>
      <w:r>
        <w:rPr>
          <w:rFonts w:eastAsia="Calibri"/>
          <w:bCs/>
        </w:rPr>
        <w:t>collection</w:t>
      </w:r>
      <w:r w:rsidR="008D3744">
        <w:rPr>
          <w:rFonts w:eastAsia="Calibri"/>
          <w:bCs/>
        </w:rPr>
        <w:t>-</w:t>
      </w:r>
      <w:r>
        <w:rPr>
          <w:rFonts w:eastAsia="Calibri"/>
          <w:bCs/>
        </w:rPr>
        <w:t xml:space="preserve">related comments were directed to the </w:t>
      </w:r>
      <w:r w:rsidRPr="00783B78">
        <w:rPr>
          <w:rFonts w:eastAsia="Calibri"/>
          <w:bCs/>
        </w:rPr>
        <w:t>Office of Information and Regulatory Affairs</w:t>
      </w:r>
      <w:r>
        <w:rPr>
          <w:rFonts w:eastAsia="Calibri"/>
          <w:bCs/>
        </w:rPr>
        <w:t xml:space="preserve"> (OIRA). The Department did not receive information</w:t>
      </w:r>
      <w:r w:rsidR="008D3744">
        <w:rPr>
          <w:rFonts w:eastAsia="Calibri"/>
          <w:bCs/>
        </w:rPr>
        <w:t>-</w:t>
      </w:r>
      <w:r>
        <w:rPr>
          <w:rFonts w:eastAsia="Calibri"/>
          <w:bCs/>
        </w:rPr>
        <w:t>collection</w:t>
      </w:r>
      <w:r w:rsidR="008D3744">
        <w:rPr>
          <w:rFonts w:eastAsia="Calibri"/>
          <w:bCs/>
        </w:rPr>
        <w:t>-</w:t>
      </w:r>
      <w:r w:rsidR="000B61E0">
        <w:rPr>
          <w:rFonts w:eastAsia="Calibri"/>
          <w:bCs/>
        </w:rPr>
        <w:t xml:space="preserve">related </w:t>
      </w:r>
      <w:r>
        <w:rPr>
          <w:rFonts w:eastAsia="Calibri"/>
          <w:bCs/>
        </w:rPr>
        <w:t>comments in the public docket and is not aware of any comments that were sent directly to OIRA.</w:t>
      </w:r>
    </w:p>
    <w:p w:rsidRPr="00F7529D" w:rsidR="00083986" w:rsidP="00F7529D" w:rsidRDefault="00083986">
      <w:pPr>
        <w:tabs>
          <w:tab w:val="right" w:pos="-1080"/>
        </w:tabs>
        <w:autoSpaceDE w:val="0"/>
        <w:autoSpaceDN w:val="0"/>
        <w:adjustRightInd w:val="0"/>
        <w:ind w:left="720"/>
        <w:contextualSpacing/>
        <w:rPr>
          <w:i/>
        </w:rPr>
      </w:pPr>
    </w:p>
    <w:p w:rsidRPr="00F7529D" w:rsidR="00F7529D" w:rsidP="003218D1" w:rsidRDefault="00F7529D">
      <w:pPr>
        <w:widowControl w:val="0"/>
        <w:numPr>
          <w:ilvl w:val="0"/>
          <w:numId w:val="16"/>
        </w:numPr>
        <w:tabs>
          <w:tab w:val="right" w:pos="-1080"/>
        </w:tabs>
        <w:autoSpaceDE w:val="0"/>
        <w:autoSpaceDN w:val="0"/>
        <w:adjustRightInd w:val="0"/>
        <w:ind w:left="720" w:hanging="720"/>
        <w:contextualSpacing/>
        <w:rPr>
          <w:i/>
        </w:rPr>
      </w:pPr>
      <w:r w:rsidRPr="00F7529D">
        <w:rPr>
          <w:i/>
        </w:rPr>
        <w:t>Explain any decision to provide any payment or gift to respondents, other than remuneration of contractors or grantees.</w:t>
      </w:r>
    </w:p>
    <w:p w:rsidRPr="00F7529D" w:rsidR="00F7529D" w:rsidP="00F7529D" w:rsidRDefault="00F7529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F7529D" w:rsidR="00F7529D" w:rsidP="00F7529D" w:rsidRDefault="00F7529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F7529D">
        <w:t xml:space="preserve">This information collection does not involve payments to respondents. </w:t>
      </w:r>
    </w:p>
    <w:p w:rsidRPr="00F7529D" w:rsidR="00F7529D" w:rsidP="00F7529D" w:rsidRDefault="00F7529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F7529D" w:rsidR="00F7529D" w:rsidP="00F7529D" w:rsidRDefault="00F7529D">
      <w:pPr>
        <w:widowControl w:val="0"/>
        <w:autoSpaceDE w:val="0"/>
        <w:autoSpaceDN w:val="0"/>
        <w:adjustRightInd w:val="0"/>
        <w:ind w:left="720" w:hanging="720"/>
        <w:rPr>
          <w:i/>
        </w:rPr>
      </w:pPr>
      <w:r w:rsidRPr="00F7529D">
        <w:rPr>
          <w:i/>
        </w:rPr>
        <w:t>10.</w:t>
      </w:r>
      <w:r w:rsidRPr="00F7529D">
        <w:rPr>
          <w:rFonts w:ascii="Courier" w:hAnsi="Courier"/>
          <w:i/>
        </w:rPr>
        <w:tab/>
      </w:r>
      <w:r w:rsidRPr="00F7529D">
        <w:rPr>
          <w:i/>
        </w:rPr>
        <w:t>Describe any assurance of confidentiality provided to respondents and the basis for the assurance in statute, regulation, or agency policy.</w:t>
      </w:r>
    </w:p>
    <w:p w:rsidR="00F7529D" w:rsidP="00F7529D" w:rsidRDefault="00F7529D">
      <w:pPr>
        <w:widowControl w:val="0"/>
        <w:autoSpaceDE w:val="0"/>
        <w:autoSpaceDN w:val="0"/>
        <w:adjustRightInd w:val="0"/>
        <w:rPr>
          <w:b/>
        </w:rPr>
      </w:pPr>
    </w:p>
    <w:p w:rsidRPr="008D4371" w:rsidR="00123404" w:rsidP="00CC5F44" w:rsidRDefault="00D275E1">
      <w:r>
        <w:t xml:space="preserve">The </w:t>
      </w:r>
      <w:r w:rsidR="00B15BF3">
        <w:t xml:space="preserve">application </w:t>
      </w:r>
      <w:r w:rsidR="00592E48">
        <w:t>will</w:t>
      </w:r>
      <w:r w:rsidR="006478C5">
        <w:t xml:space="preserve"> not </w:t>
      </w:r>
      <w:r w:rsidR="00727DC9">
        <w:t>require the disclosure by</w:t>
      </w:r>
      <w:r w:rsidR="006B08CF">
        <w:t xml:space="preserve"> the</w:t>
      </w:r>
      <w:r w:rsidR="00727DC9">
        <w:t xml:space="preserve"> </w:t>
      </w:r>
      <w:r w:rsidR="00036EBD">
        <w:t>SREs</w:t>
      </w:r>
      <w:r w:rsidR="00727DC9">
        <w:t xml:space="preserve"> of </w:t>
      </w:r>
      <w:r w:rsidR="00757F92">
        <w:t>IRAP</w:t>
      </w:r>
      <w:r w:rsidR="00597E52">
        <w:t>s</w:t>
      </w:r>
      <w:r w:rsidR="00727DC9">
        <w:t xml:space="preserve"> (</w:t>
      </w:r>
      <w:r w:rsidR="00802199">
        <w:t xml:space="preserve">nor </w:t>
      </w:r>
      <w:r w:rsidR="004C3196">
        <w:t>by</w:t>
      </w:r>
      <w:r w:rsidR="00802199">
        <w:t xml:space="preserve"> </w:t>
      </w:r>
      <w:r w:rsidR="00B15BF3">
        <w:t>IRAP</w:t>
      </w:r>
      <w:r w:rsidR="00802199">
        <w:t xml:space="preserve"> sponsors</w:t>
      </w:r>
      <w:r w:rsidR="00727DC9">
        <w:t>) of personally identifiable information about apprentices (such as the individualized salary information or social security numbers of such persons).</w:t>
      </w:r>
      <w:r w:rsidR="008D3744">
        <w:t xml:space="preserve"> It will also not require disclosure of commercial or financial information that is both customarily and actually treated as private by the SRE or IRAP. Such information is exempt from public disclosure under Exemption #4 of the Freedom of Information Act</w:t>
      </w:r>
      <w:r w:rsidR="008D4371">
        <w:t xml:space="preserve"> (FOIA)</w:t>
      </w:r>
      <w:r w:rsidR="008D3744">
        <w:t xml:space="preserve"> (5 U.S.C. § 552(b)(4)).</w:t>
      </w:r>
      <w:r w:rsidR="00727DC9">
        <w:t xml:space="preserve"> </w:t>
      </w:r>
      <w:r w:rsidR="008D4371">
        <w:t>T</w:t>
      </w:r>
      <w:r w:rsidR="00727DC9">
        <w:t>h</w:t>
      </w:r>
      <w:r w:rsidR="00587A41">
        <w:t>is</w:t>
      </w:r>
      <w:r w:rsidR="00727DC9">
        <w:t xml:space="preserve"> </w:t>
      </w:r>
      <w:r w:rsidR="005861B5">
        <w:t>application</w:t>
      </w:r>
      <w:r w:rsidR="00727DC9">
        <w:t xml:space="preserve"> </w:t>
      </w:r>
      <w:r w:rsidR="00517805">
        <w:t xml:space="preserve">generally </w:t>
      </w:r>
      <w:r w:rsidR="00727DC9">
        <w:t>seek</w:t>
      </w:r>
      <w:r w:rsidR="00587A41">
        <w:t>s</w:t>
      </w:r>
      <w:r w:rsidR="00727DC9">
        <w:t xml:space="preserve"> to obtain information from </w:t>
      </w:r>
      <w:r w:rsidR="00B22A4D">
        <w:t xml:space="preserve">and concerning </w:t>
      </w:r>
      <w:r w:rsidR="00036EBD">
        <w:t>SREs</w:t>
      </w:r>
      <w:r w:rsidR="00727DC9">
        <w:t>.</w:t>
      </w:r>
      <w:r w:rsidR="00D0785F">
        <w:t xml:space="preserve"> </w:t>
      </w:r>
      <w:r w:rsidR="00357C86">
        <w:t>Under this collection, the name of a</w:t>
      </w:r>
      <w:r w:rsidR="00851229">
        <w:t>n</w:t>
      </w:r>
      <w:r w:rsidR="00357C86">
        <w:t xml:space="preserve"> </w:t>
      </w:r>
      <w:r w:rsidR="00036EBD">
        <w:t xml:space="preserve">SRE </w:t>
      </w:r>
      <w:r w:rsidR="00357C86">
        <w:t xml:space="preserve">will be posted at </w:t>
      </w:r>
      <w:hyperlink w:history="1" r:id="rId11">
        <w:r w:rsidRPr="007A46FF" w:rsidR="007A46FF">
          <w:rPr>
            <w:rStyle w:val="Hyperlink"/>
          </w:rPr>
          <w:t>www.dol.gov/apprenticeship</w:t>
        </w:r>
      </w:hyperlink>
      <w:r w:rsidR="006C3A45">
        <w:t xml:space="preserve"> if the Department issues a </w:t>
      </w:r>
      <w:r w:rsidR="00CB5A7A">
        <w:t>recognition</w:t>
      </w:r>
      <w:r w:rsidR="006C3A45">
        <w:t xml:space="preserve"> letter with respect to the entity. </w:t>
      </w:r>
      <w:r w:rsidR="00105A67">
        <w:t>This information collection does not offer</w:t>
      </w:r>
      <w:r w:rsidR="008D4371">
        <w:t>s a limited</w:t>
      </w:r>
      <w:r w:rsidR="00105A67">
        <w:t xml:space="preserve"> assurance of confidentiality</w:t>
      </w:r>
      <w:r w:rsidR="0046494A">
        <w:t>.</w:t>
      </w:r>
      <w:r w:rsidR="006C3A45">
        <w:t xml:space="preserve"> </w:t>
      </w:r>
      <w:r w:rsidR="00CC5F44">
        <w:t xml:space="preserve">While information collected </w:t>
      </w:r>
      <w:r w:rsidR="00CC5F44">
        <w:lastRenderedPageBreak/>
        <w:t xml:space="preserve">by this </w:t>
      </w:r>
      <w:r w:rsidR="00B15BF3">
        <w:t xml:space="preserve">application </w:t>
      </w:r>
      <w:r w:rsidR="00CC5F44">
        <w:t>is generally subject to public disclosure under the Freedom of Information Act (FOIA),</w:t>
      </w:r>
      <w:r w:rsidR="008D4371">
        <w:t xml:space="preserve"> as noted above, FOIA</w:t>
      </w:r>
      <w:r w:rsidR="00CC5F44">
        <w:t xml:space="preserve"> Exemption #4 affords protection to submitters </w:t>
      </w:r>
      <w:r w:rsidR="00340C89">
        <w:t xml:space="preserve">(such as potential </w:t>
      </w:r>
      <w:r w:rsidR="00491ED5">
        <w:t>SREs</w:t>
      </w:r>
      <w:r w:rsidR="00340C89">
        <w:t xml:space="preserve">) </w:t>
      </w:r>
      <w:r w:rsidR="00CC5F44">
        <w:t>who are asked to furnish commercial or financial information to the Federal Government.</w:t>
      </w:r>
      <w:r w:rsidR="008D4371">
        <w:t xml:space="preserve"> </w:t>
      </w:r>
      <w:r w:rsidRPr="008D4371" w:rsidR="008D4371">
        <w:t>The Office of Apprenticeship will provide an applicant notice and an opportunity to object before disclosing information from the applicant.</w:t>
      </w:r>
    </w:p>
    <w:p w:rsidRPr="00CC5F44" w:rsidR="00F7529D" w:rsidP="00CC5F44" w:rsidRDefault="00F7529D"/>
    <w:p w:rsidRPr="00D74537" w:rsidR="00F7529D" w:rsidP="00D74537" w:rsidRDefault="00F7529D">
      <w:pPr>
        <w:ind w:left="720" w:hanging="720"/>
        <w:rPr>
          <w:i/>
        </w:rPr>
      </w:pPr>
      <w:r w:rsidRPr="00D74537">
        <w:rPr>
          <w:i/>
        </w:rPr>
        <w:t>11.</w:t>
      </w:r>
      <w:r w:rsidRPr="00D74537">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C5F44" w:rsidR="00F7529D" w:rsidP="00CC5F44" w:rsidRDefault="00F7529D"/>
    <w:p w:rsidRPr="00CC5F44" w:rsidR="00F7529D" w:rsidP="00CC5F44" w:rsidRDefault="00727DC9">
      <w:r w:rsidRPr="00CC5F44">
        <w:t xml:space="preserve">No questions of this nature are posed on the foregoing information collection </w:t>
      </w:r>
      <w:r w:rsidR="005861B5">
        <w:t>application</w:t>
      </w:r>
      <w:r w:rsidRPr="00CC5F44">
        <w:t xml:space="preserve">. </w:t>
      </w:r>
    </w:p>
    <w:p w:rsidRPr="00CC5F44" w:rsidR="00727DC9" w:rsidP="00CC5F44" w:rsidRDefault="00727DC9"/>
    <w:p w:rsidRPr="00D74537" w:rsidR="00F7529D" w:rsidP="003218D1" w:rsidRDefault="00F7529D">
      <w:pPr>
        <w:ind w:left="720" w:hanging="720"/>
        <w:rPr>
          <w:i/>
        </w:rPr>
      </w:pPr>
      <w:r w:rsidRPr="00D74537">
        <w:rPr>
          <w:i/>
        </w:rPr>
        <w:t>12.</w:t>
      </w:r>
      <w:r w:rsidRPr="00D74537">
        <w:rPr>
          <w:i/>
        </w:rPr>
        <w:tab/>
        <w:t>Provide estimates of the hour burden of the collection of information</w:t>
      </w:r>
      <w:r w:rsidRPr="00D74537" w:rsidR="00523BBB">
        <w:rPr>
          <w:i/>
        </w:rPr>
        <w:t>.</w:t>
      </w:r>
    </w:p>
    <w:p w:rsidRPr="00CC5F44" w:rsidR="00523BBB" w:rsidP="00CC5F44" w:rsidRDefault="00523BBB"/>
    <w:p w:rsidR="00A8579D" w:rsidP="00805B79" w:rsidRDefault="00761B7D">
      <w:pPr>
        <w:widowControl w:val="0"/>
        <w:autoSpaceDE w:val="0"/>
        <w:autoSpaceDN w:val="0"/>
        <w:adjustRightInd w:val="0"/>
      </w:pPr>
      <w:r>
        <w:rPr>
          <w:b/>
          <w:u w:val="single"/>
        </w:rPr>
        <w:t>Estimat</w:t>
      </w:r>
      <w:r w:rsidRPr="003B2ECA" w:rsidR="003B2ECA">
        <w:rPr>
          <w:b/>
          <w:u w:val="single"/>
        </w:rPr>
        <w:t>ed Number of Respondents to the Information Collection</w:t>
      </w:r>
      <w:r w:rsidRPr="00D1462A" w:rsidR="00D1462A">
        <w:rPr>
          <w:b/>
          <w:u w:val="single"/>
        </w:rPr>
        <w:t xml:space="preserve"> </w:t>
      </w:r>
      <w:r w:rsidRPr="00D275E1" w:rsidR="00316AB6">
        <w:t xml:space="preserve"> </w:t>
      </w:r>
    </w:p>
    <w:p w:rsidR="00A8579D" w:rsidP="00805B79" w:rsidRDefault="00A8579D">
      <w:pPr>
        <w:widowControl w:val="0"/>
        <w:autoSpaceDE w:val="0"/>
        <w:autoSpaceDN w:val="0"/>
        <w:adjustRightInd w:val="0"/>
      </w:pPr>
    </w:p>
    <w:p w:rsidR="00641F9A" w:rsidP="0090538D" w:rsidRDefault="0090538D">
      <w:pPr>
        <w:widowControl w:val="0"/>
        <w:autoSpaceDE w:val="0"/>
        <w:autoSpaceDN w:val="0"/>
        <w:adjustRightInd w:val="0"/>
      </w:pPr>
      <w:r w:rsidRPr="005E4605">
        <w:rPr>
          <w:rFonts w:eastAsia="Calibri"/>
        </w:rPr>
        <w:t xml:space="preserve">The Department believes </w:t>
      </w:r>
      <w:r>
        <w:rPr>
          <w:rFonts w:eastAsia="Calibri"/>
        </w:rPr>
        <w:t>a</w:t>
      </w:r>
      <w:r w:rsidRPr="005E4605">
        <w:rPr>
          <w:rFonts w:eastAsia="Calibri"/>
        </w:rPr>
        <w:t xml:space="preserve"> reliable guidepost for estimating the number of </w:t>
      </w:r>
      <w:r>
        <w:rPr>
          <w:rFonts w:eastAsia="Calibri"/>
        </w:rPr>
        <w:t>SRE</w:t>
      </w:r>
      <w:r w:rsidRPr="005E4605">
        <w:rPr>
          <w:rFonts w:eastAsia="Calibri"/>
        </w:rPr>
        <w:t xml:space="preserve"> </w:t>
      </w:r>
      <w:r w:rsidR="008B40CE">
        <w:rPr>
          <w:rFonts w:eastAsia="Calibri"/>
        </w:rPr>
        <w:t>applicants</w:t>
      </w:r>
      <w:r w:rsidRPr="005E4605">
        <w:rPr>
          <w:rFonts w:eastAsia="Calibri"/>
        </w:rPr>
        <w:t xml:space="preserve"> is the number of entities that submitted grant applications in Fiscal Year 2016 under the Office of Apprenticeship’s American Apprenticeship Initiative (AAI) grants program.</w:t>
      </w:r>
      <w:r w:rsidRPr="0090538D">
        <w:t xml:space="preserve"> </w:t>
      </w:r>
    </w:p>
    <w:p w:rsidR="00641F9A" w:rsidP="00805B79" w:rsidRDefault="00641F9A">
      <w:pPr>
        <w:widowControl w:val="0"/>
        <w:autoSpaceDE w:val="0"/>
        <w:autoSpaceDN w:val="0"/>
        <w:adjustRightInd w:val="0"/>
      </w:pPr>
    </w:p>
    <w:p w:rsidR="007519EB" w:rsidP="00805B79" w:rsidRDefault="009D3050">
      <w:pPr>
        <w:widowControl w:val="0"/>
        <w:autoSpaceDE w:val="0"/>
        <w:autoSpaceDN w:val="0"/>
        <w:adjustRightInd w:val="0"/>
      </w:pPr>
      <w:r>
        <w:t>Like</w:t>
      </w:r>
      <w:r w:rsidR="009A0209">
        <w:t xml:space="preserve"> Industry-Recognized </w:t>
      </w:r>
      <w:r w:rsidR="004D293E">
        <w:t>Apprenticeship</w:t>
      </w:r>
      <w:r w:rsidR="009A0209">
        <w:t xml:space="preserve"> Programs</w:t>
      </w:r>
      <w:r w:rsidR="00132EF6">
        <w:t>,</w:t>
      </w:r>
      <w:r>
        <w:t xml:space="preserve"> </w:t>
      </w:r>
      <w:r w:rsidR="00132EF6">
        <w:t>t</w:t>
      </w:r>
      <w:r w:rsidR="003B2ECA">
        <w:t xml:space="preserve">he </w:t>
      </w:r>
      <w:r w:rsidR="00132EF6">
        <w:t xml:space="preserve">Department designed the </w:t>
      </w:r>
      <w:r w:rsidR="003B2ECA">
        <w:t>AAI grant program to encourage the development of innovative, groundbreaking approaches to apprenticeship</w:t>
      </w:r>
      <w:r w:rsidR="00132EF6">
        <w:t xml:space="preserve"> </w:t>
      </w:r>
      <w:r w:rsidR="003B2ECA">
        <w:t xml:space="preserve">program development </w:t>
      </w:r>
      <w:r w:rsidR="008B40CE">
        <w:t>by</w:t>
      </w:r>
      <w:r w:rsidR="003B2ECA">
        <w:t xml:space="preserve"> a </w:t>
      </w:r>
      <w:r w:rsidR="003B2ECA">
        <w:lastRenderedPageBreak/>
        <w:t xml:space="preserve">wide cross-section of </w:t>
      </w:r>
      <w:r w:rsidR="00F52D19">
        <w:t>groups</w:t>
      </w:r>
      <w:r w:rsidR="003B2ECA">
        <w:t xml:space="preserve">, including private-sector employers, labor unions, educational institutions, and not-for-profit organizations. In the four months during which AAI grant applications were accepted, the Office of Apprenticeship received 191 applications </w:t>
      </w:r>
      <w:r w:rsidR="005840FB">
        <w:t xml:space="preserve">for grants from the intended cross-section of program sponsors and innovators. </w:t>
      </w:r>
    </w:p>
    <w:p w:rsidR="00E07BC0" w:rsidP="00CA4A69" w:rsidRDefault="00E07BC0">
      <w:pPr>
        <w:widowControl w:val="0"/>
        <w:autoSpaceDE w:val="0"/>
        <w:autoSpaceDN w:val="0"/>
        <w:adjustRightInd w:val="0"/>
        <w:rPr>
          <w:rFonts w:eastAsia="Calibri"/>
        </w:rPr>
      </w:pPr>
    </w:p>
    <w:p w:rsidRPr="00CA4A69" w:rsidR="00CA4A69" w:rsidP="00CA4A69" w:rsidRDefault="00CA4A69">
      <w:pPr>
        <w:widowControl w:val="0"/>
        <w:autoSpaceDE w:val="0"/>
        <w:autoSpaceDN w:val="0"/>
        <w:adjustRightInd w:val="0"/>
        <w:rPr>
          <w:rFonts w:eastAsia="Calibri"/>
        </w:rPr>
      </w:pPr>
      <w:r w:rsidRPr="00CA4A69">
        <w:rPr>
          <w:rFonts w:eastAsia="Calibri"/>
        </w:rPr>
        <w:t>Starting with 191 AAI grantee applicants as a reasonably</w:t>
      </w:r>
      <w:r w:rsidR="008D4371">
        <w:rPr>
          <w:rFonts w:eastAsia="Calibri"/>
        </w:rPr>
        <w:t xml:space="preserve"> </w:t>
      </w:r>
      <w:r w:rsidRPr="00CA4A69">
        <w:rPr>
          <w:rFonts w:eastAsia="Calibri"/>
        </w:rPr>
        <w:t xml:space="preserve">analogous baseline, the Department rounded this figure slightly upwards to 200 to provide for ease of estimation. The Department then reduced this number by 10 percent to 180 to account for </w:t>
      </w:r>
      <w:r w:rsidR="005814B9">
        <w:rPr>
          <w:rFonts w:eastAsia="Calibri"/>
        </w:rPr>
        <w:t xml:space="preserve">the fact that </w:t>
      </w:r>
      <w:r w:rsidRPr="00CA4A69">
        <w:rPr>
          <w:rFonts w:eastAsia="Calibri"/>
        </w:rPr>
        <w:t xml:space="preserve">some entities in industries that applied for AAI grants may choose not to seek to participate in </w:t>
      </w:r>
      <w:r w:rsidR="00C50E12">
        <w:rPr>
          <w:rFonts w:eastAsia="Calibri"/>
        </w:rPr>
        <w:t>this program</w:t>
      </w:r>
      <w:r w:rsidRPr="00CA4A69">
        <w:rPr>
          <w:rFonts w:eastAsia="Calibri"/>
        </w:rPr>
        <w:t xml:space="preserve">. The Department then adjusted this figure 50 percent higher to account for its planned efforts to promote </w:t>
      </w:r>
      <w:r w:rsidR="00757F92">
        <w:rPr>
          <w:rFonts w:eastAsia="Calibri"/>
        </w:rPr>
        <w:t>IRAP</w:t>
      </w:r>
      <w:r w:rsidRPr="00CA4A69">
        <w:rPr>
          <w:rFonts w:eastAsia="Calibri"/>
        </w:rPr>
        <w:t xml:space="preserve">s in the private sector, resulting in an estimate of 270 SRE applications in Year 1 (= 180 × 1.5). The Department further estimates that it </w:t>
      </w:r>
      <w:r w:rsidR="00C50E12">
        <w:rPr>
          <w:rFonts w:eastAsia="Calibri"/>
        </w:rPr>
        <w:t>will</w:t>
      </w:r>
      <w:r w:rsidRPr="00CA4A69" w:rsidR="00C50E12">
        <w:rPr>
          <w:rFonts w:eastAsia="Calibri"/>
        </w:rPr>
        <w:t xml:space="preserve"> </w:t>
      </w:r>
      <w:r w:rsidRPr="00CA4A69">
        <w:rPr>
          <w:rFonts w:eastAsia="Calibri"/>
        </w:rPr>
        <w:t xml:space="preserve">recognize approximately 75 percent of applicants as SREs, either during their initial submission or their resubmission. Accordingly, the Department estimates that there </w:t>
      </w:r>
      <w:r w:rsidR="00C50E12">
        <w:rPr>
          <w:rFonts w:eastAsia="Calibri"/>
        </w:rPr>
        <w:t>will</w:t>
      </w:r>
      <w:r w:rsidRPr="00CA4A69" w:rsidR="00C50E12">
        <w:rPr>
          <w:rFonts w:eastAsia="Calibri"/>
        </w:rPr>
        <w:t xml:space="preserve"> </w:t>
      </w:r>
      <w:r w:rsidRPr="00CA4A69">
        <w:rPr>
          <w:rFonts w:eastAsia="Calibri"/>
        </w:rPr>
        <w:t xml:space="preserve">be 203 SREs (= 270 × 75%) in Year 1. </w:t>
      </w:r>
    </w:p>
    <w:p w:rsidR="00CA4A69" w:rsidP="00CA4A69" w:rsidRDefault="00CA4A69">
      <w:pPr>
        <w:widowControl w:val="0"/>
        <w:autoSpaceDE w:val="0"/>
        <w:autoSpaceDN w:val="0"/>
        <w:adjustRightInd w:val="0"/>
        <w:rPr>
          <w:rFonts w:eastAsia="Calibri"/>
        </w:rPr>
      </w:pPr>
    </w:p>
    <w:p w:rsidRPr="00CA4A69" w:rsidR="00CA4A69" w:rsidP="00CA4A69" w:rsidRDefault="00CA4A69">
      <w:pPr>
        <w:widowControl w:val="0"/>
        <w:autoSpaceDE w:val="0"/>
        <w:autoSpaceDN w:val="0"/>
        <w:adjustRightInd w:val="0"/>
        <w:rPr>
          <w:rFonts w:eastAsia="Calibri"/>
        </w:rPr>
      </w:pPr>
      <w:r w:rsidRPr="00CA4A69">
        <w:rPr>
          <w:rFonts w:eastAsia="Calibri"/>
        </w:rPr>
        <w:t xml:space="preserve">To estimate the number of applications and </w:t>
      </w:r>
      <w:r w:rsidR="00AB6AC2">
        <w:rPr>
          <w:rFonts w:eastAsia="Calibri"/>
        </w:rPr>
        <w:t xml:space="preserve">the number </w:t>
      </w:r>
      <w:r w:rsidR="005814B9">
        <w:rPr>
          <w:rFonts w:eastAsia="Calibri"/>
        </w:rPr>
        <w:t xml:space="preserve">of applicants </w:t>
      </w:r>
      <w:r w:rsidR="00AB6AC2">
        <w:rPr>
          <w:rFonts w:eastAsia="Calibri"/>
        </w:rPr>
        <w:t xml:space="preserve">that </w:t>
      </w:r>
      <w:r w:rsidR="00C50E12">
        <w:rPr>
          <w:rFonts w:eastAsia="Calibri"/>
        </w:rPr>
        <w:t xml:space="preserve">will </w:t>
      </w:r>
      <w:r w:rsidR="00AB6AC2">
        <w:rPr>
          <w:rFonts w:eastAsia="Calibri"/>
        </w:rPr>
        <w:t xml:space="preserve">be recognized </w:t>
      </w:r>
      <w:r w:rsidR="00A8499E">
        <w:rPr>
          <w:rFonts w:eastAsia="Calibri"/>
        </w:rPr>
        <w:t xml:space="preserve">as </w:t>
      </w:r>
      <w:r w:rsidRPr="00CA4A69">
        <w:rPr>
          <w:rFonts w:eastAsia="Calibri"/>
        </w:rPr>
        <w:t>SREs in Years 2</w:t>
      </w:r>
      <w:r>
        <w:rPr>
          <w:rFonts w:eastAsia="Calibri"/>
        </w:rPr>
        <w:t xml:space="preserve"> and 3</w:t>
      </w:r>
      <w:r w:rsidRPr="00CA4A69">
        <w:rPr>
          <w:rFonts w:eastAsia="Calibri"/>
        </w:rPr>
        <w:t xml:space="preserve">, the Department began by assuming that the total number of SREs </w:t>
      </w:r>
      <w:r w:rsidR="00C50E12">
        <w:rPr>
          <w:rFonts w:eastAsia="Calibri"/>
        </w:rPr>
        <w:t>will</w:t>
      </w:r>
      <w:r w:rsidRPr="00CA4A69" w:rsidR="00C50E12">
        <w:rPr>
          <w:rFonts w:eastAsia="Calibri"/>
        </w:rPr>
        <w:t xml:space="preserve"> </w:t>
      </w:r>
      <w:r w:rsidRPr="00CA4A69">
        <w:rPr>
          <w:rFonts w:eastAsia="Calibri"/>
        </w:rPr>
        <w:t xml:space="preserve">increase by 5 percent per year based on historic growth in the Registered Apprenticeship program. </w:t>
      </w:r>
      <w:r>
        <w:rPr>
          <w:rFonts w:eastAsia="Calibri"/>
        </w:rPr>
        <w:t xml:space="preserve">So, in Year 2, </w:t>
      </w:r>
      <w:r w:rsidRPr="00CA4A69">
        <w:rPr>
          <w:rFonts w:eastAsia="Calibri"/>
        </w:rPr>
        <w:t xml:space="preserve">the total number of SREs is estimated to be 213 (= 203 </w:t>
      </w:r>
      <w:r w:rsidR="00E86E39">
        <w:rPr>
          <w:rFonts w:eastAsia="Calibri"/>
        </w:rPr>
        <w:t xml:space="preserve">total </w:t>
      </w:r>
      <w:r w:rsidRPr="00CA4A69">
        <w:rPr>
          <w:rFonts w:eastAsia="Calibri"/>
        </w:rPr>
        <w:t xml:space="preserve">SREs in Year 1 × 1.05). </w:t>
      </w:r>
      <w:r>
        <w:rPr>
          <w:rFonts w:eastAsia="Calibri"/>
        </w:rPr>
        <w:t xml:space="preserve">In Year 3, </w:t>
      </w:r>
      <w:r w:rsidRPr="00CA4A69">
        <w:rPr>
          <w:rFonts w:eastAsia="Calibri"/>
        </w:rPr>
        <w:t>the total number of SREs is estimated to be 2</w:t>
      </w:r>
      <w:r>
        <w:rPr>
          <w:rFonts w:eastAsia="Calibri"/>
        </w:rPr>
        <w:t>24</w:t>
      </w:r>
      <w:r w:rsidRPr="00CA4A69">
        <w:rPr>
          <w:rFonts w:eastAsia="Calibri"/>
        </w:rPr>
        <w:t xml:space="preserve"> (= 2</w:t>
      </w:r>
      <w:r>
        <w:rPr>
          <w:rFonts w:eastAsia="Calibri"/>
        </w:rPr>
        <w:t>1</w:t>
      </w:r>
      <w:r w:rsidRPr="00CA4A69">
        <w:rPr>
          <w:rFonts w:eastAsia="Calibri"/>
        </w:rPr>
        <w:t xml:space="preserve">3 </w:t>
      </w:r>
      <w:r w:rsidR="00E86E39">
        <w:rPr>
          <w:rFonts w:eastAsia="Calibri"/>
        </w:rPr>
        <w:t xml:space="preserve">total </w:t>
      </w:r>
      <w:r w:rsidRPr="00CA4A69">
        <w:rPr>
          <w:rFonts w:eastAsia="Calibri"/>
        </w:rPr>
        <w:t xml:space="preserve">SREs in Year </w:t>
      </w:r>
      <w:r>
        <w:rPr>
          <w:rFonts w:eastAsia="Calibri"/>
        </w:rPr>
        <w:t>2</w:t>
      </w:r>
      <w:r w:rsidRPr="00CA4A69">
        <w:rPr>
          <w:rFonts w:eastAsia="Calibri"/>
        </w:rPr>
        <w:t xml:space="preserve"> × 1.05)</w:t>
      </w:r>
      <w:r w:rsidR="00AB6AC2">
        <w:rPr>
          <w:rFonts w:eastAsia="Calibri"/>
        </w:rPr>
        <w:t>.</w:t>
      </w:r>
      <w:r w:rsidRPr="001409F3" w:rsidR="001409F3">
        <w:rPr>
          <w:rFonts w:eastAsia="Calibri"/>
        </w:rPr>
        <w:t xml:space="preserve"> </w:t>
      </w:r>
      <w:r w:rsidR="001409F3">
        <w:rPr>
          <w:rFonts w:eastAsia="Calibri"/>
        </w:rPr>
        <w:t>Therefore, the Department estimates that</w:t>
      </w:r>
      <w:r w:rsidR="00D461B0">
        <w:rPr>
          <w:rFonts w:eastAsia="Calibri"/>
        </w:rPr>
        <w:t xml:space="preserve"> the annual average number of </w:t>
      </w:r>
      <w:r w:rsidR="00E771B4">
        <w:rPr>
          <w:rFonts w:eastAsia="Calibri"/>
        </w:rPr>
        <w:t xml:space="preserve">total </w:t>
      </w:r>
      <w:r w:rsidR="00D461B0">
        <w:rPr>
          <w:rFonts w:eastAsia="Calibri"/>
        </w:rPr>
        <w:t xml:space="preserve">SREs in the first three years </w:t>
      </w:r>
      <w:r w:rsidR="00C50E12">
        <w:rPr>
          <w:rFonts w:eastAsia="Calibri"/>
        </w:rPr>
        <w:t xml:space="preserve">will </w:t>
      </w:r>
      <w:r w:rsidR="00D461B0">
        <w:rPr>
          <w:rFonts w:eastAsia="Calibri"/>
        </w:rPr>
        <w:t xml:space="preserve">be </w:t>
      </w:r>
      <w:r w:rsidR="001409F3">
        <w:rPr>
          <w:rFonts w:eastAsia="Calibri"/>
        </w:rPr>
        <w:t xml:space="preserve">213 [= (203 </w:t>
      </w:r>
      <w:r w:rsidR="00E86E39">
        <w:rPr>
          <w:rFonts w:eastAsia="Calibri"/>
        </w:rPr>
        <w:t xml:space="preserve">total SREs </w:t>
      </w:r>
      <w:r w:rsidR="001409F3">
        <w:rPr>
          <w:rFonts w:eastAsia="Calibri"/>
        </w:rPr>
        <w:t xml:space="preserve">in Year 1 + 213 </w:t>
      </w:r>
      <w:r w:rsidR="00E86E39">
        <w:rPr>
          <w:rFonts w:eastAsia="Calibri"/>
        </w:rPr>
        <w:t xml:space="preserve">total SREs </w:t>
      </w:r>
      <w:r w:rsidR="001409F3">
        <w:rPr>
          <w:rFonts w:eastAsia="Calibri"/>
        </w:rPr>
        <w:t xml:space="preserve">in Year 2 + 224 </w:t>
      </w:r>
      <w:r w:rsidR="00E86E39">
        <w:rPr>
          <w:rFonts w:eastAsia="Calibri"/>
        </w:rPr>
        <w:t xml:space="preserve">total SREs </w:t>
      </w:r>
      <w:r w:rsidR="001409F3">
        <w:rPr>
          <w:rFonts w:eastAsia="Calibri"/>
        </w:rPr>
        <w:t>in Year 3) ÷ 3 years)].</w:t>
      </w:r>
    </w:p>
    <w:p w:rsidR="00CA4A69" w:rsidP="00CA4A69" w:rsidRDefault="00CA4A69">
      <w:pPr>
        <w:widowControl w:val="0"/>
        <w:autoSpaceDE w:val="0"/>
        <w:autoSpaceDN w:val="0"/>
        <w:adjustRightInd w:val="0"/>
        <w:rPr>
          <w:rFonts w:eastAsia="Calibri"/>
        </w:rPr>
      </w:pPr>
    </w:p>
    <w:p w:rsidR="00AB6AC2" w:rsidP="00CA4A69" w:rsidRDefault="00AB6AC2">
      <w:pPr>
        <w:widowControl w:val="0"/>
        <w:autoSpaceDE w:val="0"/>
        <w:autoSpaceDN w:val="0"/>
        <w:adjustRightInd w:val="0"/>
        <w:rPr>
          <w:rFonts w:eastAsia="Calibri"/>
        </w:rPr>
      </w:pPr>
      <w:r>
        <w:rPr>
          <w:rFonts w:eastAsia="Calibri"/>
        </w:rPr>
        <w:t xml:space="preserve">Next, the Department </w:t>
      </w:r>
      <w:r w:rsidR="00550BDE">
        <w:rPr>
          <w:rFonts w:eastAsia="Calibri"/>
        </w:rPr>
        <w:t xml:space="preserve">estimated </w:t>
      </w:r>
      <w:r>
        <w:rPr>
          <w:rFonts w:eastAsia="Calibri"/>
        </w:rPr>
        <w:t>the number of new SREs in Years 2 and 3</w:t>
      </w:r>
      <w:r w:rsidR="00550BDE">
        <w:rPr>
          <w:rFonts w:eastAsia="Calibri"/>
        </w:rPr>
        <w:t xml:space="preserve"> </w:t>
      </w:r>
      <w:r w:rsidR="00550BDE">
        <w:rPr>
          <w:rFonts w:eastAsia="Calibri"/>
        </w:rPr>
        <w:lastRenderedPageBreak/>
        <w:t xml:space="preserve">by calculating the </w:t>
      </w:r>
      <w:r>
        <w:rPr>
          <w:rFonts w:eastAsia="Calibri"/>
        </w:rPr>
        <w:t xml:space="preserve">difference between the total number of SREs each year. </w:t>
      </w:r>
      <w:r w:rsidR="00550BDE">
        <w:rPr>
          <w:rFonts w:eastAsia="Calibri"/>
        </w:rPr>
        <w:t>So, i</w:t>
      </w:r>
      <w:r>
        <w:rPr>
          <w:rFonts w:eastAsia="Calibri"/>
        </w:rPr>
        <w:t>n Year 2, the number of new SREs is estimated to be 10 (= 213 total SREs in Year 2 – 203 total SREs in Year 1</w:t>
      </w:r>
      <w:r w:rsidRPr="00E63DAB">
        <w:rPr>
          <w:rFonts w:eastAsia="Calibri"/>
        </w:rPr>
        <w:t>).</w:t>
      </w:r>
      <w:r w:rsidRPr="00A8499E" w:rsidR="00A8499E">
        <w:rPr>
          <w:rFonts w:eastAsia="Calibri"/>
        </w:rPr>
        <w:t xml:space="preserve"> </w:t>
      </w:r>
      <w:r w:rsidR="00A8499E">
        <w:rPr>
          <w:rFonts w:eastAsia="Calibri"/>
        </w:rPr>
        <w:t>In Year 3, the number of new SREs is estimated to be 11 (= 224 total SREs in Year 3 – 213 total SREs in Year 2</w:t>
      </w:r>
      <w:r w:rsidRPr="00E63DAB" w:rsidR="00A8499E">
        <w:rPr>
          <w:rFonts w:eastAsia="Calibri"/>
        </w:rPr>
        <w:t>).</w:t>
      </w:r>
      <w:r w:rsidR="00A40C35">
        <w:rPr>
          <w:rFonts w:eastAsia="Calibri"/>
        </w:rPr>
        <w:t xml:space="preserve"> Therefore, the Department estimates that </w:t>
      </w:r>
      <w:r w:rsidR="00A16B72">
        <w:rPr>
          <w:rFonts w:eastAsia="Calibri"/>
        </w:rPr>
        <w:t>the annual average number o</w:t>
      </w:r>
      <w:r w:rsidR="00A40C35">
        <w:rPr>
          <w:rFonts w:eastAsia="Calibri"/>
        </w:rPr>
        <w:t xml:space="preserve">f </w:t>
      </w:r>
      <w:r w:rsidR="00E771B4">
        <w:rPr>
          <w:rFonts w:eastAsia="Calibri"/>
        </w:rPr>
        <w:t>new SREs i</w:t>
      </w:r>
      <w:r w:rsidR="00D252AA">
        <w:rPr>
          <w:rFonts w:eastAsia="Calibri"/>
        </w:rPr>
        <w:t>n the first three years</w:t>
      </w:r>
      <w:r w:rsidR="00A16B72">
        <w:rPr>
          <w:rFonts w:eastAsia="Calibri"/>
        </w:rPr>
        <w:t xml:space="preserve"> </w:t>
      </w:r>
      <w:r w:rsidR="00C50E12">
        <w:rPr>
          <w:rFonts w:eastAsia="Calibri"/>
        </w:rPr>
        <w:t xml:space="preserve">will </w:t>
      </w:r>
      <w:r w:rsidR="00A16B72">
        <w:rPr>
          <w:rFonts w:eastAsia="Calibri"/>
        </w:rPr>
        <w:t>be 75</w:t>
      </w:r>
      <w:r w:rsidR="00D252AA">
        <w:rPr>
          <w:rFonts w:eastAsia="Calibri"/>
        </w:rPr>
        <w:t xml:space="preserve"> [= (203 </w:t>
      </w:r>
      <w:r w:rsidR="00E86E39">
        <w:rPr>
          <w:rFonts w:eastAsia="Calibri"/>
        </w:rPr>
        <w:t xml:space="preserve">new SREs </w:t>
      </w:r>
      <w:r w:rsidR="00D252AA">
        <w:rPr>
          <w:rFonts w:eastAsia="Calibri"/>
        </w:rPr>
        <w:t xml:space="preserve">in Year 1 + 10 </w:t>
      </w:r>
      <w:r w:rsidR="00E86E39">
        <w:rPr>
          <w:rFonts w:eastAsia="Calibri"/>
        </w:rPr>
        <w:t xml:space="preserve">new SREs </w:t>
      </w:r>
      <w:r w:rsidR="00D252AA">
        <w:rPr>
          <w:rFonts w:eastAsia="Calibri"/>
        </w:rPr>
        <w:t xml:space="preserve">in Year 2 + 11 </w:t>
      </w:r>
      <w:r w:rsidR="00E86E39">
        <w:rPr>
          <w:rFonts w:eastAsia="Calibri"/>
        </w:rPr>
        <w:t xml:space="preserve">new SREs </w:t>
      </w:r>
      <w:r w:rsidR="00D252AA">
        <w:rPr>
          <w:rFonts w:eastAsia="Calibri"/>
        </w:rPr>
        <w:t xml:space="preserve">in Year 3) ÷ 3 years)].  </w:t>
      </w:r>
      <w:r w:rsidR="00A40C35">
        <w:rPr>
          <w:rFonts w:eastAsia="Calibri"/>
        </w:rPr>
        <w:t xml:space="preserve"> </w:t>
      </w:r>
    </w:p>
    <w:p w:rsidR="00AB6AC2" w:rsidP="00CA4A69" w:rsidRDefault="00AB6AC2">
      <w:pPr>
        <w:widowControl w:val="0"/>
        <w:autoSpaceDE w:val="0"/>
        <w:autoSpaceDN w:val="0"/>
        <w:adjustRightInd w:val="0"/>
        <w:rPr>
          <w:rFonts w:eastAsia="Calibri"/>
        </w:rPr>
      </w:pPr>
    </w:p>
    <w:p w:rsidR="00C4284D" w:rsidP="00CA4A69" w:rsidRDefault="00A8499E">
      <w:pPr>
        <w:widowControl w:val="0"/>
        <w:autoSpaceDE w:val="0"/>
        <w:autoSpaceDN w:val="0"/>
        <w:adjustRightInd w:val="0"/>
        <w:rPr>
          <w:rFonts w:eastAsia="Calibri"/>
        </w:rPr>
      </w:pPr>
      <w:r>
        <w:rPr>
          <w:rFonts w:eastAsia="Calibri"/>
        </w:rPr>
        <w:t>Then</w:t>
      </w:r>
      <w:r w:rsidRPr="00CA4A69" w:rsidR="00CA4A69">
        <w:rPr>
          <w:rFonts w:eastAsia="Calibri"/>
        </w:rPr>
        <w:t>, the Department estimated the number of applications in Years 2</w:t>
      </w:r>
      <w:r>
        <w:rPr>
          <w:rFonts w:eastAsia="Calibri"/>
        </w:rPr>
        <w:t xml:space="preserve"> and 3</w:t>
      </w:r>
      <w:r w:rsidRPr="00CA4A69" w:rsidR="00CA4A69">
        <w:rPr>
          <w:rFonts w:eastAsia="Calibri"/>
        </w:rPr>
        <w:t xml:space="preserve"> by dividing the number of new SREs each year by 75 percent since 75 percent of applicants are </w:t>
      </w:r>
      <w:r w:rsidR="009E7422">
        <w:rPr>
          <w:rFonts w:eastAsia="Calibri"/>
        </w:rPr>
        <w:t xml:space="preserve">expected </w:t>
      </w:r>
      <w:r w:rsidRPr="00CA4A69" w:rsidR="00CA4A69">
        <w:rPr>
          <w:rFonts w:eastAsia="Calibri"/>
        </w:rPr>
        <w:t xml:space="preserve">to become recognized as SREs. </w:t>
      </w:r>
      <w:r w:rsidR="00AB6AC2">
        <w:rPr>
          <w:rFonts w:eastAsia="Calibri"/>
        </w:rPr>
        <w:t xml:space="preserve">In Year 2, </w:t>
      </w:r>
      <w:r w:rsidRPr="00CA4A69" w:rsidR="00CA4A69">
        <w:rPr>
          <w:rFonts w:eastAsia="Calibri"/>
        </w:rPr>
        <w:t xml:space="preserve">the number of applications is estimated to be </w:t>
      </w:r>
      <w:r w:rsidR="00AB6AC2">
        <w:rPr>
          <w:rFonts w:eastAsia="Calibri"/>
        </w:rPr>
        <w:t>1</w:t>
      </w:r>
      <w:r>
        <w:rPr>
          <w:rFonts w:eastAsia="Calibri"/>
        </w:rPr>
        <w:t>4</w:t>
      </w:r>
      <w:r w:rsidRPr="00CA4A69" w:rsidR="00CA4A69">
        <w:rPr>
          <w:rFonts w:eastAsia="Calibri"/>
        </w:rPr>
        <w:t xml:space="preserve"> (= </w:t>
      </w:r>
      <w:r>
        <w:rPr>
          <w:rFonts w:eastAsia="Calibri"/>
        </w:rPr>
        <w:t>10</w:t>
      </w:r>
      <w:r w:rsidRPr="00CA4A69" w:rsidR="00CA4A69">
        <w:rPr>
          <w:rFonts w:eastAsia="Calibri"/>
        </w:rPr>
        <w:t xml:space="preserve"> new SREs ÷ 75%).</w:t>
      </w:r>
      <w:r>
        <w:rPr>
          <w:rStyle w:val="FootnoteReference"/>
          <w:rFonts w:eastAsia="Calibri"/>
        </w:rPr>
        <w:footnoteReference w:id="2"/>
      </w:r>
      <w:r w:rsidRPr="00CA4A69" w:rsidR="00CA4A69">
        <w:rPr>
          <w:rFonts w:eastAsia="Calibri"/>
        </w:rPr>
        <w:t xml:space="preserve"> </w:t>
      </w:r>
      <w:r>
        <w:rPr>
          <w:rFonts w:eastAsia="Calibri"/>
        </w:rPr>
        <w:t xml:space="preserve">In Year 3, </w:t>
      </w:r>
      <w:r w:rsidRPr="00CA4A69">
        <w:rPr>
          <w:rFonts w:eastAsia="Calibri"/>
        </w:rPr>
        <w:t xml:space="preserve">the number of applications is estimated to be </w:t>
      </w:r>
      <w:r>
        <w:rPr>
          <w:rFonts w:eastAsia="Calibri"/>
        </w:rPr>
        <w:t>14</w:t>
      </w:r>
      <w:r w:rsidRPr="00CA4A69">
        <w:rPr>
          <w:rFonts w:eastAsia="Calibri"/>
        </w:rPr>
        <w:t xml:space="preserve"> (= </w:t>
      </w:r>
      <w:r>
        <w:rPr>
          <w:rFonts w:eastAsia="Calibri"/>
        </w:rPr>
        <w:t>11</w:t>
      </w:r>
      <w:r w:rsidRPr="00CA4A69">
        <w:rPr>
          <w:rFonts w:eastAsia="Calibri"/>
        </w:rPr>
        <w:t xml:space="preserve"> new SREs ÷ 75%).</w:t>
      </w:r>
      <w:r>
        <w:rPr>
          <w:rStyle w:val="FootnoteReference"/>
          <w:rFonts w:eastAsia="Calibri"/>
        </w:rPr>
        <w:footnoteReference w:id="3"/>
      </w:r>
      <w:r w:rsidR="00D252AA">
        <w:rPr>
          <w:rFonts w:eastAsia="Calibri"/>
        </w:rPr>
        <w:t xml:space="preserve"> Therefore, the Department estimates that </w:t>
      </w:r>
      <w:r w:rsidR="007C5EE1">
        <w:rPr>
          <w:rFonts w:eastAsia="Calibri"/>
        </w:rPr>
        <w:t xml:space="preserve">there </w:t>
      </w:r>
      <w:r w:rsidR="00FB2A1E">
        <w:rPr>
          <w:rFonts w:eastAsia="Calibri"/>
        </w:rPr>
        <w:t xml:space="preserve">will </w:t>
      </w:r>
      <w:r w:rsidR="007C5EE1">
        <w:rPr>
          <w:rFonts w:eastAsia="Calibri"/>
        </w:rPr>
        <w:t xml:space="preserve">be an </w:t>
      </w:r>
      <w:r w:rsidR="00D252AA">
        <w:rPr>
          <w:rFonts w:eastAsia="Calibri"/>
        </w:rPr>
        <w:t xml:space="preserve">average of 99 </w:t>
      </w:r>
      <w:r w:rsidR="007C5EE1">
        <w:rPr>
          <w:rFonts w:eastAsia="Calibri"/>
        </w:rPr>
        <w:t xml:space="preserve">applications </w:t>
      </w:r>
      <w:r w:rsidR="00CF2723">
        <w:rPr>
          <w:rFonts w:eastAsia="Calibri"/>
        </w:rPr>
        <w:t xml:space="preserve">per year </w:t>
      </w:r>
      <w:r w:rsidR="00D252AA">
        <w:rPr>
          <w:rFonts w:eastAsia="Calibri"/>
        </w:rPr>
        <w:t xml:space="preserve">in the first three years [= (270 </w:t>
      </w:r>
      <w:r w:rsidR="00E86E39">
        <w:rPr>
          <w:rFonts w:eastAsia="Calibri"/>
        </w:rPr>
        <w:t xml:space="preserve">applications </w:t>
      </w:r>
      <w:r w:rsidR="00D252AA">
        <w:rPr>
          <w:rFonts w:eastAsia="Calibri"/>
        </w:rPr>
        <w:t xml:space="preserve">in Year 1 + 14 </w:t>
      </w:r>
      <w:r w:rsidR="00E86E39">
        <w:rPr>
          <w:rFonts w:eastAsia="Calibri"/>
        </w:rPr>
        <w:t xml:space="preserve">applications </w:t>
      </w:r>
      <w:r w:rsidR="00D252AA">
        <w:rPr>
          <w:rFonts w:eastAsia="Calibri"/>
        </w:rPr>
        <w:t xml:space="preserve">in Year 2 + 14 </w:t>
      </w:r>
      <w:r w:rsidR="00E86E39">
        <w:rPr>
          <w:rFonts w:eastAsia="Calibri"/>
        </w:rPr>
        <w:t xml:space="preserve">applications </w:t>
      </w:r>
      <w:r w:rsidR="00D252AA">
        <w:rPr>
          <w:rFonts w:eastAsia="Calibri"/>
        </w:rPr>
        <w:t>in Year 3) ÷ 3 years)].</w:t>
      </w:r>
      <w:r w:rsidRPr="00CA4A69" w:rsidR="00CA4A69">
        <w:rPr>
          <w:rFonts w:eastAsia="Calibri"/>
        </w:rPr>
        <w:t xml:space="preserve"> </w:t>
      </w:r>
    </w:p>
    <w:p w:rsidR="00966949" w:rsidP="00966949" w:rsidRDefault="00966949">
      <w:pPr>
        <w:widowControl w:val="0"/>
        <w:autoSpaceDE w:val="0"/>
        <w:autoSpaceDN w:val="0"/>
        <w:adjustRightInd w:val="0"/>
      </w:pPr>
    </w:p>
    <w:p w:rsidR="00966949" w:rsidP="00966949" w:rsidRDefault="00966949">
      <w:pPr>
        <w:widowControl w:val="0"/>
        <w:autoSpaceDE w:val="0"/>
        <w:autoSpaceDN w:val="0"/>
        <w:adjustRightInd w:val="0"/>
      </w:pPr>
      <w:r>
        <w:t xml:space="preserve">The Department anticipates that each SRE </w:t>
      </w:r>
      <w:r w:rsidR="00FB2A1E">
        <w:t>will</w:t>
      </w:r>
      <w:r>
        <w:t xml:space="preserve"> recognize approximately 32 </w:t>
      </w:r>
      <w:r w:rsidR="00757F92">
        <w:t>IRAP</w:t>
      </w:r>
      <w:r>
        <w:t xml:space="preserve">s, beginning with 10 new </w:t>
      </w:r>
      <w:r w:rsidR="00757F92">
        <w:t>IRAP</w:t>
      </w:r>
      <w:r>
        <w:t xml:space="preserve">s in its first year, 8 new </w:t>
      </w:r>
      <w:r w:rsidR="00757F92">
        <w:t>IRAP</w:t>
      </w:r>
      <w:r>
        <w:t xml:space="preserve">s in its second year, and 5 new </w:t>
      </w:r>
      <w:r w:rsidR="00757F92">
        <w:t>IRAP</w:t>
      </w:r>
      <w:r>
        <w:t xml:space="preserve">s in its third year. Based on this assumption, the number of new </w:t>
      </w:r>
      <w:r w:rsidR="00757F92">
        <w:t>IRAP</w:t>
      </w:r>
      <w:r>
        <w:t xml:space="preserve">s in Year 1 is estimated to be 2,030 (= 203 new SREs in Year 1 × 10 new </w:t>
      </w:r>
      <w:r w:rsidR="00757F92">
        <w:t>IRAP</w:t>
      </w:r>
      <w:r>
        <w:t xml:space="preserve">s per SRE). The number of new </w:t>
      </w:r>
      <w:r w:rsidR="00757F92">
        <w:t>IRAP</w:t>
      </w:r>
      <w:r>
        <w:t xml:space="preserve">s in Year 2 is estimated to be 1,724 [= (203 new SREs in Year 1 × 8 new </w:t>
      </w:r>
      <w:r w:rsidR="00757F92">
        <w:t>IRAP</w:t>
      </w:r>
      <w:r>
        <w:t xml:space="preserve">s per SRE) + (10 new SREs in Year 2 × 10 new </w:t>
      </w:r>
      <w:r w:rsidR="00757F92">
        <w:t>IRAP</w:t>
      </w:r>
      <w:r>
        <w:t xml:space="preserve">s per SRE)]. The number of new </w:t>
      </w:r>
      <w:r w:rsidR="00757F92">
        <w:t>IRAP</w:t>
      </w:r>
      <w:r>
        <w:t xml:space="preserve">s in Year 3 is estimated to be 1,205 [= (203 new </w:t>
      </w:r>
      <w:r>
        <w:lastRenderedPageBreak/>
        <w:t xml:space="preserve">SREs in Year 1 × 5 new </w:t>
      </w:r>
      <w:r w:rsidR="00757F92">
        <w:t>IRAP</w:t>
      </w:r>
      <w:r>
        <w:t xml:space="preserve">s per SRE) + (10 new SREs in Year 2 × </w:t>
      </w:r>
      <w:r w:rsidR="001A0FDC">
        <w:t>8</w:t>
      </w:r>
      <w:r>
        <w:t xml:space="preserve"> new </w:t>
      </w:r>
      <w:r w:rsidR="00757F92">
        <w:t>IRAP</w:t>
      </w:r>
      <w:r>
        <w:t>s per SRE) +</w:t>
      </w:r>
      <w:r w:rsidR="001A0FDC">
        <w:t xml:space="preserve"> (11 new SREs in Year 3 × 10 new </w:t>
      </w:r>
      <w:r w:rsidR="00757F92">
        <w:t>IRAP</w:t>
      </w:r>
      <w:r w:rsidR="001A0FDC">
        <w:t>s per SRE)</w:t>
      </w:r>
      <w:r>
        <w:t>].</w:t>
      </w:r>
      <w:r w:rsidR="001A0FDC">
        <w:t xml:space="preserve"> Therefore, the Department estimates that there </w:t>
      </w:r>
      <w:r w:rsidR="00FB2A1E">
        <w:t>will</w:t>
      </w:r>
      <w:r w:rsidR="001A0FDC">
        <w:t xml:space="preserve"> be an average of 1,653 new </w:t>
      </w:r>
      <w:r w:rsidR="00757F92">
        <w:t>IRAP</w:t>
      </w:r>
      <w:r w:rsidR="001A0FDC">
        <w:t xml:space="preserve">s in the first three years [= </w:t>
      </w:r>
      <w:r w:rsidR="00886BE7">
        <w:t>(</w:t>
      </w:r>
      <w:r w:rsidR="001A0FDC">
        <w:t xml:space="preserve">2,030 new </w:t>
      </w:r>
      <w:r w:rsidR="00757F92">
        <w:t>IRAP</w:t>
      </w:r>
      <w:r w:rsidR="001A0FDC">
        <w:t xml:space="preserve">s in Year 1 + 1,724 new </w:t>
      </w:r>
      <w:r w:rsidR="00757F92">
        <w:t>IRAP</w:t>
      </w:r>
      <w:r w:rsidR="001A0FDC">
        <w:t xml:space="preserve">s in Year 2 + 1,205 new </w:t>
      </w:r>
      <w:r w:rsidR="00757F92">
        <w:t>IRAP</w:t>
      </w:r>
      <w:r w:rsidR="001A0FDC">
        <w:t xml:space="preserve">s in Year 3) ÷ 3 years)]. </w:t>
      </w:r>
    </w:p>
    <w:p w:rsidR="00966949" w:rsidP="00966949" w:rsidRDefault="00966949">
      <w:pPr>
        <w:widowControl w:val="0"/>
        <w:autoSpaceDE w:val="0"/>
        <w:autoSpaceDN w:val="0"/>
        <w:adjustRightInd w:val="0"/>
      </w:pPr>
    </w:p>
    <w:p w:rsidR="00B922C5" w:rsidP="00966949" w:rsidRDefault="009A2224">
      <w:pPr>
        <w:widowControl w:val="0"/>
        <w:autoSpaceDE w:val="0"/>
        <w:autoSpaceDN w:val="0"/>
        <w:adjustRightInd w:val="0"/>
      </w:pPr>
      <w:r>
        <w:t xml:space="preserve">On a cumulative basis, the total number of </w:t>
      </w:r>
      <w:r w:rsidR="00757F92">
        <w:t>IRAP</w:t>
      </w:r>
      <w:r>
        <w:t xml:space="preserve">s in Year 2 is estimated to be 3,754 (= 2,030 new </w:t>
      </w:r>
      <w:r w:rsidR="00757F92">
        <w:t>IRAP</w:t>
      </w:r>
      <w:r>
        <w:t xml:space="preserve">s in Year 1 + 1,724 new </w:t>
      </w:r>
      <w:r w:rsidR="00757F92">
        <w:t>IRAP</w:t>
      </w:r>
      <w:r>
        <w:t xml:space="preserve">s in Year 2). In Year 3, the total number of </w:t>
      </w:r>
      <w:r w:rsidR="00757F92">
        <w:t>IRAP</w:t>
      </w:r>
      <w:r>
        <w:t>s is estimated to be 4,959 (</w:t>
      </w:r>
      <w:r w:rsidR="00A471C9">
        <w:t xml:space="preserve">= </w:t>
      </w:r>
      <w:r>
        <w:t xml:space="preserve">2,030 new </w:t>
      </w:r>
      <w:r w:rsidR="00757F92">
        <w:t>IRAP</w:t>
      </w:r>
      <w:r>
        <w:t xml:space="preserve">s in Year 1 + 1,724 new </w:t>
      </w:r>
      <w:r w:rsidR="00757F92">
        <w:t>IRAP</w:t>
      </w:r>
      <w:r>
        <w:t xml:space="preserve">s in Year 2 + 1,205 new </w:t>
      </w:r>
      <w:r w:rsidR="00757F92">
        <w:t>IRAP</w:t>
      </w:r>
      <w:r>
        <w:t>s in Year 3)</w:t>
      </w:r>
      <w:r w:rsidR="00A471C9">
        <w:t xml:space="preserve">. Therefore, the Department estimates that there </w:t>
      </w:r>
      <w:r w:rsidR="00FB2A1E">
        <w:t xml:space="preserve">will </w:t>
      </w:r>
      <w:r w:rsidR="00A471C9">
        <w:t xml:space="preserve">be an average of </w:t>
      </w:r>
      <w:r w:rsidR="005D2E61">
        <w:t>3,581</w:t>
      </w:r>
      <w:r w:rsidR="00A471C9">
        <w:t xml:space="preserve"> </w:t>
      </w:r>
      <w:r w:rsidR="00AA563A">
        <w:t xml:space="preserve">total </w:t>
      </w:r>
      <w:r w:rsidR="00757F92">
        <w:t>IRAP</w:t>
      </w:r>
      <w:r w:rsidR="00A471C9">
        <w:t xml:space="preserve">s in the first three years [= (2,030 </w:t>
      </w:r>
      <w:r w:rsidR="00AA563A">
        <w:t xml:space="preserve">total </w:t>
      </w:r>
      <w:r w:rsidR="00757F92">
        <w:t>IRAP</w:t>
      </w:r>
      <w:r w:rsidR="00A471C9">
        <w:t xml:space="preserve">s in Year 1 + </w:t>
      </w:r>
      <w:r w:rsidR="005D2E61">
        <w:t>3,754</w:t>
      </w:r>
      <w:r w:rsidR="00A471C9">
        <w:t xml:space="preserve"> </w:t>
      </w:r>
      <w:r w:rsidR="00AA563A">
        <w:t xml:space="preserve">total </w:t>
      </w:r>
      <w:r w:rsidR="00757F92">
        <w:t>IRAP</w:t>
      </w:r>
      <w:r w:rsidR="00A471C9">
        <w:t xml:space="preserve">s in Year 2 + </w:t>
      </w:r>
      <w:r w:rsidR="005D2E61">
        <w:t xml:space="preserve">4,959 </w:t>
      </w:r>
      <w:r w:rsidR="00AA563A">
        <w:t xml:space="preserve">total </w:t>
      </w:r>
      <w:r w:rsidR="00757F92">
        <w:t>IRAP</w:t>
      </w:r>
      <w:r w:rsidR="00A471C9">
        <w:t>s in Year 3) ÷ 3 years)].</w:t>
      </w:r>
    </w:p>
    <w:p w:rsidR="00414DCC" w:rsidP="00966949" w:rsidRDefault="00414DCC">
      <w:pPr>
        <w:widowControl w:val="0"/>
        <w:autoSpaceDE w:val="0"/>
        <w:autoSpaceDN w:val="0"/>
        <w:adjustRightInd w:val="0"/>
      </w:pPr>
    </w:p>
    <w:p w:rsidR="00414DCC" w:rsidP="00966949" w:rsidRDefault="00414DCC">
      <w:pPr>
        <w:widowControl w:val="0"/>
        <w:autoSpaceDE w:val="0"/>
        <w:autoSpaceDN w:val="0"/>
        <w:adjustRightInd w:val="0"/>
      </w:pPr>
      <w:r>
        <w:rPr>
          <w:rFonts w:eastAsia="Calibri"/>
        </w:rPr>
        <w:t xml:space="preserve">To estimate the number of apprentices, the Department looked at the number of apprentices in the registered apprenticeship system and, based on those data and related considerations, estimated that each IRAP will have an average of 35 apprentices. Also, given that the duration of programs may vary widely (from weeks to years), the Department used an average duration of one year in its calculations. In Year 1, the total number of apprentices is estimated to be 71,050 (= 2,030 IRAPs × 35 apprentices). In Year 2, the total number of apprentices is estimated to be 131,390 (= 3,754 IRAPs × 35 apprentices). In Year 3, the total number of apprentices is estimated to be 173,565 (= 4,959 IRAPs × 35 apprentices). </w:t>
      </w:r>
      <w:r>
        <w:t>Therefore, the Department estimates that there will be an average of 125,335 apprentices in the first three years [= (</w:t>
      </w:r>
      <w:r>
        <w:rPr>
          <w:rFonts w:eastAsia="Calibri"/>
        </w:rPr>
        <w:t>71,050</w:t>
      </w:r>
      <w:r>
        <w:t xml:space="preserve"> apprentices in Year 1 + </w:t>
      </w:r>
      <w:r>
        <w:rPr>
          <w:rFonts w:eastAsia="Calibri"/>
        </w:rPr>
        <w:t>131,390 apprentices</w:t>
      </w:r>
      <w:r>
        <w:t xml:space="preserve"> in Year 2 + </w:t>
      </w:r>
      <w:r>
        <w:rPr>
          <w:rFonts w:eastAsia="Calibri"/>
        </w:rPr>
        <w:t>173,565</w:t>
      </w:r>
      <w:r>
        <w:t xml:space="preserve"> apprentices in Year 3) ÷ 3 years)].</w:t>
      </w:r>
    </w:p>
    <w:p w:rsidR="00966949" w:rsidP="00966949" w:rsidRDefault="00966949">
      <w:pPr>
        <w:widowControl w:val="0"/>
        <w:autoSpaceDE w:val="0"/>
        <w:autoSpaceDN w:val="0"/>
        <w:adjustRightInd w:val="0"/>
      </w:pPr>
    </w:p>
    <w:p w:rsidR="007624EC" w:rsidP="005355DF" w:rsidRDefault="0070785E">
      <w:pPr>
        <w:widowControl w:val="0"/>
        <w:numPr>
          <w:ilvl w:val="0"/>
          <w:numId w:val="22"/>
        </w:numPr>
        <w:autoSpaceDE w:val="0"/>
        <w:autoSpaceDN w:val="0"/>
        <w:adjustRightInd w:val="0"/>
        <w:rPr>
          <w:b/>
          <w:u w:val="single"/>
        </w:rPr>
      </w:pPr>
      <w:r w:rsidRPr="0070785E">
        <w:rPr>
          <w:b/>
          <w:u w:val="single"/>
        </w:rPr>
        <w:t xml:space="preserve">Description of the information collection </w:t>
      </w:r>
      <w:r w:rsidRPr="00D275E1" w:rsidR="00051E36">
        <w:rPr>
          <w:b/>
          <w:u w:val="single"/>
        </w:rPr>
        <w:t>(</w:t>
      </w:r>
      <w:r w:rsidRPr="00D275E1" w:rsidR="00D1462A">
        <w:rPr>
          <w:b/>
          <w:u w:val="single"/>
        </w:rPr>
        <w:t xml:space="preserve">Industry-Recognized Apprenticeship </w:t>
      </w:r>
      <w:r w:rsidRPr="00A55558" w:rsidR="00D1462A">
        <w:rPr>
          <w:b/>
          <w:u w:val="single"/>
        </w:rPr>
        <w:t xml:space="preserve">Program </w:t>
      </w:r>
      <w:r w:rsidRPr="00A55558" w:rsidR="00023444">
        <w:rPr>
          <w:b/>
          <w:u w:val="single"/>
        </w:rPr>
        <w:t>Standards Recognition Entity</w:t>
      </w:r>
      <w:r w:rsidRPr="00A55558" w:rsidR="00D1462A">
        <w:rPr>
          <w:b/>
          <w:u w:val="single"/>
        </w:rPr>
        <w:t xml:space="preserve"> </w:t>
      </w:r>
      <w:r w:rsidR="00351521">
        <w:rPr>
          <w:b/>
          <w:u w:val="single"/>
        </w:rPr>
        <w:t>Application</w:t>
      </w:r>
      <w:r w:rsidRPr="00D275E1" w:rsidR="00051E36">
        <w:rPr>
          <w:b/>
          <w:u w:val="single"/>
        </w:rPr>
        <w:t>)</w:t>
      </w:r>
      <w:r w:rsidRPr="0070785E" w:rsidR="007519EB">
        <w:rPr>
          <w:b/>
          <w:u w:val="single"/>
        </w:rPr>
        <w:t xml:space="preserve"> </w:t>
      </w:r>
    </w:p>
    <w:p w:rsidR="00DD7596" w:rsidP="00DD7596" w:rsidRDefault="00DD7596">
      <w:pPr>
        <w:widowControl w:val="0"/>
        <w:autoSpaceDE w:val="0"/>
        <w:autoSpaceDN w:val="0"/>
        <w:adjustRightInd w:val="0"/>
        <w:ind w:left="720"/>
        <w:rPr>
          <w:b/>
          <w:u w:val="single"/>
        </w:rPr>
      </w:pPr>
    </w:p>
    <w:p w:rsidRPr="00D72C43" w:rsidR="003B2ECA" w:rsidP="00805B79" w:rsidRDefault="007624EC">
      <w:pPr>
        <w:widowControl w:val="0"/>
        <w:autoSpaceDE w:val="0"/>
        <w:autoSpaceDN w:val="0"/>
        <w:adjustRightInd w:val="0"/>
        <w:rPr>
          <w:b/>
          <w:u w:val="single"/>
        </w:rPr>
      </w:pPr>
      <w:r w:rsidRPr="00D72C43">
        <w:rPr>
          <w:b/>
          <w:u w:val="single"/>
        </w:rPr>
        <w:t>Anticipated Designated Responder</w:t>
      </w:r>
      <w:r w:rsidRPr="00D72C43" w:rsidR="004F6BB1">
        <w:rPr>
          <w:b/>
          <w:u w:val="single"/>
        </w:rPr>
        <w:t>s</w:t>
      </w:r>
      <w:r w:rsidRPr="00D72C43">
        <w:rPr>
          <w:b/>
          <w:u w:val="single"/>
        </w:rPr>
        <w:t xml:space="preserve"> to the </w:t>
      </w:r>
      <w:r w:rsidRPr="00D72C43" w:rsidR="00351521">
        <w:rPr>
          <w:b/>
          <w:u w:val="single"/>
        </w:rPr>
        <w:t xml:space="preserve">Information </w:t>
      </w:r>
      <w:r w:rsidRPr="00D72C43">
        <w:rPr>
          <w:b/>
          <w:u w:val="single"/>
        </w:rPr>
        <w:t>Collection and Their Compensation Rate</w:t>
      </w:r>
      <w:r w:rsidRPr="00D72C43">
        <w:t>:</w:t>
      </w:r>
      <w:r w:rsidRPr="00D72C43" w:rsidR="003B2ECA">
        <w:rPr>
          <w:b/>
          <w:u w:val="single"/>
        </w:rPr>
        <w:t xml:space="preserve"> </w:t>
      </w:r>
    </w:p>
    <w:p w:rsidR="003B2ECA" w:rsidP="00805B79" w:rsidRDefault="003B2ECA">
      <w:pPr>
        <w:widowControl w:val="0"/>
        <w:autoSpaceDE w:val="0"/>
        <w:autoSpaceDN w:val="0"/>
        <w:adjustRightInd w:val="0"/>
      </w:pPr>
    </w:p>
    <w:p w:rsidR="00414DCC" w:rsidP="00414DCC" w:rsidRDefault="00414DCC">
      <w:pPr>
        <w:autoSpaceDE w:val="0"/>
        <w:autoSpaceDN w:val="0"/>
        <w:adjustRightInd w:val="0"/>
        <w:rPr>
          <w:rFonts w:eastAsia="Calibri"/>
        </w:rPr>
      </w:pPr>
      <w:r>
        <w:rPr>
          <w:rFonts w:eastAsia="Calibri"/>
        </w:rPr>
        <w:t>The Department anticipates that the bulk of the workload for private sector workers will be performed by employees in occupations similar to those associated with the following Standard Occupational Classification (SOC) codes: SOC 11-3131 (Training and Development Managers) and SOC 43-0000 (Office and Administrative Support Occupations).</w:t>
      </w:r>
    </w:p>
    <w:p w:rsidR="00414DCC" w:rsidP="00414DCC" w:rsidRDefault="00414DCC">
      <w:pPr>
        <w:autoSpaceDE w:val="0"/>
        <w:autoSpaceDN w:val="0"/>
        <w:adjustRightInd w:val="0"/>
        <w:rPr>
          <w:rFonts w:eastAsia="Calibri"/>
        </w:rPr>
      </w:pPr>
    </w:p>
    <w:p w:rsidR="00414DCC" w:rsidP="00414DCC" w:rsidRDefault="00414DCC">
      <w:pPr>
        <w:autoSpaceDE w:val="0"/>
        <w:autoSpaceDN w:val="0"/>
        <w:adjustRightInd w:val="0"/>
        <w:rPr>
          <w:rFonts w:eastAsia="Calibri"/>
        </w:rPr>
      </w:pPr>
      <w:r>
        <w:rPr>
          <w:rFonts w:eastAsia="Calibri"/>
        </w:rPr>
        <w:t>According to BLS, the mean hourly wage rate for Training and Development Managers in May 2018 was $58.53.</w:t>
      </w:r>
      <w:r>
        <w:rPr>
          <w:rStyle w:val="FootnoteReference"/>
          <w:rFonts w:eastAsia="Calibri"/>
        </w:rPr>
        <w:footnoteReference w:id="4"/>
      </w:r>
      <w:r>
        <w:rPr>
          <w:rFonts w:eastAsia="Calibri"/>
        </w:rPr>
        <w:t xml:space="preserve"> For this analysis, the Department used a fringe benefits rate of 46 percent</w:t>
      </w:r>
      <w:r w:rsidR="003B192E">
        <w:rPr>
          <w:rStyle w:val="FootnoteReference"/>
          <w:rFonts w:eastAsia="Calibri"/>
        </w:rPr>
        <w:footnoteReference w:id="5"/>
      </w:r>
      <w:r>
        <w:rPr>
          <w:rFonts w:eastAsia="Calibri"/>
        </w:rPr>
        <w:t xml:space="preserve"> and an overhead rate of 54 percent,</w:t>
      </w:r>
      <w:r w:rsidR="003B192E">
        <w:rPr>
          <w:rStyle w:val="FootnoteReference"/>
          <w:rFonts w:eastAsia="Calibri"/>
        </w:rPr>
        <w:footnoteReference w:id="6"/>
      </w:r>
      <w:r>
        <w:rPr>
          <w:rFonts w:eastAsia="Calibri"/>
        </w:rPr>
        <w:t xml:space="preserve"> resulting in a fully loaded hourly compensation rate for Training and Development Managers of $117.06 [= $58.53 + ($58.53 × 46%) + ($58.53 × 54%)]. </w:t>
      </w:r>
    </w:p>
    <w:p w:rsidR="00414DCC" w:rsidP="00414DCC" w:rsidRDefault="00414DCC">
      <w:pPr>
        <w:widowControl w:val="0"/>
        <w:autoSpaceDE w:val="0"/>
        <w:autoSpaceDN w:val="0"/>
        <w:adjustRightInd w:val="0"/>
        <w:rPr>
          <w:rFonts w:eastAsia="Calibri"/>
        </w:rPr>
      </w:pPr>
    </w:p>
    <w:p w:rsidR="00414DCC" w:rsidP="00414DCC" w:rsidRDefault="00414DCC">
      <w:r>
        <w:rPr>
          <w:rFonts w:eastAsia="Calibri"/>
        </w:rPr>
        <w:t>According to BLS, the mean hourly wage rate for Office and Administrative Support Occupations in May 2018 was $18.75.</w:t>
      </w:r>
      <w:r>
        <w:rPr>
          <w:rStyle w:val="FootnoteReference"/>
          <w:rFonts w:eastAsia="Calibri"/>
        </w:rPr>
        <w:footnoteReference w:id="7"/>
      </w:r>
      <w:r>
        <w:rPr>
          <w:rFonts w:eastAsia="Calibri"/>
        </w:rPr>
        <w:t xml:space="preserve"> The Department used a fringe benefits rate of 46 percent and an overhead rate of 54 percent, resulting in a fully loaded hourly compensation rate for Office and Administrative Support Occupations of $37.50 [= $18.75 + ($18.75 × 46%) + ($18.75 × 54%)].</w:t>
      </w:r>
      <w:r>
        <w:t xml:space="preserve"> </w:t>
      </w:r>
    </w:p>
    <w:p w:rsidR="00A16231" w:rsidP="00805B79" w:rsidRDefault="007624EC">
      <w:pPr>
        <w:widowControl w:val="0"/>
        <w:autoSpaceDE w:val="0"/>
        <w:autoSpaceDN w:val="0"/>
        <w:adjustRightInd w:val="0"/>
      </w:pPr>
      <w:r>
        <w:t xml:space="preserve"> </w:t>
      </w:r>
    </w:p>
    <w:p w:rsidR="00812A48" w:rsidP="00863D80" w:rsidRDefault="00812A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highlight w:val="yellow"/>
        </w:rPr>
      </w:pPr>
    </w:p>
    <w:p w:rsidRPr="00D275E1" w:rsidR="00ED2CC5" w:rsidP="00863D80" w:rsidRDefault="00C8305F">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D275E1">
        <w:rPr>
          <w:b/>
          <w:u w:val="single"/>
        </w:rPr>
        <w:t xml:space="preserve">Estimated Time to Complete </w:t>
      </w:r>
      <w:r w:rsidR="00B15BF3">
        <w:rPr>
          <w:b/>
          <w:u w:val="single"/>
        </w:rPr>
        <w:t xml:space="preserve">Application </w:t>
      </w:r>
      <w:r w:rsidR="00E132D9">
        <w:rPr>
          <w:b/>
          <w:u w:val="single"/>
        </w:rPr>
        <w:t>Elements</w:t>
      </w:r>
      <w:r w:rsidRPr="00D72C43">
        <w:t>:</w:t>
      </w:r>
      <w:r w:rsidRPr="0067121C">
        <w:t xml:space="preserve"> </w:t>
      </w:r>
    </w:p>
    <w:p w:rsidR="00ED2CC5" w:rsidP="00863D80" w:rsidRDefault="00ED2CC5">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highlight w:val="yellow"/>
        </w:rPr>
      </w:pPr>
    </w:p>
    <w:p w:rsidR="00C8305F" w:rsidP="00863D80" w:rsidRDefault="00455342">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The Industry</w:t>
      </w:r>
      <w:r w:rsidR="003B6289">
        <w:t>-</w:t>
      </w:r>
      <w:r>
        <w:t>Recognized Apprenticeship Program</w:t>
      </w:r>
      <w:r w:rsidR="00DB76BF">
        <w:t xml:space="preserve"> Standards Recognition </w:t>
      </w:r>
      <w:r>
        <w:t>Entity</w:t>
      </w:r>
      <w:r w:rsidRPr="00D275E1" w:rsidR="00C8305F">
        <w:t xml:space="preserve"> </w:t>
      </w:r>
      <w:r w:rsidR="00351521">
        <w:t xml:space="preserve">Application </w:t>
      </w:r>
      <w:r w:rsidRPr="00D275E1" w:rsidR="00C8305F">
        <w:t xml:space="preserve">consists of the following </w:t>
      </w:r>
      <w:r w:rsidR="00647839">
        <w:t>five</w:t>
      </w:r>
      <w:r w:rsidRPr="00D275E1" w:rsidR="00647839">
        <w:t xml:space="preserve"> </w:t>
      </w:r>
      <w:r w:rsidRPr="00D275E1" w:rsidR="00C8305F">
        <w:t>sections:</w:t>
      </w:r>
    </w:p>
    <w:p w:rsidRPr="00D275E1" w:rsidR="0009557D" w:rsidP="00863D80" w:rsidRDefault="0009557D">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3B6289" w:rsidP="003B6289" w:rsidRDefault="00C54387">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ab/>
      </w:r>
      <w:r w:rsidR="003B6289">
        <w:t>Section I</w:t>
      </w:r>
      <w:r w:rsidR="7240A1A6">
        <w:t xml:space="preserve"> </w:t>
      </w:r>
      <w:r w:rsidR="003B6289">
        <w:tab/>
      </w:r>
      <w:r w:rsidR="000B1373">
        <w:t>Standards Recognition Entity</w:t>
      </w:r>
      <w:r w:rsidR="003B6289">
        <w:t xml:space="preserve"> Identifying Information</w:t>
      </w:r>
    </w:p>
    <w:p w:rsidR="003B6289" w:rsidP="003B6289" w:rsidRDefault="003B6289">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ab/>
        <w:t>Section II</w:t>
      </w:r>
      <w:r w:rsidR="7240A1A6">
        <w:t xml:space="preserve"> </w:t>
      </w:r>
      <w:r>
        <w:tab/>
        <w:t xml:space="preserve">Capabilities and Experience of the </w:t>
      </w:r>
      <w:r w:rsidR="000B1373">
        <w:t>Standards Recognition Entity</w:t>
      </w:r>
      <w:r>
        <w:t xml:space="preserve"> </w:t>
      </w:r>
    </w:p>
    <w:p w:rsidR="003B6289" w:rsidP="003B6289" w:rsidRDefault="003B6289">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ab/>
        <w:t>Section</w:t>
      </w:r>
      <w:r w:rsidR="00370EC7">
        <w:t xml:space="preserve"> III</w:t>
      </w:r>
      <w:r w:rsidR="7240A1A6">
        <w:t xml:space="preserve"> </w:t>
      </w:r>
      <w:r w:rsidR="00370EC7">
        <w:tab/>
        <w:t xml:space="preserve">Evaluating and </w:t>
      </w:r>
      <w:r w:rsidR="007F6DAA">
        <w:t xml:space="preserve">Monitoring </w:t>
      </w:r>
      <w:r w:rsidR="00370EC7">
        <w:t>E</w:t>
      </w:r>
      <w:r>
        <w:t>lements of a High-Quality Apprenticeship Program</w:t>
      </w:r>
    </w:p>
    <w:p w:rsidR="003B6289" w:rsidP="003B6289" w:rsidRDefault="003B6289">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ab/>
        <w:t>Section IV</w:t>
      </w:r>
      <w:r>
        <w:tab/>
        <w:t>Policies and Procedures</w:t>
      </w:r>
    </w:p>
    <w:p w:rsidRPr="00D275E1" w:rsidR="003B6289" w:rsidP="7240A1A6" w:rsidRDefault="003B6289">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304" w:hanging="1584"/>
      </w:pPr>
      <w:r>
        <w:t>Section V</w:t>
      </w:r>
      <w:r w:rsidR="7240A1A6">
        <w:t xml:space="preserve"> </w:t>
      </w:r>
      <w:r>
        <w:tab/>
        <w:t>Attestation</w:t>
      </w:r>
    </w:p>
    <w:p w:rsidR="0009270D" w:rsidP="00863D80" w:rsidRDefault="0009270D">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highlight w:val="yellow"/>
        </w:rPr>
      </w:pPr>
    </w:p>
    <w:p w:rsidRPr="00BE6724" w:rsidR="00C8305F" w:rsidP="00863D80" w:rsidRDefault="00AD3E99">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E6724">
        <w:rPr>
          <w:b/>
          <w:u w:val="single"/>
        </w:rPr>
        <w:t>Time to C</w:t>
      </w:r>
      <w:r w:rsidRPr="00BE6724" w:rsidR="00BE6552">
        <w:rPr>
          <w:b/>
          <w:u w:val="single"/>
        </w:rPr>
        <w:t>omplete S</w:t>
      </w:r>
      <w:r w:rsidRPr="00BE6724" w:rsidR="000436BC">
        <w:rPr>
          <w:b/>
          <w:u w:val="single"/>
        </w:rPr>
        <w:t xml:space="preserve">ection </w:t>
      </w:r>
      <w:r w:rsidRPr="00BE6724" w:rsidR="003B17EC">
        <w:rPr>
          <w:b/>
          <w:u w:val="single"/>
        </w:rPr>
        <w:t>I</w:t>
      </w:r>
      <w:r w:rsidRPr="00BE6724" w:rsidR="00370EC7">
        <w:rPr>
          <w:b/>
          <w:u w:val="single"/>
        </w:rPr>
        <w:t>—</w:t>
      </w:r>
      <w:r w:rsidRPr="00BE6724" w:rsidR="000B1373">
        <w:rPr>
          <w:b/>
          <w:u w:val="single"/>
        </w:rPr>
        <w:t>Standards Recognition Entity</w:t>
      </w:r>
      <w:r w:rsidRPr="00BE6724" w:rsidR="00370EC7">
        <w:rPr>
          <w:b/>
          <w:u w:val="single"/>
        </w:rPr>
        <w:t xml:space="preserve"> Identifying Information</w:t>
      </w:r>
      <w:r w:rsidRPr="00D72C43" w:rsidR="000436BC">
        <w:t>:</w:t>
      </w:r>
      <w:r w:rsidRPr="00BE6724" w:rsidR="000436BC">
        <w:t xml:space="preserve"> (</w:t>
      </w:r>
      <w:r w:rsidRPr="00BE6724" w:rsidR="003B6289">
        <w:t>2</w:t>
      </w:r>
      <w:r w:rsidRPr="00BE6724" w:rsidR="000436BC">
        <w:t xml:space="preserve"> hour</w:t>
      </w:r>
      <w:r w:rsidRPr="00BE6724" w:rsidR="003B6289">
        <w:t>s</w:t>
      </w:r>
      <w:r w:rsidRPr="00BE6724" w:rsidR="000436BC">
        <w:t xml:space="preserve"> per </w:t>
      </w:r>
      <w:r w:rsidRPr="00BE6724" w:rsidR="00491ED5">
        <w:t>SRE</w:t>
      </w:r>
      <w:r w:rsidR="00AB1BF0">
        <w:t xml:space="preserve"> </w:t>
      </w:r>
      <w:r w:rsidRPr="00BE6724" w:rsidR="00BE6724">
        <w:t>applicant</w:t>
      </w:r>
      <w:r w:rsidRPr="00BE6724" w:rsidR="000436BC">
        <w:t xml:space="preserve">) </w:t>
      </w:r>
    </w:p>
    <w:p w:rsidRPr="00BE6724" w:rsidR="003B63FA" w:rsidP="00863D80" w:rsidRDefault="003B63FA">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E6724" w:rsidR="003B63FA" w:rsidP="00863D80" w:rsidRDefault="003B63FA">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E6724">
        <w:t xml:space="preserve">The estimated average response </w:t>
      </w:r>
      <w:r w:rsidRPr="00BE6724" w:rsidR="00AF22AF">
        <w:t xml:space="preserve">time for the </w:t>
      </w:r>
      <w:r w:rsidRPr="00BE6724" w:rsidR="00491ED5">
        <w:t>SRE</w:t>
      </w:r>
      <w:r w:rsidRPr="00BE6724" w:rsidR="00AF22AF">
        <w:t xml:space="preserve"> </w:t>
      </w:r>
      <w:r w:rsidR="00BE6724">
        <w:t>applicant</w:t>
      </w:r>
      <w:r w:rsidRPr="00BE6724" w:rsidR="00BE6724">
        <w:t xml:space="preserve"> </w:t>
      </w:r>
      <w:r w:rsidRPr="00BE6724" w:rsidR="00AF22AF">
        <w:t>to provide</w:t>
      </w:r>
      <w:r w:rsidRPr="00BE6724">
        <w:t xml:space="preserve"> identifying </w:t>
      </w:r>
      <w:r w:rsidRPr="00BE6724" w:rsidR="003B6289">
        <w:t>information</w:t>
      </w:r>
      <w:r w:rsidRPr="00BE6724">
        <w:t xml:space="preserve"> requested in this section is approximately </w:t>
      </w:r>
      <w:r w:rsidRPr="00BE6724" w:rsidR="003B6289">
        <w:t>2</w:t>
      </w:r>
      <w:r w:rsidRPr="00BE6724">
        <w:t xml:space="preserve"> hour</w:t>
      </w:r>
      <w:r w:rsidRPr="00BE6724" w:rsidR="003B6289">
        <w:t>s</w:t>
      </w:r>
      <w:r w:rsidRPr="00BE6724">
        <w:t xml:space="preserve">. This </w:t>
      </w:r>
      <w:r w:rsidRPr="00BE6724">
        <w:lastRenderedPageBreak/>
        <w:t xml:space="preserve">estimate includes the time to gather </w:t>
      </w:r>
      <w:r w:rsidRPr="00BE6724" w:rsidR="003B6289">
        <w:t xml:space="preserve">and attach </w:t>
      </w:r>
      <w:r w:rsidRPr="00BE6724">
        <w:t xml:space="preserve">the documentation for this section. </w:t>
      </w:r>
    </w:p>
    <w:p w:rsidRPr="00BE6724" w:rsidR="003B63FA" w:rsidP="00863D80" w:rsidRDefault="003B63FA">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E6724" w:rsidR="00AD3E99" w:rsidP="00AD3E99" w:rsidRDefault="00AD3E99">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E6724">
        <w:rPr>
          <w:b/>
          <w:u w:val="single"/>
        </w:rPr>
        <w:t xml:space="preserve">Time to Complete Section </w:t>
      </w:r>
      <w:r w:rsidRPr="00BE6724" w:rsidR="003B17EC">
        <w:rPr>
          <w:b/>
          <w:u w:val="single"/>
        </w:rPr>
        <w:t>II</w:t>
      </w:r>
      <w:r w:rsidRPr="00BE6724" w:rsidR="0083607E">
        <w:rPr>
          <w:b/>
          <w:u w:val="single"/>
        </w:rPr>
        <w:t>—Capabilities and Experience</w:t>
      </w:r>
      <w:r w:rsidRPr="00BE6724" w:rsidR="00370EC7">
        <w:rPr>
          <w:b/>
          <w:u w:val="single"/>
        </w:rPr>
        <w:t xml:space="preserve"> of the </w:t>
      </w:r>
      <w:r w:rsidRPr="00BE6724" w:rsidR="000B1373">
        <w:rPr>
          <w:b/>
          <w:u w:val="single"/>
        </w:rPr>
        <w:t>Standards Recognition Entity</w:t>
      </w:r>
      <w:r w:rsidRPr="00D72C43">
        <w:t>:</w:t>
      </w:r>
      <w:r w:rsidRPr="00BE6724" w:rsidR="00D97097">
        <w:t xml:space="preserve"> (</w:t>
      </w:r>
      <w:r w:rsidRPr="00BE6724" w:rsidR="00197092">
        <w:t xml:space="preserve">5 </w:t>
      </w:r>
      <w:r w:rsidRPr="00BE6724">
        <w:t xml:space="preserve">hours per </w:t>
      </w:r>
      <w:r w:rsidRPr="00BE6724" w:rsidR="00491ED5">
        <w:t>SRE</w:t>
      </w:r>
      <w:r w:rsidR="00AB1BF0">
        <w:t xml:space="preserve"> </w:t>
      </w:r>
      <w:r w:rsidR="00BE6724">
        <w:t>applicant</w:t>
      </w:r>
      <w:r w:rsidRPr="00BE6724">
        <w:t xml:space="preserve">) </w:t>
      </w:r>
    </w:p>
    <w:p w:rsidRPr="00BE6724" w:rsidR="001C6305" w:rsidP="00AD3E99" w:rsidRDefault="001C6305">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E6724" w:rsidR="001C6305" w:rsidP="001C6305" w:rsidRDefault="0083607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E6724">
        <w:t xml:space="preserve">The estimated average response time for the respondent to describe their operations, </w:t>
      </w:r>
      <w:r w:rsidR="00D02822">
        <w:t xml:space="preserve">partners, </w:t>
      </w:r>
      <w:r w:rsidRPr="00BE6724" w:rsidR="00197092">
        <w:t xml:space="preserve">conflicts of interest, </w:t>
      </w:r>
      <w:r w:rsidRPr="00BE6724">
        <w:t xml:space="preserve">capabilities, experience, and qualifications to be </w:t>
      </w:r>
      <w:r w:rsidRPr="00BE6724" w:rsidR="00CB5A7A">
        <w:t>a</w:t>
      </w:r>
      <w:r w:rsidR="002C5E14">
        <w:t>n</w:t>
      </w:r>
      <w:r w:rsidRPr="00BE6724" w:rsidR="00CB5A7A">
        <w:t xml:space="preserve"> </w:t>
      </w:r>
      <w:r w:rsidRPr="00BE6724" w:rsidR="00491ED5">
        <w:t>SRE</w:t>
      </w:r>
      <w:r w:rsidRPr="00BE6724">
        <w:t xml:space="preserve"> is approximately </w:t>
      </w:r>
      <w:r w:rsidRPr="00BE6724" w:rsidR="00197092">
        <w:t xml:space="preserve">5 </w:t>
      </w:r>
      <w:r w:rsidRPr="00BE6724">
        <w:t xml:space="preserve">hours. This estimate includes the time to </w:t>
      </w:r>
      <w:r w:rsidR="00215647">
        <w:t>develop the pertinent policies and procedures, as well as to</w:t>
      </w:r>
      <w:r w:rsidRPr="00BE6724" w:rsidR="00215647">
        <w:t xml:space="preserve"> </w:t>
      </w:r>
      <w:r w:rsidRPr="00BE6724">
        <w:t xml:space="preserve">gather the documentation to be included in the subsections listed below.  </w:t>
      </w:r>
      <w:r w:rsidRPr="00BE6724" w:rsidR="001C6305">
        <w:t xml:space="preserve"> </w:t>
      </w:r>
    </w:p>
    <w:p w:rsidRPr="00BE6724" w:rsidR="0083607E" w:rsidP="00D275E1" w:rsidRDefault="0083607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60"/>
      </w:pPr>
    </w:p>
    <w:p w:rsidRPr="00BE6724" w:rsidR="0083607E" w:rsidP="0083607E" w:rsidRDefault="0083607E">
      <w:pPr>
        <w:tabs>
          <w:tab w:val="left" w:pos="-1440"/>
          <w:tab w:val="left" w:pos="-720"/>
          <w:tab w:val="left" w:pos="0"/>
          <w:tab w:val="left" w:pos="720"/>
          <w:tab w:val="left" w:pos="810"/>
          <w:tab w:val="left" w:pos="108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BE6724">
        <w:t xml:space="preserve">A. </w:t>
      </w:r>
      <w:r w:rsidRPr="00BE6724">
        <w:tab/>
        <w:t xml:space="preserve">Organizational Operational Information: (1 hour per </w:t>
      </w:r>
      <w:r w:rsidRPr="00BE6724" w:rsidR="00491ED5">
        <w:t>SRE</w:t>
      </w:r>
      <w:r w:rsidR="00AB1BF0">
        <w:t xml:space="preserve"> </w:t>
      </w:r>
      <w:r w:rsidR="00BE6724">
        <w:t>applicant</w:t>
      </w:r>
      <w:r w:rsidRPr="00BE6724">
        <w:t>)</w:t>
      </w:r>
      <w:r w:rsidRPr="00BE6724">
        <w:br/>
      </w:r>
    </w:p>
    <w:p w:rsidRPr="00BE6724" w:rsidR="0083607E" w:rsidP="0083607E" w:rsidRDefault="0083607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BE6724">
        <w:t xml:space="preserve">It is estimated to take 1 hour per </w:t>
      </w:r>
      <w:r w:rsidRPr="00BE6724" w:rsidR="00491ED5">
        <w:t>SRE</w:t>
      </w:r>
      <w:r w:rsidRPr="00BE6724">
        <w:t xml:space="preserve"> </w:t>
      </w:r>
      <w:r w:rsidR="00BE6724">
        <w:t>applicant</w:t>
      </w:r>
      <w:r w:rsidRPr="00BE6724" w:rsidR="00BE6724">
        <w:t xml:space="preserve"> </w:t>
      </w:r>
      <w:r w:rsidRPr="00BE6724">
        <w:t xml:space="preserve">to summarize their </w:t>
      </w:r>
      <w:r w:rsidRPr="00BE6724" w:rsidR="002D6F9C">
        <w:t>entity</w:t>
      </w:r>
      <w:r w:rsidRPr="00BE6724" w:rsidR="00370EC7">
        <w:t>’</w:t>
      </w:r>
      <w:r w:rsidRPr="00BE6724">
        <w:t xml:space="preserve">s operations. </w:t>
      </w:r>
    </w:p>
    <w:p w:rsidRPr="00BE6724" w:rsidR="0083607E" w:rsidP="0083607E" w:rsidRDefault="0083607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p>
    <w:p w:rsidRPr="00BE6724" w:rsidR="00A42C2D" w:rsidP="00A42C2D" w:rsidRDefault="0083607E">
      <w:pPr>
        <w:tabs>
          <w:tab w:val="left" w:pos="-1440"/>
          <w:tab w:val="left" w:pos="-720"/>
          <w:tab w:val="left" w:pos="0"/>
          <w:tab w:val="left" w:pos="720"/>
          <w:tab w:val="left" w:pos="108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BE6724">
        <w:t>B.</w:t>
      </w:r>
      <w:r w:rsidRPr="00BE6724">
        <w:tab/>
      </w:r>
      <w:r w:rsidRPr="00BE6724" w:rsidR="00A42C2D">
        <w:t>Organizational Qualifications: (30 minutes per SRE</w:t>
      </w:r>
      <w:r w:rsidR="00A42C2D">
        <w:t xml:space="preserve"> applicant</w:t>
      </w:r>
      <w:r w:rsidRPr="00BE6724" w:rsidR="00A42C2D">
        <w:t xml:space="preserve">) </w:t>
      </w:r>
    </w:p>
    <w:p w:rsidRPr="00BE6724" w:rsidR="00A42C2D" w:rsidP="00A42C2D" w:rsidRDefault="00A42C2D">
      <w:pPr>
        <w:tabs>
          <w:tab w:val="left" w:pos="-1440"/>
          <w:tab w:val="left" w:pos="-720"/>
          <w:tab w:val="left" w:pos="0"/>
          <w:tab w:val="left" w:pos="720"/>
          <w:tab w:val="left" w:pos="108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p>
    <w:p w:rsidRPr="00BE6724" w:rsidR="00A42C2D" w:rsidP="00A42C2D" w:rsidRDefault="00A42C2D">
      <w:pPr>
        <w:tabs>
          <w:tab w:val="left" w:pos="-1440"/>
          <w:tab w:val="left" w:pos="-720"/>
          <w:tab w:val="left" w:pos="0"/>
          <w:tab w:val="left" w:pos="720"/>
          <w:tab w:val="left" w:pos="108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BE6724">
        <w:t>It will take approximately 30 minutes for the respondent to describe their qualifications to serve as a</w:t>
      </w:r>
      <w:r>
        <w:t>n</w:t>
      </w:r>
      <w:r w:rsidRPr="00BE6724">
        <w:t xml:space="preserve"> SRE and to gather and attach relevant documentation.</w:t>
      </w:r>
    </w:p>
    <w:p w:rsidR="00A42C2D" w:rsidP="00197092" w:rsidRDefault="00A42C2D">
      <w:pPr>
        <w:tabs>
          <w:tab w:val="left" w:pos="-1440"/>
          <w:tab w:val="left" w:pos="-720"/>
          <w:tab w:val="left" w:pos="0"/>
          <w:tab w:val="left" w:pos="720"/>
          <w:tab w:val="left" w:pos="108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color w:val="FF0000"/>
        </w:rPr>
      </w:pPr>
    </w:p>
    <w:p w:rsidRPr="00900EE3" w:rsidR="00A42C2D" w:rsidP="00197092" w:rsidRDefault="00A42C2D">
      <w:pPr>
        <w:tabs>
          <w:tab w:val="left" w:pos="-1440"/>
          <w:tab w:val="left" w:pos="-720"/>
          <w:tab w:val="left" w:pos="0"/>
          <w:tab w:val="left" w:pos="720"/>
          <w:tab w:val="left" w:pos="108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color w:val="000000"/>
        </w:rPr>
      </w:pPr>
      <w:r w:rsidRPr="00900EE3">
        <w:rPr>
          <w:color w:val="000000"/>
        </w:rPr>
        <w:t>C.</w:t>
      </w:r>
      <w:r w:rsidR="00855577">
        <w:rPr>
          <w:color w:val="000000"/>
        </w:rPr>
        <w:t xml:space="preserve"> </w:t>
      </w:r>
      <w:r w:rsidRPr="00900EE3">
        <w:rPr>
          <w:color w:val="000000"/>
        </w:rPr>
        <w:t xml:space="preserve"> Partners: (30 minutes per SRE applicant)</w:t>
      </w:r>
    </w:p>
    <w:p w:rsidRPr="00900EE3" w:rsidR="00A42C2D" w:rsidP="00197092" w:rsidRDefault="00A42C2D">
      <w:pPr>
        <w:tabs>
          <w:tab w:val="left" w:pos="-1440"/>
          <w:tab w:val="left" w:pos="-720"/>
          <w:tab w:val="left" w:pos="0"/>
          <w:tab w:val="left" w:pos="720"/>
          <w:tab w:val="left" w:pos="108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color w:val="000000"/>
        </w:rPr>
      </w:pPr>
    </w:p>
    <w:p w:rsidRPr="00900EE3" w:rsidR="00A42C2D" w:rsidP="00A42C2D" w:rsidRDefault="00A42C2D">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color w:val="000000"/>
        </w:rPr>
      </w:pPr>
      <w:r w:rsidRPr="00900EE3">
        <w:rPr>
          <w:color w:val="000000"/>
        </w:rPr>
        <w:t xml:space="preserve">It is estimated to take 30 minutes per SRE applicant to summarize their entity’s operations. </w:t>
      </w:r>
    </w:p>
    <w:p w:rsidRPr="00900EE3" w:rsidR="00A42C2D" w:rsidP="00197092" w:rsidRDefault="00A42C2D">
      <w:pPr>
        <w:tabs>
          <w:tab w:val="left" w:pos="-1440"/>
          <w:tab w:val="left" w:pos="-720"/>
          <w:tab w:val="left" w:pos="0"/>
          <w:tab w:val="left" w:pos="720"/>
          <w:tab w:val="left" w:pos="108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color w:val="000000"/>
        </w:rPr>
      </w:pPr>
    </w:p>
    <w:p w:rsidRPr="00900EE3" w:rsidR="00197092" w:rsidP="00197092" w:rsidRDefault="00A42C2D">
      <w:pPr>
        <w:tabs>
          <w:tab w:val="left" w:pos="-1440"/>
          <w:tab w:val="left" w:pos="-720"/>
          <w:tab w:val="left" w:pos="0"/>
          <w:tab w:val="left" w:pos="720"/>
          <w:tab w:val="left" w:pos="108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color w:val="000000"/>
        </w:rPr>
      </w:pPr>
      <w:r w:rsidRPr="00900EE3">
        <w:rPr>
          <w:color w:val="000000"/>
        </w:rPr>
        <w:t xml:space="preserve">D.  </w:t>
      </w:r>
      <w:r w:rsidRPr="00900EE3" w:rsidR="00197092">
        <w:rPr>
          <w:color w:val="000000"/>
        </w:rPr>
        <w:t>Conflict</w:t>
      </w:r>
      <w:r w:rsidR="009B1BBF">
        <w:rPr>
          <w:color w:val="000000"/>
        </w:rPr>
        <w:t>s</w:t>
      </w:r>
      <w:r w:rsidRPr="00900EE3" w:rsidR="00197092">
        <w:rPr>
          <w:color w:val="000000"/>
        </w:rPr>
        <w:t xml:space="preserve"> of Interest: (3 hours per SRE</w:t>
      </w:r>
      <w:r w:rsidRPr="00900EE3" w:rsidR="00AB1BF0">
        <w:rPr>
          <w:color w:val="000000"/>
        </w:rPr>
        <w:t xml:space="preserve"> </w:t>
      </w:r>
      <w:r w:rsidRPr="00900EE3" w:rsidR="00BE6724">
        <w:rPr>
          <w:color w:val="000000"/>
        </w:rPr>
        <w:t>applicant</w:t>
      </w:r>
      <w:r w:rsidRPr="00900EE3" w:rsidR="00197092">
        <w:rPr>
          <w:color w:val="000000"/>
        </w:rPr>
        <w:t>)</w:t>
      </w:r>
    </w:p>
    <w:p w:rsidRPr="00900EE3" w:rsidR="00197092" w:rsidP="00197092" w:rsidRDefault="00197092">
      <w:pPr>
        <w:tabs>
          <w:tab w:val="left" w:pos="-1440"/>
          <w:tab w:val="left" w:pos="-720"/>
          <w:tab w:val="left" w:pos="0"/>
          <w:tab w:val="left" w:pos="720"/>
          <w:tab w:val="left" w:pos="108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color w:val="000000"/>
        </w:rPr>
      </w:pPr>
    </w:p>
    <w:p w:rsidRPr="00900EE3" w:rsidR="00197092" w:rsidP="00197092" w:rsidRDefault="00197092">
      <w:pPr>
        <w:tabs>
          <w:tab w:val="left" w:pos="-1440"/>
          <w:tab w:val="left" w:pos="-720"/>
          <w:tab w:val="left" w:pos="0"/>
          <w:tab w:val="left" w:pos="720"/>
          <w:tab w:val="left" w:pos="108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color w:val="000000"/>
        </w:rPr>
      </w:pPr>
      <w:r w:rsidRPr="00900EE3">
        <w:rPr>
          <w:color w:val="000000"/>
        </w:rPr>
        <w:lastRenderedPageBreak/>
        <w:t xml:space="preserve">It will take approximately 3 hours for the respondent to </w:t>
      </w:r>
      <w:r w:rsidR="009B1BBF">
        <w:rPr>
          <w:color w:val="000000"/>
        </w:rPr>
        <w:t>develop</w:t>
      </w:r>
      <w:r w:rsidRPr="00900EE3" w:rsidR="009B1BBF">
        <w:rPr>
          <w:color w:val="000000"/>
        </w:rPr>
        <w:t xml:space="preserve"> </w:t>
      </w:r>
      <w:r w:rsidRPr="009B1BBF" w:rsidR="009B1BBF">
        <w:rPr>
          <w:color w:val="000000"/>
        </w:rPr>
        <w:t>policies</w:t>
      </w:r>
      <w:r w:rsidR="009B1BBF">
        <w:rPr>
          <w:color w:val="000000"/>
        </w:rPr>
        <w:t xml:space="preserve"> and </w:t>
      </w:r>
      <w:r w:rsidRPr="009B1BBF" w:rsidR="009B1BBF">
        <w:rPr>
          <w:color w:val="000000"/>
        </w:rPr>
        <w:t>procedures</w:t>
      </w:r>
      <w:r w:rsidR="009B1BBF">
        <w:rPr>
          <w:color w:val="000000"/>
        </w:rPr>
        <w:t xml:space="preserve"> for mitigating </w:t>
      </w:r>
      <w:r w:rsidRPr="009B1BBF" w:rsidR="009B1BBF">
        <w:rPr>
          <w:color w:val="000000"/>
        </w:rPr>
        <w:t xml:space="preserve">any actual or potential </w:t>
      </w:r>
      <w:r w:rsidRPr="00900EE3">
        <w:rPr>
          <w:color w:val="000000"/>
        </w:rPr>
        <w:t>conflicts of interest and to gather and attach relevant documentation.</w:t>
      </w:r>
    </w:p>
    <w:p w:rsidRPr="00BE6724" w:rsidR="00197092" w:rsidP="0083607E" w:rsidRDefault="00197092">
      <w:pPr>
        <w:tabs>
          <w:tab w:val="left" w:pos="-1440"/>
          <w:tab w:val="left" w:pos="-720"/>
          <w:tab w:val="left" w:pos="0"/>
          <w:tab w:val="left" w:pos="720"/>
          <w:tab w:val="left" w:pos="108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p>
    <w:p w:rsidRPr="00BE6724" w:rsidR="0083607E" w:rsidP="00924AB5" w:rsidRDefault="0083607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E6724" w:rsidR="0083607E" w:rsidP="0083607E" w:rsidRDefault="0083607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E6724">
        <w:rPr>
          <w:b/>
          <w:u w:val="single"/>
        </w:rPr>
        <w:t xml:space="preserve">Time to Complete Section III—Evaluating and </w:t>
      </w:r>
      <w:r w:rsidRPr="00BE6724" w:rsidR="007F6DAA">
        <w:rPr>
          <w:b/>
          <w:u w:val="single"/>
        </w:rPr>
        <w:t xml:space="preserve">Monitoring </w:t>
      </w:r>
      <w:r w:rsidRPr="00BE6724">
        <w:rPr>
          <w:b/>
          <w:u w:val="single"/>
        </w:rPr>
        <w:t>Elements of a High-Quality Apprenticeship Program</w:t>
      </w:r>
      <w:r w:rsidRPr="00D72C43">
        <w:t>:</w:t>
      </w:r>
      <w:r w:rsidRPr="00BE6724">
        <w:t xml:space="preserve"> (</w:t>
      </w:r>
      <w:r w:rsidR="00A6366D">
        <w:t>60</w:t>
      </w:r>
      <w:r w:rsidRPr="00BE6724">
        <w:t xml:space="preserve"> hours per </w:t>
      </w:r>
      <w:r w:rsidRPr="00BE6724" w:rsidR="00491ED5">
        <w:t>SRE</w:t>
      </w:r>
      <w:r w:rsidR="00AB1BF0">
        <w:t xml:space="preserve"> </w:t>
      </w:r>
      <w:r w:rsidR="00BE6724">
        <w:t>applicant</w:t>
      </w:r>
      <w:r w:rsidRPr="00BE6724">
        <w:t xml:space="preserve">) </w:t>
      </w:r>
    </w:p>
    <w:p w:rsidRPr="00BE6724" w:rsidR="0083607E" w:rsidP="0083607E" w:rsidRDefault="0083607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BE6724" w:rsidR="0083607E" w:rsidP="0083607E" w:rsidRDefault="0083607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E6724">
        <w:t xml:space="preserve">The estimated average response time for the </w:t>
      </w:r>
      <w:r w:rsidRPr="00BE6724" w:rsidR="00491ED5">
        <w:t>SRE</w:t>
      </w:r>
      <w:r w:rsidRPr="00BE6724">
        <w:t xml:space="preserve"> </w:t>
      </w:r>
      <w:r w:rsidR="00BE6724">
        <w:t>applicant</w:t>
      </w:r>
      <w:r w:rsidRPr="00BE6724" w:rsidR="00BE6724">
        <w:t xml:space="preserve"> </w:t>
      </w:r>
      <w:r w:rsidRPr="00BE6724">
        <w:t>to provide information concerning the elements of their high-q</w:t>
      </w:r>
      <w:r w:rsidRPr="00BE6724" w:rsidR="00B61A2D">
        <w:t xml:space="preserve">uality apprenticeship program </w:t>
      </w:r>
      <w:r w:rsidRPr="00BE6724">
        <w:t xml:space="preserve">requested in this section is approximately </w:t>
      </w:r>
      <w:r w:rsidR="00A6366D">
        <w:t>60</w:t>
      </w:r>
      <w:r w:rsidR="00D02822">
        <w:t xml:space="preserve"> </w:t>
      </w:r>
      <w:r w:rsidRPr="00BE6724">
        <w:t xml:space="preserve">hours. This estimate includes the time to </w:t>
      </w:r>
      <w:r w:rsidR="00AC3D80">
        <w:t>develop the pertinent policies and procedures</w:t>
      </w:r>
      <w:r w:rsidR="00AA7E92">
        <w:t xml:space="preserve">, as well as to </w:t>
      </w:r>
      <w:r w:rsidRPr="00BE6724">
        <w:t xml:space="preserve">gather the documentation to be included in the subsections listed below.  </w:t>
      </w:r>
    </w:p>
    <w:p w:rsidRPr="00BE6724" w:rsidR="0083607E" w:rsidP="0083607E" w:rsidRDefault="0083607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60"/>
      </w:pPr>
    </w:p>
    <w:p w:rsidRPr="00BE6724" w:rsidR="006D79C5" w:rsidP="006D79C5" w:rsidRDefault="006D79C5">
      <w:pPr>
        <w:numPr>
          <w:ilvl w:val="0"/>
          <w:numId w:val="31"/>
        </w:numPr>
        <w:tabs>
          <w:tab w:val="left" w:pos="-1440"/>
          <w:tab w:val="left" w:pos="-720"/>
          <w:tab w:val="left" w:pos="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60" w:hanging="540"/>
      </w:pPr>
      <w:r w:rsidRPr="00BE6724">
        <w:rPr>
          <w:bCs/>
          <w:u w:val="single"/>
        </w:rPr>
        <w:t>Written Training Plan, Educational Partners, and Educational Credentials</w:t>
      </w:r>
      <w:r w:rsidR="00D02822">
        <w:t xml:space="preserve">: </w:t>
      </w:r>
      <w:r w:rsidRPr="00BE6724">
        <w:t>(</w:t>
      </w:r>
      <w:r w:rsidR="00A6366D">
        <w:t>7</w:t>
      </w:r>
      <w:r>
        <w:t xml:space="preserve"> </w:t>
      </w:r>
      <w:r w:rsidRPr="00BE6724">
        <w:t>hours per SRE</w:t>
      </w:r>
      <w:r>
        <w:t xml:space="preserve"> applicant</w:t>
      </w:r>
      <w:r w:rsidRPr="00BE6724">
        <w:t xml:space="preserve">) </w:t>
      </w:r>
      <w:r w:rsidRPr="00BE6724">
        <w:br/>
      </w:r>
    </w:p>
    <w:p w:rsidRPr="00CE6E7F" w:rsidR="006D79C5" w:rsidP="006D79C5" w:rsidRDefault="006D79C5">
      <w:pPr>
        <w:tabs>
          <w:tab w:val="left" w:pos="-1440"/>
          <w:tab w:val="left" w:pos="-72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highlight w:val="yellow"/>
        </w:rPr>
      </w:pPr>
      <w:r w:rsidRPr="00BE6724">
        <w:t xml:space="preserve">It is estimated that this section will take </w:t>
      </w:r>
      <w:r w:rsidR="00024272">
        <w:t>7</w:t>
      </w:r>
      <w:r w:rsidRPr="00BE6724">
        <w:t xml:space="preserve"> hours to </w:t>
      </w:r>
      <w:r w:rsidR="0097739C">
        <w:t>develop and attach</w:t>
      </w:r>
      <w:r w:rsidRPr="00BE6724" w:rsidR="0097739C">
        <w:t xml:space="preserve"> </w:t>
      </w:r>
      <w:r w:rsidRPr="00BE6724">
        <w:t xml:space="preserve">policies and procedures that the </w:t>
      </w:r>
      <w:r w:rsidR="0071182C">
        <w:t xml:space="preserve">SRE </w:t>
      </w:r>
      <w:r>
        <w:t>applicant</w:t>
      </w:r>
      <w:r w:rsidRPr="00BE6724">
        <w:t xml:space="preserve"> will adopt to evaluate and monitor </w:t>
      </w:r>
      <w:r>
        <w:t>IRAP</w:t>
      </w:r>
      <w:r w:rsidRPr="00BE6724">
        <w:t xml:space="preserve">(s) </w:t>
      </w:r>
      <w:r w:rsidR="0071182C">
        <w:t>written training plan, for consistency and compliance with the SRE’s requirement and regulatory standards</w:t>
      </w:r>
      <w:r w:rsidRPr="00BE6724">
        <w:t>.</w:t>
      </w:r>
      <w:r w:rsidRPr="00CE6E7F">
        <w:rPr>
          <w:highlight w:val="yellow"/>
        </w:rPr>
        <w:t xml:space="preserve"> </w:t>
      </w:r>
    </w:p>
    <w:p w:rsidRPr="00BE6724" w:rsidR="006D79C5" w:rsidP="006D79C5" w:rsidRDefault="006D79C5">
      <w:pPr>
        <w:tabs>
          <w:tab w:val="left" w:pos="-1440"/>
          <w:tab w:val="left" w:pos="-72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p>
    <w:p w:rsidRPr="00BE6724" w:rsidR="0083607E" w:rsidP="0083607E" w:rsidRDefault="0083607E">
      <w:pPr>
        <w:numPr>
          <w:ilvl w:val="0"/>
          <w:numId w:val="31"/>
        </w:num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0"/>
      </w:pPr>
      <w:r w:rsidRPr="00BE6724">
        <w:t>Paid Work Component: (</w:t>
      </w:r>
      <w:r w:rsidR="00B14A10">
        <w:t>3</w:t>
      </w:r>
      <w:r w:rsidRPr="00BE6724">
        <w:t xml:space="preserve"> hour</w:t>
      </w:r>
      <w:r w:rsidRPr="00BE6724" w:rsidR="00197092">
        <w:t>s</w:t>
      </w:r>
      <w:r w:rsidRPr="00BE6724">
        <w:t xml:space="preserve"> per </w:t>
      </w:r>
      <w:r w:rsidRPr="00BE6724" w:rsidR="00491ED5">
        <w:t>SRE</w:t>
      </w:r>
      <w:r w:rsidR="00AB1BF0">
        <w:t xml:space="preserve"> </w:t>
      </w:r>
      <w:r w:rsidR="00BE6724">
        <w:t>applicant</w:t>
      </w:r>
      <w:r w:rsidRPr="00BE6724">
        <w:t xml:space="preserve">) </w:t>
      </w:r>
    </w:p>
    <w:p w:rsidRPr="00BE6724" w:rsidR="00B61A2D" w:rsidP="0083607E" w:rsidRDefault="00B61A2D">
      <w:pPr>
        <w:tabs>
          <w:tab w:val="left" w:pos="-1440"/>
          <w:tab w:val="left" w:pos="-72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p>
    <w:p w:rsidRPr="00BE6724" w:rsidR="0083607E" w:rsidP="0083607E" w:rsidRDefault="0083607E">
      <w:pPr>
        <w:tabs>
          <w:tab w:val="left" w:pos="-1440"/>
          <w:tab w:val="left" w:pos="-72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BE6724">
        <w:t xml:space="preserve">It will take approximately </w:t>
      </w:r>
      <w:r w:rsidR="00024272">
        <w:t>3</w:t>
      </w:r>
      <w:r w:rsidRPr="00BE6724">
        <w:t xml:space="preserve"> hour</w:t>
      </w:r>
      <w:r w:rsidRPr="00BE6724" w:rsidR="0032663C">
        <w:t>s</w:t>
      </w:r>
      <w:r w:rsidRPr="00BE6724">
        <w:t xml:space="preserve"> to</w:t>
      </w:r>
      <w:r w:rsidRPr="00BE6724" w:rsidR="007F6DAA">
        <w:t xml:space="preserve"> </w:t>
      </w:r>
      <w:r w:rsidR="0097739C">
        <w:t>develop and attach</w:t>
      </w:r>
      <w:r w:rsidRPr="00BE6724" w:rsidR="007F6DAA">
        <w:t xml:space="preserve"> information related to the paid work component</w:t>
      </w:r>
      <w:r w:rsidRPr="00BE6724">
        <w:t xml:space="preserve">. </w:t>
      </w:r>
      <w:r w:rsidRPr="00BE6724" w:rsidR="00B61A2D">
        <w:t xml:space="preserve"> </w:t>
      </w:r>
    </w:p>
    <w:p w:rsidRPr="00BE6724" w:rsidR="0083607E" w:rsidP="0083607E" w:rsidRDefault="0083607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60"/>
      </w:pPr>
    </w:p>
    <w:p w:rsidRPr="00BE6724" w:rsidR="0083607E" w:rsidP="0083607E" w:rsidRDefault="0083607E">
      <w:pPr>
        <w:numPr>
          <w:ilvl w:val="0"/>
          <w:numId w:val="31"/>
        </w:num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0"/>
      </w:pPr>
      <w:r w:rsidRPr="00BE6724">
        <w:t>On</w:t>
      </w:r>
      <w:r w:rsidRPr="00BE6724" w:rsidR="00600028">
        <w:t>-</w:t>
      </w:r>
      <w:r w:rsidRPr="00BE6724">
        <w:t>the</w:t>
      </w:r>
      <w:r w:rsidRPr="00BE6724" w:rsidR="00600028">
        <w:t>-</w:t>
      </w:r>
      <w:r w:rsidRPr="00BE6724">
        <w:t>Job</w:t>
      </w:r>
      <w:r w:rsidRPr="00BE6724" w:rsidR="00600028">
        <w:t>-</w:t>
      </w:r>
      <w:r w:rsidRPr="00BE6724">
        <w:t>Instruction/Work Experience: (</w:t>
      </w:r>
      <w:r w:rsidR="00A6366D">
        <w:t>3</w:t>
      </w:r>
      <w:r w:rsidRPr="00BE6724" w:rsidR="00A6366D">
        <w:t xml:space="preserve"> </w:t>
      </w:r>
      <w:r w:rsidRPr="00BE6724">
        <w:t>hour</w:t>
      </w:r>
      <w:r w:rsidR="00A6366D">
        <w:t>s</w:t>
      </w:r>
      <w:r w:rsidRPr="00BE6724">
        <w:t xml:space="preserve"> per </w:t>
      </w:r>
      <w:r w:rsidRPr="00BE6724" w:rsidR="00491ED5">
        <w:t>SRE</w:t>
      </w:r>
      <w:r w:rsidR="00AB1BF0">
        <w:t xml:space="preserve"> </w:t>
      </w:r>
      <w:r w:rsidR="00BE6724">
        <w:t>applicant</w:t>
      </w:r>
      <w:r w:rsidRPr="00BE6724">
        <w:t xml:space="preserve">) </w:t>
      </w:r>
    </w:p>
    <w:p w:rsidRPr="00BE6724" w:rsidR="0083607E" w:rsidP="0083607E" w:rsidRDefault="0083607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firstLine="180"/>
      </w:pPr>
    </w:p>
    <w:p w:rsidRPr="00BE6724" w:rsidR="0083607E" w:rsidP="00A6366D" w:rsidRDefault="0083607E">
      <w:pPr>
        <w:tabs>
          <w:tab w:val="left" w:pos="-1440"/>
          <w:tab w:val="left" w:pos="-72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BE6724">
        <w:lastRenderedPageBreak/>
        <w:t xml:space="preserve">On average, it should take </w:t>
      </w:r>
      <w:r w:rsidR="00024272">
        <w:t>3</w:t>
      </w:r>
      <w:r w:rsidRPr="00BE6724" w:rsidR="00024272">
        <w:t xml:space="preserve"> </w:t>
      </w:r>
      <w:r w:rsidRPr="00BE6724">
        <w:t>hour</w:t>
      </w:r>
      <w:r w:rsidR="00024272">
        <w:t>s</w:t>
      </w:r>
      <w:r w:rsidRPr="00BE6724">
        <w:t xml:space="preserve"> for </w:t>
      </w:r>
      <w:r w:rsidRPr="00BE6724" w:rsidR="00CB5A7A">
        <w:t>a</w:t>
      </w:r>
      <w:r w:rsidR="00BE6724">
        <w:t>n</w:t>
      </w:r>
      <w:r w:rsidRPr="00BE6724" w:rsidR="00CB5A7A">
        <w:t xml:space="preserve"> </w:t>
      </w:r>
      <w:r w:rsidR="00BE6724">
        <w:t>applicant</w:t>
      </w:r>
      <w:r w:rsidRPr="00BE6724" w:rsidR="00BE6724">
        <w:t xml:space="preserve"> </w:t>
      </w:r>
      <w:r w:rsidRPr="00BE6724">
        <w:t xml:space="preserve">to </w:t>
      </w:r>
      <w:r w:rsidR="0097739C">
        <w:t>develop and attach</w:t>
      </w:r>
      <w:r w:rsidRPr="00BE6724">
        <w:t xml:space="preserve"> the structured work experiences and mentoring opportunities for apprentices enrolled in their program(s).</w:t>
      </w:r>
    </w:p>
    <w:p w:rsidRPr="00BE6724" w:rsidR="0083607E" w:rsidP="0083607E" w:rsidRDefault="0083607E">
      <w:pPr>
        <w:tabs>
          <w:tab w:val="left" w:pos="-1440"/>
          <w:tab w:val="left" w:pos="-720"/>
          <w:tab w:val="left" w:pos="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60"/>
      </w:pPr>
    </w:p>
    <w:p w:rsidR="006D79C5" w:rsidP="0083607E" w:rsidRDefault="006D79C5">
      <w:pPr>
        <w:numPr>
          <w:ilvl w:val="0"/>
          <w:numId w:val="31"/>
        </w:numPr>
        <w:tabs>
          <w:tab w:val="left" w:pos="-1440"/>
          <w:tab w:val="left" w:pos="-720"/>
          <w:tab w:val="left" w:pos="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60" w:hanging="540"/>
      </w:pPr>
      <w:r>
        <w:t xml:space="preserve">Related Instructions: </w:t>
      </w:r>
      <w:r w:rsidR="0071182C">
        <w:t>(</w:t>
      </w:r>
      <w:r w:rsidR="00A6366D">
        <w:t>7</w:t>
      </w:r>
      <w:r w:rsidR="0071182C">
        <w:t xml:space="preserve"> hours per SRE applicant)</w:t>
      </w:r>
    </w:p>
    <w:p w:rsidR="0071182C" w:rsidP="00126785" w:rsidRDefault="0071182C">
      <w:pPr>
        <w:tabs>
          <w:tab w:val="left" w:pos="-1440"/>
          <w:tab w:val="left" w:pos="-720"/>
          <w:tab w:val="left" w:pos="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60"/>
      </w:pPr>
    </w:p>
    <w:p w:rsidR="006D79C5" w:rsidP="00126785" w:rsidRDefault="0071182C">
      <w:pPr>
        <w:pStyle w:val="ListParagraph"/>
        <w:tabs>
          <w:tab w:val="left" w:pos="-1440"/>
          <w:tab w:val="left" w:pos="-72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I</w:t>
      </w:r>
      <w:r w:rsidR="00D02822">
        <w:t>t</w:t>
      </w:r>
      <w:r>
        <w:t xml:space="preserve"> is estimated that </w:t>
      </w:r>
      <w:r w:rsidR="00760332">
        <w:t>it</w:t>
      </w:r>
      <w:r>
        <w:t xml:space="preserve"> will take </w:t>
      </w:r>
      <w:r w:rsidR="00024272">
        <w:t>7</w:t>
      </w:r>
      <w:r>
        <w:t xml:space="preserve"> hours </w:t>
      </w:r>
      <w:r w:rsidR="002518A4">
        <w:t xml:space="preserve">for an applicant </w:t>
      </w:r>
      <w:r>
        <w:t xml:space="preserve">to </w:t>
      </w:r>
      <w:r w:rsidR="0097739C">
        <w:t>develop and attach</w:t>
      </w:r>
      <w:r>
        <w:t xml:space="preserve"> policies and procedures that the SRE applicant will adopt to evaluate and monitor IRAP(s) </w:t>
      </w:r>
      <w:r w:rsidRPr="00BE6724" w:rsidR="006D79C5">
        <w:t xml:space="preserve">related instruction that is appropriate and adequate to help apprentices </w:t>
      </w:r>
      <w:r>
        <w:t xml:space="preserve">demonstrate competency and </w:t>
      </w:r>
      <w:r w:rsidRPr="00BE6724" w:rsidR="006D79C5">
        <w:t>earn credential</w:t>
      </w:r>
      <w:r>
        <w:t>(</w:t>
      </w:r>
      <w:r w:rsidRPr="00BE6724" w:rsidR="006D79C5">
        <w:t>s</w:t>
      </w:r>
      <w:r>
        <w:t>), and provide apprentices progressively advancing industry-essential skills.</w:t>
      </w:r>
      <w:r w:rsidRPr="00BE6724" w:rsidR="006D79C5">
        <w:t xml:space="preserve"> This section includes the attachment of documentation about educational partners or vendors of related instruction.</w:t>
      </w:r>
    </w:p>
    <w:p w:rsidR="006D79C5" w:rsidP="00126785" w:rsidRDefault="006D79C5">
      <w:pPr>
        <w:tabs>
          <w:tab w:val="left" w:pos="-1440"/>
          <w:tab w:val="left" w:pos="-720"/>
          <w:tab w:val="left" w:pos="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60"/>
      </w:pPr>
    </w:p>
    <w:p w:rsidRPr="00BE6724" w:rsidR="0083607E" w:rsidP="0083607E" w:rsidRDefault="0083607E">
      <w:pPr>
        <w:numPr>
          <w:ilvl w:val="0"/>
          <w:numId w:val="31"/>
        </w:numPr>
        <w:tabs>
          <w:tab w:val="left" w:pos="-1440"/>
          <w:tab w:val="left" w:pos="-720"/>
          <w:tab w:val="left" w:pos="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60" w:hanging="540"/>
      </w:pPr>
      <w:r w:rsidRPr="00BE6724">
        <w:t>Occupations and Occupational Credentials: (</w:t>
      </w:r>
      <w:r w:rsidR="0097739C">
        <w:t>30</w:t>
      </w:r>
      <w:r w:rsidRPr="00BE6724" w:rsidR="00A6366D">
        <w:t xml:space="preserve"> </w:t>
      </w:r>
      <w:r w:rsidRPr="00BE6724">
        <w:t xml:space="preserve">hours per </w:t>
      </w:r>
      <w:r w:rsidRPr="00BE6724" w:rsidR="00491ED5">
        <w:t>SRE</w:t>
      </w:r>
      <w:r w:rsidR="00AB1BF0">
        <w:t xml:space="preserve"> </w:t>
      </w:r>
      <w:r w:rsidR="00BE6724">
        <w:t>applicant</w:t>
      </w:r>
      <w:r w:rsidRPr="00BE6724">
        <w:t>)</w:t>
      </w:r>
    </w:p>
    <w:p w:rsidRPr="00BE6724" w:rsidR="0083607E" w:rsidP="0083607E" w:rsidRDefault="0083607E">
      <w:pPr>
        <w:tabs>
          <w:tab w:val="left" w:pos="-1440"/>
          <w:tab w:val="left" w:pos="-720"/>
          <w:tab w:val="left" w:pos="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p>
    <w:p w:rsidRPr="00BE6724" w:rsidR="0083607E" w:rsidP="0083607E" w:rsidRDefault="00E132D9">
      <w:pPr>
        <w:tabs>
          <w:tab w:val="left" w:pos="-1440"/>
          <w:tab w:val="left" w:pos="-72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BE6724">
        <w:t xml:space="preserve">For purposes of this estimate, the Department has assumed </w:t>
      </w:r>
      <w:r w:rsidRPr="00BE6724" w:rsidR="0083607E">
        <w:t xml:space="preserve">an average of </w:t>
      </w:r>
      <w:r w:rsidR="00A22D9F">
        <w:t>10</w:t>
      </w:r>
      <w:r w:rsidRPr="00BE6724" w:rsidR="00A22D9F">
        <w:t xml:space="preserve"> </w:t>
      </w:r>
      <w:r w:rsidRPr="00BE6724" w:rsidR="00CB5A7A">
        <w:t>recogniz</w:t>
      </w:r>
      <w:r w:rsidRPr="00BE6724" w:rsidR="0083607E">
        <w:t xml:space="preserve">ed occupations per </w:t>
      </w:r>
      <w:r w:rsidRPr="00BE6724" w:rsidR="00491ED5">
        <w:t>SRE</w:t>
      </w:r>
      <w:r w:rsidR="00414DCC">
        <w:t xml:space="preserve"> applicant</w:t>
      </w:r>
      <w:r w:rsidRPr="00BE6724" w:rsidR="00C01FE8">
        <w:t>;</w:t>
      </w:r>
      <w:r w:rsidRPr="00BE6724" w:rsidR="0083607E">
        <w:t xml:space="preserve"> it will take approximately </w:t>
      </w:r>
      <w:r w:rsidR="00A22D9F">
        <w:t>3</w:t>
      </w:r>
      <w:r w:rsidRPr="00BE6724" w:rsidR="00A22D9F">
        <w:t xml:space="preserve"> </w:t>
      </w:r>
      <w:r w:rsidRPr="00BE6724" w:rsidR="00EB0F34">
        <w:t>hours</w:t>
      </w:r>
      <w:r w:rsidRPr="00BE6724" w:rsidR="0083607E">
        <w:t xml:space="preserve"> per occupation to complete the requirements of this section for a total of </w:t>
      </w:r>
      <w:r w:rsidR="00024272">
        <w:t>30</w:t>
      </w:r>
      <w:r w:rsidRPr="00BE6724" w:rsidR="00024272">
        <w:t xml:space="preserve"> </w:t>
      </w:r>
      <w:r w:rsidRPr="00BE6724" w:rsidR="00EB0F34">
        <w:t>hours</w:t>
      </w:r>
      <w:r w:rsidRPr="00BE6724" w:rsidR="0083607E">
        <w:t xml:space="preserve"> (</w:t>
      </w:r>
      <w:r w:rsidRPr="00BE6724" w:rsidR="00DC7608">
        <w:t xml:space="preserve">= </w:t>
      </w:r>
      <w:r w:rsidRPr="00BE6724" w:rsidR="0083607E">
        <w:t xml:space="preserve">10 </w:t>
      </w:r>
      <w:r w:rsidRPr="00BE6724" w:rsidR="006D5D0B">
        <w:t xml:space="preserve">occupations </w:t>
      </w:r>
      <w:r w:rsidRPr="00BE6724" w:rsidR="00BB3282">
        <w:t>×</w:t>
      </w:r>
      <w:r w:rsidRPr="00BE6724" w:rsidR="0083607E">
        <w:t xml:space="preserve"> </w:t>
      </w:r>
      <w:r w:rsidR="0097739C">
        <w:t>3</w:t>
      </w:r>
      <w:r w:rsidRPr="00BE6724" w:rsidR="0097739C">
        <w:t xml:space="preserve"> </w:t>
      </w:r>
      <w:r w:rsidRPr="00BE6724" w:rsidR="00D760DB">
        <w:t>hour</w:t>
      </w:r>
      <w:r w:rsidR="0097739C">
        <w:t>s</w:t>
      </w:r>
      <w:r w:rsidRPr="00BE6724" w:rsidR="0083607E">
        <w:t xml:space="preserve">). </w:t>
      </w:r>
      <w:r w:rsidRPr="00BE6724" w:rsidR="00B61A2D">
        <w:t xml:space="preserve"> </w:t>
      </w:r>
      <w:r w:rsidRPr="00BE6724" w:rsidR="00607DEA">
        <w:t xml:space="preserve"> </w:t>
      </w:r>
    </w:p>
    <w:p w:rsidRPr="00BE6724" w:rsidR="0083607E" w:rsidP="0083607E" w:rsidRDefault="0083607E">
      <w:pPr>
        <w:tabs>
          <w:tab w:val="left" w:pos="-1440"/>
          <w:tab w:val="left" w:pos="-720"/>
          <w:tab w:val="left" w:pos="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60"/>
      </w:pPr>
    </w:p>
    <w:p w:rsidRPr="00BE6724" w:rsidR="0083607E" w:rsidP="0083607E" w:rsidRDefault="0083607E">
      <w:pPr>
        <w:numPr>
          <w:ilvl w:val="0"/>
          <w:numId w:val="31"/>
        </w:numPr>
        <w:tabs>
          <w:tab w:val="left" w:pos="-1440"/>
          <w:tab w:val="left" w:pos="-720"/>
          <w:tab w:val="left" w:pos="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60" w:hanging="540"/>
      </w:pPr>
      <w:r w:rsidRPr="00BE6724">
        <w:t>Equal Employment Opportunity (EEO) Requirements: (</w:t>
      </w:r>
      <w:r w:rsidR="00B14A10">
        <w:t>10</w:t>
      </w:r>
      <w:r w:rsidRPr="00BE6724" w:rsidR="00A6366D">
        <w:t xml:space="preserve"> </w:t>
      </w:r>
      <w:r w:rsidRPr="00BE6724">
        <w:t xml:space="preserve">hours per </w:t>
      </w:r>
      <w:r w:rsidRPr="00BE6724" w:rsidR="00491ED5">
        <w:t>SRE</w:t>
      </w:r>
      <w:r w:rsidR="00AB1BF0">
        <w:t xml:space="preserve"> </w:t>
      </w:r>
      <w:r w:rsidR="00BE6724">
        <w:t>applicant</w:t>
      </w:r>
      <w:r w:rsidRPr="00BE6724">
        <w:t xml:space="preserve">) </w:t>
      </w:r>
    </w:p>
    <w:p w:rsidRPr="00BE6724" w:rsidR="0083607E" w:rsidP="0083607E" w:rsidRDefault="0083607E">
      <w:pPr>
        <w:tabs>
          <w:tab w:val="left" w:pos="-1440"/>
          <w:tab w:val="left" w:pos="-720"/>
          <w:tab w:val="left" w:pos="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60"/>
      </w:pPr>
    </w:p>
    <w:p w:rsidRPr="00CE6E7F" w:rsidR="0083607E" w:rsidP="0083607E" w:rsidRDefault="0083607E">
      <w:pPr>
        <w:tabs>
          <w:tab w:val="left" w:pos="-1440"/>
          <w:tab w:val="left" w:pos="-72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highlight w:val="yellow"/>
        </w:rPr>
      </w:pPr>
      <w:r w:rsidRPr="00BE6724">
        <w:t xml:space="preserve">It will take approximately </w:t>
      </w:r>
      <w:r w:rsidR="00760332">
        <w:t>10</w:t>
      </w:r>
      <w:r w:rsidRPr="00BE6724" w:rsidR="00760332">
        <w:t xml:space="preserve"> </w:t>
      </w:r>
      <w:r w:rsidRPr="00BE6724">
        <w:t xml:space="preserve">hours for each </w:t>
      </w:r>
      <w:r w:rsidRPr="00BE6724" w:rsidR="00491ED5">
        <w:t>SRE</w:t>
      </w:r>
      <w:r w:rsidRPr="00BE6724">
        <w:t xml:space="preserve"> </w:t>
      </w:r>
      <w:r w:rsidR="00BE6724">
        <w:t>applicant</w:t>
      </w:r>
      <w:r w:rsidRPr="00BE6724" w:rsidR="00BE6724">
        <w:t xml:space="preserve"> </w:t>
      </w:r>
      <w:r w:rsidRPr="00BE6724">
        <w:t xml:space="preserve">to </w:t>
      </w:r>
      <w:r w:rsidR="0097739C">
        <w:t>develop and attach</w:t>
      </w:r>
      <w:r w:rsidRPr="00BE6724">
        <w:t xml:space="preserve"> policies and procedures that the </w:t>
      </w:r>
      <w:r w:rsidR="00DF0B25">
        <w:t>applicant</w:t>
      </w:r>
      <w:r w:rsidRPr="00BE6724" w:rsidR="00DF0B25">
        <w:t xml:space="preserve"> </w:t>
      </w:r>
      <w:r w:rsidRPr="00BE6724">
        <w:t xml:space="preserve">will adopt to </w:t>
      </w:r>
      <w:r w:rsidRPr="00BE6724" w:rsidR="00DA5663">
        <w:t>evaluate and monitor</w:t>
      </w:r>
      <w:r w:rsidRPr="00BE6724">
        <w:t xml:space="preserve"> </w:t>
      </w:r>
      <w:r w:rsidR="00757F92">
        <w:t>IRAP</w:t>
      </w:r>
      <w:r w:rsidRPr="00BE6724">
        <w:t xml:space="preserve">(s) </w:t>
      </w:r>
      <w:r w:rsidRPr="00BE6724" w:rsidR="00DA5663">
        <w:t>Equal Employment Opportunity efforts</w:t>
      </w:r>
      <w:r w:rsidRPr="00BE6724">
        <w:t>.</w:t>
      </w:r>
      <w:r w:rsidRPr="00CE6E7F">
        <w:rPr>
          <w:highlight w:val="yellow"/>
        </w:rPr>
        <w:t xml:space="preserve"> </w:t>
      </w:r>
    </w:p>
    <w:p w:rsidRPr="00CE6E7F" w:rsidR="0083607E" w:rsidP="0083607E" w:rsidRDefault="0083607E">
      <w:pPr>
        <w:tabs>
          <w:tab w:val="left" w:pos="-1440"/>
          <w:tab w:val="left" w:pos="-720"/>
          <w:tab w:val="left" w:pos="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60"/>
        <w:contextualSpacing/>
        <w:rPr>
          <w:highlight w:val="yellow"/>
        </w:rPr>
      </w:pPr>
    </w:p>
    <w:p w:rsidRPr="00DF0B25" w:rsidR="0083607E" w:rsidP="2DDD3DEB" w:rsidRDefault="0083607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highlight w:val="yellow"/>
        </w:rPr>
      </w:pPr>
      <w:r w:rsidRPr="00F01688">
        <w:rPr>
          <w:b/>
          <w:u w:val="single"/>
        </w:rPr>
        <w:lastRenderedPageBreak/>
        <w:t>Time to Complete Section IV—Policies and Procedures</w:t>
      </w:r>
      <w:r w:rsidRPr="00D72C43">
        <w:t>:</w:t>
      </w:r>
      <w:r w:rsidRPr="00DF0B25">
        <w:t xml:space="preserve"> (</w:t>
      </w:r>
      <w:r w:rsidR="0094519D">
        <w:t>40</w:t>
      </w:r>
      <w:r w:rsidRPr="00DF0B25" w:rsidR="0094519D">
        <w:t xml:space="preserve"> </w:t>
      </w:r>
      <w:r w:rsidRPr="00DF0B25">
        <w:t xml:space="preserve">hours per </w:t>
      </w:r>
      <w:r w:rsidRPr="00DF0B25" w:rsidR="00491ED5">
        <w:t>SRE</w:t>
      </w:r>
      <w:r w:rsidR="00AB1BF0">
        <w:t xml:space="preserve"> </w:t>
      </w:r>
      <w:r w:rsidR="00DF0B25">
        <w:t>applicant</w:t>
      </w:r>
      <w:r w:rsidRPr="00DF0B25">
        <w:t xml:space="preserve">) </w:t>
      </w:r>
    </w:p>
    <w:p w:rsidRPr="0069689B" w:rsidR="0083607E" w:rsidP="2DDD3DEB" w:rsidRDefault="0083607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highlight w:val="yellow"/>
        </w:rPr>
      </w:pPr>
    </w:p>
    <w:p w:rsidRPr="00DF0B25" w:rsidR="0083607E" w:rsidP="2DDD3DEB" w:rsidRDefault="0083607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highlight w:val="yellow"/>
        </w:rPr>
      </w:pPr>
      <w:r w:rsidRPr="00DF0B25">
        <w:t xml:space="preserve">The estimated average response time for the </w:t>
      </w:r>
      <w:r w:rsidRPr="00DF0B25" w:rsidR="00491ED5">
        <w:t>SRE</w:t>
      </w:r>
      <w:r w:rsidRPr="00DF0B25">
        <w:t xml:space="preserve"> </w:t>
      </w:r>
      <w:r w:rsidR="00DF0B25">
        <w:t>applicant</w:t>
      </w:r>
      <w:r w:rsidRPr="00DF0B25" w:rsidR="00DF0B25">
        <w:t xml:space="preserve"> </w:t>
      </w:r>
      <w:r w:rsidRPr="00DF0B25">
        <w:t xml:space="preserve">to </w:t>
      </w:r>
      <w:r w:rsidR="002518A4">
        <w:t xml:space="preserve">develop and </w:t>
      </w:r>
      <w:r w:rsidRPr="00DF0B25">
        <w:t xml:space="preserve">provide information concerning their proposed general processes, policies, and procedures for </w:t>
      </w:r>
      <w:r w:rsidRPr="00DF0B25" w:rsidR="00CB5A7A">
        <w:t>recogniz</w:t>
      </w:r>
      <w:r w:rsidRPr="00DF0B25">
        <w:t xml:space="preserve">ing and </w:t>
      </w:r>
      <w:r w:rsidRPr="00DF0B25" w:rsidR="00223B57">
        <w:t xml:space="preserve">monitoring </w:t>
      </w:r>
      <w:r w:rsidRPr="00DF0B25">
        <w:t xml:space="preserve">industry-recognized apprenticeship programs requested in this section is approximately </w:t>
      </w:r>
      <w:r w:rsidR="002518A4">
        <w:t>40</w:t>
      </w:r>
      <w:r w:rsidRPr="00DF0B25" w:rsidR="002518A4">
        <w:t xml:space="preserve"> </w:t>
      </w:r>
      <w:r w:rsidRPr="00DF0B25">
        <w:t xml:space="preserve">hours. This estimate includes the time to </w:t>
      </w:r>
      <w:r w:rsidR="00171931">
        <w:t>develop the pertinent policies and procedures</w:t>
      </w:r>
      <w:r w:rsidR="00AA7E92">
        <w:t xml:space="preserve">, as well as to </w:t>
      </w:r>
      <w:r w:rsidRPr="00DF0B25">
        <w:t>gather the documentation to be included in the subsections listed below.</w:t>
      </w:r>
    </w:p>
    <w:p w:rsidRPr="0069689B" w:rsidR="0083607E" w:rsidP="2DDD3DEB" w:rsidRDefault="0083607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highlight w:val="yellow"/>
        </w:rPr>
      </w:pPr>
    </w:p>
    <w:p w:rsidRPr="00DF0B25" w:rsidR="0083607E" w:rsidP="2DDD3DEB" w:rsidRDefault="0083607E">
      <w:pPr>
        <w:tabs>
          <w:tab w:val="left" w:pos="-144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highlight w:val="yellow"/>
        </w:rPr>
      </w:pPr>
      <w:r w:rsidRPr="00DF0B25">
        <w:t>A.</w:t>
      </w:r>
      <w:r w:rsidRPr="00BE6724">
        <w:tab/>
      </w:r>
      <w:r w:rsidRPr="00DF0B25">
        <w:t xml:space="preserve">General </w:t>
      </w:r>
      <w:r w:rsidRPr="00DF0B25" w:rsidR="00CB5A7A">
        <w:t>Recognition</w:t>
      </w:r>
      <w:r w:rsidRPr="00DF0B25">
        <w:t xml:space="preserve"> Process</w:t>
      </w:r>
      <w:r w:rsidRPr="00DF0B25" w:rsidR="00F3513E">
        <w:t>es</w:t>
      </w:r>
      <w:r w:rsidR="0071182C">
        <w:t>:</w:t>
      </w:r>
      <w:r w:rsidRPr="00DF0B25">
        <w:t xml:space="preserve"> (</w:t>
      </w:r>
      <w:r w:rsidR="0094519D">
        <w:t>4</w:t>
      </w:r>
      <w:r w:rsidRPr="00DF0B25" w:rsidR="0094519D">
        <w:t xml:space="preserve"> </w:t>
      </w:r>
      <w:r w:rsidRPr="00DF0B25">
        <w:t>hour</w:t>
      </w:r>
      <w:r w:rsidR="004D3EB4">
        <w:t>s</w:t>
      </w:r>
      <w:r w:rsidRPr="00DF0B25">
        <w:t xml:space="preserve"> per </w:t>
      </w:r>
      <w:r w:rsidRPr="00DF0B25" w:rsidR="00491ED5">
        <w:t>SRE</w:t>
      </w:r>
      <w:r w:rsidR="00AB1BF0">
        <w:t xml:space="preserve"> </w:t>
      </w:r>
      <w:r w:rsidR="00DF0B25">
        <w:t>applicant</w:t>
      </w:r>
      <w:r w:rsidRPr="00DF0B25">
        <w:t>)</w:t>
      </w:r>
    </w:p>
    <w:p w:rsidRPr="0069689B" w:rsidR="0083607E" w:rsidP="2DDD3DEB" w:rsidRDefault="0083607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rPr>
          <w:highlight w:val="yellow"/>
        </w:rPr>
      </w:pPr>
    </w:p>
    <w:p w:rsidRPr="00CE6E7F" w:rsidR="0083607E" w:rsidP="2DDD3DEB" w:rsidRDefault="0083607E">
      <w:pPr>
        <w:tabs>
          <w:tab w:val="left" w:pos="-1440"/>
          <w:tab w:val="left" w:pos="-720"/>
          <w:tab w:val="left" w:pos="27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highlight w:val="yellow"/>
        </w:rPr>
      </w:pPr>
      <w:r w:rsidRPr="2DDD3DEB">
        <w:t xml:space="preserve">It is estimated to take </w:t>
      </w:r>
      <w:r w:rsidR="005913E1">
        <w:t>4</w:t>
      </w:r>
      <w:r w:rsidRPr="00DF0B25" w:rsidR="005913E1">
        <w:t xml:space="preserve"> </w:t>
      </w:r>
      <w:r w:rsidRPr="00DF0B25">
        <w:t>hour</w:t>
      </w:r>
      <w:r w:rsidR="005913E1">
        <w:t>s</w:t>
      </w:r>
      <w:r w:rsidRPr="00DF0B25">
        <w:t xml:space="preserve"> to </w:t>
      </w:r>
      <w:r w:rsidR="00A22D9F">
        <w:t>develop and attach</w:t>
      </w:r>
      <w:r w:rsidRPr="00DF0B25" w:rsidR="00A22D9F">
        <w:t xml:space="preserve"> </w:t>
      </w:r>
      <w:r w:rsidRPr="00DF0B25">
        <w:t xml:space="preserve">the </w:t>
      </w:r>
      <w:r w:rsidRPr="00DF0B25" w:rsidR="002D6F9C">
        <w:t>entity</w:t>
      </w:r>
      <w:r w:rsidRPr="00DF0B25" w:rsidR="006771CA">
        <w:t>’</w:t>
      </w:r>
      <w:r w:rsidRPr="00DF0B25">
        <w:t xml:space="preserve">s proposed general processes, policies, and procedures for </w:t>
      </w:r>
      <w:r w:rsidRPr="0069689B" w:rsidR="00CB5A7A">
        <w:t>recogniz</w:t>
      </w:r>
      <w:r w:rsidRPr="2DDD3DEB">
        <w:t xml:space="preserve">ing and overseeing high-quality industry-recognized apprenticeship programs.  </w:t>
      </w:r>
    </w:p>
    <w:p w:rsidRPr="00CE6E7F" w:rsidR="0083607E" w:rsidP="2DDD3DEB" w:rsidRDefault="0083607E">
      <w:pPr>
        <w:tabs>
          <w:tab w:val="left" w:pos="-1440"/>
          <w:tab w:val="left" w:pos="-720"/>
          <w:tab w:val="left" w:pos="27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highlight w:val="yellow"/>
        </w:rPr>
      </w:pPr>
    </w:p>
    <w:p w:rsidRPr="00DF0B25" w:rsidR="0083607E" w:rsidP="2DDD3DEB" w:rsidRDefault="0083607E">
      <w:pPr>
        <w:tabs>
          <w:tab w:val="left" w:pos="-144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highlight w:val="yellow"/>
        </w:rPr>
      </w:pPr>
      <w:r w:rsidRPr="00DF0B25">
        <w:t>B.</w:t>
      </w:r>
      <w:r w:rsidRPr="00BE6724">
        <w:tab/>
      </w:r>
      <w:r w:rsidRPr="00DF0B25">
        <w:t>Data and Records Collection, Management and Retention</w:t>
      </w:r>
      <w:r w:rsidR="0071182C">
        <w:t>:</w:t>
      </w:r>
      <w:r w:rsidRPr="00DF0B25">
        <w:t xml:space="preserve"> (</w:t>
      </w:r>
      <w:r w:rsidR="0094519D">
        <w:t>20</w:t>
      </w:r>
      <w:r w:rsidRPr="00DF0B25" w:rsidR="0094519D">
        <w:t xml:space="preserve"> </w:t>
      </w:r>
      <w:r w:rsidRPr="00DF0B25">
        <w:t xml:space="preserve">hours per </w:t>
      </w:r>
      <w:r w:rsidRPr="00DF0B25" w:rsidR="00491ED5">
        <w:t>SRE</w:t>
      </w:r>
      <w:r w:rsidR="00AB1BF0">
        <w:t xml:space="preserve"> </w:t>
      </w:r>
      <w:r w:rsidR="00DF0B25">
        <w:t>applicant</w:t>
      </w:r>
      <w:r w:rsidRPr="00DF0B25">
        <w:t xml:space="preserve">) </w:t>
      </w:r>
    </w:p>
    <w:p w:rsidRPr="0069689B" w:rsidR="0083607E" w:rsidP="2DDD3DEB" w:rsidRDefault="0083607E">
      <w:pPr>
        <w:tabs>
          <w:tab w:val="left" w:pos="-144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highlight w:val="yellow"/>
        </w:rPr>
      </w:pPr>
    </w:p>
    <w:p w:rsidRPr="00CE6E7F" w:rsidR="0083607E" w:rsidP="2DDD3DEB" w:rsidRDefault="0083607E">
      <w:pPr>
        <w:tabs>
          <w:tab w:val="left" w:pos="-144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highlight w:val="yellow"/>
        </w:rPr>
      </w:pPr>
      <w:r w:rsidRPr="2DDD3DEB">
        <w:t xml:space="preserve">It is estimated to take </w:t>
      </w:r>
      <w:r w:rsidR="005913E1">
        <w:t>20</w:t>
      </w:r>
      <w:r w:rsidRPr="2DDD3DEB" w:rsidR="005913E1">
        <w:t xml:space="preserve"> </w:t>
      </w:r>
      <w:r w:rsidRPr="2DDD3DEB">
        <w:t xml:space="preserve">hours to </w:t>
      </w:r>
      <w:r w:rsidR="00A22D9F">
        <w:t>develop and attach</w:t>
      </w:r>
      <w:r w:rsidRPr="2DDD3DEB">
        <w:t xml:space="preserve"> the approach the </w:t>
      </w:r>
      <w:r w:rsidRPr="2DDD3DEB" w:rsidR="002D6F9C">
        <w:t>entity</w:t>
      </w:r>
      <w:r w:rsidRPr="2DDD3DEB">
        <w:t xml:space="preserve"> will take to </w:t>
      </w:r>
      <w:r w:rsidRPr="2DDD3DEB" w:rsidR="00410FE6">
        <w:t xml:space="preserve">address the </w:t>
      </w:r>
      <w:r w:rsidRPr="2DDD3DEB" w:rsidR="00204CE3">
        <w:t>inquiries</w:t>
      </w:r>
      <w:r w:rsidRPr="2DDD3DEB" w:rsidR="00410FE6">
        <w:t xml:space="preserve"> in this section</w:t>
      </w:r>
      <w:r w:rsidRPr="2DDD3DEB">
        <w:t>.</w:t>
      </w:r>
    </w:p>
    <w:p w:rsidRPr="00CE6E7F" w:rsidR="0083607E" w:rsidP="2DDD3DEB" w:rsidRDefault="0083607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60"/>
        <w:rPr>
          <w:highlight w:val="yellow"/>
        </w:rPr>
      </w:pPr>
    </w:p>
    <w:p w:rsidRPr="00DF0B25" w:rsidR="0083607E" w:rsidP="2DDD3DEB" w:rsidRDefault="0083607E">
      <w:pPr>
        <w:tabs>
          <w:tab w:val="left" w:pos="-144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highlight w:val="yellow"/>
        </w:rPr>
      </w:pPr>
      <w:r w:rsidRPr="00DF0B25">
        <w:t>C.</w:t>
      </w:r>
      <w:r w:rsidRPr="00BE6724">
        <w:tab/>
      </w:r>
      <w:r w:rsidRPr="00DF0B25" w:rsidR="00CB5A7A">
        <w:t>Standards Recognition Entity</w:t>
      </w:r>
      <w:r w:rsidRPr="00DF0B25">
        <w:t xml:space="preserve"> and </w:t>
      </w:r>
      <w:r w:rsidRPr="00DF0B25" w:rsidR="00CB5A7A">
        <w:t>Recognition</w:t>
      </w:r>
      <w:r w:rsidRPr="00DF0B25">
        <w:t xml:space="preserve"> Integrity</w:t>
      </w:r>
      <w:r w:rsidR="0071182C">
        <w:t>:</w:t>
      </w:r>
      <w:r w:rsidRPr="00DF0B25">
        <w:t xml:space="preserve"> (</w:t>
      </w:r>
      <w:r w:rsidR="0094519D">
        <w:t>16</w:t>
      </w:r>
      <w:r w:rsidRPr="00DF0B25" w:rsidR="0094519D">
        <w:t xml:space="preserve"> </w:t>
      </w:r>
      <w:r w:rsidRPr="00DF0B25">
        <w:t xml:space="preserve">hours per </w:t>
      </w:r>
      <w:r w:rsidRPr="00DF0B25" w:rsidR="00491ED5">
        <w:t>SRE</w:t>
      </w:r>
      <w:r w:rsidR="00AB1BF0">
        <w:t xml:space="preserve"> </w:t>
      </w:r>
      <w:r w:rsidR="00DF0B25">
        <w:t>applicant</w:t>
      </w:r>
      <w:r w:rsidRPr="00DF0B25">
        <w:t xml:space="preserve">) </w:t>
      </w:r>
    </w:p>
    <w:p w:rsidRPr="0069689B" w:rsidR="0083607E" w:rsidP="2DDD3DEB" w:rsidRDefault="0083607E">
      <w:pPr>
        <w:tabs>
          <w:tab w:val="left" w:pos="-144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highlight w:val="yellow"/>
        </w:rPr>
      </w:pPr>
    </w:p>
    <w:p w:rsidRPr="00CE6E7F" w:rsidR="0083607E" w:rsidP="2DDD3DEB" w:rsidRDefault="0083607E">
      <w:pPr>
        <w:tabs>
          <w:tab w:val="left" w:pos="-144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highlight w:val="yellow"/>
        </w:rPr>
      </w:pPr>
      <w:r w:rsidRPr="2DDD3DEB">
        <w:t xml:space="preserve">It is estimated to take </w:t>
      </w:r>
      <w:r w:rsidR="005913E1">
        <w:t>16</w:t>
      </w:r>
      <w:r w:rsidRPr="2DDD3DEB" w:rsidR="005913E1">
        <w:t xml:space="preserve"> </w:t>
      </w:r>
      <w:r w:rsidRPr="2DDD3DEB">
        <w:t xml:space="preserve">hours to </w:t>
      </w:r>
      <w:r w:rsidR="00A22D9F">
        <w:t>develop and attach</w:t>
      </w:r>
      <w:r w:rsidRPr="2DDD3DEB">
        <w:t xml:space="preserve"> the approach the </w:t>
      </w:r>
      <w:r w:rsidRPr="2DDD3DEB" w:rsidR="002D6F9C">
        <w:t>entity</w:t>
      </w:r>
      <w:r w:rsidRPr="2DDD3DEB">
        <w:t xml:space="preserve"> will take to ensure transparency, accountability, impartiality, confidentiality, objectivity, and independence.  </w:t>
      </w:r>
    </w:p>
    <w:p w:rsidRPr="00CE6E7F" w:rsidR="0083607E" w:rsidP="0083607E" w:rsidRDefault="0083607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highlight w:val="yellow"/>
        </w:rPr>
      </w:pPr>
    </w:p>
    <w:p w:rsidRPr="00BE6724" w:rsidR="002E5DD3" w:rsidRDefault="0083607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E6724">
        <w:rPr>
          <w:b/>
          <w:u w:val="single"/>
        </w:rPr>
        <w:lastRenderedPageBreak/>
        <w:t>Time to Complete Section V—</w:t>
      </w:r>
      <w:r w:rsidRPr="00BE6724" w:rsidR="00924AB5">
        <w:rPr>
          <w:b/>
          <w:u w:val="single"/>
        </w:rPr>
        <w:t>Attestation</w:t>
      </w:r>
      <w:r w:rsidRPr="00D72C43" w:rsidR="00922DC8">
        <w:t>:</w:t>
      </w:r>
      <w:r w:rsidRPr="00BE6724" w:rsidR="002E5DD3">
        <w:t xml:space="preserve"> (</w:t>
      </w:r>
      <w:r w:rsidRPr="00BE6724" w:rsidR="0006770B">
        <w:t>10</w:t>
      </w:r>
      <w:r w:rsidR="002518A4">
        <w:t xml:space="preserve"> </w:t>
      </w:r>
      <w:r w:rsidRPr="00BE6724" w:rsidR="00E132D9">
        <w:t>minutes</w:t>
      </w:r>
      <w:r w:rsidRPr="00BE6724" w:rsidR="00922DC8">
        <w:t xml:space="preserve"> per </w:t>
      </w:r>
      <w:r w:rsidRPr="00BE6724" w:rsidR="00491ED5">
        <w:t>SRE</w:t>
      </w:r>
      <w:r w:rsidR="00AB1BF0">
        <w:t xml:space="preserve"> </w:t>
      </w:r>
      <w:r w:rsidR="00DF0B25">
        <w:t>applicant</w:t>
      </w:r>
      <w:r w:rsidRPr="00BE6724" w:rsidR="00922DC8">
        <w:t>)</w:t>
      </w:r>
    </w:p>
    <w:p w:rsidRPr="00BE6724" w:rsidR="002E5DD3" w:rsidP="00922DC8" w:rsidRDefault="002E5DD3">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922DC8" w:rsidP="00922DC8" w:rsidRDefault="00141A2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The Department estimates that it</w:t>
      </w:r>
      <w:r w:rsidRPr="00BE6724" w:rsidR="0006770B">
        <w:t xml:space="preserve"> will take </w:t>
      </w:r>
      <w:r w:rsidR="00281244">
        <w:t>10</w:t>
      </w:r>
      <w:r w:rsidRPr="00BE6724" w:rsidR="00281244">
        <w:t xml:space="preserve"> </w:t>
      </w:r>
      <w:r w:rsidRPr="00BE6724" w:rsidR="0006770B">
        <w:t xml:space="preserve">minutes for each </w:t>
      </w:r>
      <w:r w:rsidR="00AB1BF0">
        <w:t xml:space="preserve">SRE </w:t>
      </w:r>
      <w:r w:rsidR="00DF0B25">
        <w:t>applicant</w:t>
      </w:r>
      <w:r w:rsidRPr="00BE6724" w:rsidR="0006770B">
        <w:t xml:space="preserve"> to read and attest additional representations of program quality</w:t>
      </w:r>
      <w:r w:rsidR="002518A4">
        <w:t>,</w:t>
      </w:r>
      <w:r w:rsidRPr="00BE6724" w:rsidR="002518A4">
        <w:t xml:space="preserve"> </w:t>
      </w:r>
      <w:r w:rsidRPr="00BE6724" w:rsidR="002E5DD3">
        <w:t>review the application for completeness</w:t>
      </w:r>
      <w:r w:rsidR="002518A4">
        <w:t>,</w:t>
      </w:r>
      <w:r w:rsidRPr="00BE6724" w:rsidR="002518A4">
        <w:t xml:space="preserve"> </w:t>
      </w:r>
      <w:r w:rsidRPr="00BE6724" w:rsidR="002E5DD3">
        <w:t>and sign</w:t>
      </w:r>
      <w:r>
        <w:t xml:space="preserve"> the application</w:t>
      </w:r>
      <w:r w:rsidRPr="00BE6724" w:rsidR="002E5DD3">
        <w:t>.</w:t>
      </w:r>
    </w:p>
    <w:p w:rsidR="002F4599" w:rsidP="00922DC8" w:rsidRDefault="002F4599">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352128" w:rsidP="00352128" w:rsidRDefault="00352128">
      <w:pPr>
        <w:keepNext/>
        <w:autoSpaceDE w:val="0"/>
        <w:autoSpaceDN w:val="0"/>
        <w:adjustRightInd w:val="0"/>
        <w:spacing w:line="480" w:lineRule="auto"/>
        <w:rPr>
          <w:b/>
          <w:color w:val="000000"/>
          <w:u w:val="single"/>
        </w:rPr>
      </w:pPr>
      <w:r>
        <w:t xml:space="preserve"> </w:t>
      </w:r>
      <w:r>
        <w:rPr>
          <w:b/>
          <w:color w:val="000000"/>
          <w:u w:val="single"/>
        </w:rPr>
        <w:t>Time for SRE to Notify Public of Right to File Complaint against an IRAP</w:t>
      </w:r>
      <w:r w:rsidRPr="00D72C43" w:rsidR="00C63676">
        <w:rPr>
          <w:color w:val="000000"/>
        </w:rPr>
        <w:t>:</w:t>
      </w:r>
      <w:r>
        <w:rPr>
          <w:color w:val="000000"/>
        </w:rPr>
        <w:t xml:space="preserve"> (1 hour per SRE)</w:t>
      </w:r>
    </w:p>
    <w:p w:rsidR="00352128" w:rsidP="00352128" w:rsidRDefault="0035212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eastAsia="Calibri"/>
          <w:color w:val="000000"/>
        </w:rPr>
      </w:pPr>
      <w:r>
        <w:t xml:space="preserve">The </w:t>
      </w:r>
      <w:r>
        <w:rPr>
          <w:color w:val="000000"/>
        </w:rPr>
        <w:t>Department</w:t>
      </w:r>
      <w:r>
        <w:t xml:space="preserve"> estimates that it will take 1 hour for a Training and Development Manager to provide the information online, on a poster, or in a handbook, so the burden is estimated at 75 hours (= 75 SREs × 1 hour). </w:t>
      </w:r>
    </w:p>
    <w:p w:rsidR="00352128" w:rsidP="00352128" w:rsidRDefault="0035212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p>
    <w:p w:rsidR="00352128" w:rsidP="00352128" w:rsidRDefault="00352128">
      <w:pPr>
        <w:keepNext/>
        <w:autoSpaceDE w:val="0"/>
        <w:autoSpaceDN w:val="0"/>
        <w:adjustRightInd w:val="0"/>
        <w:spacing w:line="480" w:lineRule="auto"/>
        <w:rPr>
          <w:b/>
          <w:color w:val="000000"/>
          <w:u w:val="single"/>
        </w:rPr>
      </w:pPr>
      <w:r>
        <w:rPr>
          <w:b/>
          <w:color w:val="000000"/>
          <w:u w:val="single"/>
        </w:rPr>
        <w:t>Time for SRE to Notify Public of Right to File Complaint against the SRE</w:t>
      </w:r>
      <w:r w:rsidRPr="00D72C43" w:rsidR="00C63676">
        <w:rPr>
          <w:color w:val="000000"/>
        </w:rPr>
        <w:t>:</w:t>
      </w:r>
      <w:r>
        <w:rPr>
          <w:color w:val="000000"/>
        </w:rPr>
        <w:t xml:space="preserve"> (1 hour per SRE)</w:t>
      </w:r>
    </w:p>
    <w:p w:rsidR="00352128" w:rsidP="00352128" w:rsidRDefault="0035212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The </w:t>
      </w:r>
      <w:r>
        <w:rPr>
          <w:color w:val="000000"/>
        </w:rPr>
        <w:t>Department</w:t>
      </w:r>
      <w:r>
        <w:t xml:space="preserve"> estimates that it will take 1 hour for a Training and Development Manager to provide the information online, on a poster, or in a handbook, so the burden is estimated at 75 hours (= 75 SREs × 1 hour).</w:t>
      </w:r>
    </w:p>
    <w:p w:rsidR="00352128" w:rsidP="00922DC8" w:rsidRDefault="0035212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p>
    <w:p w:rsidRPr="002F4599" w:rsidR="002F4599" w:rsidP="00922DC8" w:rsidRDefault="002F4599">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r w:rsidRPr="002F4599">
        <w:rPr>
          <w:b/>
          <w:u w:val="single"/>
        </w:rPr>
        <w:t>Time for SRE to Notify Administrator of Substantive Change to Processes or Programs</w:t>
      </w:r>
      <w:r w:rsidRPr="00D72C43" w:rsidR="00900638">
        <w:t>:</w:t>
      </w:r>
      <w:r w:rsidRPr="00900638" w:rsidR="00900638">
        <w:rPr>
          <w:b/>
        </w:rPr>
        <w:t xml:space="preserve"> </w:t>
      </w:r>
      <w:r w:rsidRPr="00900638" w:rsidR="00900638">
        <w:t>(10 hours per SRE)</w:t>
      </w:r>
    </w:p>
    <w:p w:rsidR="002F4599" w:rsidP="002F4599" w:rsidRDefault="002F4599">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p>
    <w:p w:rsidR="002F4599" w:rsidP="002F4599" w:rsidRDefault="002F4599">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D8483C">
        <w:t xml:space="preserve">The </w:t>
      </w:r>
      <w:r w:rsidR="00352128">
        <w:t>Department estimates that</w:t>
      </w:r>
      <w:r w:rsidRPr="00D8483C">
        <w:t xml:space="preserve"> </w:t>
      </w:r>
      <w:r w:rsidR="00352128">
        <w:t>a</w:t>
      </w:r>
      <w:r w:rsidRPr="00D275E1">
        <w:t xml:space="preserve">pproximately </w:t>
      </w:r>
      <w:r>
        <w:t>50</w:t>
      </w:r>
      <w:r w:rsidRPr="00D275E1">
        <w:t xml:space="preserve"> percent (</w:t>
      </w:r>
      <w:r>
        <w:t xml:space="preserve">107 </w:t>
      </w:r>
      <w:r w:rsidR="00A07456">
        <w:t>SRE</w:t>
      </w:r>
      <w:r>
        <w:t>s</w:t>
      </w:r>
      <w:r w:rsidRPr="00D275E1">
        <w:t xml:space="preserve">) of the </w:t>
      </w:r>
      <w:r>
        <w:t>213</w:t>
      </w:r>
      <w:r w:rsidRPr="00D275E1">
        <w:t xml:space="preserve"> </w:t>
      </w:r>
      <w:r>
        <w:t xml:space="preserve">total </w:t>
      </w:r>
      <w:r w:rsidRPr="00D275E1">
        <w:t xml:space="preserve">approved </w:t>
      </w:r>
      <w:r>
        <w:t>S</w:t>
      </w:r>
      <w:r w:rsidR="00A07456">
        <w:t>RE</w:t>
      </w:r>
      <w:r>
        <w:t>s</w:t>
      </w:r>
      <w:r w:rsidRPr="00D275E1">
        <w:t xml:space="preserve"> </w:t>
      </w:r>
      <w:r w:rsidR="00352128">
        <w:t>will</w:t>
      </w:r>
      <w:r w:rsidRPr="00D275E1">
        <w:t xml:space="preserve"> make </w:t>
      </w:r>
      <w:r>
        <w:t>a substantive</w:t>
      </w:r>
      <w:r w:rsidRPr="00D275E1">
        <w:t xml:space="preserve"> change to their </w:t>
      </w:r>
      <w:r>
        <w:t>recognition</w:t>
      </w:r>
      <w:r w:rsidRPr="00D275E1">
        <w:t xml:space="preserve"> process that will require approval from the </w:t>
      </w:r>
      <w:r>
        <w:t>Department</w:t>
      </w:r>
      <w:r w:rsidRPr="00D275E1">
        <w:t xml:space="preserve">. The </w:t>
      </w:r>
      <w:r w:rsidR="00352128">
        <w:t xml:space="preserve">Department estimates that it will take 10 hours for a Training and Development </w:t>
      </w:r>
      <w:r w:rsidR="00352128">
        <w:lastRenderedPageBreak/>
        <w:t>Manager</w:t>
      </w:r>
      <w:r w:rsidRPr="00D275E1">
        <w:t xml:space="preserve"> to modify documents</w:t>
      </w:r>
      <w:r w:rsidR="00352128">
        <w:t>,</w:t>
      </w:r>
      <w:r w:rsidRPr="00D8483C">
        <w:t xml:space="preserve"> </w:t>
      </w:r>
      <w:r w:rsidR="00352128">
        <w:t xml:space="preserve">so the </w:t>
      </w:r>
      <w:r w:rsidRPr="00D8483C">
        <w:t>burden</w:t>
      </w:r>
      <w:r w:rsidRPr="00D275E1">
        <w:t xml:space="preserve"> </w:t>
      </w:r>
      <w:r w:rsidR="00352128">
        <w:t xml:space="preserve">is estimated at </w:t>
      </w:r>
      <w:r>
        <w:t>1,070</w:t>
      </w:r>
      <w:r w:rsidRPr="00D275E1">
        <w:t xml:space="preserve"> hours (</w:t>
      </w:r>
      <w:r w:rsidR="00DC7608">
        <w:t xml:space="preserve">= </w:t>
      </w:r>
      <w:r>
        <w:t>107</w:t>
      </w:r>
      <w:r w:rsidRPr="00D275E1">
        <w:t xml:space="preserve"> </w:t>
      </w:r>
      <w:r>
        <w:t>S</w:t>
      </w:r>
      <w:r w:rsidR="00A07456">
        <w:t>RE</w:t>
      </w:r>
      <w:r>
        <w:t>s × 10</w:t>
      </w:r>
      <w:r w:rsidRPr="00D275E1">
        <w:t xml:space="preserve"> hours).</w:t>
      </w:r>
      <w:r>
        <w:t xml:space="preserve"> </w:t>
      </w:r>
    </w:p>
    <w:p w:rsidR="002F4599" w:rsidP="002F4599" w:rsidRDefault="002F4599">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p>
    <w:p w:rsidRPr="00E90245" w:rsidR="002F4599" w:rsidP="002F4599" w:rsidRDefault="002F4599">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color w:val="000000"/>
        </w:rPr>
      </w:pPr>
      <w:r>
        <w:rPr>
          <w:b/>
          <w:u w:val="single"/>
        </w:rPr>
        <w:t xml:space="preserve">Time </w:t>
      </w:r>
      <w:r w:rsidR="00EE2C5D">
        <w:rPr>
          <w:b/>
          <w:u w:val="single"/>
        </w:rPr>
        <w:t xml:space="preserve">for SRE to </w:t>
      </w:r>
      <w:r w:rsidRPr="002F4599" w:rsidR="00EE2C5D">
        <w:rPr>
          <w:b/>
          <w:u w:val="single"/>
        </w:rPr>
        <w:t>Recogniz</w:t>
      </w:r>
      <w:r w:rsidR="00EE2C5D">
        <w:rPr>
          <w:b/>
          <w:u w:val="single"/>
        </w:rPr>
        <w:t>e o</w:t>
      </w:r>
      <w:r w:rsidRPr="002F4599">
        <w:rPr>
          <w:b/>
          <w:u w:val="single"/>
        </w:rPr>
        <w:t xml:space="preserve">r Reject </w:t>
      </w:r>
      <w:r w:rsidR="00EE2C5D">
        <w:rPr>
          <w:b/>
          <w:u w:val="single"/>
        </w:rPr>
        <w:t xml:space="preserve">Prospective </w:t>
      </w:r>
      <w:r w:rsidR="00757F92">
        <w:rPr>
          <w:b/>
          <w:u w:val="single"/>
        </w:rPr>
        <w:t>IRAP</w:t>
      </w:r>
      <w:r w:rsidR="00EE2C5D">
        <w:rPr>
          <w:b/>
          <w:u w:val="single"/>
        </w:rPr>
        <w:t>s</w:t>
      </w:r>
      <w:r w:rsidRPr="00900638" w:rsidR="00900638">
        <w:t xml:space="preserve">: (12 hours </w:t>
      </w:r>
      <w:r w:rsidR="00BC26AD">
        <w:t xml:space="preserve">per </w:t>
      </w:r>
      <w:r w:rsidR="00757F92">
        <w:t>IRAP</w:t>
      </w:r>
      <w:r w:rsidR="006B2B51">
        <w:t xml:space="preserve"> per SRE</w:t>
      </w:r>
      <w:r w:rsidRPr="00900638" w:rsidR="00900638">
        <w:t>)</w:t>
      </w:r>
    </w:p>
    <w:p w:rsidR="00A07456" w:rsidP="002F4599" w:rsidRDefault="00A07456">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AE26AB" w:rsidP="00A07456" w:rsidRDefault="00A07456">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The Department estimates that it </w:t>
      </w:r>
      <w:r w:rsidR="003830C2">
        <w:t>will</w:t>
      </w:r>
      <w:r>
        <w:t xml:space="preserve"> take an SRE 12 hours to </w:t>
      </w:r>
      <w:r w:rsidRPr="002F4599" w:rsidR="002F4599">
        <w:t xml:space="preserve">recognize or reject a prospective </w:t>
      </w:r>
      <w:r w:rsidR="00757F92">
        <w:t>IRAP</w:t>
      </w:r>
      <w:r w:rsidRPr="002F4599" w:rsidR="002F4599">
        <w:t xml:space="preserve"> </w:t>
      </w:r>
      <w:r>
        <w:t xml:space="preserve">and </w:t>
      </w:r>
      <w:r w:rsidR="002F4599">
        <w:t xml:space="preserve">validate its </w:t>
      </w:r>
      <w:r w:rsidR="00757F92">
        <w:t>IRAP</w:t>
      </w:r>
      <w:r w:rsidR="002F4599">
        <w:t xml:space="preserve">s’ compliance with the requirements listed in paragraph 29.22(a)(4) when the SRE provides the Administrator with notice of recognition of an </w:t>
      </w:r>
      <w:r w:rsidR="00757F92">
        <w:t>IRAP</w:t>
      </w:r>
      <w:r w:rsidR="002F4599">
        <w:t xml:space="preserve">. </w:t>
      </w:r>
      <w:r w:rsidR="00216A24">
        <w:t xml:space="preserve">To estimate the number of </w:t>
      </w:r>
      <w:r w:rsidR="0072782A">
        <w:t xml:space="preserve">prospective </w:t>
      </w:r>
      <w:r w:rsidR="00757F92">
        <w:t>IRAP</w:t>
      </w:r>
      <w:r w:rsidR="0072782A">
        <w:t>s</w:t>
      </w:r>
      <w:r w:rsidR="00216A24">
        <w:t xml:space="preserve">, the </w:t>
      </w:r>
      <w:r w:rsidR="002F4599">
        <w:t xml:space="preserve">Department used the estimated number of new </w:t>
      </w:r>
      <w:r w:rsidR="00757F92">
        <w:t>IRAP</w:t>
      </w:r>
      <w:r w:rsidR="002F4599">
        <w:t xml:space="preserve">s </w:t>
      </w:r>
      <w:r w:rsidR="00CD09E8">
        <w:t xml:space="preserve">(1,653) </w:t>
      </w:r>
      <w:r w:rsidR="002F4599">
        <w:t xml:space="preserve">as a proxy, </w:t>
      </w:r>
      <w:r w:rsidR="009D539A">
        <w:t>s</w:t>
      </w:r>
      <w:r w:rsidR="00AE26AB">
        <w:t xml:space="preserve">o </w:t>
      </w:r>
      <w:r w:rsidR="00CD09E8">
        <w:t xml:space="preserve">the </w:t>
      </w:r>
      <w:r w:rsidR="00216A24">
        <w:t xml:space="preserve">estimated </w:t>
      </w:r>
      <w:r w:rsidR="00CD09E8">
        <w:t xml:space="preserve">frequency is 7.76 </w:t>
      </w:r>
      <w:r w:rsidR="006B2B51">
        <w:t xml:space="preserve">new </w:t>
      </w:r>
      <w:r w:rsidR="00757F92">
        <w:t>IRAP</w:t>
      </w:r>
      <w:r w:rsidR="006B2B51">
        <w:t xml:space="preserve">s </w:t>
      </w:r>
      <w:r w:rsidR="00216A24">
        <w:t xml:space="preserve">per SRE </w:t>
      </w:r>
      <w:r w:rsidR="00CD09E8">
        <w:t>(</w:t>
      </w:r>
      <w:r w:rsidR="00DC7608">
        <w:t xml:space="preserve">= </w:t>
      </w:r>
      <w:r w:rsidR="00CD09E8">
        <w:t xml:space="preserve">1,653 </w:t>
      </w:r>
      <w:r w:rsidR="0072782A">
        <w:t>new Industry Programs</w:t>
      </w:r>
      <w:r w:rsidR="00CD09E8">
        <w:t xml:space="preserve"> ÷ 213 SREs). </w:t>
      </w:r>
      <w:r w:rsidR="00AE26AB">
        <w:t xml:space="preserve">The total burden is estimated at 19,836 </w:t>
      </w:r>
      <w:r w:rsidR="00216A24">
        <w:t>hours (</w:t>
      </w:r>
      <w:r w:rsidR="00DC7608">
        <w:t xml:space="preserve">= </w:t>
      </w:r>
      <w:r w:rsidR="00AE26AB">
        <w:t>1,653</w:t>
      </w:r>
      <w:r w:rsidR="00216A24">
        <w:t xml:space="preserve"> </w:t>
      </w:r>
      <w:r w:rsidR="00AE26AB">
        <w:t>× 12 hours).</w:t>
      </w:r>
    </w:p>
    <w:p w:rsidR="00216A24" w:rsidP="002F4599" w:rsidRDefault="00216A24">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D7A8E" w:rsidP="001D7A8E" w:rsidRDefault="001D7A8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r>
        <w:rPr>
          <w:b/>
          <w:u w:val="single"/>
        </w:rPr>
        <w:t>Time for SRE to Provide Written Attestation</w:t>
      </w:r>
      <w:r w:rsidRPr="00D72C43" w:rsidR="008368B5">
        <w:t>:</w:t>
      </w:r>
      <w:r w:rsidRPr="00D72C43">
        <w:rPr>
          <w:b/>
        </w:rPr>
        <w:t xml:space="preserve"> </w:t>
      </w:r>
      <w:r>
        <w:t>(10 minutes per IRAP per SRE)</w:t>
      </w:r>
    </w:p>
    <w:p w:rsidR="001D7A8E" w:rsidP="001D7A8E" w:rsidRDefault="001D7A8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D7A8E" w:rsidP="001D7A8E" w:rsidRDefault="001D7A8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The Department estimates that it will take an SRE 10 minutes per IRAP to provide </w:t>
      </w:r>
      <w:r>
        <w:rPr>
          <w:rFonts w:eastAsia="Calibri"/>
        </w:rPr>
        <w:t>the Administrator an annual written attestation that its IRAPs meet the requirements of § 29.22(a)(4) and any other requirements of the SRE. T</w:t>
      </w:r>
      <w:r>
        <w:t xml:space="preserve">he average number of IRAPs per SRE is estimated at 16.81 in the first three years (= 3,581 IRAPs ÷ 213 SREs). The total burden is estimated at 609 hours (= 3,581 IRAPs × 10 minutes). </w:t>
      </w:r>
    </w:p>
    <w:p w:rsidR="001D7A8E" w:rsidP="002F4599" w:rsidRDefault="001D7A8E">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p>
    <w:p w:rsidRPr="00216A24" w:rsidR="00216A24" w:rsidP="002F4599" w:rsidRDefault="00216A24">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r w:rsidRPr="00216A24">
        <w:rPr>
          <w:b/>
          <w:u w:val="single"/>
        </w:rPr>
        <w:t xml:space="preserve">Time for SRE </w:t>
      </w:r>
      <w:r w:rsidR="00EE2C5D">
        <w:rPr>
          <w:b/>
          <w:u w:val="single"/>
        </w:rPr>
        <w:t xml:space="preserve">to </w:t>
      </w:r>
      <w:r w:rsidRPr="00216A24">
        <w:rPr>
          <w:b/>
          <w:u w:val="single"/>
        </w:rPr>
        <w:t>Disclose Credentials that Apprentices Will Earn</w:t>
      </w:r>
      <w:r w:rsidRPr="00900638" w:rsidR="00900638">
        <w:t>: (30 minutes per SRE)</w:t>
      </w:r>
    </w:p>
    <w:p w:rsidR="00216A24" w:rsidP="002F4599" w:rsidRDefault="00216A24">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F20FD6" w:rsidP="00F20FD6" w:rsidRDefault="00F20FD6">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The Department estimates that it </w:t>
      </w:r>
      <w:r w:rsidR="00132648">
        <w:t xml:space="preserve">will </w:t>
      </w:r>
      <w:r>
        <w:t xml:space="preserve">take </w:t>
      </w:r>
      <w:r w:rsidRPr="002F4599">
        <w:t xml:space="preserve">an SRE </w:t>
      </w:r>
      <w:r>
        <w:t xml:space="preserve">30 minutes per year to </w:t>
      </w:r>
      <w:r w:rsidR="003A6308">
        <w:t xml:space="preserve">disclose the </w:t>
      </w:r>
      <w:r w:rsidRPr="003A6308" w:rsidR="003A6308">
        <w:t xml:space="preserve">credentials that apprentices will earn during their successful participation in or upon completion of an Industry Program. An SRE could </w:t>
      </w:r>
      <w:r w:rsidRPr="003A6308" w:rsidR="003A6308">
        <w:lastRenderedPageBreak/>
        <w:t xml:space="preserve">disclose these credentials on its website, for example. </w:t>
      </w:r>
      <w:r w:rsidR="003A6308">
        <w:t xml:space="preserve">So, the </w:t>
      </w:r>
      <w:r>
        <w:t xml:space="preserve">total </w:t>
      </w:r>
      <w:r w:rsidR="00B94E26">
        <w:t>burden</w:t>
      </w:r>
      <w:r>
        <w:t xml:space="preserve"> is estimated at 107 hours (</w:t>
      </w:r>
      <w:r w:rsidR="00DC7608">
        <w:t xml:space="preserve">= </w:t>
      </w:r>
      <w:r>
        <w:t xml:space="preserve">213 SREs × </w:t>
      </w:r>
      <w:r w:rsidR="00DF4490">
        <w:t>30 minutes</w:t>
      </w:r>
      <w:r>
        <w:t>)</w:t>
      </w:r>
      <w:r w:rsidRPr="002F4599">
        <w:t>.</w:t>
      </w:r>
      <w:r w:rsidRPr="00B11EE7">
        <w:t xml:space="preserve"> </w:t>
      </w:r>
    </w:p>
    <w:p w:rsidR="00216A24" w:rsidP="002F4599" w:rsidRDefault="00216A24">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r>
        <w:rPr>
          <w:b/>
          <w:u w:val="single"/>
        </w:rPr>
        <w:t>Time for SRE to Conduct Quality Control Activities</w:t>
      </w:r>
      <w:r w:rsidRPr="008368B5" w:rsidR="008368B5">
        <w:t>:</w:t>
      </w:r>
      <w:r w:rsidRPr="00D72C43">
        <w:t xml:space="preserve"> </w:t>
      </w:r>
      <w:r>
        <w:t>(4 hours per IRAP per SRE)</w:t>
      </w: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The Department estimates that it will take an SRE 4 hours per IRAP </w:t>
      </w:r>
      <w:r>
        <w:rPr>
          <w:color w:val="000000"/>
        </w:rPr>
        <w:t xml:space="preserve">to conduct quality control activities, including </w:t>
      </w:r>
      <w:r>
        <w:rPr>
          <w:rFonts w:eastAsia="Calibri"/>
        </w:rPr>
        <w:t>periodic compliance reviews. T</w:t>
      </w:r>
      <w:r>
        <w:t xml:space="preserve">he average number of IRAPs per SRE is estimated at 16.81 in the first three years (= 3,581 IRAPs ÷ 213 SREs). The total burden is estimated at 14,324 hours (= 3,581 IRAPs × 4 hours). </w:t>
      </w: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color w:val="000000"/>
          <w:u w:val="single"/>
        </w:rPr>
      </w:pPr>
      <w:r>
        <w:rPr>
          <w:b/>
          <w:u w:val="single"/>
        </w:rPr>
        <w:t>Time for SRE to Notify Public of Any Fees It Charges IRAPs</w:t>
      </w:r>
      <w:r>
        <w:t>: (1 hour per SRE)</w:t>
      </w: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The Department estimates that it will take an SRE 1 hour to notify the public of any fees it charges IRAPs. An SRE could disclose its application fee and/or annual fee on its website, for example. So, the total burden is estimated at 213 hours (= 213 SREs × 1 hour).</w:t>
      </w: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r>
        <w:rPr>
          <w:b/>
          <w:u w:val="single"/>
        </w:rPr>
        <w:t>Time for SRE Record Retention</w:t>
      </w:r>
      <w:r w:rsidR="008368B5">
        <w:t>:</w:t>
      </w:r>
      <w:r w:rsidRPr="00D72C43">
        <w:t xml:space="preserve"> </w:t>
      </w:r>
      <w:r>
        <w:t>(20 hours per IRAP per SRE)</w:t>
      </w: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The Department estimates that it will take an SRE 20 hours per IRAP </w:t>
      </w:r>
      <w:r>
        <w:rPr>
          <w:color w:val="000000"/>
        </w:rPr>
        <w:t>to comply with the record retention requirements.</w:t>
      </w:r>
      <w:r>
        <w:rPr>
          <w:rFonts w:eastAsia="Calibri"/>
        </w:rPr>
        <w:t xml:space="preserve"> T</w:t>
      </w:r>
      <w:r>
        <w:t>he average number of IRAPs per SRE is estimated at 16.81 in the first three years (= 3,581 IRAPs ÷ 213 SREs). The total burden is estimated at 71,620 hours (= 3,581 IRAPs × 20 hours).</w:t>
      </w: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color w:val="000000"/>
          <w:u w:val="single"/>
        </w:rPr>
      </w:pPr>
      <w:r>
        <w:rPr>
          <w:b/>
          <w:u w:val="single"/>
        </w:rPr>
        <w:t>Time for IRAP to Develop Written Training Plan</w:t>
      </w:r>
      <w:r>
        <w:t>: (80 hours per IRAP)</w:t>
      </w: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lastRenderedPageBreak/>
        <w:t xml:space="preserve">The Department estimates that it will take a new IRAP 80 hours to develop a </w:t>
      </w:r>
      <w:r>
        <w:rPr>
          <w:rFonts w:eastAsia="Calibri"/>
        </w:rPr>
        <w:t>written training plan that details the structured work experiences and appropriate related instruction, is designed so that apprentices demonstrate competency and earn credential(s), and provides apprentices progressively advancing industry-essential skills</w:t>
      </w:r>
      <w:r>
        <w:t>. So, the total burden is estimated at 132,240 hours (= 1,653 new IRAPs × 80 hours).</w:t>
      </w: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color w:val="000000"/>
          <w:u w:val="single"/>
        </w:rPr>
      </w:pPr>
      <w:r>
        <w:rPr>
          <w:b/>
          <w:u w:val="single"/>
        </w:rPr>
        <w:t>Time for IRAP to Develop Written Apprenticeship Agreement</w:t>
      </w:r>
      <w:r>
        <w:t>: (8 hours per IRAP)</w:t>
      </w: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The Department estimates that it will take a new IRAP 8 hours to develop a written apprenticeship agreement</w:t>
      </w:r>
      <w:r>
        <w:rPr>
          <w:rFonts w:eastAsia="Calibri"/>
        </w:rPr>
        <w:t xml:space="preserve">, </w:t>
      </w:r>
      <w:r>
        <w:t>which may be applicable to multiple apprentices</w:t>
      </w:r>
      <w:r>
        <w:rPr>
          <w:rFonts w:eastAsia="Calibri"/>
        </w:rPr>
        <w:t xml:space="preserve">. For purposes of this analysis, the Department assumes the written apprenticeship agreement will disclose the </w:t>
      </w:r>
      <w:r>
        <w:t>wages apprentices will receive and any costs or expenses that will be charged to apprentices. The total burden is estimated at 13,224 hours (= 1,653 new IRAPs × 8 hours).</w:t>
      </w: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color w:val="000000"/>
          <w:u w:val="single"/>
        </w:rPr>
      </w:pPr>
      <w:r>
        <w:rPr>
          <w:b/>
          <w:u w:val="single"/>
        </w:rPr>
        <w:t>Time for IRAP to Prepare Individual Written Apprenticeship Agreement</w:t>
      </w:r>
      <w:r>
        <w:t>: (10 minutes per IRAP)</w:t>
      </w: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32648" w:rsidP="00132648" w:rsidRDefault="00132648">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The Department estimates that it will take an IRAP 10 minutes to prepare and sign an apprenticeship agreement with each individual apprentice, so the total burden is estimated at 21,307 hours (= 3,581 IRAPs × 35 apprentices × 10 minutes).</w:t>
      </w:r>
    </w:p>
    <w:p w:rsidR="00F20FD6" w:rsidP="002F4599" w:rsidRDefault="00F20FD6">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E132D9" w:rsidP="00E132D9" w:rsidRDefault="00E132D9">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rPr>
      </w:pPr>
      <w:r w:rsidRPr="002C370A">
        <w:rPr>
          <w:b/>
          <w:u w:val="single"/>
        </w:rPr>
        <w:t>Burden Summary Table</w:t>
      </w:r>
      <w:r w:rsidRPr="00D72C43" w:rsidR="00034391">
        <w:t>:</w:t>
      </w:r>
    </w:p>
    <w:p w:rsidRPr="00034391" w:rsidR="002C370A" w:rsidP="00E132D9" w:rsidRDefault="002C370A">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rPr>
      </w:pPr>
    </w:p>
    <w:p w:rsidR="00EA5E8F" w:rsidP="00924AB5" w:rsidRDefault="00490A2D">
      <w:pPr>
        <w:widowControl w:val="0"/>
        <w:tabs>
          <w:tab w:val="right" w:pos="-2880"/>
          <w:tab w:val="left" w:pos="-1620"/>
        </w:tabs>
        <w:autoSpaceDE w:val="0"/>
        <w:autoSpaceDN w:val="0"/>
        <w:adjustRightInd w:val="0"/>
        <w:rPr>
          <w:b/>
          <w:noProof/>
        </w:rPr>
      </w:pPr>
      <w:r w:rsidRPr="00490A2D">
        <w:rPr>
          <w:b/>
          <w:noProof/>
        </w:rPr>
        <w:t xml:space="preserve"> </w:t>
      </w:r>
    </w:p>
    <w:p w:rsidR="00EE062B" w:rsidP="00924AB5" w:rsidRDefault="003A27AA">
      <w:pPr>
        <w:widowControl w:val="0"/>
        <w:tabs>
          <w:tab w:val="right" w:pos="-2880"/>
          <w:tab w:val="left" w:pos="-1620"/>
        </w:tabs>
        <w:autoSpaceDE w:val="0"/>
        <w:autoSpaceDN w:val="0"/>
        <w:adjustRightInd w:val="0"/>
        <w:rPr>
          <w:b/>
          <w:noProof/>
        </w:rPr>
      </w:pPr>
      <w:r w:rsidRPr="003A27AA">
        <w:rPr>
          <w:b/>
          <w:noProof/>
        </w:rPr>
        <w:lastRenderedPageBreak/>
        <w:drawing>
          <wp:inline distT="0" distB="0" distL="0" distR="0" wp14:anchorId="6A3ED84E" wp14:editId="311A3546">
            <wp:extent cx="6400800" cy="3179037"/>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0" cy="3179037"/>
                    </a:xfrm>
                    <a:prstGeom prst="rect">
                      <a:avLst/>
                    </a:prstGeom>
                    <a:noFill/>
                    <a:ln>
                      <a:noFill/>
                    </a:ln>
                  </pic:spPr>
                </pic:pic>
              </a:graphicData>
            </a:graphic>
          </wp:inline>
        </w:drawing>
      </w:r>
    </w:p>
    <w:p w:rsidR="00324638" w:rsidP="00924AB5" w:rsidRDefault="00324638">
      <w:pPr>
        <w:widowControl w:val="0"/>
        <w:tabs>
          <w:tab w:val="right" w:pos="-2880"/>
          <w:tab w:val="left" w:pos="-1620"/>
        </w:tabs>
        <w:autoSpaceDE w:val="0"/>
        <w:autoSpaceDN w:val="0"/>
        <w:adjustRightInd w:val="0"/>
        <w:rPr>
          <w:b/>
          <w:noProof/>
        </w:rPr>
      </w:pPr>
    </w:p>
    <w:p w:rsidRPr="00F7529D" w:rsidR="00F7529D" w:rsidP="00F7529D" w:rsidRDefault="00F7529D">
      <w:pPr>
        <w:widowControl w:val="0"/>
        <w:tabs>
          <w:tab w:val="right" w:pos="-2880"/>
          <w:tab w:val="left" w:pos="-1620"/>
        </w:tabs>
        <w:autoSpaceDE w:val="0"/>
        <w:autoSpaceDN w:val="0"/>
        <w:adjustRightInd w:val="0"/>
        <w:ind w:left="720" w:hanging="720"/>
        <w:rPr>
          <w:i/>
        </w:rPr>
      </w:pPr>
      <w:r w:rsidRPr="004D611C">
        <w:rPr>
          <w:i/>
        </w:rPr>
        <w:t>13.</w:t>
      </w:r>
      <w:r w:rsidRPr="004D611C">
        <w:rPr>
          <w:i/>
        </w:rPr>
        <w:tab/>
        <w:t>Provide an estimate for the total annual cost burden to respondents or record keepers resulting</w:t>
      </w:r>
      <w:r w:rsidRPr="00F7529D">
        <w:rPr>
          <w:i/>
        </w:rPr>
        <w:t xml:space="preserve"> from the collection of information.</w:t>
      </w:r>
    </w:p>
    <w:p w:rsidRPr="00F7529D" w:rsidR="00F7529D" w:rsidP="00F7529D" w:rsidRDefault="00F7529D">
      <w:pPr>
        <w:tabs>
          <w:tab w:val="left" w:pos="-1440"/>
          <w:tab w:val="left" w:pos="-720"/>
          <w:tab w:val="left" w:pos="288"/>
          <w:tab w:val="left" w:pos="720"/>
          <w:tab w:val="left" w:pos="5616"/>
          <w:tab w:val="left" w:pos="7920"/>
        </w:tabs>
        <w:autoSpaceDE w:val="0"/>
        <w:autoSpaceDN w:val="0"/>
        <w:adjustRightInd w:val="0"/>
        <w:ind w:left="720" w:hanging="720"/>
        <w:rPr>
          <w:sz w:val="20"/>
          <w:szCs w:val="20"/>
        </w:rPr>
      </w:pPr>
    </w:p>
    <w:p w:rsidR="0039387B" w:rsidP="00E850E1" w:rsidRDefault="00F7529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F7529D">
        <w:t xml:space="preserve">There are no additional costs </w:t>
      </w:r>
      <w:r w:rsidR="00334339">
        <w:t xml:space="preserve">to respondents </w:t>
      </w:r>
      <w:r w:rsidRPr="00F7529D">
        <w:t xml:space="preserve">other than </w:t>
      </w:r>
      <w:r w:rsidR="008A00A4">
        <w:t>the value of respondent time captured in item 12</w:t>
      </w:r>
      <w:r w:rsidRPr="00F7529D">
        <w:t>.</w:t>
      </w:r>
    </w:p>
    <w:p w:rsidRPr="00F7529D" w:rsidR="00F7529D" w:rsidP="00F7529D" w:rsidRDefault="00F7529D">
      <w:pPr>
        <w:widowControl w:val="0"/>
        <w:autoSpaceDE w:val="0"/>
        <w:autoSpaceDN w:val="0"/>
        <w:adjustRightInd w:val="0"/>
        <w:rPr>
          <w:b/>
        </w:rPr>
      </w:pPr>
    </w:p>
    <w:p w:rsidRPr="00D275E1" w:rsidR="00F7529D" w:rsidP="00F7529D" w:rsidRDefault="00F7529D">
      <w:pPr>
        <w:widowControl w:val="0"/>
        <w:tabs>
          <w:tab w:val="right" w:pos="-2880"/>
          <w:tab w:val="left" w:pos="-1620"/>
        </w:tabs>
        <w:autoSpaceDE w:val="0"/>
        <w:autoSpaceDN w:val="0"/>
        <w:adjustRightInd w:val="0"/>
        <w:ind w:left="720" w:hanging="720"/>
        <w:rPr>
          <w:i/>
        </w:rPr>
      </w:pPr>
      <w:r w:rsidRPr="00D275E1">
        <w:rPr>
          <w:i/>
        </w:rPr>
        <w:t>14.</w:t>
      </w:r>
      <w:r w:rsidRPr="00D275E1">
        <w:rPr>
          <w:i/>
        </w:rPr>
        <w:tab/>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D275E1" w:rsidR="00F7529D" w:rsidP="00F7529D" w:rsidRDefault="00F7529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p>
    <w:p w:rsidR="0033374D" w:rsidP="001C3709" w:rsidRDefault="002E731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D275E1">
        <w:t xml:space="preserve">The following narrative summarizes the </w:t>
      </w:r>
      <w:r w:rsidRPr="00D275E1" w:rsidR="00201C22">
        <w:t xml:space="preserve">estimated </w:t>
      </w:r>
      <w:r w:rsidRPr="00D275E1">
        <w:t xml:space="preserve">annualized costs to the </w:t>
      </w:r>
      <w:r w:rsidRPr="00D275E1" w:rsidR="00201C22">
        <w:t xml:space="preserve">Office of Apprenticeship of the </w:t>
      </w:r>
      <w:r w:rsidRPr="00D275E1">
        <w:t xml:space="preserve">Department’s Employment and Training Administration (ETA) </w:t>
      </w:r>
      <w:r w:rsidRPr="00D275E1" w:rsidR="00201C22">
        <w:t>in connection with</w:t>
      </w:r>
      <w:r w:rsidRPr="00D275E1" w:rsidR="006359B4">
        <w:t xml:space="preserve"> </w:t>
      </w:r>
      <w:r w:rsidRPr="00D275E1">
        <w:t>processing and reviewing the information collections described in this submission:</w:t>
      </w:r>
      <w:r w:rsidR="00D8483C">
        <w:t xml:space="preserve"> </w:t>
      </w:r>
    </w:p>
    <w:p w:rsidRPr="009C7D2E" w:rsidR="001C3709" w:rsidP="001C3709" w:rsidRDefault="001C3709">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highlight w:val="yellow"/>
        </w:rPr>
      </w:pPr>
    </w:p>
    <w:p w:rsidRPr="00D275E1" w:rsidR="0023444D" w:rsidP="001C3709" w:rsidRDefault="00666F70">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rPr>
      </w:pPr>
      <w:r>
        <w:rPr>
          <w:b/>
        </w:rPr>
        <w:t xml:space="preserve">Step 1: </w:t>
      </w:r>
      <w:r w:rsidRPr="00D275E1" w:rsidR="0023444D">
        <w:rPr>
          <w:b/>
        </w:rPr>
        <w:t xml:space="preserve">Processing by </w:t>
      </w:r>
      <w:r w:rsidR="009B5687">
        <w:rPr>
          <w:b/>
        </w:rPr>
        <w:t>Program Analysts</w:t>
      </w:r>
    </w:p>
    <w:p w:rsidR="00EA5CF3" w:rsidP="00EA5CF3" w:rsidRDefault="00EE5895">
      <w:r w:rsidRPr="00D275E1">
        <w:t xml:space="preserve">It is anticipated that the initial </w:t>
      </w:r>
      <w:r w:rsidRPr="00D275E1" w:rsidR="00C16DFD">
        <w:t xml:space="preserve">intake, </w:t>
      </w:r>
      <w:r w:rsidRPr="00D275E1">
        <w:t>review</w:t>
      </w:r>
      <w:r w:rsidR="006771CA">
        <w:t>,</w:t>
      </w:r>
      <w:r w:rsidRPr="00D275E1">
        <w:t xml:space="preserve"> and analysis of the information provided </w:t>
      </w:r>
      <w:r w:rsidRPr="00D275E1" w:rsidR="00294E6A">
        <w:t xml:space="preserve">to the Department </w:t>
      </w:r>
      <w:r w:rsidRPr="00D275E1">
        <w:t>by</w:t>
      </w:r>
      <w:r w:rsidRPr="00D275E1" w:rsidR="0027124F">
        <w:t xml:space="preserve"> </w:t>
      </w:r>
      <w:r w:rsidR="000B1373">
        <w:t>Standards Recognition Entities</w:t>
      </w:r>
      <w:r w:rsidRPr="00D275E1" w:rsidR="0027124F">
        <w:t xml:space="preserve"> </w:t>
      </w:r>
      <w:r w:rsidRPr="00D275E1">
        <w:t>will be conducted by</w:t>
      </w:r>
      <w:r w:rsidRPr="00D275E1" w:rsidR="009B5687">
        <w:t xml:space="preserve"> a Program Analyst in </w:t>
      </w:r>
      <w:r w:rsidRPr="00D275E1">
        <w:t xml:space="preserve">ETA’s Office of Apprenticeship. </w:t>
      </w:r>
      <w:r w:rsidR="00EA5CF3">
        <w:rPr>
          <w:rFonts w:eastAsia="Calibri"/>
        </w:rPr>
        <w:t>The compensation rate for a Program Analyst was estimated using the midpoint (Step 5) for Grade 13 of the General Schedule, which is $53.85 in the Washington, D.C., locality area.</w:t>
      </w:r>
      <w:r w:rsidR="00EA5CF3">
        <w:rPr>
          <w:rStyle w:val="FootnoteReference"/>
          <w:rFonts w:eastAsia="Calibri"/>
        </w:rPr>
        <w:footnoteReference w:id="8"/>
      </w:r>
      <w:r w:rsidR="00EA5CF3">
        <w:rPr>
          <w:rFonts w:eastAsia="Calibri"/>
        </w:rPr>
        <w:t xml:space="preserve"> The Department used a fringe benefits rate of 69 percent</w:t>
      </w:r>
      <w:r w:rsidR="00EA5CF3">
        <w:rPr>
          <w:vertAlign w:val="superscript"/>
        </w:rPr>
        <w:footnoteReference w:id="9"/>
      </w:r>
      <w:r w:rsidR="00EA5CF3">
        <w:rPr>
          <w:rFonts w:eastAsia="Calibri"/>
        </w:rPr>
        <w:t xml:space="preserve"> and an overhead rate of 54 percent,</w:t>
      </w:r>
      <w:r w:rsidR="00EA5CF3">
        <w:rPr>
          <w:rStyle w:val="FootnoteReference"/>
          <w:rFonts w:eastAsia="Calibri"/>
        </w:rPr>
        <w:footnoteReference w:id="10"/>
      </w:r>
      <w:r w:rsidR="00EA5CF3">
        <w:rPr>
          <w:rFonts w:eastAsia="Calibri"/>
        </w:rPr>
        <w:t xml:space="preserve"> resulting in a fully loaded hourly compensation rate for Program Analysts of $120.09 [= $53.85 + ($53.85 × 69%) + ($53.85 × 54%)].</w:t>
      </w:r>
      <w:r w:rsidR="00EA5CF3">
        <w:t xml:space="preserve"> </w:t>
      </w:r>
    </w:p>
    <w:p w:rsidRPr="00D275E1" w:rsidR="00664A88" w:rsidP="00A8579D" w:rsidRDefault="00664A88">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6F327E" w:rsidP="00C544DF" w:rsidRDefault="00C95387">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D275E1">
        <w:t xml:space="preserve">The Department further estimates that </w:t>
      </w:r>
      <w:r w:rsidRPr="00D275E1" w:rsidR="005623C7">
        <w:t>each</w:t>
      </w:r>
      <w:r w:rsidRPr="00D275E1" w:rsidR="00011F77">
        <w:t xml:space="preserve"> Program Analyst</w:t>
      </w:r>
      <w:r w:rsidRPr="00D275E1">
        <w:t xml:space="preserve"> will take </w:t>
      </w:r>
      <w:r w:rsidRPr="00D275E1" w:rsidR="005623C7">
        <w:t xml:space="preserve">an average of </w:t>
      </w:r>
      <w:r w:rsidRPr="00D275E1">
        <w:t>one</w:t>
      </w:r>
      <w:r w:rsidRPr="00D275E1" w:rsidR="005623C7">
        <w:t xml:space="preserve"> </w:t>
      </w:r>
      <w:r w:rsidRPr="00D275E1">
        <w:t>hour to review and analyze the information</w:t>
      </w:r>
      <w:r w:rsidRPr="00D275E1" w:rsidR="005623C7">
        <w:t xml:space="preserve"> that is </w:t>
      </w:r>
      <w:r w:rsidRPr="00D275E1">
        <w:t xml:space="preserve">contained in each of the foregoing information collection </w:t>
      </w:r>
      <w:r w:rsidR="005861B5">
        <w:t>applications</w:t>
      </w:r>
      <w:r w:rsidRPr="00D275E1">
        <w:t xml:space="preserve">. Accordingly, </w:t>
      </w:r>
      <w:r w:rsidRPr="00D275E1">
        <w:lastRenderedPageBreak/>
        <w:t xml:space="preserve">the total annualized cost for </w:t>
      </w:r>
      <w:r w:rsidRPr="00D275E1" w:rsidR="00011F77">
        <w:t xml:space="preserve">a Program Analyst </w:t>
      </w:r>
      <w:r w:rsidR="00011F77">
        <w:t>to</w:t>
      </w:r>
      <w:r w:rsidRPr="00D275E1" w:rsidR="005623C7">
        <w:t xml:space="preserve"> proces</w:t>
      </w:r>
      <w:r w:rsidR="00011F77">
        <w:t>s</w:t>
      </w:r>
      <w:r w:rsidRPr="00D275E1" w:rsidR="005623C7">
        <w:t xml:space="preserve"> </w:t>
      </w:r>
      <w:r w:rsidRPr="00D275E1" w:rsidR="008416ED">
        <w:t xml:space="preserve">the </w:t>
      </w:r>
      <w:r w:rsidRPr="00D275E1" w:rsidR="00FA3A07">
        <w:t xml:space="preserve">estimated </w:t>
      </w:r>
      <w:r w:rsidR="003B6F55">
        <w:t>99</w:t>
      </w:r>
      <w:r w:rsidRPr="00D275E1" w:rsidR="003B6F55">
        <w:t xml:space="preserve"> </w:t>
      </w:r>
      <w:r w:rsidRPr="00D275E1" w:rsidR="007B6C23">
        <w:t xml:space="preserve">submissions </w:t>
      </w:r>
      <w:r w:rsidRPr="00D275E1" w:rsidR="00FA3A07">
        <w:t xml:space="preserve">from potential </w:t>
      </w:r>
      <w:r w:rsidR="00E8350B">
        <w:t>SREs</w:t>
      </w:r>
      <w:r w:rsidRPr="00D275E1" w:rsidR="007B6C23">
        <w:t xml:space="preserve"> </w:t>
      </w:r>
      <w:r w:rsidR="00AA2DC7">
        <w:t xml:space="preserve">per year </w:t>
      </w:r>
      <w:r w:rsidRPr="00D275E1" w:rsidR="009C000F">
        <w:t>multiplied by</w:t>
      </w:r>
      <w:r w:rsidRPr="00D275E1" w:rsidR="007B6C23">
        <w:t xml:space="preserve"> 1.0 hour </w:t>
      </w:r>
      <w:r w:rsidRPr="00D275E1" w:rsidR="009C000F">
        <w:t xml:space="preserve">processing time for each </w:t>
      </w:r>
      <w:r w:rsidR="005861B5">
        <w:t>application</w:t>
      </w:r>
      <w:r w:rsidRPr="00D275E1" w:rsidR="009C000F">
        <w:t>,</w:t>
      </w:r>
      <w:r w:rsidRPr="00D275E1" w:rsidR="007B6C23">
        <w:t xml:space="preserve"> </w:t>
      </w:r>
      <w:r w:rsidRPr="00D275E1" w:rsidR="00FA3A07">
        <w:t xml:space="preserve">will </w:t>
      </w:r>
      <w:r w:rsidRPr="00D275E1" w:rsidR="007B6C23">
        <w:t xml:space="preserve">result in </w:t>
      </w:r>
      <w:r w:rsidR="003B6F55">
        <w:t>99</w:t>
      </w:r>
      <w:r w:rsidRPr="00D275E1" w:rsidR="003B6F55">
        <w:t xml:space="preserve"> </w:t>
      </w:r>
      <w:r w:rsidRPr="00D275E1" w:rsidR="00011F77">
        <w:t>Program Analyst</w:t>
      </w:r>
      <w:r w:rsidRPr="00D275E1" w:rsidR="007B6C23">
        <w:t xml:space="preserve"> processing hours</w:t>
      </w:r>
      <w:r w:rsidRPr="00D275E1" w:rsidR="00FA3A07">
        <w:t xml:space="preserve">, </w:t>
      </w:r>
      <w:r w:rsidRPr="00D275E1" w:rsidR="009D2181">
        <w:t>resulting in</w:t>
      </w:r>
      <w:r w:rsidRPr="00D275E1" w:rsidR="00FA3A07">
        <w:t xml:space="preserve"> a total </w:t>
      </w:r>
      <w:r w:rsidRPr="00D275E1" w:rsidR="009D2181">
        <w:t xml:space="preserve">annual </w:t>
      </w:r>
      <w:r w:rsidRPr="00D275E1" w:rsidR="00FA3A07">
        <w:t xml:space="preserve">cost of </w:t>
      </w:r>
      <w:r w:rsidRPr="00D275E1" w:rsidR="007B6C23">
        <w:t>$</w:t>
      </w:r>
      <w:r w:rsidR="00E8350B">
        <w:t>11,889</w:t>
      </w:r>
      <w:r w:rsidRPr="00D275E1" w:rsidR="0092446F">
        <w:t xml:space="preserve"> </w:t>
      </w:r>
      <w:r w:rsidRPr="00D275E1" w:rsidR="007B6C23">
        <w:t>(</w:t>
      </w:r>
      <w:r w:rsidR="00DC7608">
        <w:t xml:space="preserve">= </w:t>
      </w:r>
      <w:r w:rsidR="003B6F55">
        <w:t>99</w:t>
      </w:r>
      <w:r w:rsidRPr="00D275E1" w:rsidR="003B6F55">
        <w:t xml:space="preserve"> </w:t>
      </w:r>
      <w:r w:rsidRPr="00D275E1" w:rsidR="002A67B0">
        <w:t>hours ×</w:t>
      </w:r>
      <w:r w:rsidRPr="00D275E1" w:rsidR="007B6C23">
        <w:t xml:space="preserve"> $</w:t>
      </w:r>
      <w:r w:rsidR="00E8350B">
        <w:t>120.09</w:t>
      </w:r>
      <w:r w:rsidRPr="00D275E1" w:rsidR="007B6C23">
        <w:t>).</w:t>
      </w:r>
    </w:p>
    <w:p w:rsidR="006F327E" w:rsidP="001C3709" w:rsidRDefault="006F327E">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rPr>
      </w:pPr>
    </w:p>
    <w:p w:rsidRPr="00D275E1" w:rsidR="0096133A" w:rsidP="001C3709" w:rsidRDefault="00666F70">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rPr>
      </w:pPr>
      <w:r>
        <w:rPr>
          <w:b/>
        </w:rPr>
        <w:t xml:space="preserve">Step 2: </w:t>
      </w:r>
      <w:r w:rsidRPr="00D275E1" w:rsidR="006F327E">
        <w:rPr>
          <w:b/>
        </w:rPr>
        <w:t>Review</w:t>
      </w:r>
      <w:r w:rsidR="00040177">
        <w:rPr>
          <w:b/>
        </w:rPr>
        <w:t xml:space="preserve"> Process by</w:t>
      </w:r>
      <w:r w:rsidRPr="00D275E1" w:rsidR="006F327E">
        <w:rPr>
          <w:b/>
        </w:rPr>
        <w:t xml:space="preserve"> Panel </w:t>
      </w:r>
    </w:p>
    <w:p w:rsidR="00040177" w:rsidP="00A8579D" w:rsidRDefault="0096133A">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Applications that the</w:t>
      </w:r>
      <w:r w:rsidR="006F327E">
        <w:t xml:space="preserve"> initial</w:t>
      </w:r>
      <w:r>
        <w:t xml:space="preserve"> Program Analyst </w:t>
      </w:r>
      <w:r w:rsidR="006F327E">
        <w:t>deem</w:t>
      </w:r>
      <w:r w:rsidR="005D459D">
        <w:t>s</w:t>
      </w:r>
      <w:r>
        <w:t xml:space="preserve"> to be </w:t>
      </w:r>
      <w:r w:rsidR="00E00954">
        <w:t>satisfactory</w:t>
      </w:r>
      <w:r w:rsidR="006F327E">
        <w:t xml:space="preserve"> will be forwarded</w:t>
      </w:r>
      <w:r>
        <w:t xml:space="preserve"> to a review panel</w:t>
      </w:r>
      <w:r w:rsidR="006F327E">
        <w:t xml:space="preserve"> consisting of </w:t>
      </w:r>
      <w:r w:rsidR="00D960E4">
        <w:t xml:space="preserve">one </w:t>
      </w:r>
      <w:r w:rsidR="006F327E">
        <w:t xml:space="preserve">Program Analyst and </w:t>
      </w:r>
      <w:r w:rsidR="00D960E4">
        <w:t xml:space="preserve">two </w:t>
      </w:r>
      <w:r w:rsidR="006F327E">
        <w:t>Training and Development Manager</w:t>
      </w:r>
      <w:r w:rsidR="00D960E4">
        <w:t>s</w:t>
      </w:r>
      <w:r>
        <w:t xml:space="preserve"> for review</w:t>
      </w:r>
      <w:r w:rsidR="004645E8">
        <w:t xml:space="preserve">. It is anticipated that the initial review process will result in a disqualification of 10 percent </w:t>
      </w:r>
      <w:r w:rsidDel="005D459D" w:rsidR="004645E8">
        <w:t>(</w:t>
      </w:r>
      <w:r w:rsidDel="005D459D" w:rsidR="00040244">
        <w:t xml:space="preserve">10 </w:t>
      </w:r>
      <w:r w:rsidDel="005D459D" w:rsidR="004645E8">
        <w:t>applications)</w:t>
      </w:r>
      <w:r w:rsidR="00377422">
        <w:t xml:space="preserve">, leaving </w:t>
      </w:r>
      <w:r w:rsidR="00EF72BD">
        <w:t xml:space="preserve">an estimated </w:t>
      </w:r>
      <w:r w:rsidR="00040244">
        <w:t xml:space="preserve">89 </w:t>
      </w:r>
      <w:r w:rsidR="00377422">
        <w:t xml:space="preserve">applications </w:t>
      </w:r>
      <w:r w:rsidR="00AA2DC7">
        <w:t xml:space="preserve">per year </w:t>
      </w:r>
      <w:r w:rsidR="00377422">
        <w:t>to be reviewed during Step 2</w:t>
      </w:r>
      <w:r w:rsidR="004645E8">
        <w:t xml:space="preserve">. The estimated time to conduct a complete review of each </w:t>
      </w:r>
      <w:r w:rsidR="00491ED5">
        <w:t>SRE</w:t>
      </w:r>
      <w:r w:rsidR="00332FCD">
        <w:t>’s</w:t>
      </w:r>
      <w:r w:rsidR="004645E8">
        <w:t xml:space="preserve"> application is </w:t>
      </w:r>
      <w:r w:rsidR="005D459D">
        <w:t xml:space="preserve">8 </w:t>
      </w:r>
      <w:r w:rsidR="004645E8">
        <w:t xml:space="preserve">hours. This equates to </w:t>
      </w:r>
      <w:r w:rsidR="00040244">
        <w:t>712</w:t>
      </w:r>
      <w:r w:rsidR="004645E8">
        <w:t xml:space="preserve"> hours (</w:t>
      </w:r>
      <w:r w:rsidR="00DC7608">
        <w:t xml:space="preserve">= </w:t>
      </w:r>
      <w:r w:rsidR="004645E8">
        <w:t>8 hours</w:t>
      </w:r>
      <w:r w:rsidR="00193C11">
        <w:t xml:space="preserve"> </w:t>
      </w:r>
      <w:r w:rsidR="00BB3282">
        <w:t>×</w:t>
      </w:r>
      <w:r w:rsidR="00193C11">
        <w:t xml:space="preserve"> </w:t>
      </w:r>
      <w:r w:rsidR="00040244">
        <w:t xml:space="preserve">89 </w:t>
      </w:r>
      <w:r w:rsidR="004645E8">
        <w:t>applications).</w:t>
      </w:r>
      <w:r w:rsidR="00040177">
        <w:t xml:space="preserve">  </w:t>
      </w:r>
    </w:p>
    <w:p w:rsidR="00664A88" w:rsidP="00A8579D" w:rsidRDefault="00664A88">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0D62FD" w:rsidP="005D459D" w:rsidRDefault="000D62F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B47EDF">
        <w:t>The hourly</w:t>
      </w:r>
      <w:r>
        <w:t xml:space="preserve"> compensation for a Program Analyst is $</w:t>
      </w:r>
      <w:r w:rsidR="005D459D">
        <w:t xml:space="preserve">120.09 as stated above, so the cost for </w:t>
      </w:r>
      <w:r w:rsidR="00D960E4">
        <w:t xml:space="preserve">one </w:t>
      </w:r>
      <w:r w:rsidR="005D459D">
        <w:t>Program Analyst to review applications is $</w:t>
      </w:r>
      <w:r w:rsidR="00D960E4">
        <w:t>85,504</w:t>
      </w:r>
      <w:r w:rsidR="005D459D">
        <w:t xml:space="preserve"> (= $120.09 × 712 hours). The hourly compensation for a Training and Development Manager is $117.06 as stated above, so the cost for </w:t>
      </w:r>
      <w:r w:rsidR="00D960E4">
        <w:t xml:space="preserve">two </w:t>
      </w:r>
      <w:r w:rsidR="005D459D">
        <w:t>Training and Development Manager</w:t>
      </w:r>
      <w:r w:rsidR="00D960E4">
        <w:t>s</w:t>
      </w:r>
      <w:r w:rsidR="005D459D">
        <w:t xml:space="preserve"> to review applications is $</w:t>
      </w:r>
      <w:r w:rsidR="00D960E4">
        <w:t>166,693</w:t>
      </w:r>
      <w:r w:rsidR="005D459D">
        <w:t xml:space="preserve"> (= $117.06 × </w:t>
      </w:r>
      <w:r w:rsidR="00D960E4">
        <w:t xml:space="preserve">2 Training and Development Managers × </w:t>
      </w:r>
      <w:r w:rsidR="005D459D">
        <w:t>712 hours). Therefore, the total annualized cost for the panel to review the estimated 89 applications is $</w:t>
      </w:r>
      <w:r w:rsidR="00D960E4">
        <w:t>252,198</w:t>
      </w:r>
      <w:r w:rsidR="005D459D">
        <w:t xml:space="preserve"> (= $</w:t>
      </w:r>
      <w:r w:rsidR="00D960E4">
        <w:t>85,504</w:t>
      </w:r>
      <w:r w:rsidR="005D459D">
        <w:t xml:space="preserve"> + $</w:t>
      </w:r>
      <w:r w:rsidR="00D960E4">
        <w:t>166,693</w:t>
      </w:r>
      <w:r w:rsidR="005D459D">
        <w:t xml:space="preserve">). </w:t>
      </w:r>
      <w:r w:rsidR="00796066">
        <w:t xml:space="preserve"> </w:t>
      </w:r>
      <w:r w:rsidR="00F21A43">
        <w:t xml:space="preserve"> </w:t>
      </w:r>
    </w:p>
    <w:p w:rsidR="00014648" w:rsidP="001C3709" w:rsidRDefault="00014648">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rPr>
      </w:pPr>
    </w:p>
    <w:p w:rsidRPr="00D275E1" w:rsidR="000D62FD" w:rsidP="001C3709" w:rsidRDefault="00666F70">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rPr>
      </w:pPr>
      <w:r>
        <w:rPr>
          <w:b/>
        </w:rPr>
        <w:t xml:space="preserve">Step 3: </w:t>
      </w:r>
      <w:r w:rsidRPr="00D275E1" w:rsidR="00014648">
        <w:rPr>
          <w:b/>
        </w:rPr>
        <w:t>Panel Recommendations for Approval</w:t>
      </w:r>
    </w:p>
    <w:p w:rsidR="00666F70" w:rsidP="001C3709" w:rsidRDefault="00A821FE">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It is expected that the panel will meet on a consistent basis to discuss their review findings for each application. This process should take approximately one hour per application for a total of </w:t>
      </w:r>
      <w:r w:rsidR="000C7786">
        <w:t xml:space="preserve">89 </w:t>
      </w:r>
      <w:r>
        <w:t>hours</w:t>
      </w:r>
      <w:r w:rsidR="005D459D">
        <w:t xml:space="preserve"> (= 1 hour × 89 applications). The cost for </w:t>
      </w:r>
      <w:r w:rsidR="00AF3573">
        <w:t xml:space="preserve">one </w:t>
      </w:r>
      <w:r w:rsidR="005D459D">
        <w:t>Program Analyst is $</w:t>
      </w:r>
      <w:r w:rsidR="00AF3573">
        <w:t>10,688</w:t>
      </w:r>
      <w:r w:rsidR="005D459D">
        <w:t xml:space="preserve"> (= $120.09 × 89 hours). The cost for </w:t>
      </w:r>
      <w:r w:rsidR="00AF3573">
        <w:t xml:space="preserve">two </w:t>
      </w:r>
      <w:r w:rsidR="005D459D">
        <w:t>Training and Development Manager</w:t>
      </w:r>
      <w:r w:rsidR="00AF3573">
        <w:t>s</w:t>
      </w:r>
      <w:r w:rsidR="005D459D">
        <w:t xml:space="preserve"> is $</w:t>
      </w:r>
      <w:r w:rsidRPr="00AF3573" w:rsidR="00AF3573">
        <w:t>20,837</w:t>
      </w:r>
      <w:r w:rsidR="005D459D">
        <w:t xml:space="preserve"> </w:t>
      </w:r>
      <w:r w:rsidR="005D459D">
        <w:lastRenderedPageBreak/>
        <w:t xml:space="preserve">(= $117.06 × </w:t>
      </w:r>
      <w:r w:rsidR="00AF3573">
        <w:t xml:space="preserve">2 Training and Development Managers × </w:t>
      </w:r>
      <w:r w:rsidR="005D459D">
        <w:t>89 hours). Therefore, the total annualized cost for the panel members to discuss their findings and prepare their recommendations is $</w:t>
      </w:r>
      <w:r w:rsidR="00AF3573">
        <w:t>31,525</w:t>
      </w:r>
      <w:r w:rsidR="005D459D">
        <w:t xml:space="preserve"> (= $</w:t>
      </w:r>
      <w:r w:rsidR="00AF3573">
        <w:t>10,688</w:t>
      </w:r>
      <w:r w:rsidR="005D459D">
        <w:t xml:space="preserve"> + $</w:t>
      </w:r>
      <w:r w:rsidR="00AF3573">
        <w:t>20,837</w:t>
      </w:r>
      <w:r w:rsidR="005D459D">
        <w:t>).</w:t>
      </w:r>
      <w:r w:rsidR="00E25CBD">
        <w:t xml:space="preserve"> </w:t>
      </w:r>
    </w:p>
    <w:p w:rsidRPr="00D275E1" w:rsidR="005D0500" w:rsidP="001C3709" w:rsidRDefault="005D0500">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D275E1" w:rsidR="0096133A" w:rsidP="001C3709" w:rsidRDefault="00666F70">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rPr>
      </w:pPr>
      <w:r w:rsidRPr="00D275E1">
        <w:rPr>
          <w:b/>
        </w:rPr>
        <w:t>Step 4: Approval</w:t>
      </w:r>
      <w:r w:rsidRPr="00D275E1" w:rsidR="0023444D">
        <w:rPr>
          <w:b/>
        </w:rPr>
        <w:t xml:space="preserve"> by Office of Apprenticeshi</w:t>
      </w:r>
      <w:r w:rsidRPr="00D275E1">
        <w:rPr>
          <w:b/>
        </w:rPr>
        <w:t>p</w:t>
      </w:r>
      <w:r w:rsidRPr="00D275E1" w:rsidR="0023444D">
        <w:rPr>
          <w:b/>
        </w:rPr>
        <w:t xml:space="preserve"> Administrator </w:t>
      </w:r>
    </w:p>
    <w:p w:rsidR="00664A88" w:rsidP="00A8579D" w:rsidRDefault="005D0500">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D275E1">
        <w:t xml:space="preserve">After initial intake and review by a </w:t>
      </w:r>
      <w:r w:rsidRPr="00D275E1" w:rsidR="00BA023D">
        <w:t>Program Analyst</w:t>
      </w:r>
      <w:r w:rsidRPr="00D275E1">
        <w:t xml:space="preserve"> and subsequent analysis by the </w:t>
      </w:r>
      <w:r w:rsidRPr="00D275E1" w:rsidR="00BA023D">
        <w:t>review panel</w:t>
      </w:r>
      <w:r w:rsidR="0020337A">
        <w:t>,</w:t>
      </w:r>
      <w:r w:rsidRPr="00D275E1">
        <w:t xml:space="preserve"> </w:t>
      </w:r>
      <w:r w:rsidRPr="00D275E1" w:rsidR="00943634">
        <w:t>applications deemed satisfactory will be sent to the Administrator</w:t>
      </w:r>
      <w:r w:rsidR="0086791B">
        <w:t xml:space="preserve"> </w:t>
      </w:r>
      <w:r w:rsidRPr="00D275E1" w:rsidR="00943634">
        <w:t>for final review and approval. T</w:t>
      </w:r>
      <w:r w:rsidRPr="00D275E1">
        <w:t>he Administrator (who is a member of the Senior Executive Service</w:t>
      </w:r>
      <w:r w:rsidRPr="00D275E1" w:rsidR="009325A1">
        <w:t>, or SES</w:t>
      </w:r>
      <w:r w:rsidRPr="00D275E1">
        <w:t xml:space="preserve">) </w:t>
      </w:r>
      <w:r w:rsidRPr="00D275E1" w:rsidR="00943634">
        <w:t>will</w:t>
      </w:r>
      <w:r w:rsidRPr="00D275E1">
        <w:t xml:space="preserve"> </w:t>
      </w:r>
      <w:r w:rsidRPr="00D275E1" w:rsidR="00826662">
        <w:t xml:space="preserve">reach a final </w:t>
      </w:r>
      <w:r w:rsidR="004907EB">
        <w:t>decision</w:t>
      </w:r>
      <w:r w:rsidRPr="00D275E1" w:rsidR="00826662">
        <w:t xml:space="preserve"> concerning whether a particular </w:t>
      </w:r>
      <w:r w:rsidRPr="00D275E1">
        <w:t xml:space="preserve">entity </w:t>
      </w:r>
      <w:r w:rsidR="004907EB">
        <w:t xml:space="preserve">will </w:t>
      </w:r>
      <w:r w:rsidRPr="00D275E1">
        <w:t xml:space="preserve">receive </w:t>
      </w:r>
      <w:r w:rsidR="00CB5A7A">
        <w:t>recognition</w:t>
      </w:r>
      <w:r w:rsidRPr="00D275E1" w:rsidR="00644551">
        <w:t xml:space="preserve"> </w:t>
      </w:r>
      <w:r w:rsidRPr="00D275E1" w:rsidR="0021469A">
        <w:t xml:space="preserve">from the Department </w:t>
      </w:r>
      <w:r w:rsidR="004907EB">
        <w:t>as a</w:t>
      </w:r>
      <w:r w:rsidR="000919C1">
        <w:t>n</w:t>
      </w:r>
      <w:r w:rsidR="004907EB">
        <w:t xml:space="preserve"> </w:t>
      </w:r>
      <w:r w:rsidR="004A1F10">
        <w:t>SRE</w:t>
      </w:r>
      <w:r w:rsidRPr="00D275E1">
        <w:t xml:space="preserve">. </w:t>
      </w:r>
      <w:r w:rsidRPr="005E4605" w:rsidR="0086791B">
        <w:rPr>
          <w:rFonts w:eastAsia="Calibri"/>
        </w:rPr>
        <w:t xml:space="preserve">The </w:t>
      </w:r>
      <w:r w:rsidR="0086791B">
        <w:rPr>
          <w:rFonts w:eastAsia="Calibri"/>
        </w:rPr>
        <w:t>compensation</w:t>
      </w:r>
      <w:r w:rsidRPr="005E4605" w:rsidR="0086791B">
        <w:rPr>
          <w:rFonts w:eastAsia="Calibri"/>
        </w:rPr>
        <w:t xml:space="preserve"> rate </w:t>
      </w:r>
      <w:r w:rsidR="0086791B">
        <w:rPr>
          <w:rFonts w:eastAsia="Calibri"/>
        </w:rPr>
        <w:t xml:space="preserve">for </w:t>
      </w:r>
      <w:r w:rsidRPr="005E4605" w:rsidR="0086791B">
        <w:rPr>
          <w:rFonts w:eastAsia="Calibri"/>
        </w:rPr>
        <w:t xml:space="preserve">the Administrator is based on the salary of a Federal employee at Level IV of the Senior Executive Service, which </w:t>
      </w:r>
      <w:r w:rsidR="0086791B">
        <w:rPr>
          <w:rFonts w:eastAsia="Calibri"/>
        </w:rPr>
        <w:t>is</w:t>
      </w:r>
      <w:r w:rsidRPr="005E4605" w:rsidR="0086791B">
        <w:rPr>
          <w:rFonts w:eastAsia="Calibri"/>
        </w:rPr>
        <w:t xml:space="preserve"> $</w:t>
      </w:r>
      <w:r w:rsidR="0086791B">
        <w:rPr>
          <w:rFonts w:eastAsia="Calibri"/>
        </w:rPr>
        <w:t>166,500</w:t>
      </w:r>
      <w:r w:rsidRPr="005E4605" w:rsidR="0086791B">
        <w:rPr>
          <w:rFonts w:eastAsia="Calibri"/>
        </w:rPr>
        <w:t xml:space="preserve"> per annum;</w:t>
      </w:r>
      <w:r w:rsidRPr="00002A3F" w:rsidR="0086791B">
        <w:rPr>
          <w:rStyle w:val="FootnoteReference"/>
          <w:rFonts w:eastAsia="Calibri"/>
        </w:rPr>
        <w:footnoteReference w:id="11"/>
      </w:r>
      <w:r w:rsidRPr="005E4605" w:rsidR="0086791B">
        <w:rPr>
          <w:rFonts w:eastAsia="Calibri"/>
        </w:rPr>
        <w:t xml:space="preserve"> the corresponding hourly base pay for an SES at this level is $</w:t>
      </w:r>
      <w:r w:rsidR="0086791B">
        <w:rPr>
          <w:rFonts w:eastAsia="Calibri"/>
        </w:rPr>
        <w:t>80.05</w:t>
      </w:r>
      <w:r w:rsidRPr="005E4605" w:rsidR="0086791B">
        <w:rPr>
          <w:rFonts w:eastAsia="Calibri"/>
        </w:rPr>
        <w:t xml:space="preserve"> (= $</w:t>
      </w:r>
      <w:r w:rsidR="0086791B">
        <w:rPr>
          <w:rFonts w:eastAsia="Calibri"/>
        </w:rPr>
        <w:t>166,500</w:t>
      </w:r>
      <w:r w:rsidRPr="005E4605" w:rsidR="0086791B">
        <w:rPr>
          <w:rFonts w:eastAsia="Calibri"/>
        </w:rPr>
        <w:t xml:space="preserve"> ÷ 2,080 hours)</w:t>
      </w:r>
      <w:r w:rsidR="0086791B">
        <w:rPr>
          <w:rFonts w:eastAsia="Calibri"/>
        </w:rPr>
        <w:t xml:space="preserve">. </w:t>
      </w:r>
      <w:r w:rsidRPr="005E4605" w:rsidR="0086791B">
        <w:rPr>
          <w:rFonts w:eastAsia="Calibri"/>
        </w:rPr>
        <w:t>The Department used a fringe benefits rate of 69 percent and an overhead rate of 54 percent, resulting in a fully loaded hourly compensation rate for the Administrator of $</w:t>
      </w:r>
      <w:r w:rsidR="0086791B">
        <w:rPr>
          <w:rFonts w:eastAsia="Calibri"/>
        </w:rPr>
        <w:t>178.51</w:t>
      </w:r>
      <w:r w:rsidRPr="005E4605" w:rsidR="0086791B">
        <w:rPr>
          <w:rFonts w:eastAsia="Calibri"/>
        </w:rPr>
        <w:t xml:space="preserve"> </w:t>
      </w:r>
      <w:r w:rsidR="0086791B">
        <w:rPr>
          <w:rFonts w:eastAsia="Calibri"/>
        </w:rPr>
        <w:t>[</w:t>
      </w:r>
      <w:r w:rsidRPr="005E4605" w:rsidR="0086791B">
        <w:rPr>
          <w:rFonts w:eastAsia="Calibri"/>
        </w:rPr>
        <w:t>= $</w:t>
      </w:r>
      <w:r w:rsidR="0086791B">
        <w:rPr>
          <w:rFonts w:eastAsia="Calibri"/>
        </w:rPr>
        <w:t>80.05</w:t>
      </w:r>
      <w:r w:rsidRPr="005E4605" w:rsidR="0086791B">
        <w:rPr>
          <w:rFonts w:eastAsia="Calibri"/>
        </w:rPr>
        <w:t xml:space="preserve"> + ($</w:t>
      </w:r>
      <w:r w:rsidR="0086791B">
        <w:rPr>
          <w:rFonts w:eastAsia="Calibri"/>
        </w:rPr>
        <w:t>80.05</w:t>
      </w:r>
      <w:r w:rsidRPr="005E4605" w:rsidR="0086791B">
        <w:rPr>
          <w:rFonts w:eastAsia="Calibri"/>
        </w:rPr>
        <w:t xml:space="preserve"> × 69%) + ($</w:t>
      </w:r>
      <w:r w:rsidR="0086791B">
        <w:rPr>
          <w:rFonts w:eastAsia="Calibri"/>
        </w:rPr>
        <w:t>80.05</w:t>
      </w:r>
      <w:r w:rsidRPr="005E4605" w:rsidR="0086791B">
        <w:rPr>
          <w:rFonts w:eastAsia="Calibri"/>
        </w:rPr>
        <w:t xml:space="preserve"> × 54%)</w:t>
      </w:r>
      <w:r w:rsidR="0086791B">
        <w:rPr>
          <w:rFonts w:eastAsia="Calibri"/>
        </w:rPr>
        <w:t>]</w:t>
      </w:r>
      <w:r w:rsidRPr="005E4605" w:rsidR="0086791B">
        <w:rPr>
          <w:rFonts w:eastAsia="Calibri"/>
        </w:rPr>
        <w:t>.</w:t>
      </w:r>
      <w:r w:rsidRPr="00D275E1" w:rsidR="007E174C">
        <w:t xml:space="preserve">  </w:t>
      </w:r>
    </w:p>
    <w:p w:rsidR="00664A88" w:rsidP="00A8579D" w:rsidRDefault="00664A88">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5D0500" w:rsidP="0086791B" w:rsidRDefault="00DD2081">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The Department estimates that the panel will approve the qualifications of approximately </w:t>
      </w:r>
      <w:r w:rsidR="00C4284D">
        <w:t>75</w:t>
      </w:r>
      <w:r>
        <w:t>%</w:t>
      </w:r>
      <w:r w:rsidR="0086791B">
        <w:t xml:space="preserve"> of the SRE applicants, </w:t>
      </w:r>
      <w:r w:rsidR="003A233A">
        <w:t>or</w:t>
      </w:r>
      <w:r w:rsidR="0086791B">
        <w:t xml:space="preserve"> 75 out of 99 applications in the first three years</w:t>
      </w:r>
      <w:r w:rsidRPr="009D2181" w:rsidR="0086791B">
        <w:t>.</w:t>
      </w:r>
      <w:r w:rsidR="0086791B">
        <w:t xml:space="preserve"> </w:t>
      </w:r>
      <w:r w:rsidRPr="00D275E1" w:rsidR="0086791B">
        <w:t>The Department further estimates that the Administrator will take an average of 15 minutes to review each application</w:t>
      </w:r>
      <w:r w:rsidR="0086791B">
        <w:t xml:space="preserve"> </w:t>
      </w:r>
      <w:r w:rsidRPr="00D275E1" w:rsidR="0086791B">
        <w:t>the panel recommend</w:t>
      </w:r>
      <w:r w:rsidR="0086791B">
        <w:t>s</w:t>
      </w:r>
      <w:r w:rsidRPr="00D275E1" w:rsidR="0086791B">
        <w:t xml:space="preserve"> for final </w:t>
      </w:r>
      <w:r w:rsidR="0086791B">
        <w:t>recognition</w:t>
      </w:r>
      <w:r w:rsidRPr="00D275E1" w:rsidR="0086791B">
        <w:t xml:space="preserve"> </w:t>
      </w:r>
      <w:r w:rsidR="0086791B">
        <w:t>as an SRE, for a total of 18.75 hours (= 75 applications × 15 minutes)</w:t>
      </w:r>
      <w:r w:rsidRPr="00D275E1" w:rsidR="0086791B">
        <w:t xml:space="preserve">. Accordingly, the total annualized cost for the Administrator’s review is </w:t>
      </w:r>
      <w:r w:rsidR="0086791B">
        <w:t>$3,347 (= $178.51 × 18.75 hours).</w:t>
      </w:r>
    </w:p>
    <w:p w:rsidR="0095107E" w:rsidP="001C3709" w:rsidRDefault="0095107E">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6F656D" w:rsidR="0069689B" w:rsidP="0069689B" w:rsidRDefault="0069689B">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r>
        <w:rPr>
          <w:b/>
          <w:u w:val="single"/>
        </w:rPr>
        <w:t xml:space="preserve">Notification of </w:t>
      </w:r>
      <w:r w:rsidRPr="006F656D">
        <w:rPr>
          <w:b/>
          <w:u w:val="single"/>
        </w:rPr>
        <w:t>Recognition or Denial of Recognition</w:t>
      </w:r>
    </w:p>
    <w:p w:rsidR="0069689B" w:rsidP="0069689B" w:rsidRDefault="0069689B">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69689B" w:rsidP="0069689B" w:rsidRDefault="0069689B">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180"/>
      </w:pPr>
      <w:r w:rsidRPr="00D275E1">
        <w:t xml:space="preserve">The Department estimates that </w:t>
      </w:r>
      <w:r>
        <w:t>a Program Analyst</w:t>
      </w:r>
      <w:r w:rsidRPr="00D275E1">
        <w:t xml:space="preserve"> will take an average of 1</w:t>
      </w:r>
      <w:r>
        <w:t xml:space="preserve"> hour </w:t>
      </w:r>
      <w:r w:rsidRPr="00D275E1">
        <w:t xml:space="preserve">to </w:t>
      </w:r>
      <w:r>
        <w:t>notify each of the 99 applicants as to whether they have been recognized as an SRE. So, t</w:t>
      </w:r>
      <w:r w:rsidRPr="00D275E1">
        <w:t xml:space="preserve">he total annualized cost for the </w:t>
      </w:r>
      <w:r>
        <w:t xml:space="preserve">notification process is $11,889 (= 99 applicants × 1 hour × $120.09).  </w:t>
      </w:r>
    </w:p>
    <w:p w:rsidR="0069689B" w:rsidP="0069689B" w:rsidRDefault="0069689B">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p>
    <w:p w:rsidR="0069689B" w:rsidP="0069689B" w:rsidRDefault="0069689B">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r>
        <w:rPr>
          <w:b/>
          <w:u w:val="single"/>
        </w:rPr>
        <w:t>Periodic Compliance Assistance Reviews of SREs</w:t>
      </w:r>
    </w:p>
    <w:p w:rsidR="0069689B" w:rsidP="0069689B" w:rsidRDefault="0069689B">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p>
    <w:p w:rsidR="0069689B" w:rsidP="0069689B" w:rsidRDefault="0069689B">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T</w:t>
      </w:r>
      <w:r w:rsidRPr="00C1752C">
        <w:rPr>
          <w:rFonts w:eastAsia="Calibri"/>
        </w:rPr>
        <w:t xml:space="preserve">he </w:t>
      </w:r>
      <w:r>
        <w:rPr>
          <w:rFonts w:eastAsia="Calibri"/>
        </w:rPr>
        <w:t xml:space="preserve">Office of Apprenticeship </w:t>
      </w:r>
      <w:r w:rsidRPr="00C1752C">
        <w:rPr>
          <w:rFonts w:eastAsia="Calibri"/>
        </w:rPr>
        <w:t xml:space="preserve">may </w:t>
      </w:r>
      <w:r>
        <w:rPr>
          <w:rFonts w:eastAsia="Calibri"/>
        </w:rPr>
        <w:t>conduct periodic compliance assistance reviews of SREs</w:t>
      </w:r>
      <w:r w:rsidRPr="00C1752C">
        <w:rPr>
          <w:rFonts w:eastAsia="Calibri"/>
        </w:rPr>
        <w:t>.</w:t>
      </w:r>
      <w:r>
        <w:rPr>
          <w:rFonts w:eastAsia="Calibri"/>
        </w:rPr>
        <w:t xml:space="preserve"> For purposes of this analysis, the Department estimates that the Office of Apprenticeship will perform compliance assistance reviews of 5 percent of SREs per year, which rounds up to 11 SREs (= 213 SREs × 5%). The Department estimates that such reviews will </w:t>
      </w:r>
      <w:r w:rsidRPr="0026217F">
        <w:t xml:space="preserve">take approximately </w:t>
      </w:r>
      <w:r>
        <w:t>10 hours per SRE, so the total annualized cost is estimated at $13,210 (= 11 SREs × 10 hours × $120.09)</w:t>
      </w:r>
      <w:r w:rsidRPr="002F4599">
        <w:t>.</w:t>
      </w:r>
    </w:p>
    <w:p w:rsidR="0069689B" w:rsidP="0069689B" w:rsidRDefault="0069689B">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u w:val="single"/>
        </w:rPr>
      </w:pPr>
    </w:p>
    <w:p w:rsidR="0069689B" w:rsidP="0069689B" w:rsidRDefault="0069689B">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356D18">
        <w:rPr>
          <w:b/>
          <w:u w:val="single"/>
        </w:rPr>
        <w:t>Online Application and Internal Review System</w:t>
      </w:r>
    </w:p>
    <w:p w:rsidR="004C4FC6" w:rsidP="006A16DE" w:rsidRDefault="004C4FC6"/>
    <w:p w:rsidR="006A16DE" w:rsidP="006A16DE" w:rsidRDefault="004C4FC6">
      <w:pPr>
        <w:rPr>
          <w:b/>
          <w:bCs/>
        </w:rPr>
      </w:pPr>
      <w:r>
        <w:t xml:space="preserve">The one-time cost to develop an online portal to gather and track information for this collection is estimated at $546,462 for software and labor. The annual maintenance cost is </w:t>
      </w:r>
      <w:r w:rsidR="0086791B">
        <w:t xml:space="preserve">estimated at </w:t>
      </w:r>
      <w:r>
        <w:t xml:space="preserve">$125,000 </w:t>
      </w:r>
      <w:r w:rsidR="003A233A">
        <w:t>for software and labor</w:t>
      </w:r>
      <w:r>
        <w:t>.</w:t>
      </w:r>
    </w:p>
    <w:p w:rsidR="006A16DE" w:rsidP="001C3709" w:rsidRDefault="006A16DE">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DA4B8F" w:rsidP="001C3709" w:rsidRDefault="00DA4B8F">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rPr>
      </w:pPr>
      <w:r w:rsidRPr="00BE7F6D">
        <w:rPr>
          <w:b/>
          <w:u w:val="single"/>
        </w:rPr>
        <w:t>Total Federal Government Burden</w:t>
      </w:r>
    </w:p>
    <w:p w:rsidR="000B2901" w:rsidP="001618E2" w:rsidRDefault="000B2901">
      <w:pPr>
        <w:widowControl w:val="0"/>
        <w:autoSpaceDE w:val="0"/>
        <w:autoSpaceDN w:val="0"/>
        <w:adjustRightInd w:val="0"/>
        <w:rPr>
          <w:b/>
          <w:highlight w:val="yellow"/>
        </w:rPr>
      </w:pPr>
    </w:p>
    <w:p w:rsidR="00F5707B" w:rsidP="001618E2" w:rsidRDefault="00D33CAD">
      <w:pPr>
        <w:widowControl w:val="0"/>
        <w:autoSpaceDE w:val="0"/>
        <w:autoSpaceDN w:val="0"/>
        <w:adjustRightInd w:val="0"/>
        <w:rPr>
          <w:b/>
          <w:u w:val="single"/>
        </w:rPr>
      </w:pPr>
      <w:r w:rsidRPr="00EF7460">
        <w:rPr>
          <w:b/>
          <w:noProof/>
          <w:u w:val="single"/>
        </w:rPr>
        <w:lastRenderedPageBreak/>
        <w:drawing>
          <wp:inline distT="0" distB="0" distL="0" distR="0">
            <wp:extent cx="6400800" cy="2581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0" cy="2581275"/>
                    </a:xfrm>
                    <a:prstGeom prst="rect">
                      <a:avLst/>
                    </a:prstGeom>
                    <a:noFill/>
                    <a:ln>
                      <a:noFill/>
                    </a:ln>
                  </pic:spPr>
                </pic:pic>
              </a:graphicData>
            </a:graphic>
          </wp:inline>
        </w:drawing>
      </w:r>
    </w:p>
    <w:p w:rsidR="004C4FC6" w:rsidP="001618E2" w:rsidRDefault="004C4FC6">
      <w:pPr>
        <w:widowControl w:val="0"/>
        <w:autoSpaceDE w:val="0"/>
        <w:autoSpaceDN w:val="0"/>
        <w:adjustRightInd w:val="0"/>
        <w:rPr>
          <w:b/>
          <w:u w:val="single"/>
        </w:rPr>
      </w:pPr>
    </w:p>
    <w:p w:rsidRPr="00D275E1" w:rsidR="001618E2" w:rsidP="001618E2" w:rsidRDefault="001618E2">
      <w:pPr>
        <w:widowControl w:val="0"/>
        <w:autoSpaceDE w:val="0"/>
        <w:autoSpaceDN w:val="0"/>
        <w:adjustRightInd w:val="0"/>
      </w:pPr>
      <w:r w:rsidRPr="00D275E1">
        <w:rPr>
          <w:b/>
          <w:u w:val="single"/>
        </w:rPr>
        <w:t>GRAND TOTAL OF FEDERAL COST BURDEN:</w:t>
      </w:r>
      <w:r w:rsidRPr="00D275E1">
        <w:rPr>
          <w:b/>
        </w:rPr>
        <w:tab/>
      </w:r>
      <w:r w:rsidRPr="00D275E1" w:rsidR="00FB2A32">
        <w:rPr>
          <w:b/>
        </w:rPr>
        <w:t>$</w:t>
      </w:r>
      <w:r w:rsidR="00EF7460">
        <w:rPr>
          <w:b/>
        </w:rPr>
        <w:t>995,519</w:t>
      </w:r>
    </w:p>
    <w:p w:rsidR="0033374D" w:rsidP="001C3709" w:rsidRDefault="007B6C23">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00" w:after="100"/>
        <w:rPr>
          <w:i/>
        </w:rPr>
      </w:pPr>
      <w:r>
        <w:t xml:space="preserve">  </w:t>
      </w:r>
      <w:r w:rsidRPr="00F7529D">
        <w:t xml:space="preserve"> </w:t>
      </w:r>
    </w:p>
    <w:p w:rsidRPr="00F7529D" w:rsidR="00F7529D" w:rsidP="00F7529D" w:rsidRDefault="00F7529D">
      <w:pPr>
        <w:widowControl w:val="0"/>
        <w:autoSpaceDE w:val="0"/>
        <w:autoSpaceDN w:val="0"/>
        <w:adjustRightInd w:val="0"/>
        <w:ind w:left="720" w:hanging="720"/>
        <w:rPr>
          <w:i/>
        </w:rPr>
      </w:pPr>
      <w:r w:rsidRPr="00F7529D">
        <w:rPr>
          <w:i/>
        </w:rPr>
        <w:t>15.</w:t>
      </w:r>
      <w:r w:rsidRPr="00F7529D">
        <w:rPr>
          <w:i/>
        </w:rPr>
        <w:tab/>
        <w:t>Explain the reasons for any program changes or adjustments reported on the burden worksheet.</w:t>
      </w:r>
    </w:p>
    <w:p w:rsidRPr="00F7529D" w:rsidR="00F7529D" w:rsidP="00F7529D" w:rsidRDefault="00F7529D">
      <w:pPr>
        <w:widowControl w:val="0"/>
        <w:autoSpaceDE w:val="0"/>
        <w:autoSpaceDN w:val="0"/>
        <w:adjustRightInd w:val="0"/>
        <w:ind w:left="720" w:hanging="720"/>
        <w:rPr>
          <w:i/>
        </w:rPr>
      </w:pPr>
    </w:p>
    <w:p w:rsidRPr="00F7529D" w:rsidR="00F7529D" w:rsidP="004D446B" w:rsidRDefault="004D446B">
      <w:pPr>
        <w:widowControl w:val="0"/>
        <w:autoSpaceDE w:val="0"/>
        <w:autoSpaceDN w:val="0"/>
        <w:adjustRightInd w:val="0"/>
        <w:ind w:left="720" w:hanging="720"/>
      </w:pPr>
      <w:r>
        <w:t>This is a new information collection.</w:t>
      </w:r>
    </w:p>
    <w:p w:rsidRPr="00F7529D" w:rsidR="00F7529D" w:rsidP="00F7529D" w:rsidRDefault="00F7529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bCs/>
        </w:rPr>
      </w:pPr>
    </w:p>
    <w:p w:rsidRPr="00F7529D" w:rsidR="00F7529D" w:rsidP="00F7529D" w:rsidRDefault="00F7529D">
      <w:pPr>
        <w:widowControl w:val="0"/>
        <w:autoSpaceDE w:val="0"/>
        <w:autoSpaceDN w:val="0"/>
        <w:adjustRightInd w:val="0"/>
        <w:ind w:left="720" w:hanging="720"/>
        <w:rPr>
          <w:rFonts w:ascii="Courier" w:hAnsi="Courier"/>
          <w:i/>
        </w:rPr>
      </w:pPr>
      <w:r w:rsidRPr="00F7529D">
        <w:rPr>
          <w:i/>
        </w:rPr>
        <w:t>16.</w:t>
      </w:r>
      <w:r w:rsidRPr="00F7529D">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w:t>
      </w:r>
    </w:p>
    <w:p w:rsidRPr="00F7529D" w:rsidR="00F7529D" w:rsidP="00F7529D" w:rsidRDefault="00F7529D">
      <w:pPr>
        <w:tabs>
          <w:tab w:val="left" w:pos="-1440"/>
          <w:tab w:val="left" w:pos="-720"/>
          <w:tab w:val="left" w:pos="0"/>
          <w:tab w:val="left" w:pos="720"/>
          <w:tab w:val="left" w:pos="108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bCs/>
        </w:rPr>
      </w:pPr>
    </w:p>
    <w:p w:rsidRPr="009E61C4" w:rsidR="00F7529D" w:rsidP="009E61C4" w:rsidRDefault="00F7529D">
      <w:r w:rsidRPr="00F7529D">
        <w:t>Summary information is used to respond to requests from senior management, Congress, public interest groups, the apprenticeship sponsor community, and the general public.</w:t>
      </w:r>
      <w:r w:rsidR="009E61C4">
        <w:t xml:space="preserve"> After </w:t>
      </w:r>
      <w:r w:rsidR="00330D2F">
        <w:t>SREs</w:t>
      </w:r>
      <w:r w:rsidR="009E61C4">
        <w:t xml:space="preserve"> are approved by the Department, </w:t>
      </w:r>
      <w:r w:rsidR="008657C5">
        <w:t xml:space="preserve">some </w:t>
      </w:r>
      <w:r w:rsidR="009E61C4">
        <w:t xml:space="preserve">information about </w:t>
      </w:r>
      <w:r w:rsidR="002C06E0">
        <w:t>them</w:t>
      </w:r>
      <w:r w:rsidR="009E61C4">
        <w:t xml:space="preserve"> will be posted on the Department’s website.  </w:t>
      </w:r>
      <w:r w:rsidRPr="009E61C4" w:rsidDel="009E61C4" w:rsidR="009E61C4">
        <w:t xml:space="preserve"> </w:t>
      </w:r>
    </w:p>
    <w:p w:rsidRPr="009E61C4" w:rsidR="004D446B" w:rsidP="009E61C4" w:rsidRDefault="004D446B"/>
    <w:p w:rsidRPr="00D74537" w:rsidR="00F7529D" w:rsidP="003218D1" w:rsidRDefault="00F7529D">
      <w:pPr>
        <w:ind w:left="720" w:hanging="720"/>
        <w:rPr>
          <w:i/>
        </w:rPr>
      </w:pPr>
      <w:r w:rsidRPr="00D74537">
        <w:rPr>
          <w:i/>
        </w:rPr>
        <w:lastRenderedPageBreak/>
        <w:t>17.</w:t>
      </w:r>
      <w:r w:rsidRPr="00D74537">
        <w:rPr>
          <w:i/>
        </w:rPr>
        <w:tab/>
        <w:t>If seeking approval not to display the expiration date for OMB approval of the information collection, explain the reasons that display would be inappropriate.</w:t>
      </w:r>
    </w:p>
    <w:p w:rsidRPr="009E61C4" w:rsidR="00F7529D" w:rsidP="009E61C4" w:rsidRDefault="00F7529D"/>
    <w:p w:rsidRPr="00F7529D" w:rsidR="00F7529D" w:rsidP="009E61C4" w:rsidRDefault="00330D2F">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00" w:after="100"/>
      </w:pPr>
      <w:r>
        <w:t xml:space="preserve">The Department </w:t>
      </w:r>
      <w:r w:rsidR="00FE3A8A">
        <w:t>will</w:t>
      </w:r>
      <w:r w:rsidRPr="009E61C4" w:rsidR="00F7529D">
        <w:t xml:space="preserve"> display </w:t>
      </w:r>
      <w:r w:rsidRPr="00F7529D" w:rsidR="00F7529D">
        <w:t xml:space="preserve">the OMB expiration date.  </w:t>
      </w:r>
    </w:p>
    <w:p w:rsidRPr="00F7529D" w:rsidR="00F7529D" w:rsidP="00F7529D" w:rsidRDefault="00F7529D">
      <w:pPr>
        <w:widowControl w:val="0"/>
        <w:autoSpaceDE w:val="0"/>
        <w:autoSpaceDN w:val="0"/>
        <w:adjustRightInd w:val="0"/>
        <w:ind w:right="-144"/>
        <w:rPr>
          <w:b/>
        </w:rPr>
      </w:pPr>
    </w:p>
    <w:p w:rsidRPr="00F7529D" w:rsidR="00F7529D" w:rsidP="00F7529D" w:rsidRDefault="00F7529D">
      <w:pPr>
        <w:widowControl w:val="0"/>
        <w:autoSpaceDE w:val="0"/>
        <w:autoSpaceDN w:val="0"/>
        <w:adjustRightInd w:val="0"/>
        <w:ind w:left="720" w:hanging="720"/>
        <w:rPr>
          <w:i/>
        </w:rPr>
      </w:pPr>
      <w:r w:rsidRPr="00F7529D">
        <w:rPr>
          <w:i/>
        </w:rPr>
        <w:t>18.</w:t>
      </w:r>
      <w:r w:rsidRPr="00F7529D">
        <w:rPr>
          <w:i/>
        </w:rPr>
        <w:tab/>
        <w:t>Explain each exception to the topics of the certification statement identified in “Certification for Paperwork Reduction Act Submissions</w:t>
      </w:r>
      <w:r w:rsidR="004D446B">
        <w:rPr>
          <w:i/>
        </w:rPr>
        <w:t>.</w:t>
      </w:r>
      <w:r w:rsidRPr="00F7529D">
        <w:rPr>
          <w:i/>
        </w:rPr>
        <w:t>”</w:t>
      </w:r>
    </w:p>
    <w:p w:rsidRPr="00F7529D" w:rsidR="00F7529D" w:rsidP="00F7529D" w:rsidRDefault="00F7529D">
      <w:pPr>
        <w:widowControl w:val="0"/>
        <w:autoSpaceDE w:val="0"/>
        <w:autoSpaceDN w:val="0"/>
        <w:adjustRightInd w:val="0"/>
        <w:ind w:left="720" w:hanging="720"/>
        <w:rPr>
          <w:rFonts w:ascii="Courier" w:hAnsi="Courier"/>
          <w:i/>
        </w:rPr>
      </w:pPr>
    </w:p>
    <w:p w:rsidRPr="00F7529D" w:rsidR="00F7529D" w:rsidP="00F7529D" w:rsidRDefault="00F7529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144"/>
      </w:pPr>
      <w:r w:rsidRPr="00F7529D">
        <w:t>There are no exceptions to the certification statement.</w:t>
      </w:r>
    </w:p>
    <w:p w:rsidRPr="00F7529D" w:rsidR="00F7529D" w:rsidP="00F7529D" w:rsidRDefault="00F7529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ight="-144"/>
      </w:pPr>
    </w:p>
    <w:p w:rsidRPr="00F7529D" w:rsidR="00F7529D" w:rsidP="00F7529D" w:rsidRDefault="00F7529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ight="-144"/>
      </w:pPr>
    </w:p>
    <w:p w:rsidRPr="00F7529D" w:rsidR="00F7529D" w:rsidP="00F7529D" w:rsidRDefault="00F7529D">
      <w:pPr>
        <w:widowControl w:val="0"/>
        <w:autoSpaceDE w:val="0"/>
        <w:autoSpaceDN w:val="0"/>
        <w:adjustRightInd w:val="0"/>
        <w:ind w:left="720" w:right="-144" w:hanging="720"/>
        <w:rPr>
          <w:b/>
        </w:rPr>
      </w:pPr>
      <w:r w:rsidRPr="00F7529D">
        <w:rPr>
          <w:b/>
        </w:rPr>
        <w:t>B.</w:t>
      </w:r>
      <w:r w:rsidRPr="00F7529D">
        <w:rPr>
          <w:b/>
        </w:rPr>
        <w:tab/>
        <w:t>Collections of Information Employing Statistical Methods</w:t>
      </w:r>
    </w:p>
    <w:p w:rsidRPr="00F7529D" w:rsidR="00F7529D" w:rsidP="00F7529D" w:rsidRDefault="00F7529D">
      <w:pPr>
        <w:widowControl w:val="0"/>
        <w:autoSpaceDE w:val="0"/>
        <w:autoSpaceDN w:val="0"/>
        <w:adjustRightInd w:val="0"/>
        <w:ind w:right="-144"/>
        <w:rPr>
          <w:b/>
        </w:rPr>
      </w:pPr>
    </w:p>
    <w:p w:rsidRPr="00F7529D" w:rsidR="00F7529D" w:rsidP="00F7529D" w:rsidRDefault="00F7529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144"/>
      </w:pPr>
      <w:r w:rsidRPr="00F7529D">
        <w:t>This collection of information does not employ statistical methods.</w:t>
      </w:r>
    </w:p>
    <w:p w:rsidR="0065734C" w:rsidP="002C7DDD" w:rsidRDefault="0065734C"/>
    <w:sectPr w:rsidR="0065734C" w:rsidSect="003063A1">
      <w:headerReference w:type="default" r:id="rId14"/>
      <w:footerReference w:type="even" r:id="rId15"/>
      <w:footerReference w:type="defaul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2C8" w:rsidRDefault="00C852C8" w:rsidP="004400CB">
      <w:r>
        <w:separator/>
      </w:r>
    </w:p>
  </w:endnote>
  <w:endnote w:type="continuationSeparator" w:id="0">
    <w:p w:rsidR="00C852C8" w:rsidRDefault="00C852C8" w:rsidP="004400CB">
      <w:r>
        <w:continuationSeparator/>
      </w:r>
    </w:p>
  </w:endnote>
  <w:endnote w:type="continuationNotice" w:id="1">
    <w:p w:rsidR="00C852C8" w:rsidRDefault="00C85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594" w:rsidRDefault="007425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2594" w:rsidRDefault="00742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594" w:rsidRDefault="007425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11D5">
      <w:rPr>
        <w:rStyle w:val="PageNumber"/>
        <w:noProof/>
      </w:rPr>
      <w:t>1</w:t>
    </w:r>
    <w:r>
      <w:rPr>
        <w:rStyle w:val="PageNumber"/>
      </w:rPr>
      <w:fldChar w:fldCharType="end"/>
    </w:r>
  </w:p>
  <w:p w:rsidR="00742594" w:rsidRDefault="00742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2C8" w:rsidRDefault="00C852C8" w:rsidP="004400CB">
      <w:r>
        <w:separator/>
      </w:r>
    </w:p>
  </w:footnote>
  <w:footnote w:type="continuationSeparator" w:id="0">
    <w:p w:rsidR="00C852C8" w:rsidRDefault="00C852C8" w:rsidP="004400CB">
      <w:r>
        <w:continuationSeparator/>
      </w:r>
    </w:p>
  </w:footnote>
  <w:footnote w:type="continuationNotice" w:id="1">
    <w:p w:rsidR="00C852C8" w:rsidRDefault="00C852C8"/>
  </w:footnote>
  <w:footnote w:id="2">
    <w:p w:rsidR="00742594" w:rsidRPr="00A40C35" w:rsidRDefault="00742594">
      <w:pPr>
        <w:pStyle w:val="FootnoteText"/>
      </w:pPr>
      <w:r w:rsidRPr="00D01964">
        <w:rPr>
          <w:rStyle w:val="FootnoteReference"/>
        </w:rPr>
        <w:footnoteRef/>
      </w:r>
      <w:r w:rsidRPr="00D01964">
        <w:t xml:space="preserve"> </w:t>
      </w:r>
      <w:r>
        <w:t>C</w:t>
      </w:r>
      <w:r w:rsidRPr="00D01964">
        <w:t>alculation with decimals: ((203 × 1.05) - 203)) ÷ 75% = 13.53</w:t>
      </w:r>
      <w:r w:rsidRPr="00A40C35">
        <w:t>.</w:t>
      </w:r>
      <w:r>
        <w:t xml:space="preserve"> The Department rounded 13.53 up to 14.</w:t>
      </w:r>
      <w:r w:rsidRPr="00A40C35">
        <w:t xml:space="preserve"> </w:t>
      </w:r>
    </w:p>
  </w:footnote>
  <w:footnote w:id="3">
    <w:p w:rsidR="00742594" w:rsidRDefault="00742594" w:rsidP="00A8499E">
      <w:pPr>
        <w:pStyle w:val="FootnoteText"/>
      </w:pPr>
      <w:r w:rsidRPr="00D01964">
        <w:rPr>
          <w:rStyle w:val="FootnoteReference"/>
        </w:rPr>
        <w:footnoteRef/>
      </w:r>
      <w:r w:rsidRPr="00D01964">
        <w:t xml:space="preserve"> </w:t>
      </w:r>
      <w:r>
        <w:t>C</w:t>
      </w:r>
      <w:r w:rsidRPr="00D01964">
        <w:t>alculation with decimals: ((213.15 × 1.05) - 213.1</w:t>
      </w:r>
      <w:r w:rsidRPr="00A40C35">
        <w:t>5)) ÷ 75% = 14.21.</w:t>
      </w:r>
      <w:r>
        <w:t xml:space="preserve"> The Department rounded 14.21 down to 14. </w:t>
      </w:r>
    </w:p>
  </w:footnote>
  <w:footnote w:id="4">
    <w:p w:rsidR="00742594" w:rsidRDefault="00742594" w:rsidP="00414DCC">
      <w:pPr>
        <w:pStyle w:val="FootnoteText"/>
      </w:pPr>
      <w:r>
        <w:rPr>
          <w:rStyle w:val="FootnoteReference"/>
        </w:rPr>
        <w:footnoteRef/>
      </w:r>
      <w:r>
        <w:t xml:space="preserve"> Source: Bureau of Labor Statistics, Occupational Employment Statistics, May 2018, https://www.bls.gov/oes/current/oes113131.htm</w:t>
      </w:r>
      <w:r>
        <w:rPr>
          <w:rFonts w:eastAsia="Calibri"/>
        </w:rPr>
        <w:t>.</w:t>
      </w:r>
    </w:p>
  </w:footnote>
  <w:footnote w:id="5">
    <w:p w:rsidR="003B192E" w:rsidRDefault="003B192E">
      <w:pPr>
        <w:pStyle w:val="FootnoteText"/>
      </w:pPr>
      <w:r>
        <w:rPr>
          <w:rStyle w:val="FootnoteReference"/>
        </w:rPr>
        <w:footnoteRef/>
      </w:r>
      <w:r>
        <w:t xml:space="preserve"> Source: Bureau of Labor Statistics, Employer Costs for Employee Compensation, https://www.bls.gov/ncs/data.htm. Wages and salaries averaged $24.86 per hour worked in 2018, while benefit costs averaged $11.52, which is a benefits rate of 46 percent.</w:t>
      </w:r>
    </w:p>
  </w:footnote>
  <w:footnote w:id="6">
    <w:p w:rsidR="003B192E" w:rsidRDefault="003B192E">
      <w:pPr>
        <w:pStyle w:val="FootnoteText"/>
      </w:pPr>
      <w:r>
        <w:rPr>
          <w:rStyle w:val="FootnoteReference"/>
        </w:rPr>
        <w:footnoteRef/>
      </w:r>
      <w:r>
        <w:t xml:space="preserve"> Source: U.S. Department of Health and Human Services, </w:t>
      </w:r>
      <w:r>
        <w:rPr>
          <w:i/>
          <w:iCs/>
        </w:rPr>
        <w:t xml:space="preserve">Guidelines for Regulatory Impact Analysis </w:t>
      </w:r>
      <w:r>
        <w:rPr>
          <w:iCs/>
        </w:rPr>
        <w:t>(</w:t>
      </w:r>
      <w:r>
        <w:t xml:space="preserve">2016), </w:t>
      </w:r>
      <w:hyperlink r:id="rId1" w:history="1">
        <w:r w:rsidRPr="00900EE3">
          <w:rPr>
            <w:rStyle w:val="Hyperlink"/>
          </w:rPr>
          <w:t>https://aspe.hhs.gov/system/files/pdf/242926/HHS_RIAGuidance.pdf</w:t>
        </w:r>
      </w:hyperlink>
      <w:r>
        <w:t>. In its guidelines, HHS states, “as an interim default, while HHS conducts more research, analysts should assume overhead costs (including benefits) are equal to 100 percent of pre-tax wages.” HHS explains that 100 percent is roughly the midpoint between 46 and 150 percent, with 46 percent based on ECEC data that suggest benefits average 46 percent of wages and salaries, and 150 percent based on the private sector “rule of thumb” that fringe benefits plus overhead equal 150 percent of wages. To isolate the overhead costs from HHS’s 100 percent assumption, the Department subtracted the 46 percent benefits rate that HHS references, resulting in an overhead rate of approximately 54 percent.</w:t>
      </w:r>
    </w:p>
  </w:footnote>
  <w:footnote w:id="7">
    <w:p w:rsidR="00742594" w:rsidRDefault="00742594" w:rsidP="00414DCC">
      <w:pPr>
        <w:pStyle w:val="FootnoteText"/>
      </w:pPr>
      <w:r>
        <w:rPr>
          <w:rStyle w:val="FootnoteReference"/>
        </w:rPr>
        <w:footnoteRef/>
      </w:r>
      <w:r>
        <w:t xml:space="preserve"> Source: Bureau of Labor Statistics, Occupational Employment Statistics, May 2018, </w:t>
      </w:r>
      <w:r w:rsidRPr="00900EE3">
        <w:t>https://www.bls.gov/oes/current/oes430000.htm</w:t>
      </w:r>
      <w:r>
        <w:rPr>
          <w:rFonts w:eastAsia="Calibri"/>
        </w:rPr>
        <w:t>.</w:t>
      </w:r>
    </w:p>
  </w:footnote>
  <w:footnote w:id="8">
    <w:p w:rsidR="00742594" w:rsidRDefault="00742594" w:rsidP="00EA5CF3">
      <w:pPr>
        <w:pStyle w:val="FootnoteText"/>
      </w:pPr>
      <w:r>
        <w:rPr>
          <w:rStyle w:val="FootnoteReference"/>
        </w:rPr>
        <w:footnoteRef/>
      </w:r>
      <w:r>
        <w:t xml:space="preserve"> Source: Office of Personnel Management, General Schedule (GS) Locality Pay Tables, https://www.opm.gov/policy-data-oversight/pay-leave/salaries-wages/salary-tables/pdf/2019/DCB_h.pdf.</w:t>
      </w:r>
    </w:p>
  </w:footnote>
  <w:footnote w:id="9">
    <w:p w:rsidR="00742594" w:rsidRDefault="00742594" w:rsidP="00EA5CF3">
      <w:pPr>
        <w:pStyle w:val="FootnoteText"/>
        <w:rPr>
          <w:b/>
        </w:rPr>
      </w:pPr>
      <w:r>
        <w:rPr>
          <w:rStyle w:val="FootnoteReference"/>
        </w:rPr>
        <w:footnoteRef/>
      </w:r>
      <w:r>
        <w:t xml:space="preserve"> Source: Congressional Budget Office, “Comparing the Compensation of Federal and Private-Sector Employees, 2011 to 2015,” April 2017, www.cbo.gov/publication/52637. The wages of Federal workers averaged $38.30 per hour over the study period, while the benefits averaged $26.50 per hour, which is a benefits rate of 69 percent.</w:t>
      </w:r>
    </w:p>
  </w:footnote>
  <w:footnote w:id="10">
    <w:p w:rsidR="00742594" w:rsidRDefault="00742594" w:rsidP="00EA5CF3">
      <w:pPr>
        <w:pStyle w:val="FootnoteText"/>
      </w:pPr>
      <w:r>
        <w:rPr>
          <w:rStyle w:val="FootnoteReference"/>
        </w:rPr>
        <w:footnoteRef/>
      </w:r>
      <w:r>
        <w:t xml:space="preserve"> Source: U.S. Department of Health and Human Services, </w:t>
      </w:r>
      <w:r>
        <w:rPr>
          <w:i/>
          <w:iCs/>
        </w:rPr>
        <w:t xml:space="preserve">Guidelines for Regulatory Impact Analysis </w:t>
      </w:r>
      <w:r>
        <w:rPr>
          <w:iCs/>
        </w:rPr>
        <w:t>(</w:t>
      </w:r>
      <w:r>
        <w:t xml:space="preserve">2016), </w:t>
      </w:r>
      <w:hyperlink r:id="rId2" w:history="1">
        <w:r w:rsidRPr="00900EE3">
          <w:rPr>
            <w:rStyle w:val="Hyperlink"/>
          </w:rPr>
          <w:t>https://aspe.hhs.gov/system/files/pdf/242926/HHS_RIAGuidance.pdf</w:t>
        </w:r>
      </w:hyperlink>
      <w:r>
        <w:t>. In its guidelines, HHS states, “as an interim default, while HHS conducts more research, analysts should assume overhead costs (including benefits) are equal to 100 percent of pre-tax wages.” HHS explains that 100 percent is roughly the midpoint between 46 and 150 percent, with 46 percent based on ECEC data that suggest benefits average 46 percent of wages and salaries, and 150 percent based on the private sector “rule of thumb” that fringe benefits plus overhead equal 150 percent of wages. To isolate the overhead costs from HHS’s 100 percent assumption, the Department subtracted the 46 percent benefits rate that HHS references, resulting in an overhead rate of approximately 54 percent.</w:t>
      </w:r>
    </w:p>
  </w:footnote>
  <w:footnote w:id="11">
    <w:p w:rsidR="00742594" w:rsidRPr="009877DC" w:rsidRDefault="00742594" w:rsidP="0086791B">
      <w:pPr>
        <w:pStyle w:val="FootnoteText"/>
      </w:pPr>
      <w:r w:rsidRPr="009877DC">
        <w:rPr>
          <w:rStyle w:val="FootnoteReference"/>
        </w:rPr>
        <w:footnoteRef/>
      </w:r>
      <w:r w:rsidRPr="009877DC">
        <w:rPr>
          <w:rFonts w:eastAsia="Calibri"/>
        </w:rPr>
        <w:t xml:space="preserve"> Source: Office of Personnel Management, Rates of Basic Pay for the Executive Schedule, https://www.opm.gov/policy-data-oversight/pay-leave/salaries-wages/salary-tables/pdf/</w:t>
      </w:r>
      <w:r>
        <w:rPr>
          <w:rFonts w:eastAsia="Calibri"/>
        </w:rPr>
        <w:t>2019</w:t>
      </w:r>
      <w:r w:rsidRPr="009877DC">
        <w:rPr>
          <w:rFonts w:eastAsia="Calibri"/>
        </w:rPr>
        <w:t>/EX.pdf.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594" w:rsidRPr="0010689F" w:rsidRDefault="00742594">
    <w:pPr>
      <w:pStyle w:val="Header"/>
      <w:rPr>
        <w:sz w:val="20"/>
        <w:szCs w:val="20"/>
        <w:lang w:val="en-US"/>
      </w:rPr>
    </w:pPr>
    <w:r w:rsidRPr="0010689F">
      <w:rPr>
        <w:sz w:val="20"/>
        <w:szCs w:val="20"/>
        <w:lang w:val="en-US"/>
      </w:rPr>
      <w:t xml:space="preserve">Industry-Recognized Apprenticeship Program </w:t>
    </w:r>
    <w:r>
      <w:rPr>
        <w:sz w:val="20"/>
        <w:szCs w:val="20"/>
        <w:lang w:val="en-US"/>
      </w:rPr>
      <w:t xml:space="preserve">Standards Recognition Entity </w:t>
    </w:r>
    <w:r w:rsidR="006E25C3">
      <w:rPr>
        <w:sz w:val="20"/>
        <w:szCs w:val="20"/>
        <w:lang w:val="en-US"/>
      </w:rPr>
      <w:t xml:space="preserve">Regulation and </w:t>
    </w:r>
    <w:r w:rsidR="00C74A06">
      <w:rPr>
        <w:sz w:val="20"/>
        <w:szCs w:val="20"/>
        <w:lang w:val="en-US"/>
      </w:rPr>
      <w:t>Application</w:t>
    </w:r>
  </w:p>
  <w:p w:rsidR="00742594" w:rsidRPr="0010689F" w:rsidRDefault="00742594">
    <w:pPr>
      <w:pStyle w:val="Header"/>
      <w:rPr>
        <w:sz w:val="20"/>
        <w:szCs w:val="20"/>
        <w:lang w:val="en-US"/>
      </w:rPr>
    </w:pPr>
    <w:r w:rsidRPr="00D91E30">
      <w:rPr>
        <w:sz w:val="20"/>
        <w:szCs w:val="20"/>
        <w:lang w:val="en-US"/>
      </w:rPr>
      <w:t>OMB Control No. 1205-0</w:t>
    </w:r>
    <w:r>
      <w:rPr>
        <w:sz w:val="20"/>
        <w:szCs w:val="20"/>
        <w:lang w:val="en-US"/>
      </w:rPr>
      <w:t>536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0BA"/>
    <w:multiLevelType w:val="hybridMultilevel"/>
    <w:tmpl w:val="7A66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A5988"/>
    <w:multiLevelType w:val="hybridMultilevel"/>
    <w:tmpl w:val="B660F74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F2911"/>
    <w:multiLevelType w:val="hybridMultilevel"/>
    <w:tmpl w:val="CE04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F3196"/>
    <w:multiLevelType w:val="hybridMultilevel"/>
    <w:tmpl w:val="B8F86F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8E3CF7"/>
    <w:multiLevelType w:val="hybridMultilevel"/>
    <w:tmpl w:val="9C26E636"/>
    <w:lvl w:ilvl="0" w:tplc="6E24BF0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130292"/>
    <w:multiLevelType w:val="hybridMultilevel"/>
    <w:tmpl w:val="798C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D0AFA"/>
    <w:multiLevelType w:val="hybridMultilevel"/>
    <w:tmpl w:val="9DC2B7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1564E"/>
    <w:multiLevelType w:val="hybridMultilevel"/>
    <w:tmpl w:val="19A42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633FF"/>
    <w:multiLevelType w:val="hybridMultilevel"/>
    <w:tmpl w:val="10A60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63973"/>
    <w:multiLevelType w:val="hybridMultilevel"/>
    <w:tmpl w:val="E3FC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67728"/>
    <w:multiLevelType w:val="hybridMultilevel"/>
    <w:tmpl w:val="855C9940"/>
    <w:lvl w:ilvl="0" w:tplc="D3BA27D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4242C1"/>
    <w:multiLevelType w:val="hybridMultilevel"/>
    <w:tmpl w:val="1750B6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917D5"/>
    <w:multiLevelType w:val="hybridMultilevel"/>
    <w:tmpl w:val="F8CC5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640F55"/>
    <w:multiLevelType w:val="hybridMultilevel"/>
    <w:tmpl w:val="B18485D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801C80"/>
    <w:multiLevelType w:val="hybridMultilevel"/>
    <w:tmpl w:val="26B43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F4B11"/>
    <w:multiLevelType w:val="hybridMultilevel"/>
    <w:tmpl w:val="E6C6D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F510CA"/>
    <w:multiLevelType w:val="hybridMultilevel"/>
    <w:tmpl w:val="6780F6EC"/>
    <w:lvl w:ilvl="0" w:tplc="AE349E9A">
      <w:start w:val="1"/>
      <w:numFmt w:val="lowerLetter"/>
      <w:lvlText w:val="(%1)"/>
      <w:lvlJc w:val="left"/>
      <w:pPr>
        <w:ind w:left="720" w:hanging="360"/>
      </w:pPr>
      <w:rPr>
        <w:rFonts w:hint="default"/>
      </w:rPr>
    </w:lvl>
    <w:lvl w:ilvl="1" w:tplc="8D5203BE">
      <w:start w:val="1"/>
      <w:numFmt w:val="decimal"/>
      <w:lvlText w:val="%2."/>
      <w:lvlJc w:val="left"/>
      <w:pPr>
        <w:ind w:left="1440" w:hanging="360"/>
      </w:pPr>
      <w:rPr>
        <w:rFonts w:hint="default"/>
      </w:rPr>
    </w:lvl>
    <w:lvl w:ilvl="2" w:tplc="2A60ED66">
      <w:start w:val="1"/>
      <w:numFmt w:val="upperLetter"/>
      <w:lvlText w:val="%3."/>
      <w:lvlJc w:val="right"/>
      <w:pPr>
        <w:ind w:left="2160" w:hanging="180"/>
      </w:pPr>
      <w:rPr>
        <w:rFonts w:hint="default"/>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FF138D"/>
    <w:multiLevelType w:val="hybridMultilevel"/>
    <w:tmpl w:val="891C6010"/>
    <w:lvl w:ilvl="0" w:tplc="ECF06B6C">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85767"/>
    <w:multiLevelType w:val="hybridMultilevel"/>
    <w:tmpl w:val="70ACE952"/>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24035"/>
    <w:multiLevelType w:val="hybridMultilevel"/>
    <w:tmpl w:val="0AAEF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E77F2"/>
    <w:multiLevelType w:val="hybridMultilevel"/>
    <w:tmpl w:val="499A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D6895"/>
    <w:multiLevelType w:val="hybridMultilevel"/>
    <w:tmpl w:val="3206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1014E"/>
    <w:multiLevelType w:val="hybridMultilevel"/>
    <w:tmpl w:val="957ADA62"/>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D678B"/>
    <w:multiLevelType w:val="hybridMultilevel"/>
    <w:tmpl w:val="0D0A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13B48"/>
    <w:multiLevelType w:val="hybridMultilevel"/>
    <w:tmpl w:val="53FE8AD0"/>
    <w:lvl w:ilvl="0" w:tplc="E94823F4">
      <w:start w:val="1"/>
      <w:numFmt w:val="decimal"/>
      <w:lvlText w:val="%1."/>
      <w:lvlJc w:val="left"/>
      <w:pPr>
        <w:tabs>
          <w:tab w:val="num" w:pos="360"/>
        </w:tabs>
        <w:ind w:left="360" w:hanging="360"/>
      </w:pPr>
      <w:rPr>
        <w:b/>
        <w:u w:val="single"/>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2B117AD"/>
    <w:multiLevelType w:val="hybridMultilevel"/>
    <w:tmpl w:val="E86AD2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38A10FB"/>
    <w:multiLevelType w:val="hybridMultilevel"/>
    <w:tmpl w:val="37F4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64476B"/>
    <w:multiLevelType w:val="hybridMultilevel"/>
    <w:tmpl w:val="74FC77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C10FF"/>
    <w:multiLevelType w:val="hybridMultilevel"/>
    <w:tmpl w:val="7606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EC32C0"/>
    <w:multiLevelType w:val="hybridMultilevel"/>
    <w:tmpl w:val="327E9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219BF"/>
    <w:multiLevelType w:val="hybridMultilevel"/>
    <w:tmpl w:val="B68E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1A3660"/>
    <w:multiLevelType w:val="hybridMultilevel"/>
    <w:tmpl w:val="7360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C1374"/>
    <w:multiLevelType w:val="hybridMultilevel"/>
    <w:tmpl w:val="DC2C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32762"/>
    <w:multiLevelType w:val="hybridMultilevel"/>
    <w:tmpl w:val="32BE2A20"/>
    <w:lvl w:ilvl="0" w:tplc="956CC95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A4233F9"/>
    <w:multiLevelType w:val="hybridMultilevel"/>
    <w:tmpl w:val="C3E48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366724"/>
    <w:multiLevelType w:val="hybridMultilevel"/>
    <w:tmpl w:val="C4EE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6D0B80"/>
    <w:multiLevelType w:val="hybridMultilevel"/>
    <w:tmpl w:val="5F3A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446A20"/>
    <w:multiLevelType w:val="hybridMultilevel"/>
    <w:tmpl w:val="3A925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27366D"/>
    <w:multiLevelType w:val="hybridMultilevel"/>
    <w:tmpl w:val="5E26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4A7E58"/>
    <w:multiLevelType w:val="hybridMultilevel"/>
    <w:tmpl w:val="3E1C1C86"/>
    <w:lvl w:ilvl="0" w:tplc="C2DE4D0A">
      <w:start w:val="1"/>
      <w:numFmt w:val="lowerLetter"/>
      <w:lvlText w:val="%1."/>
      <w:lvlJc w:val="left"/>
      <w:pPr>
        <w:ind w:left="360" w:hanging="360"/>
      </w:pPr>
      <w:rPr>
        <w:rFonts w:hint="default"/>
      </w:rPr>
    </w:lvl>
    <w:lvl w:ilvl="1" w:tplc="E8EEA9F0">
      <w:start w:val="1"/>
      <w:numFmt w:val="decimal"/>
      <w:lvlText w:val="%2."/>
      <w:lvlJc w:val="left"/>
      <w:pPr>
        <w:ind w:left="-360" w:firstLine="0"/>
      </w:pPr>
      <w:rPr>
        <w:rFonts w:hint="default"/>
      </w:rPr>
    </w:lvl>
    <w:lvl w:ilvl="2" w:tplc="04090011">
      <w:start w:val="1"/>
      <w:numFmt w:val="decimal"/>
      <w:lvlText w:val="%3)"/>
      <w:lvlJc w:val="left"/>
      <w:pPr>
        <w:ind w:left="1440" w:firstLine="360"/>
      </w:pPr>
      <w:rPr>
        <w:rFonts w:hint="default"/>
      </w:rPr>
    </w:lvl>
    <w:lvl w:ilvl="3" w:tplc="0409001B">
      <w:start w:val="1"/>
      <w:numFmt w:val="lowerRoman"/>
      <w:lvlText w:val="%4."/>
      <w:lvlJc w:val="righ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9EE66D2"/>
    <w:multiLevelType w:val="hybridMultilevel"/>
    <w:tmpl w:val="B388129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7B0257B6"/>
    <w:multiLevelType w:val="hybridMultilevel"/>
    <w:tmpl w:val="8C8EB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04C18"/>
    <w:multiLevelType w:val="hybridMultilevel"/>
    <w:tmpl w:val="E8941FE0"/>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E0E3A0B"/>
    <w:multiLevelType w:val="hybridMultilevel"/>
    <w:tmpl w:val="0C1E3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55988"/>
    <w:multiLevelType w:val="hybridMultilevel"/>
    <w:tmpl w:val="8408B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
  </w:num>
  <w:num w:numId="3">
    <w:abstractNumId w:val="3"/>
  </w:num>
  <w:num w:numId="4">
    <w:abstractNumId w:val="20"/>
  </w:num>
  <w:num w:numId="5">
    <w:abstractNumId w:val="9"/>
  </w:num>
  <w:num w:numId="6">
    <w:abstractNumId w:val="24"/>
  </w:num>
  <w:num w:numId="7">
    <w:abstractNumId w:val="28"/>
  </w:num>
  <w:num w:numId="8">
    <w:abstractNumId w:val="0"/>
  </w:num>
  <w:num w:numId="9">
    <w:abstractNumId w:val="44"/>
  </w:num>
  <w:num w:numId="10">
    <w:abstractNumId w:val="14"/>
  </w:num>
  <w:num w:numId="11">
    <w:abstractNumId w:val="26"/>
  </w:num>
  <w:num w:numId="12">
    <w:abstractNumId w:val="21"/>
  </w:num>
  <w:num w:numId="13">
    <w:abstractNumId w:val="7"/>
  </w:num>
  <w:num w:numId="14">
    <w:abstractNumId w:val="35"/>
  </w:num>
  <w:num w:numId="15">
    <w:abstractNumId w:val="2"/>
  </w:num>
  <w:num w:numId="16">
    <w:abstractNumId w:val="40"/>
  </w:num>
  <w:num w:numId="17">
    <w:abstractNumId w:val="8"/>
  </w:num>
  <w:num w:numId="18">
    <w:abstractNumId w:val="36"/>
  </w:num>
  <w:num w:numId="19">
    <w:abstractNumId w:val="34"/>
  </w:num>
  <w:num w:numId="20">
    <w:abstractNumId w:val="31"/>
  </w:num>
  <w:num w:numId="21">
    <w:abstractNumId w:val="6"/>
  </w:num>
  <w:num w:numId="22">
    <w:abstractNumId w:val="15"/>
  </w:num>
  <w:num w:numId="23">
    <w:abstractNumId w:val="23"/>
  </w:num>
  <w:num w:numId="24">
    <w:abstractNumId w:val="32"/>
  </w:num>
  <w:num w:numId="25">
    <w:abstractNumId w:val="30"/>
  </w:num>
  <w:num w:numId="26">
    <w:abstractNumId w:val="4"/>
  </w:num>
  <w:num w:numId="27">
    <w:abstractNumId w:val="1"/>
  </w:num>
  <w:num w:numId="28">
    <w:abstractNumId w:val="17"/>
  </w:num>
  <w:num w:numId="29">
    <w:abstractNumId w:val="18"/>
  </w:num>
  <w:num w:numId="30">
    <w:abstractNumId w:val="22"/>
  </w:num>
  <w:num w:numId="31">
    <w:abstractNumId w:val="27"/>
  </w:num>
  <w:num w:numId="32">
    <w:abstractNumId w:val="43"/>
  </w:num>
  <w:num w:numId="33">
    <w:abstractNumId w:val="41"/>
  </w:num>
  <w:num w:numId="34">
    <w:abstractNumId w:val="12"/>
  </w:num>
  <w:num w:numId="35">
    <w:abstractNumId w:val="29"/>
  </w:num>
  <w:num w:numId="36">
    <w:abstractNumId w:val="16"/>
  </w:num>
  <w:num w:numId="37">
    <w:abstractNumId w:val="39"/>
  </w:num>
  <w:num w:numId="38">
    <w:abstractNumId w:val="19"/>
  </w:num>
  <w:num w:numId="39">
    <w:abstractNumId w:val="13"/>
    <w:lvlOverride w:ilvl="0">
      <w:startOverride w:val="1"/>
    </w:lvlOverride>
    <w:lvlOverride w:ilvl="1"/>
    <w:lvlOverride w:ilvl="2"/>
    <w:lvlOverride w:ilvl="3"/>
    <w:lvlOverride w:ilvl="4"/>
    <w:lvlOverride w:ilvl="5"/>
    <w:lvlOverride w:ilvl="6"/>
    <w:lvlOverride w:ilvl="7"/>
    <w:lvlOverride w:ilvl="8"/>
  </w:num>
  <w:num w:numId="40">
    <w:abstractNumId w:val="42"/>
    <w:lvlOverride w:ilvl="0">
      <w:startOverride w:val="1"/>
    </w:lvlOverride>
    <w:lvlOverride w:ilvl="1"/>
    <w:lvlOverride w:ilvl="2"/>
    <w:lvlOverride w:ilvl="3"/>
    <w:lvlOverride w:ilvl="4"/>
    <w:lvlOverride w:ilvl="5"/>
    <w:lvlOverride w:ilvl="6"/>
    <w:lvlOverride w:ilvl="7"/>
    <w:lvlOverride w:ilvl="8"/>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lvlOverride w:ilvl="2"/>
    <w:lvlOverride w:ilvl="3"/>
    <w:lvlOverride w:ilvl="4"/>
    <w:lvlOverride w:ilvl="5"/>
    <w:lvlOverride w:ilvl="6"/>
    <w:lvlOverride w:ilvl="7"/>
    <w:lvlOverride w:ilvl="8"/>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11"/>
  </w:num>
  <w:num w:numId="45">
    <w:abstractNumId w:val="10"/>
  </w:num>
  <w:num w:numId="46">
    <w:abstractNumId w:val="38"/>
  </w:num>
  <w:num w:numId="47">
    <w:abstractNumId w:val="25"/>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B1"/>
    <w:rsid w:val="000012AF"/>
    <w:rsid w:val="00001E79"/>
    <w:rsid w:val="00001F34"/>
    <w:rsid w:val="000032B9"/>
    <w:rsid w:val="00003E55"/>
    <w:rsid w:val="000047BF"/>
    <w:rsid w:val="000055C9"/>
    <w:rsid w:val="00005FF3"/>
    <w:rsid w:val="00007592"/>
    <w:rsid w:val="00011F77"/>
    <w:rsid w:val="00012424"/>
    <w:rsid w:val="000126E1"/>
    <w:rsid w:val="000134D6"/>
    <w:rsid w:val="0001372A"/>
    <w:rsid w:val="00014648"/>
    <w:rsid w:val="0001472B"/>
    <w:rsid w:val="00015BFE"/>
    <w:rsid w:val="00015E36"/>
    <w:rsid w:val="00016214"/>
    <w:rsid w:val="000173B0"/>
    <w:rsid w:val="00017941"/>
    <w:rsid w:val="00020293"/>
    <w:rsid w:val="00020F72"/>
    <w:rsid w:val="000212E7"/>
    <w:rsid w:val="000215EF"/>
    <w:rsid w:val="00021998"/>
    <w:rsid w:val="000221D2"/>
    <w:rsid w:val="00022C26"/>
    <w:rsid w:val="000233E3"/>
    <w:rsid w:val="00023444"/>
    <w:rsid w:val="00024272"/>
    <w:rsid w:val="00025A3F"/>
    <w:rsid w:val="00026FA7"/>
    <w:rsid w:val="00027058"/>
    <w:rsid w:val="00027483"/>
    <w:rsid w:val="00027986"/>
    <w:rsid w:val="00027D3C"/>
    <w:rsid w:val="00027E4F"/>
    <w:rsid w:val="00027EB3"/>
    <w:rsid w:val="000302E0"/>
    <w:rsid w:val="00030555"/>
    <w:rsid w:val="00030D57"/>
    <w:rsid w:val="0003136F"/>
    <w:rsid w:val="00034383"/>
    <w:rsid w:val="00034391"/>
    <w:rsid w:val="00036EBD"/>
    <w:rsid w:val="00037345"/>
    <w:rsid w:val="000373A1"/>
    <w:rsid w:val="00037E31"/>
    <w:rsid w:val="00037FFE"/>
    <w:rsid w:val="00040177"/>
    <w:rsid w:val="00040244"/>
    <w:rsid w:val="000406C8"/>
    <w:rsid w:val="00042303"/>
    <w:rsid w:val="00042987"/>
    <w:rsid w:val="000436BC"/>
    <w:rsid w:val="00044035"/>
    <w:rsid w:val="00045122"/>
    <w:rsid w:val="000469AA"/>
    <w:rsid w:val="00046C10"/>
    <w:rsid w:val="00046DB2"/>
    <w:rsid w:val="00047C2F"/>
    <w:rsid w:val="00047DB3"/>
    <w:rsid w:val="000509C1"/>
    <w:rsid w:val="00050A24"/>
    <w:rsid w:val="00050EC2"/>
    <w:rsid w:val="00050F1E"/>
    <w:rsid w:val="0005133C"/>
    <w:rsid w:val="00051E36"/>
    <w:rsid w:val="00053509"/>
    <w:rsid w:val="00053BA3"/>
    <w:rsid w:val="00055743"/>
    <w:rsid w:val="000560F8"/>
    <w:rsid w:val="000568C0"/>
    <w:rsid w:val="0005779F"/>
    <w:rsid w:val="000579C0"/>
    <w:rsid w:val="0006011A"/>
    <w:rsid w:val="000627A1"/>
    <w:rsid w:val="000628FD"/>
    <w:rsid w:val="00062C07"/>
    <w:rsid w:val="00063432"/>
    <w:rsid w:val="00063F53"/>
    <w:rsid w:val="00064977"/>
    <w:rsid w:val="00065B00"/>
    <w:rsid w:val="00065BBC"/>
    <w:rsid w:val="00065DDF"/>
    <w:rsid w:val="000671D3"/>
    <w:rsid w:val="0006770B"/>
    <w:rsid w:val="0007036B"/>
    <w:rsid w:val="000752A7"/>
    <w:rsid w:val="000758B3"/>
    <w:rsid w:val="0007616D"/>
    <w:rsid w:val="000766BA"/>
    <w:rsid w:val="00077184"/>
    <w:rsid w:val="0007727F"/>
    <w:rsid w:val="0007728F"/>
    <w:rsid w:val="000811D3"/>
    <w:rsid w:val="0008125E"/>
    <w:rsid w:val="0008168A"/>
    <w:rsid w:val="00083969"/>
    <w:rsid w:val="00083986"/>
    <w:rsid w:val="00083F5E"/>
    <w:rsid w:val="00084D53"/>
    <w:rsid w:val="0008540F"/>
    <w:rsid w:val="00085D9A"/>
    <w:rsid w:val="0008732F"/>
    <w:rsid w:val="00087CEF"/>
    <w:rsid w:val="00087D1C"/>
    <w:rsid w:val="00090E2F"/>
    <w:rsid w:val="00090F80"/>
    <w:rsid w:val="000910B2"/>
    <w:rsid w:val="000919C1"/>
    <w:rsid w:val="0009270D"/>
    <w:rsid w:val="00092856"/>
    <w:rsid w:val="00092881"/>
    <w:rsid w:val="000932D8"/>
    <w:rsid w:val="0009424C"/>
    <w:rsid w:val="0009425F"/>
    <w:rsid w:val="000946D3"/>
    <w:rsid w:val="00094D1B"/>
    <w:rsid w:val="0009557D"/>
    <w:rsid w:val="000956ED"/>
    <w:rsid w:val="000958CB"/>
    <w:rsid w:val="00096066"/>
    <w:rsid w:val="000969B8"/>
    <w:rsid w:val="00097811"/>
    <w:rsid w:val="000A228E"/>
    <w:rsid w:val="000A29C0"/>
    <w:rsid w:val="000A3680"/>
    <w:rsid w:val="000A392F"/>
    <w:rsid w:val="000A4078"/>
    <w:rsid w:val="000A51A1"/>
    <w:rsid w:val="000A7E72"/>
    <w:rsid w:val="000B1373"/>
    <w:rsid w:val="000B27A5"/>
    <w:rsid w:val="000B2901"/>
    <w:rsid w:val="000B3FE9"/>
    <w:rsid w:val="000B4603"/>
    <w:rsid w:val="000B4D2E"/>
    <w:rsid w:val="000B61E0"/>
    <w:rsid w:val="000B68DA"/>
    <w:rsid w:val="000B7138"/>
    <w:rsid w:val="000B7339"/>
    <w:rsid w:val="000B7D5A"/>
    <w:rsid w:val="000C0E8A"/>
    <w:rsid w:val="000C2779"/>
    <w:rsid w:val="000C2E67"/>
    <w:rsid w:val="000C30D2"/>
    <w:rsid w:val="000C3526"/>
    <w:rsid w:val="000C39B5"/>
    <w:rsid w:val="000C42E2"/>
    <w:rsid w:val="000C6276"/>
    <w:rsid w:val="000C7786"/>
    <w:rsid w:val="000C7ECF"/>
    <w:rsid w:val="000D14FD"/>
    <w:rsid w:val="000D1B8A"/>
    <w:rsid w:val="000D2CD9"/>
    <w:rsid w:val="000D3C09"/>
    <w:rsid w:val="000D454F"/>
    <w:rsid w:val="000D62FD"/>
    <w:rsid w:val="000D67F9"/>
    <w:rsid w:val="000D6AA3"/>
    <w:rsid w:val="000D6DE4"/>
    <w:rsid w:val="000D6EEF"/>
    <w:rsid w:val="000D7D50"/>
    <w:rsid w:val="000E2440"/>
    <w:rsid w:val="000E2A46"/>
    <w:rsid w:val="000E2BB1"/>
    <w:rsid w:val="000E533B"/>
    <w:rsid w:val="000E7929"/>
    <w:rsid w:val="000E7AF1"/>
    <w:rsid w:val="000F0436"/>
    <w:rsid w:val="000F0562"/>
    <w:rsid w:val="000F0861"/>
    <w:rsid w:val="000F1D82"/>
    <w:rsid w:val="000F2C68"/>
    <w:rsid w:val="000F3635"/>
    <w:rsid w:val="000F415C"/>
    <w:rsid w:val="000F450F"/>
    <w:rsid w:val="000F67CB"/>
    <w:rsid w:val="000F73A6"/>
    <w:rsid w:val="000F7CCC"/>
    <w:rsid w:val="0010058F"/>
    <w:rsid w:val="00100E75"/>
    <w:rsid w:val="00102E37"/>
    <w:rsid w:val="00104B1D"/>
    <w:rsid w:val="0010516E"/>
    <w:rsid w:val="00105A67"/>
    <w:rsid w:val="00105CDF"/>
    <w:rsid w:val="0010689F"/>
    <w:rsid w:val="00106CD0"/>
    <w:rsid w:val="00112871"/>
    <w:rsid w:val="001135A7"/>
    <w:rsid w:val="001142BD"/>
    <w:rsid w:val="00115B3C"/>
    <w:rsid w:val="00115F8F"/>
    <w:rsid w:val="00122A45"/>
    <w:rsid w:val="00123404"/>
    <w:rsid w:val="001236BB"/>
    <w:rsid w:val="00123CC7"/>
    <w:rsid w:val="00124D55"/>
    <w:rsid w:val="001264AC"/>
    <w:rsid w:val="001264E4"/>
    <w:rsid w:val="00126785"/>
    <w:rsid w:val="0012734E"/>
    <w:rsid w:val="00127F2D"/>
    <w:rsid w:val="0013113F"/>
    <w:rsid w:val="0013133F"/>
    <w:rsid w:val="00132648"/>
    <w:rsid w:val="00132EF6"/>
    <w:rsid w:val="00133E26"/>
    <w:rsid w:val="00134444"/>
    <w:rsid w:val="001351C7"/>
    <w:rsid w:val="001357AF"/>
    <w:rsid w:val="00135C19"/>
    <w:rsid w:val="00135F1E"/>
    <w:rsid w:val="001362CC"/>
    <w:rsid w:val="00136338"/>
    <w:rsid w:val="00137942"/>
    <w:rsid w:val="001409F3"/>
    <w:rsid w:val="00141A28"/>
    <w:rsid w:val="00142499"/>
    <w:rsid w:val="0014276A"/>
    <w:rsid w:val="00142991"/>
    <w:rsid w:val="00142F18"/>
    <w:rsid w:val="00143B8D"/>
    <w:rsid w:val="001449ED"/>
    <w:rsid w:val="00145607"/>
    <w:rsid w:val="00146193"/>
    <w:rsid w:val="00146233"/>
    <w:rsid w:val="00146C7D"/>
    <w:rsid w:val="00147F5D"/>
    <w:rsid w:val="00151743"/>
    <w:rsid w:val="00151D29"/>
    <w:rsid w:val="00153D6D"/>
    <w:rsid w:val="00154EFF"/>
    <w:rsid w:val="00155D46"/>
    <w:rsid w:val="001560F5"/>
    <w:rsid w:val="001567D3"/>
    <w:rsid w:val="00157A1E"/>
    <w:rsid w:val="00160D24"/>
    <w:rsid w:val="001610EB"/>
    <w:rsid w:val="001618E2"/>
    <w:rsid w:val="00161B08"/>
    <w:rsid w:val="00161B20"/>
    <w:rsid w:val="00161DFB"/>
    <w:rsid w:val="00162212"/>
    <w:rsid w:val="001629CA"/>
    <w:rsid w:val="0016324D"/>
    <w:rsid w:val="00163C49"/>
    <w:rsid w:val="001642D4"/>
    <w:rsid w:val="001654D5"/>
    <w:rsid w:val="00165E15"/>
    <w:rsid w:val="00166207"/>
    <w:rsid w:val="00166513"/>
    <w:rsid w:val="00166B6B"/>
    <w:rsid w:val="0017126D"/>
    <w:rsid w:val="00171931"/>
    <w:rsid w:val="001721D4"/>
    <w:rsid w:val="001723AB"/>
    <w:rsid w:val="00172911"/>
    <w:rsid w:val="0017346D"/>
    <w:rsid w:val="001746AF"/>
    <w:rsid w:val="00175D86"/>
    <w:rsid w:val="0017753F"/>
    <w:rsid w:val="00182DB1"/>
    <w:rsid w:val="001833CD"/>
    <w:rsid w:val="00184FE6"/>
    <w:rsid w:val="001853B3"/>
    <w:rsid w:val="001856E4"/>
    <w:rsid w:val="00185BC4"/>
    <w:rsid w:val="00185FE5"/>
    <w:rsid w:val="00186178"/>
    <w:rsid w:val="001869F9"/>
    <w:rsid w:val="00186D97"/>
    <w:rsid w:val="00187072"/>
    <w:rsid w:val="00187E57"/>
    <w:rsid w:val="001901CC"/>
    <w:rsid w:val="00191249"/>
    <w:rsid w:val="00191443"/>
    <w:rsid w:val="00191791"/>
    <w:rsid w:val="00192066"/>
    <w:rsid w:val="00192F35"/>
    <w:rsid w:val="00193437"/>
    <w:rsid w:val="00193C11"/>
    <w:rsid w:val="00196386"/>
    <w:rsid w:val="00196520"/>
    <w:rsid w:val="001968B7"/>
    <w:rsid w:val="00196B4A"/>
    <w:rsid w:val="00196FCA"/>
    <w:rsid w:val="00197092"/>
    <w:rsid w:val="00197586"/>
    <w:rsid w:val="001A002F"/>
    <w:rsid w:val="001A06E0"/>
    <w:rsid w:val="001A0FDC"/>
    <w:rsid w:val="001A386B"/>
    <w:rsid w:val="001A3A1B"/>
    <w:rsid w:val="001A3A4A"/>
    <w:rsid w:val="001A53B6"/>
    <w:rsid w:val="001A583A"/>
    <w:rsid w:val="001A7D72"/>
    <w:rsid w:val="001B07F2"/>
    <w:rsid w:val="001B1278"/>
    <w:rsid w:val="001B1584"/>
    <w:rsid w:val="001B177D"/>
    <w:rsid w:val="001B1D1F"/>
    <w:rsid w:val="001B4695"/>
    <w:rsid w:val="001B4BB8"/>
    <w:rsid w:val="001B6703"/>
    <w:rsid w:val="001C002F"/>
    <w:rsid w:val="001C06CD"/>
    <w:rsid w:val="001C1D8A"/>
    <w:rsid w:val="001C340B"/>
    <w:rsid w:val="001C3709"/>
    <w:rsid w:val="001C3B37"/>
    <w:rsid w:val="001C445E"/>
    <w:rsid w:val="001C44FF"/>
    <w:rsid w:val="001C5742"/>
    <w:rsid w:val="001C6305"/>
    <w:rsid w:val="001D00A1"/>
    <w:rsid w:val="001D22AB"/>
    <w:rsid w:val="001D299E"/>
    <w:rsid w:val="001D34DE"/>
    <w:rsid w:val="001D3A7E"/>
    <w:rsid w:val="001D4100"/>
    <w:rsid w:val="001D7443"/>
    <w:rsid w:val="001D767E"/>
    <w:rsid w:val="001D79A8"/>
    <w:rsid w:val="001D7A8E"/>
    <w:rsid w:val="001E0A9A"/>
    <w:rsid w:val="001E11FC"/>
    <w:rsid w:val="001E1E86"/>
    <w:rsid w:val="001E2723"/>
    <w:rsid w:val="001E6607"/>
    <w:rsid w:val="001E6C5A"/>
    <w:rsid w:val="001E6D57"/>
    <w:rsid w:val="001E6F0A"/>
    <w:rsid w:val="001E7921"/>
    <w:rsid w:val="001E7DE3"/>
    <w:rsid w:val="001E7EE0"/>
    <w:rsid w:val="001F0024"/>
    <w:rsid w:val="001F0545"/>
    <w:rsid w:val="001F0880"/>
    <w:rsid w:val="001F09A8"/>
    <w:rsid w:val="001F0C0D"/>
    <w:rsid w:val="001F0DC5"/>
    <w:rsid w:val="001F0FBA"/>
    <w:rsid w:val="001F10F5"/>
    <w:rsid w:val="001F2F39"/>
    <w:rsid w:val="001F31A5"/>
    <w:rsid w:val="001F3AC1"/>
    <w:rsid w:val="001F410B"/>
    <w:rsid w:val="001F5421"/>
    <w:rsid w:val="001F584E"/>
    <w:rsid w:val="001F5FD3"/>
    <w:rsid w:val="001F7B4E"/>
    <w:rsid w:val="002003F5"/>
    <w:rsid w:val="00200A4C"/>
    <w:rsid w:val="00200BC3"/>
    <w:rsid w:val="00201167"/>
    <w:rsid w:val="0020165C"/>
    <w:rsid w:val="002016BF"/>
    <w:rsid w:val="00201A04"/>
    <w:rsid w:val="00201C22"/>
    <w:rsid w:val="00202215"/>
    <w:rsid w:val="0020272A"/>
    <w:rsid w:val="0020337A"/>
    <w:rsid w:val="0020399E"/>
    <w:rsid w:val="0020469C"/>
    <w:rsid w:val="00204BCD"/>
    <w:rsid w:val="00204CE3"/>
    <w:rsid w:val="00205BA2"/>
    <w:rsid w:val="00206986"/>
    <w:rsid w:val="00206BEC"/>
    <w:rsid w:val="0020794B"/>
    <w:rsid w:val="00207C68"/>
    <w:rsid w:val="00207C6D"/>
    <w:rsid w:val="00207EEC"/>
    <w:rsid w:val="002114F7"/>
    <w:rsid w:val="0021357D"/>
    <w:rsid w:val="00214008"/>
    <w:rsid w:val="0021469A"/>
    <w:rsid w:val="00215647"/>
    <w:rsid w:val="00216A24"/>
    <w:rsid w:val="00217461"/>
    <w:rsid w:val="00220358"/>
    <w:rsid w:val="00221276"/>
    <w:rsid w:val="00222190"/>
    <w:rsid w:val="00222213"/>
    <w:rsid w:val="0022262B"/>
    <w:rsid w:val="00223B57"/>
    <w:rsid w:val="00223CEA"/>
    <w:rsid w:val="00223FF3"/>
    <w:rsid w:val="00224821"/>
    <w:rsid w:val="002248B9"/>
    <w:rsid w:val="00225222"/>
    <w:rsid w:val="00226E4E"/>
    <w:rsid w:val="002271B0"/>
    <w:rsid w:val="002271DE"/>
    <w:rsid w:val="0022767D"/>
    <w:rsid w:val="00230BA2"/>
    <w:rsid w:val="00231277"/>
    <w:rsid w:val="00231439"/>
    <w:rsid w:val="002314CA"/>
    <w:rsid w:val="002315B2"/>
    <w:rsid w:val="002316D8"/>
    <w:rsid w:val="00231BAB"/>
    <w:rsid w:val="00232847"/>
    <w:rsid w:val="0023354D"/>
    <w:rsid w:val="002336B0"/>
    <w:rsid w:val="0023371E"/>
    <w:rsid w:val="002339B5"/>
    <w:rsid w:val="0023444D"/>
    <w:rsid w:val="00234D56"/>
    <w:rsid w:val="00235C9B"/>
    <w:rsid w:val="00235CB9"/>
    <w:rsid w:val="002368A0"/>
    <w:rsid w:val="0023690F"/>
    <w:rsid w:val="00236AC5"/>
    <w:rsid w:val="002371FB"/>
    <w:rsid w:val="002404CC"/>
    <w:rsid w:val="002424FC"/>
    <w:rsid w:val="00242EE6"/>
    <w:rsid w:val="0024322F"/>
    <w:rsid w:val="00243BF3"/>
    <w:rsid w:val="0024408C"/>
    <w:rsid w:val="002442E7"/>
    <w:rsid w:val="0024700C"/>
    <w:rsid w:val="0024716B"/>
    <w:rsid w:val="002516CB"/>
    <w:rsid w:val="002518A4"/>
    <w:rsid w:val="00251CC9"/>
    <w:rsid w:val="00252275"/>
    <w:rsid w:val="002525A6"/>
    <w:rsid w:val="00252DF7"/>
    <w:rsid w:val="0025310E"/>
    <w:rsid w:val="0025318D"/>
    <w:rsid w:val="00253F7F"/>
    <w:rsid w:val="00254B1F"/>
    <w:rsid w:val="00254B81"/>
    <w:rsid w:val="00254F00"/>
    <w:rsid w:val="00255C70"/>
    <w:rsid w:val="00256628"/>
    <w:rsid w:val="002600B0"/>
    <w:rsid w:val="00260253"/>
    <w:rsid w:val="00261C10"/>
    <w:rsid w:val="00261DAB"/>
    <w:rsid w:val="002622C9"/>
    <w:rsid w:val="00262B5C"/>
    <w:rsid w:val="002635F4"/>
    <w:rsid w:val="002647FC"/>
    <w:rsid w:val="00264EA8"/>
    <w:rsid w:val="002661B4"/>
    <w:rsid w:val="002679BB"/>
    <w:rsid w:val="002679FF"/>
    <w:rsid w:val="002706B8"/>
    <w:rsid w:val="0027124F"/>
    <w:rsid w:val="002723F4"/>
    <w:rsid w:val="00272833"/>
    <w:rsid w:val="00272C28"/>
    <w:rsid w:val="00273034"/>
    <w:rsid w:val="002739E7"/>
    <w:rsid w:val="0027444E"/>
    <w:rsid w:val="00274889"/>
    <w:rsid w:val="0027517C"/>
    <w:rsid w:val="0027611B"/>
    <w:rsid w:val="00276375"/>
    <w:rsid w:val="00276718"/>
    <w:rsid w:val="0027722A"/>
    <w:rsid w:val="002802B4"/>
    <w:rsid w:val="00281244"/>
    <w:rsid w:val="00281277"/>
    <w:rsid w:val="00281304"/>
    <w:rsid w:val="0028134C"/>
    <w:rsid w:val="00281372"/>
    <w:rsid w:val="00281509"/>
    <w:rsid w:val="00281F6D"/>
    <w:rsid w:val="00283597"/>
    <w:rsid w:val="002835F0"/>
    <w:rsid w:val="00284816"/>
    <w:rsid w:val="00284FBA"/>
    <w:rsid w:val="002865F4"/>
    <w:rsid w:val="00286EC2"/>
    <w:rsid w:val="002877A2"/>
    <w:rsid w:val="002877D8"/>
    <w:rsid w:val="002902EB"/>
    <w:rsid w:val="00291690"/>
    <w:rsid w:val="00291CB1"/>
    <w:rsid w:val="00291CBC"/>
    <w:rsid w:val="00292037"/>
    <w:rsid w:val="002921FF"/>
    <w:rsid w:val="0029268F"/>
    <w:rsid w:val="00292966"/>
    <w:rsid w:val="00292D06"/>
    <w:rsid w:val="0029323A"/>
    <w:rsid w:val="002935A6"/>
    <w:rsid w:val="0029394E"/>
    <w:rsid w:val="002944D1"/>
    <w:rsid w:val="00294777"/>
    <w:rsid w:val="00294E6A"/>
    <w:rsid w:val="00295054"/>
    <w:rsid w:val="00295145"/>
    <w:rsid w:val="0029554D"/>
    <w:rsid w:val="00295F28"/>
    <w:rsid w:val="0029635F"/>
    <w:rsid w:val="00296D9D"/>
    <w:rsid w:val="0029725D"/>
    <w:rsid w:val="00297397"/>
    <w:rsid w:val="002973B6"/>
    <w:rsid w:val="00297DF9"/>
    <w:rsid w:val="002A0BFA"/>
    <w:rsid w:val="002A178B"/>
    <w:rsid w:val="002A1F1F"/>
    <w:rsid w:val="002A2A3A"/>
    <w:rsid w:val="002A2B93"/>
    <w:rsid w:val="002A2C7B"/>
    <w:rsid w:val="002A2CA7"/>
    <w:rsid w:val="002A3E4B"/>
    <w:rsid w:val="002A4858"/>
    <w:rsid w:val="002A49CE"/>
    <w:rsid w:val="002A5158"/>
    <w:rsid w:val="002A67B0"/>
    <w:rsid w:val="002A6E8D"/>
    <w:rsid w:val="002A7ED4"/>
    <w:rsid w:val="002B0465"/>
    <w:rsid w:val="002B073B"/>
    <w:rsid w:val="002B1CAD"/>
    <w:rsid w:val="002B2066"/>
    <w:rsid w:val="002B3B62"/>
    <w:rsid w:val="002B431D"/>
    <w:rsid w:val="002B532B"/>
    <w:rsid w:val="002B6022"/>
    <w:rsid w:val="002C06E0"/>
    <w:rsid w:val="002C11D5"/>
    <w:rsid w:val="002C26E7"/>
    <w:rsid w:val="002C370A"/>
    <w:rsid w:val="002C5CA7"/>
    <w:rsid w:val="002C5E14"/>
    <w:rsid w:val="002C600D"/>
    <w:rsid w:val="002C7115"/>
    <w:rsid w:val="002C79A5"/>
    <w:rsid w:val="002C7DDD"/>
    <w:rsid w:val="002D0321"/>
    <w:rsid w:val="002D0DC8"/>
    <w:rsid w:val="002D11A1"/>
    <w:rsid w:val="002D1DB4"/>
    <w:rsid w:val="002D1FBB"/>
    <w:rsid w:val="002D246A"/>
    <w:rsid w:val="002D3584"/>
    <w:rsid w:val="002D3641"/>
    <w:rsid w:val="002D375F"/>
    <w:rsid w:val="002D4568"/>
    <w:rsid w:val="002D4F9D"/>
    <w:rsid w:val="002D6F9C"/>
    <w:rsid w:val="002D7039"/>
    <w:rsid w:val="002D7083"/>
    <w:rsid w:val="002D7949"/>
    <w:rsid w:val="002E0386"/>
    <w:rsid w:val="002E0DB9"/>
    <w:rsid w:val="002E1871"/>
    <w:rsid w:val="002E1C25"/>
    <w:rsid w:val="002E3599"/>
    <w:rsid w:val="002E3FE9"/>
    <w:rsid w:val="002E5DD3"/>
    <w:rsid w:val="002E6077"/>
    <w:rsid w:val="002E68B7"/>
    <w:rsid w:val="002E6C40"/>
    <w:rsid w:val="002E7317"/>
    <w:rsid w:val="002E7D13"/>
    <w:rsid w:val="002F01E4"/>
    <w:rsid w:val="002F2ADB"/>
    <w:rsid w:val="002F31CD"/>
    <w:rsid w:val="002F344C"/>
    <w:rsid w:val="002F3533"/>
    <w:rsid w:val="002F3633"/>
    <w:rsid w:val="002F4599"/>
    <w:rsid w:val="002F4AFA"/>
    <w:rsid w:val="002F4D47"/>
    <w:rsid w:val="002F5B73"/>
    <w:rsid w:val="003008B2"/>
    <w:rsid w:val="00300B21"/>
    <w:rsid w:val="0030102C"/>
    <w:rsid w:val="00301AF1"/>
    <w:rsid w:val="00302EEB"/>
    <w:rsid w:val="00303451"/>
    <w:rsid w:val="00304101"/>
    <w:rsid w:val="0030454F"/>
    <w:rsid w:val="00304DFB"/>
    <w:rsid w:val="00305B7B"/>
    <w:rsid w:val="003063A1"/>
    <w:rsid w:val="0030665A"/>
    <w:rsid w:val="00306AD9"/>
    <w:rsid w:val="003102FD"/>
    <w:rsid w:val="00310705"/>
    <w:rsid w:val="00310A85"/>
    <w:rsid w:val="0031227B"/>
    <w:rsid w:val="0031285B"/>
    <w:rsid w:val="00313244"/>
    <w:rsid w:val="003132C8"/>
    <w:rsid w:val="003133A8"/>
    <w:rsid w:val="00313F17"/>
    <w:rsid w:val="00315259"/>
    <w:rsid w:val="00316393"/>
    <w:rsid w:val="00316AB6"/>
    <w:rsid w:val="00320FB7"/>
    <w:rsid w:val="0032113F"/>
    <w:rsid w:val="0032135F"/>
    <w:rsid w:val="003218D1"/>
    <w:rsid w:val="00321B37"/>
    <w:rsid w:val="00322A13"/>
    <w:rsid w:val="0032316D"/>
    <w:rsid w:val="00323FB5"/>
    <w:rsid w:val="003242A5"/>
    <w:rsid w:val="00324638"/>
    <w:rsid w:val="003249AB"/>
    <w:rsid w:val="003256B6"/>
    <w:rsid w:val="00325E67"/>
    <w:rsid w:val="0032663C"/>
    <w:rsid w:val="00326A7D"/>
    <w:rsid w:val="0033001C"/>
    <w:rsid w:val="003307F0"/>
    <w:rsid w:val="00330D2F"/>
    <w:rsid w:val="00332178"/>
    <w:rsid w:val="0033219E"/>
    <w:rsid w:val="00332901"/>
    <w:rsid w:val="00332FCD"/>
    <w:rsid w:val="0033374D"/>
    <w:rsid w:val="00334339"/>
    <w:rsid w:val="00334D41"/>
    <w:rsid w:val="003360D1"/>
    <w:rsid w:val="0033663B"/>
    <w:rsid w:val="00336BEB"/>
    <w:rsid w:val="00336F21"/>
    <w:rsid w:val="00337389"/>
    <w:rsid w:val="0034048E"/>
    <w:rsid w:val="00340C89"/>
    <w:rsid w:val="003412F6"/>
    <w:rsid w:val="00341548"/>
    <w:rsid w:val="0034158D"/>
    <w:rsid w:val="00341C45"/>
    <w:rsid w:val="00342348"/>
    <w:rsid w:val="0034236E"/>
    <w:rsid w:val="003427B2"/>
    <w:rsid w:val="003443B0"/>
    <w:rsid w:val="003443B4"/>
    <w:rsid w:val="003444F0"/>
    <w:rsid w:val="00345197"/>
    <w:rsid w:val="0034549C"/>
    <w:rsid w:val="003456ED"/>
    <w:rsid w:val="00346004"/>
    <w:rsid w:val="00346823"/>
    <w:rsid w:val="00347856"/>
    <w:rsid w:val="00350A60"/>
    <w:rsid w:val="00351521"/>
    <w:rsid w:val="00352128"/>
    <w:rsid w:val="00352405"/>
    <w:rsid w:val="0035577C"/>
    <w:rsid w:val="00355E80"/>
    <w:rsid w:val="0035605D"/>
    <w:rsid w:val="00356C50"/>
    <w:rsid w:val="00357328"/>
    <w:rsid w:val="003575F8"/>
    <w:rsid w:val="00357C86"/>
    <w:rsid w:val="0036111D"/>
    <w:rsid w:val="00361466"/>
    <w:rsid w:val="003626E5"/>
    <w:rsid w:val="003628CE"/>
    <w:rsid w:val="00362D7E"/>
    <w:rsid w:val="0036365E"/>
    <w:rsid w:val="003636DC"/>
    <w:rsid w:val="0036425A"/>
    <w:rsid w:val="0036545A"/>
    <w:rsid w:val="00370EC7"/>
    <w:rsid w:val="00370EE8"/>
    <w:rsid w:val="00372166"/>
    <w:rsid w:val="00374A64"/>
    <w:rsid w:val="00375E90"/>
    <w:rsid w:val="003760D5"/>
    <w:rsid w:val="003762B4"/>
    <w:rsid w:val="00377422"/>
    <w:rsid w:val="00377B72"/>
    <w:rsid w:val="003807E1"/>
    <w:rsid w:val="003810CF"/>
    <w:rsid w:val="00381522"/>
    <w:rsid w:val="003830C2"/>
    <w:rsid w:val="00383982"/>
    <w:rsid w:val="00383C75"/>
    <w:rsid w:val="00384DBB"/>
    <w:rsid w:val="00385B8F"/>
    <w:rsid w:val="0038653B"/>
    <w:rsid w:val="003876F4"/>
    <w:rsid w:val="00391113"/>
    <w:rsid w:val="00391BB1"/>
    <w:rsid w:val="003927D3"/>
    <w:rsid w:val="00392DD1"/>
    <w:rsid w:val="00392E1A"/>
    <w:rsid w:val="00393015"/>
    <w:rsid w:val="003935A0"/>
    <w:rsid w:val="00393866"/>
    <w:rsid w:val="0039387B"/>
    <w:rsid w:val="00393F44"/>
    <w:rsid w:val="003948A0"/>
    <w:rsid w:val="00394EB3"/>
    <w:rsid w:val="00395FC4"/>
    <w:rsid w:val="003962AC"/>
    <w:rsid w:val="003A045B"/>
    <w:rsid w:val="003A0B30"/>
    <w:rsid w:val="003A1B5C"/>
    <w:rsid w:val="003A1BB7"/>
    <w:rsid w:val="003A233A"/>
    <w:rsid w:val="003A255A"/>
    <w:rsid w:val="003A27AA"/>
    <w:rsid w:val="003A2E79"/>
    <w:rsid w:val="003A3BF2"/>
    <w:rsid w:val="003A51DD"/>
    <w:rsid w:val="003A5487"/>
    <w:rsid w:val="003A5665"/>
    <w:rsid w:val="003A581F"/>
    <w:rsid w:val="003A6308"/>
    <w:rsid w:val="003A757D"/>
    <w:rsid w:val="003B0B37"/>
    <w:rsid w:val="003B10C0"/>
    <w:rsid w:val="003B17EC"/>
    <w:rsid w:val="003B192E"/>
    <w:rsid w:val="003B2CA1"/>
    <w:rsid w:val="003B2CBB"/>
    <w:rsid w:val="003B2ECA"/>
    <w:rsid w:val="003B2F27"/>
    <w:rsid w:val="003B2FBF"/>
    <w:rsid w:val="003B49E8"/>
    <w:rsid w:val="003B4B32"/>
    <w:rsid w:val="003B4F52"/>
    <w:rsid w:val="003B53D3"/>
    <w:rsid w:val="003B5F97"/>
    <w:rsid w:val="003B6289"/>
    <w:rsid w:val="003B63FA"/>
    <w:rsid w:val="003B6F55"/>
    <w:rsid w:val="003C27F7"/>
    <w:rsid w:val="003C3391"/>
    <w:rsid w:val="003C3B16"/>
    <w:rsid w:val="003C3CAC"/>
    <w:rsid w:val="003C3CDF"/>
    <w:rsid w:val="003C4401"/>
    <w:rsid w:val="003C4DD5"/>
    <w:rsid w:val="003C62B9"/>
    <w:rsid w:val="003C6A11"/>
    <w:rsid w:val="003D1FFE"/>
    <w:rsid w:val="003D2AEA"/>
    <w:rsid w:val="003D32EA"/>
    <w:rsid w:val="003D3494"/>
    <w:rsid w:val="003D6030"/>
    <w:rsid w:val="003D6CC5"/>
    <w:rsid w:val="003D78C2"/>
    <w:rsid w:val="003E00D5"/>
    <w:rsid w:val="003E07CD"/>
    <w:rsid w:val="003E0DC1"/>
    <w:rsid w:val="003E0E02"/>
    <w:rsid w:val="003E111F"/>
    <w:rsid w:val="003E1981"/>
    <w:rsid w:val="003E2C9C"/>
    <w:rsid w:val="003E36DF"/>
    <w:rsid w:val="003E5083"/>
    <w:rsid w:val="003E54D9"/>
    <w:rsid w:val="003E570C"/>
    <w:rsid w:val="003E5966"/>
    <w:rsid w:val="003E614B"/>
    <w:rsid w:val="003E6CC3"/>
    <w:rsid w:val="003E6D28"/>
    <w:rsid w:val="003E732F"/>
    <w:rsid w:val="003E78FD"/>
    <w:rsid w:val="003E7CCA"/>
    <w:rsid w:val="003F00B5"/>
    <w:rsid w:val="003F03F2"/>
    <w:rsid w:val="003F0E40"/>
    <w:rsid w:val="003F1CED"/>
    <w:rsid w:val="003F2CF4"/>
    <w:rsid w:val="003F2D8C"/>
    <w:rsid w:val="003F3B4B"/>
    <w:rsid w:val="003F4182"/>
    <w:rsid w:val="003F462C"/>
    <w:rsid w:val="003F4983"/>
    <w:rsid w:val="003F5B11"/>
    <w:rsid w:val="003F7380"/>
    <w:rsid w:val="003F7423"/>
    <w:rsid w:val="00400962"/>
    <w:rsid w:val="00402E12"/>
    <w:rsid w:val="00402FB3"/>
    <w:rsid w:val="004039B4"/>
    <w:rsid w:val="00404C6A"/>
    <w:rsid w:val="00405219"/>
    <w:rsid w:val="00407740"/>
    <w:rsid w:val="0041036D"/>
    <w:rsid w:val="00410925"/>
    <w:rsid w:val="00410FE6"/>
    <w:rsid w:val="00411557"/>
    <w:rsid w:val="0041203A"/>
    <w:rsid w:val="00412723"/>
    <w:rsid w:val="00413162"/>
    <w:rsid w:val="004138AE"/>
    <w:rsid w:val="00413AEB"/>
    <w:rsid w:val="00414DCC"/>
    <w:rsid w:val="004150CD"/>
    <w:rsid w:val="00415ADE"/>
    <w:rsid w:val="004162EE"/>
    <w:rsid w:val="00416350"/>
    <w:rsid w:val="00416482"/>
    <w:rsid w:val="00416D1B"/>
    <w:rsid w:val="00416F3C"/>
    <w:rsid w:val="00417110"/>
    <w:rsid w:val="004171AE"/>
    <w:rsid w:val="00417276"/>
    <w:rsid w:val="00417F7B"/>
    <w:rsid w:val="00420107"/>
    <w:rsid w:val="00420475"/>
    <w:rsid w:val="004207A7"/>
    <w:rsid w:val="00421647"/>
    <w:rsid w:val="00421A1D"/>
    <w:rsid w:val="00422156"/>
    <w:rsid w:val="00422877"/>
    <w:rsid w:val="004228B4"/>
    <w:rsid w:val="004228EB"/>
    <w:rsid w:val="00422ADE"/>
    <w:rsid w:val="00423237"/>
    <w:rsid w:val="00424F8A"/>
    <w:rsid w:val="00425B43"/>
    <w:rsid w:val="00426D8D"/>
    <w:rsid w:val="00427210"/>
    <w:rsid w:val="0042734C"/>
    <w:rsid w:val="00427392"/>
    <w:rsid w:val="004316B7"/>
    <w:rsid w:val="00432D0D"/>
    <w:rsid w:val="00433C4F"/>
    <w:rsid w:val="0043459F"/>
    <w:rsid w:val="004362A5"/>
    <w:rsid w:val="004362C6"/>
    <w:rsid w:val="004370B2"/>
    <w:rsid w:val="00437CC2"/>
    <w:rsid w:val="004400CB"/>
    <w:rsid w:val="004418C4"/>
    <w:rsid w:val="004424DD"/>
    <w:rsid w:val="004438D4"/>
    <w:rsid w:val="00444FF1"/>
    <w:rsid w:val="0044536D"/>
    <w:rsid w:val="00445535"/>
    <w:rsid w:val="00445E1F"/>
    <w:rsid w:val="00446E49"/>
    <w:rsid w:val="00446F84"/>
    <w:rsid w:val="004539C6"/>
    <w:rsid w:val="0045434A"/>
    <w:rsid w:val="00454923"/>
    <w:rsid w:val="00455342"/>
    <w:rsid w:val="00455951"/>
    <w:rsid w:val="00456268"/>
    <w:rsid w:val="00456958"/>
    <w:rsid w:val="00457932"/>
    <w:rsid w:val="00460386"/>
    <w:rsid w:val="004603C3"/>
    <w:rsid w:val="00461011"/>
    <w:rsid w:val="004635A7"/>
    <w:rsid w:val="00463C26"/>
    <w:rsid w:val="00463EF3"/>
    <w:rsid w:val="004645E8"/>
    <w:rsid w:val="0046494A"/>
    <w:rsid w:val="00466D3A"/>
    <w:rsid w:val="0046706B"/>
    <w:rsid w:val="00467125"/>
    <w:rsid w:val="00470444"/>
    <w:rsid w:val="00471402"/>
    <w:rsid w:val="00471E82"/>
    <w:rsid w:val="00473BF2"/>
    <w:rsid w:val="004764C7"/>
    <w:rsid w:val="00476EDE"/>
    <w:rsid w:val="00477C34"/>
    <w:rsid w:val="00477C61"/>
    <w:rsid w:val="0048060D"/>
    <w:rsid w:val="00480E1E"/>
    <w:rsid w:val="0048105F"/>
    <w:rsid w:val="004851C3"/>
    <w:rsid w:val="00485C61"/>
    <w:rsid w:val="004871D1"/>
    <w:rsid w:val="00487620"/>
    <w:rsid w:val="004905F4"/>
    <w:rsid w:val="00490623"/>
    <w:rsid w:val="004907EB"/>
    <w:rsid w:val="00490A2D"/>
    <w:rsid w:val="00491ED5"/>
    <w:rsid w:val="004924A8"/>
    <w:rsid w:val="004941EF"/>
    <w:rsid w:val="004A01E2"/>
    <w:rsid w:val="004A0F33"/>
    <w:rsid w:val="004A1F10"/>
    <w:rsid w:val="004A2286"/>
    <w:rsid w:val="004A251B"/>
    <w:rsid w:val="004A286F"/>
    <w:rsid w:val="004A34FF"/>
    <w:rsid w:val="004A5075"/>
    <w:rsid w:val="004A54C9"/>
    <w:rsid w:val="004A7495"/>
    <w:rsid w:val="004A7574"/>
    <w:rsid w:val="004A7720"/>
    <w:rsid w:val="004A7D88"/>
    <w:rsid w:val="004A7E21"/>
    <w:rsid w:val="004B07B6"/>
    <w:rsid w:val="004B0874"/>
    <w:rsid w:val="004B0BA2"/>
    <w:rsid w:val="004B0FE7"/>
    <w:rsid w:val="004B2E34"/>
    <w:rsid w:val="004B36AD"/>
    <w:rsid w:val="004B3CA6"/>
    <w:rsid w:val="004B4B72"/>
    <w:rsid w:val="004B4E7E"/>
    <w:rsid w:val="004B57C0"/>
    <w:rsid w:val="004B7D6E"/>
    <w:rsid w:val="004C09CE"/>
    <w:rsid w:val="004C0BD4"/>
    <w:rsid w:val="004C106C"/>
    <w:rsid w:val="004C13BE"/>
    <w:rsid w:val="004C2346"/>
    <w:rsid w:val="004C2B19"/>
    <w:rsid w:val="004C3196"/>
    <w:rsid w:val="004C3E0F"/>
    <w:rsid w:val="004C4FC6"/>
    <w:rsid w:val="004C6F98"/>
    <w:rsid w:val="004C7A1A"/>
    <w:rsid w:val="004C7B0E"/>
    <w:rsid w:val="004D16A4"/>
    <w:rsid w:val="004D1D10"/>
    <w:rsid w:val="004D2664"/>
    <w:rsid w:val="004D293E"/>
    <w:rsid w:val="004D3CEC"/>
    <w:rsid w:val="004D3EB4"/>
    <w:rsid w:val="004D40B6"/>
    <w:rsid w:val="004D4399"/>
    <w:rsid w:val="004D446B"/>
    <w:rsid w:val="004D46F9"/>
    <w:rsid w:val="004D4CAE"/>
    <w:rsid w:val="004D502A"/>
    <w:rsid w:val="004D611C"/>
    <w:rsid w:val="004D6299"/>
    <w:rsid w:val="004D65F5"/>
    <w:rsid w:val="004D68A3"/>
    <w:rsid w:val="004D72D3"/>
    <w:rsid w:val="004D7E95"/>
    <w:rsid w:val="004E055E"/>
    <w:rsid w:val="004E0C57"/>
    <w:rsid w:val="004E0D71"/>
    <w:rsid w:val="004E2359"/>
    <w:rsid w:val="004E25B1"/>
    <w:rsid w:val="004E2A09"/>
    <w:rsid w:val="004E3020"/>
    <w:rsid w:val="004E33B2"/>
    <w:rsid w:val="004E680D"/>
    <w:rsid w:val="004E6BEC"/>
    <w:rsid w:val="004E6D69"/>
    <w:rsid w:val="004E6F5B"/>
    <w:rsid w:val="004E726F"/>
    <w:rsid w:val="004E730B"/>
    <w:rsid w:val="004E7F69"/>
    <w:rsid w:val="004F1058"/>
    <w:rsid w:val="004F24AD"/>
    <w:rsid w:val="004F251C"/>
    <w:rsid w:val="004F428B"/>
    <w:rsid w:val="004F5D8D"/>
    <w:rsid w:val="004F69DA"/>
    <w:rsid w:val="004F6A6E"/>
    <w:rsid w:val="004F6BB1"/>
    <w:rsid w:val="004F6E5F"/>
    <w:rsid w:val="00501691"/>
    <w:rsid w:val="005018F5"/>
    <w:rsid w:val="005023F2"/>
    <w:rsid w:val="005025F8"/>
    <w:rsid w:val="00503881"/>
    <w:rsid w:val="00504658"/>
    <w:rsid w:val="00504797"/>
    <w:rsid w:val="00505233"/>
    <w:rsid w:val="00505CFF"/>
    <w:rsid w:val="00505FF9"/>
    <w:rsid w:val="00506326"/>
    <w:rsid w:val="00507DB1"/>
    <w:rsid w:val="005100B1"/>
    <w:rsid w:val="00511764"/>
    <w:rsid w:val="0051262D"/>
    <w:rsid w:val="0051285D"/>
    <w:rsid w:val="00512A20"/>
    <w:rsid w:val="00512F22"/>
    <w:rsid w:val="005130EB"/>
    <w:rsid w:val="00513C64"/>
    <w:rsid w:val="005147A7"/>
    <w:rsid w:val="00514D25"/>
    <w:rsid w:val="00515F30"/>
    <w:rsid w:val="00516B31"/>
    <w:rsid w:val="00517805"/>
    <w:rsid w:val="00517B3E"/>
    <w:rsid w:val="0052030D"/>
    <w:rsid w:val="005217C9"/>
    <w:rsid w:val="00521E3A"/>
    <w:rsid w:val="005227EF"/>
    <w:rsid w:val="00523BBB"/>
    <w:rsid w:val="00523C6E"/>
    <w:rsid w:val="00527426"/>
    <w:rsid w:val="00527560"/>
    <w:rsid w:val="00530C1B"/>
    <w:rsid w:val="00531BEE"/>
    <w:rsid w:val="00531EBA"/>
    <w:rsid w:val="00533623"/>
    <w:rsid w:val="0053422A"/>
    <w:rsid w:val="005355DF"/>
    <w:rsid w:val="00536553"/>
    <w:rsid w:val="005370EB"/>
    <w:rsid w:val="005415CB"/>
    <w:rsid w:val="00541AF6"/>
    <w:rsid w:val="00544428"/>
    <w:rsid w:val="00544775"/>
    <w:rsid w:val="005465B1"/>
    <w:rsid w:val="00546AAF"/>
    <w:rsid w:val="0054715C"/>
    <w:rsid w:val="005479A6"/>
    <w:rsid w:val="00550090"/>
    <w:rsid w:val="00550787"/>
    <w:rsid w:val="00550806"/>
    <w:rsid w:val="005509D8"/>
    <w:rsid w:val="00550BDE"/>
    <w:rsid w:val="005514CE"/>
    <w:rsid w:val="00551E30"/>
    <w:rsid w:val="00551E9C"/>
    <w:rsid w:val="0055392E"/>
    <w:rsid w:val="00553D32"/>
    <w:rsid w:val="0055436D"/>
    <w:rsid w:val="0055463E"/>
    <w:rsid w:val="0055537C"/>
    <w:rsid w:val="00555413"/>
    <w:rsid w:val="00555FB1"/>
    <w:rsid w:val="00560060"/>
    <w:rsid w:val="00560D36"/>
    <w:rsid w:val="00561453"/>
    <w:rsid w:val="005623C7"/>
    <w:rsid w:val="005635E9"/>
    <w:rsid w:val="0056404B"/>
    <w:rsid w:val="00564094"/>
    <w:rsid w:val="00564DDE"/>
    <w:rsid w:val="00564EA8"/>
    <w:rsid w:val="00564FD3"/>
    <w:rsid w:val="005650A6"/>
    <w:rsid w:val="005671A9"/>
    <w:rsid w:val="005676B6"/>
    <w:rsid w:val="005677CA"/>
    <w:rsid w:val="005677E6"/>
    <w:rsid w:val="00571B00"/>
    <w:rsid w:val="00571BB9"/>
    <w:rsid w:val="00575570"/>
    <w:rsid w:val="00575EFF"/>
    <w:rsid w:val="0057673E"/>
    <w:rsid w:val="0057747C"/>
    <w:rsid w:val="00577AED"/>
    <w:rsid w:val="00580AAE"/>
    <w:rsid w:val="00580DE1"/>
    <w:rsid w:val="005814B9"/>
    <w:rsid w:val="0058289B"/>
    <w:rsid w:val="00582977"/>
    <w:rsid w:val="0058392D"/>
    <w:rsid w:val="00583D24"/>
    <w:rsid w:val="005840FB"/>
    <w:rsid w:val="00584858"/>
    <w:rsid w:val="005861B5"/>
    <w:rsid w:val="005872E5"/>
    <w:rsid w:val="00587A41"/>
    <w:rsid w:val="005900DD"/>
    <w:rsid w:val="005911BB"/>
    <w:rsid w:val="005913E1"/>
    <w:rsid w:val="005914A4"/>
    <w:rsid w:val="00591D27"/>
    <w:rsid w:val="005921C1"/>
    <w:rsid w:val="005922EF"/>
    <w:rsid w:val="00592E48"/>
    <w:rsid w:val="005933E1"/>
    <w:rsid w:val="00593BBE"/>
    <w:rsid w:val="005949C3"/>
    <w:rsid w:val="00597E52"/>
    <w:rsid w:val="005A106E"/>
    <w:rsid w:val="005A163C"/>
    <w:rsid w:val="005A39D8"/>
    <w:rsid w:val="005A3BC6"/>
    <w:rsid w:val="005A4AAD"/>
    <w:rsid w:val="005A616B"/>
    <w:rsid w:val="005B077F"/>
    <w:rsid w:val="005B0F48"/>
    <w:rsid w:val="005B16ED"/>
    <w:rsid w:val="005B2645"/>
    <w:rsid w:val="005B2A6E"/>
    <w:rsid w:val="005B2E34"/>
    <w:rsid w:val="005B3207"/>
    <w:rsid w:val="005B4A3F"/>
    <w:rsid w:val="005B530A"/>
    <w:rsid w:val="005B5526"/>
    <w:rsid w:val="005B6F94"/>
    <w:rsid w:val="005C0926"/>
    <w:rsid w:val="005C0EC3"/>
    <w:rsid w:val="005C187F"/>
    <w:rsid w:val="005C19FD"/>
    <w:rsid w:val="005C3329"/>
    <w:rsid w:val="005C38DA"/>
    <w:rsid w:val="005C3D5C"/>
    <w:rsid w:val="005C4D06"/>
    <w:rsid w:val="005C4E6A"/>
    <w:rsid w:val="005C50CC"/>
    <w:rsid w:val="005C5BE5"/>
    <w:rsid w:val="005C6333"/>
    <w:rsid w:val="005C69B7"/>
    <w:rsid w:val="005D0500"/>
    <w:rsid w:val="005D11B1"/>
    <w:rsid w:val="005D12AD"/>
    <w:rsid w:val="005D2787"/>
    <w:rsid w:val="005D2810"/>
    <w:rsid w:val="005D2E61"/>
    <w:rsid w:val="005D2FE9"/>
    <w:rsid w:val="005D308C"/>
    <w:rsid w:val="005D3B73"/>
    <w:rsid w:val="005D3E7D"/>
    <w:rsid w:val="005D4318"/>
    <w:rsid w:val="005D459D"/>
    <w:rsid w:val="005D567E"/>
    <w:rsid w:val="005D5C2B"/>
    <w:rsid w:val="005D5E21"/>
    <w:rsid w:val="005D668B"/>
    <w:rsid w:val="005D7721"/>
    <w:rsid w:val="005E0DB9"/>
    <w:rsid w:val="005E0E19"/>
    <w:rsid w:val="005E1FB9"/>
    <w:rsid w:val="005E2901"/>
    <w:rsid w:val="005E3C4D"/>
    <w:rsid w:val="005E40B6"/>
    <w:rsid w:val="005E435E"/>
    <w:rsid w:val="005E44BC"/>
    <w:rsid w:val="005E47D0"/>
    <w:rsid w:val="005E4FBF"/>
    <w:rsid w:val="005E691E"/>
    <w:rsid w:val="005E694D"/>
    <w:rsid w:val="005E6B25"/>
    <w:rsid w:val="005F143A"/>
    <w:rsid w:val="005F17F0"/>
    <w:rsid w:val="005F2820"/>
    <w:rsid w:val="005F3878"/>
    <w:rsid w:val="005F439D"/>
    <w:rsid w:val="005F4C3D"/>
    <w:rsid w:val="005F5050"/>
    <w:rsid w:val="005F51C8"/>
    <w:rsid w:val="005F6109"/>
    <w:rsid w:val="005F6BE9"/>
    <w:rsid w:val="005F7A24"/>
    <w:rsid w:val="00600028"/>
    <w:rsid w:val="00600ECB"/>
    <w:rsid w:val="00601CAC"/>
    <w:rsid w:val="00602133"/>
    <w:rsid w:val="00603906"/>
    <w:rsid w:val="00603B69"/>
    <w:rsid w:val="006042BA"/>
    <w:rsid w:val="00604B00"/>
    <w:rsid w:val="006052FD"/>
    <w:rsid w:val="00606A37"/>
    <w:rsid w:val="00606C9F"/>
    <w:rsid w:val="006070A1"/>
    <w:rsid w:val="00607D78"/>
    <w:rsid w:val="00607DEA"/>
    <w:rsid w:val="00607EAB"/>
    <w:rsid w:val="006122B1"/>
    <w:rsid w:val="00613CE1"/>
    <w:rsid w:val="0061624E"/>
    <w:rsid w:val="006170E1"/>
    <w:rsid w:val="006200F8"/>
    <w:rsid w:val="00622755"/>
    <w:rsid w:val="00623C51"/>
    <w:rsid w:val="0062462D"/>
    <w:rsid w:val="0062536A"/>
    <w:rsid w:val="00625FAB"/>
    <w:rsid w:val="00626B91"/>
    <w:rsid w:val="00626F06"/>
    <w:rsid w:val="006276A7"/>
    <w:rsid w:val="00627D29"/>
    <w:rsid w:val="00627EDD"/>
    <w:rsid w:val="00632214"/>
    <w:rsid w:val="00632C54"/>
    <w:rsid w:val="006332FC"/>
    <w:rsid w:val="00633DC0"/>
    <w:rsid w:val="00635099"/>
    <w:rsid w:val="006358FE"/>
    <w:rsid w:val="006359B4"/>
    <w:rsid w:val="006367C2"/>
    <w:rsid w:val="00636A29"/>
    <w:rsid w:val="00636B63"/>
    <w:rsid w:val="006404DC"/>
    <w:rsid w:val="006406D7"/>
    <w:rsid w:val="0064140F"/>
    <w:rsid w:val="0064153B"/>
    <w:rsid w:val="00641A9D"/>
    <w:rsid w:val="00641F9A"/>
    <w:rsid w:val="00643305"/>
    <w:rsid w:val="00643956"/>
    <w:rsid w:val="00644551"/>
    <w:rsid w:val="00645772"/>
    <w:rsid w:val="00645FF3"/>
    <w:rsid w:val="00646B69"/>
    <w:rsid w:val="0064725E"/>
    <w:rsid w:val="00647401"/>
    <w:rsid w:val="00647839"/>
    <w:rsid w:val="006478C5"/>
    <w:rsid w:val="00650C8A"/>
    <w:rsid w:val="006521C8"/>
    <w:rsid w:val="006533E1"/>
    <w:rsid w:val="00654CD5"/>
    <w:rsid w:val="00654DBC"/>
    <w:rsid w:val="0065734C"/>
    <w:rsid w:val="00660F53"/>
    <w:rsid w:val="00661946"/>
    <w:rsid w:val="0066207C"/>
    <w:rsid w:val="0066238B"/>
    <w:rsid w:val="0066305E"/>
    <w:rsid w:val="0066326D"/>
    <w:rsid w:val="00663467"/>
    <w:rsid w:val="00664A88"/>
    <w:rsid w:val="00664D90"/>
    <w:rsid w:val="00665114"/>
    <w:rsid w:val="006654B4"/>
    <w:rsid w:val="00665BA7"/>
    <w:rsid w:val="00666F70"/>
    <w:rsid w:val="00667DF1"/>
    <w:rsid w:val="006702F6"/>
    <w:rsid w:val="00670CAF"/>
    <w:rsid w:val="0067121C"/>
    <w:rsid w:val="00672BE7"/>
    <w:rsid w:val="00672F32"/>
    <w:rsid w:val="006734B8"/>
    <w:rsid w:val="00673886"/>
    <w:rsid w:val="006757B8"/>
    <w:rsid w:val="006763CB"/>
    <w:rsid w:val="006763F1"/>
    <w:rsid w:val="006771CA"/>
    <w:rsid w:val="006778A8"/>
    <w:rsid w:val="00677983"/>
    <w:rsid w:val="00677DE7"/>
    <w:rsid w:val="006810BB"/>
    <w:rsid w:val="00682DC5"/>
    <w:rsid w:val="006834C1"/>
    <w:rsid w:val="006840E5"/>
    <w:rsid w:val="006841B5"/>
    <w:rsid w:val="00684C68"/>
    <w:rsid w:val="00685289"/>
    <w:rsid w:val="0068573C"/>
    <w:rsid w:val="00685871"/>
    <w:rsid w:val="00685AA3"/>
    <w:rsid w:val="00686ADF"/>
    <w:rsid w:val="00687402"/>
    <w:rsid w:val="006878E2"/>
    <w:rsid w:val="00687DE6"/>
    <w:rsid w:val="00691231"/>
    <w:rsid w:val="00692182"/>
    <w:rsid w:val="00694CB7"/>
    <w:rsid w:val="00695B2B"/>
    <w:rsid w:val="00695FBE"/>
    <w:rsid w:val="0069663A"/>
    <w:rsid w:val="0069689B"/>
    <w:rsid w:val="00697835"/>
    <w:rsid w:val="006A038D"/>
    <w:rsid w:val="006A0D65"/>
    <w:rsid w:val="006A0FE1"/>
    <w:rsid w:val="006A16DE"/>
    <w:rsid w:val="006A197B"/>
    <w:rsid w:val="006A1E55"/>
    <w:rsid w:val="006A3E7E"/>
    <w:rsid w:val="006A3FD3"/>
    <w:rsid w:val="006A430D"/>
    <w:rsid w:val="006A4D0E"/>
    <w:rsid w:val="006A4DC6"/>
    <w:rsid w:val="006A6718"/>
    <w:rsid w:val="006A782A"/>
    <w:rsid w:val="006B0490"/>
    <w:rsid w:val="006B084B"/>
    <w:rsid w:val="006B08CF"/>
    <w:rsid w:val="006B09DE"/>
    <w:rsid w:val="006B13D2"/>
    <w:rsid w:val="006B192B"/>
    <w:rsid w:val="006B2602"/>
    <w:rsid w:val="006B2B51"/>
    <w:rsid w:val="006B3F88"/>
    <w:rsid w:val="006B49AE"/>
    <w:rsid w:val="006B4A23"/>
    <w:rsid w:val="006B5F3B"/>
    <w:rsid w:val="006B681F"/>
    <w:rsid w:val="006B6AF9"/>
    <w:rsid w:val="006B6D2C"/>
    <w:rsid w:val="006B73BF"/>
    <w:rsid w:val="006B74C2"/>
    <w:rsid w:val="006C0077"/>
    <w:rsid w:val="006C0663"/>
    <w:rsid w:val="006C0BCA"/>
    <w:rsid w:val="006C1027"/>
    <w:rsid w:val="006C102E"/>
    <w:rsid w:val="006C1C10"/>
    <w:rsid w:val="006C2311"/>
    <w:rsid w:val="006C2C1C"/>
    <w:rsid w:val="006C3902"/>
    <w:rsid w:val="006C3A45"/>
    <w:rsid w:val="006C3ECD"/>
    <w:rsid w:val="006C439F"/>
    <w:rsid w:val="006C6CA3"/>
    <w:rsid w:val="006C6F7B"/>
    <w:rsid w:val="006D0D87"/>
    <w:rsid w:val="006D13C7"/>
    <w:rsid w:val="006D147C"/>
    <w:rsid w:val="006D214E"/>
    <w:rsid w:val="006D266D"/>
    <w:rsid w:val="006D3AF9"/>
    <w:rsid w:val="006D402C"/>
    <w:rsid w:val="006D4F19"/>
    <w:rsid w:val="006D5D0B"/>
    <w:rsid w:val="006D75E1"/>
    <w:rsid w:val="006D7996"/>
    <w:rsid w:val="006D79C5"/>
    <w:rsid w:val="006E1553"/>
    <w:rsid w:val="006E25C3"/>
    <w:rsid w:val="006E2BEA"/>
    <w:rsid w:val="006E3212"/>
    <w:rsid w:val="006E3708"/>
    <w:rsid w:val="006E3AC3"/>
    <w:rsid w:val="006E47C0"/>
    <w:rsid w:val="006E53E6"/>
    <w:rsid w:val="006E5AD4"/>
    <w:rsid w:val="006E5F85"/>
    <w:rsid w:val="006F1324"/>
    <w:rsid w:val="006F1C99"/>
    <w:rsid w:val="006F2125"/>
    <w:rsid w:val="006F216D"/>
    <w:rsid w:val="006F240A"/>
    <w:rsid w:val="006F327E"/>
    <w:rsid w:val="006F3372"/>
    <w:rsid w:val="006F4CC1"/>
    <w:rsid w:val="006F5F4F"/>
    <w:rsid w:val="006F6488"/>
    <w:rsid w:val="006F6D1F"/>
    <w:rsid w:val="006F74F0"/>
    <w:rsid w:val="006F79A7"/>
    <w:rsid w:val="006F7B04"/>
    <w:rsid w:val="006F7D5D"/>
    <w:rsid w:val="00700547"/>
    <w:rsid w:val="00701310"/>
    <w:rsid w:val="0070135B"/>
    <w:rsid w:val="007019C1"/>
    <w:rsid w:val="00702F1B"/>
    <w:rsid w:val="00703848"/>
    <w:rsid w:val="0070397A"/>
    <w:rsid w:val="007045A0"/>
    <w:rsid w:val="007058FB"/>
    <w:rsid w:val="0070593E"/>
    <w:rsid w:val="007060CA"/>
    <w:rsid w:val="007063EB"/>
    <w:rsid w:val="0070785E"/>
    <w:rsid w:val="00710A4E"/>
    <w:rsid w:val="0071182C"/>
    <w:rsid w:val="00711D15"/>
    <w:rsid w:val="0071285D"/>
    <w:rsid w:val="00712C38"/>
    <w:rsid w:val="00713937"/>
    <w:rsid w:val="007149B1"/>
    <w:rsid w:val="00715BA7"/>
    <w:rsid w:val="00715E28"/>
    <w:rsid w:val="00715F90"/>
    <w:rsid w:val="00717A77"/>
    <w:rsid w:val="00717DAD"/>
    <w:rsid w:val="00720EAD"/>
    <w:rsid w:val="007210C1"/>
    <w:rsid w:val="00721147"/>
    <w:rsid w:val="00722471"/>
    <w:rsid w:val="00722B7E"/>
    <w:rsid w:val="00723F35"/>
    <w:rsid w:val="007248A9"/>
    <w:rsid w:val="00725851"/>
    <w:rsid w:val="00726271"/>
    <w:rsid w:val="0072782A"/>
    <w:rsid w:val="00727DC9"/>
    <w:rsid w:val="00727EE4"/>
    <w:rsid w:val="00731B3F"/>
    <w:rsid w:val="007323B4"/>
    <w:rsid w:val="00733548"/>
    <w:rsid w:val="00734422"/>
    <w:rsid w:val="007352BC"/>
    <w:rsid w:val="007353F0"/>
    <w:rsid w:val="00740D51"/>
    <w:rsid w:val="00741CC8"/>
    <w:rsid w:val="0074230C"/>
    <w:rsid w:val="00742564"/>
    <w:rsid w:val="00742594"/>
    <w:rsid w:val="00743F1A"/>
    <w:rsid w:val="00744901"/>
    <w:rsid w:val="00744CFC"/>
    <w:rsid w:val="007457E8"/>
    <w:rsid w:val="007459E3"/>
    <w:rsid w:val="007459FB"/>
    <w:rsid w:val="007466A5"/>
    <w:rsid w:val="0074768F"/>
    <w:rsid w:val="007506F4"/>
    <w:rsid w:val="00750A22"/>
    <w:rsid w:val="00750BBC"/>
    <w:rsid w:val="00750D06"/>
    <w:rsid w:val="007517C6"/>
    <w:rsid w:val="007519EB"/>
    <w:rsid w:val="00751B36"/>
    <w:rsid w:val="0075288E"/>
    <w:rsid w:val="00752C9C"/>
    <w:rsid w:val="007531BB"/>
    <w:rsid w:val="00754B8B"/>
    <w:rsid w:val="00755B05"/>
    <w:rsid w:val="007561C0"/>
    <w:rsid w:val="00756754"/>
    <w:rsid w:val="00757F92"/>
    <w:rsid w:val="0076008D"/>
    <w:rsid w:val="00760332"/>
    <w:rsid w:val="00761905"/>
    <w:rsid w:val="00761B7D"/>
    <w:rsid w:val="007624EC"/>
    <w:rsid w:val="007629CB"/>
    <w:rsid w:val="00763293"/>
    <w:rsid w:val="007633D5"/>
    <w:rsid w:val="007642B6"/>
    <w:rsid w:val="007647ED"/>
    <w:rsid w:val="00764AA5"/>
    <w:rsid w:val="00766704"/>
    <w:rsid w:val="00767000"/>
    <w:rsid w:val="007670F1"/>
    <w:rsid w:val="0076793B"/>
    <w:rsid w:val="0077060B"/>
    <w:rsid w:val="00770661"/>
    <w:rsid w:val="00770A79"/>
    <w:rsid w:val="00771F2A"/>
    <w:rsid w:val="007720BA"/>
    <w:rsid w:val="007754E5"/>
    <w:rsid w:val="00776AF0"/>
    <w:rsid w:val="00776E54"/>
    <w:rsid w:val="00776EA1"/>
    <w:rsid w:val="00777BBA"/>
    <w:rsid w:val="00777E4A"/>
    <w:rsid w:val="00777F98"/>
    <w:rsid w:val="00780122"/>
    <w:rsid w:val="00781CDA"/>
    <w:rsid w:val="00781F16"/>
    <w:rsid w:val="00781FA8"/>
    <w:rsid w:val="00782D52"/>
    <w:rsid w:val="00783B78"/>
    <w:rsid w:val="00783D72"/>
    <w:rsid w:val="00783ECE"/>
    <w:rsid w:val="007843E0"/>
    <w:rsid w:val="00786930"/>
    <w:rsid w:val="00786C6E"/>
    <w:rsid w:val="00787223"/>
    <w:rsid w:val="00787582"/>
    <w:rsid w:val="00787D95"/>
    <w:rsid w:val="00791A48"/>
    <w:rsid w:val="00791A97"/>
    <w:rsid w:val="007929A3"/>
    <w:rsid w:val="00792F97"/>
    <w:rsid w:val="00794353"/>
    <w:rsid w:val="00796066"/>
    <w:rsid w:val="007960FC"/>
    <w:rsid w:val="00797953"/>
    <w:rsid w:val="00797A52"/>
    <w:rsid w:val="007A0710"/>
    <w:rsid w:val="007A143A"/>
    <w:rsid w:val="007A15E6"/>
    <w:rsid w:val="007A3143"/>
    <w:rsid w:val="007A34F8"/>
    <w:rsid w:val="007A444C"/>
    <w:rsid w:val="007A46FF"/>
    <w:rsid w:val="007A4E7D"/>
    <w:rsid w:val="007A7151"/>
    <w:rsid w:val="007B09C6"/>
    <w:rsid w:val="007B1E64"/>
    <w:rsid w:val="007B1E85"/>
    <w:rsid w:val="007B28A5"/>
    <w:rsid w:val="007B54F0"/>
    <w:rsid w:val="007B5B14"/>
    <w:rsid w:val="007B6819"/>
    <w:rsid w:val="007B68EF"/>
    <w:rsid w:val="007B6A07"/>
    <w:rsid w:val="007B6C23"/>
    <w:rsid w:val="007B6D00"/>
    <w:rsid w:val="007B73FD"/>
    <w:rsid w:val="007C0431"/>
    <w:rsid w:val="007C1C43"/>
    <w:rsid w:val="007C46C5"/>
    <w:rsid w:val="007C5256"/>
    <w:rsid w:val="007C54FB"/>
    <w:rsid w:val="007C5EE1"/>
    <w:rsid w:val="007C62EE"/>
    <w:rsid w:val="007C73CF"/>
    <w:rsid w:val="007C7F05"/>
    <w:rsid w:val="007D01B5"/>
    <w:rsid w:val="007D055A"/>
    <w:rsid w:val="007D4273"/>
    <w:rsid w:val="007D45EE"/>
    <w:rsid w:val="007D513F"/>
    <w:rsid w:val="007E025E"/>
    <w:rsid w:val="007E174C"/>
    <w:rsid w:val="007E1EC2"/>
    <w:rsid w:val="007E2A0E"/>
    <w:rsid w:val="007E2FD8"/>
    <w:rsid w:val="007E3052"/>
    <w:rsid w:val="007E66C1"/>
    <w:rsid w:val="007E6C1B"/>
    <w:rsid w:val="007E74AD"/>
    <w:rsid w:val="007E7AB4"/>
    <w:rsid w:val="007F0EDD"/>
    <w:rsid w:val="007F150D"/>
    <w:rsid w:val="007F1746"/>
    <w:rsid w:val="007F1AB5"/>
    <w:rsid w:val="007F1C6E"/>
    <w:rsid w:val="007F2A8E"/>
    <w:rsid w:val="007F2F13"/>
    <w:rsid w:val="007F38AC"/>
    <w:rsid w:val="007F4015"/>
    <w:rsid w:val="007F49D0"/>
    <w:rsid w:val="007F55F6"/>
    <w:rsid w:val="007F6AE8"/>
    <w:rsid w:val="007F6DAA"/>
    <w:rsid w:val="007F734C"/>
    <w:rsid w:val="007F760C"/>
    <w:rsid w:val="00800819"/>
    <w:rsid w:val="00801D5F"/>
    <w:rsid w:val="00802199"/>
    <w:rsid w:val="00804334"/>
    <w:rsid w:val="008047B7"/>
    <w:rsid w:val="00804A6D"/>
    <w:rsid w:val="008051FB"/>
    <w:rsid w:val="00805B79"/>
    <w:rsid w:val="00805D31"/>
    <w:rsid w:val="00807F59"/>
    <w:rsid w:val="00810716"/>
    <w:rsid w:val="00811249"/>
    <w:rsid w:val="00811874"/>
    <w:rsid w:val="00812A48"/>
    <w:rsid w:val="0081416F"/>
    <w:rsid w:val="0081604D"/>
    <w:rsid w:val="00817172"/>
    <w:rsid w:val="00817197"/>
    <w:rsid w:val="00817412"/>
    <w:rsid w:val="00817F97"/>
    <w:rsid w:val="008204C1"/>
    <w:rsid w:val="00821F55"/>
    <w:rsid w:val="00822550"/>
    <w:rsid w:val="008233ED"/>
    <w:rsid w:val="00824FF2"/>
    <w:rsid w:val="0082558F"/>
    <w:rsid w:val="00826662"/>
    <w:rsid w:val="00826D11"/>
    <w:rsid w:val="00827610"/>
    <w:rsid w:val="00830B5F"/>
    <w:rsid w:val="00830C58"/>
    <w:rsid w:val="008338B6"/>
    <w:rsid w:val="00835498"/>
    <w:rsid w:val="008354F3"/>
    <w:rsid w:val="00835AD0"/>
    <w:rsid w:val="00835CCC"/>
    <w:rsid w:val="0083607E"/>
    <w:rsid w:val="0083643E"/>
    <w:rsid w:val="008368B5"/>
    <w:rsid w:val="00836A60"/>
    <w:rsid w:val="00836F69"/>
    <w:rsid w:val="008373D7"/>
    <w:rsid w:val="0083798E"/>
    <w:rsid w:val="0084058A"/>
    <w:rsid w:val="00840D57"/>
    <w:rsid w:val="00840D59"/>
    <w:rsid w:val="00841063"/>
    <w:rsid w:val="008416ED"/>
    <w:rsid w:val="008428A0"/>
    <w:rsid w:val="00843549"/>
    <w:rsid w:val="00843737"/>
    <w:rsid w:val="00843D0C"/>
    <w:rsid w:val="00844E9C"/>
    <w:rsid w:val="00850016"/>
    <w:rsid w:val="00851229"/>
    <w:rsid w:val="00851B6A"/>
    <w:rsid w:val="00852A87"/>
    <w:rsid w:val="008544D0"/>
    <w:rsid w:val="00854905"/>
    <w:rsid w:val="00855577"/>
    <w:rsid w:val="00856140"/>
    <w:rsid w:val="00856331"/>
    <w:rsid w:val="00856DE4"/>
    <w:rsid w:val="00857624"/>
    <w:rsid w:val="00857C17"/>
    <w:rsid w:val="00860F7F"/>
    <w:rsid w:val="00861B9B"/>
    <w:rsid w:val="00861C3E"/>
    <w:rsid w:val="00863C19"/>
    <w:rsid w:val="00863D80"/>
    <w:rsid w:val="00864B3E"/>
    <w:rsid w:val="008657C5"/>
    <w:rsid w:val="00865D19"/>
    <w:rsid w:val="0086669B"/>
    <w:rsid w:val="00866C9C"/>
    <w:rsid w:val="008677F3"/>
    <w:rsid w:val="0086791B"/>
    <w:rsid w:val="00867C8F"/>
    <w:rsid w:val="008708F7"/>
    <w:rsid w:val="00870CB7"/>
    <w:rsid w:val="008716CA"/>
    <w:rsid w:val="00872CBE"/>
    <w:rsid w:val="00872CDB"/>
    <w:rsid w:val="008747A2"/>
    <w:rsid w:val="00874C58"/>
    <w:rsid w:val="008757AA"/>
    <w:rsid w:val="00876413"/>
    <w:rsid w:val="00876428"/>
    <w:rsid w:val="0087758A"/>
    <w:rsid w:val="00877985"/>
    <w:rsid w:val="00877B63"/>
    <w:rsid w:val="0088170C"/>
    <w:rsid w:val="00881D55"/>
    <w:rsid w:val="0088339B"/>
    <w:rsid w:val="00884837"/>
    <w:rsid w:val="00884C46"/>
    <w:rsid w:val="00884FE0"/>
    <w:rsid w:val="00885BB3"/>
    <w:rsid w:val="00886BE7"/>
    <w:rsid w:val="00886D99"/>
    <w:rsid w:val="00887013"/>
    <w:rsid w:val="00887084"/>
    <w:rsid w:val="0089025D"/>
    <w:rsid w:val="00890F06"/>
    <w:rsid w:val="008917A9"/>
    <w:rsid w:val="0089181C"/>
    <w:rsid w:val="00892587"/>
    <w:rsid w:val="0089316F"/>
    <w:rsid w:val="00893713"/>
    <w:rsid w:val="0089374A"/>
    <w:rsid w:val="00894634"/>
    <w:rsid w:val="008948E8"/>
    <w:rsid w:val="00895918"/>
    <w:rsid w:val="00896E27"/>
    <w:rsid w:val="008978C7"/>
    <w:rsid w:val="0089795F"/>
    <w:rsid w:val="008A00A4"/>
    <w:rsid w:val="008A065F"/>
    <w:rsid w:val="008A3F16"/>
    <w:rsid w:val="008A4441"/>
    <w:rsid w:val="008A528B"/>
    <w:rsid w:val="008A5A14"/>
    <w:rsid w:val="008A5F39"/>
    <w:rsid w:val="008A6DD0"/>
    <w:rsid w:val="008B0063"/>
    <w:rsid w:val="008B0E52"/>
    <w:rsid w:val="008B1CBA"/>
    <w:rsid w:val="008B1CCE"/>
    <w:rsid w:val="008B2BED"/>
    <w:rsid w:val="008B3400"/>
    <w:rsid w:val="008B35FA"/>
    <w:rsid w:val="008B3B52"/>
    <w:rsid w:val="008B404E"/>
    <w:rsid w:val="008B40CE"/>
    <w:rsid w:val="008B4B0A"/>
    <w:rsid w:val="008B76A4"/>
    <w:rsid w:val="008B7F52"/>
    <w:rsid w:val="008C13CA"/>
    <w:rsid w:val="008C31F7"/>
    <w:rsid w:val="008C3641"/>
    <w:rsid w:val="008C4193"/>
    <w:rsid w:val="008C42F6"/>
    <w:rsid w:val="008C4FD9"/>
    <w:rsid w:val="008C5151"/>
    <w:rsid w:val="008C7512"/>
    <w:rsid w:val="008C76AA"/>
    <w:rsid w:val="008C7804"/>
    <w:rsid w:val="008C79E2"/>
    <w:rsid w:val="008C7DDB"/>
    <w:rsid w:val="008D000A"/>
    <w:rsid w:val="008D0313"/>
    <w:rsid w:val="008D056B"/>
    <w:rsid w:val="008D15FA"/>
    <w:rsid w:val="008D1E94"/>
    <w:rsid w:val="008D2613"/>
    <w:rsid w:val="008D2F1A"/>
    <w:rsid w:val="008D372C"/>
    <w:rsid w:val="008D3744"/>
    <w:rsid w:val="008D374D"/>
    <w:rsid w:val="008D4371"/>
    <w:rsid w:val="008D4CA9"/>
    <w:rsid w:val="008D7C63"/>
    <w:rsid w:val="008D7FC0"/>
    <w:rsid w:val="008E0AF1"/>
    <w:rsid w:val="008E0B10"/>
    <w:rsid w:val="008E0B57"/>
    <w:rsid w:val="008E0B64"/>
    <w:rsid w:val="008E0E06"/>
    <w:rsid w:val="008E0E4B"/>
    <w:rsid w:val="008E10F4"/>
    <w:rsid w:val="008E1C80"/>
    <w:rsid w:val="008E244A"/>
    <w:rsid w:val="008E2BB4"/>
    <w:rsid w:val="008E3482"/>
    <w:rsid w:val="008E4CAA"/>
    <w:rsid w:val="008E5455"/>
    <w:rsid w:val="008E5AC7"/>
    <w:rsid w:val="008E771B"/>
    <w:rsid w:val="008F08E4"/>
    <w:rsid w:val="008F2CA4"/>
    <w:rsid w:val="008F3E06"/>
    <w:rsid w:val="008F3F83"/>
    <w:rsid w:val="008F41ED"/>
    <w:rsid w:val="008F5505"/>
    <w:rsid w:val="008F625C"/>
    <w:rsid w:val="008F69E5"/>
    <w:rsid w:val="008F70BB"/>
    <w:rsid w:val="008F754D"/>
    <w:rsid w:val="0090038F"/>
    <w:rsid w:val="00900638"/>
    <w:rsid w:val="00900B60"/>
    <w:rsid w:val="00900EE3"/>
    <w:rsid w:val="00901894"/>
    <w:rsid w:val="00901AEE"/>
    <w:rsid w:val="00901EED"/>
    <w:rsid w:val="00902099"/>
    <w:rsid w:val="00902836"/>
    <w:rsid w:val="00902A3A"/>
    <w:rsid w:val="00904479"/>
    <w:rsid w:val="00904D51"/>
    <w:rsid w:val="0090538D"/>
    <w:rsid w:val="00905AAA"/>
    <w:rsid w:val="0090644A"/>
    <w:rsid w:val="009073D0"/>
    <w:rsid w:val="00907F7C"/>
    <w:rsid w:val="0091059A"/>
    <w:rsid w:val="009107CF"/>
    <w:rsid w:val="00912048"/>
    <w:rsid w:val="009142D0"/>
    <w:rsid w:val="0091568F"/>
    <w:rsid w:val="00916023"/>
    <w:rsid w:val="00920619"/>
    <w:rsid w:val="00920C99"/>
    <w:rsid w:val="0092286D"/>
    <w:rsid w:val="00922DC8"/>
    <w:rsid w:val="00923688"/>
    <w:rsid w:val="0092446F"/>
    <w:rsid w:val="00924AB5"/>
    <w:rsid w:val="0092584F"/>
    <w:rsid w:val="00925F17"/>
    <w:rsid w:val="00925FD8"/>
    <w:rsid w:val="00926100"/>
    <w:rsid w:val="00926570"/>
    <w:rsid w:val="00926E87"/>
    <w:rsid w:val="0092707A"/>
    <w:rsid w:val="009302CE"/>
    <w:rsid w:val="00930518"/>
    <w:rsid w:val="00930E29"/>
    <w:rsid w:val="00931190"/>
    <w:rsid w:val="00931446"/>
    <w:rsid w:val="009325A1"/>
    <w:rsid w:val="009339F5"/>
    <w:rsid w:val="00933EA2"/>
    <w:rsid w:val="00934BC0"/>
    <w:rsid w:val="00935562"/>
    <w:rsid w:val="00936755"/>
    <w:rsid w:val="009406FE"/>
    <w:rsid w:val="00940E22"/>
    <w:rsid w:val="00943634"/>
    <w:rsid w:val="0094519D"/>
    <w:rsid w:val="0094583D"/>
    <w:rsid w:val="00945B1A"/>
    <w:rsid w:val="009468F3"/>
    <w:rsid w:val="00946AA0"/>
    <w:rsid w:val="00947A53"/>
    <w:rsid w:val="00947D69"/>
    <w:rsid w:val="0095055D"/>
    <w:rsid w:val="0095107E"/>
    <w:rsid w:val="00952675"/>
    <w:rsid w:val="00952874"/>
    <w:rsid w:val="00952D27"/>
    <w:rsid w:val="00953CF9"/>
    <w:rsid w:val="0095449C"/>
    <w:rsid w:val="0095462C"/>
    <w:rsid w:val="00955C16"/>
    <w:rsid w:val="00955E29"/>
    <w:rsid w:val="009570B3"/>
    <w:rsid w:val="00957485"/>
    <w:rsid w:val="009578B5"/>
    <w:rsid w:val="0096133A"/>
    <w:rsid w:val="00962B37"/>
    <w:rsid w:val="00962D45"/>
    <w:rsid w:val="00963A98"/>
    <w:rsid w:val="00964B4B"/>
    <w:rsid w:val="009651F8"/>
    <w:rsid w:val="009653C5"/>
    <w:rsid w:val="00965748"/>
    <w:rsid w:val="00965E8E"/>
    <w:rsid w:val="00966949"/>
    <w:rsid w:val="0096725E"/>
    <w:rsid w:val="009675F0"/>
    <w:rsid w:val="00967B51"/>
    <w:rsid w:val="009729BD"/>
    <w:rsid w:val="00973326"/>
    <w:rsid w:val="00973F29"/>
    <w:rsid w:val="00973FF9"/>
    <w:rsid w:val="00975020"/>
    <w:rsid w:val="009755F6"/>
    <w:rsid w:val="00976E58"/>
    <w:rsid w:val="00976FC0"/>
    <w:rsid w:val="0097739C"/>
    <w:rsid w:val="009778CB"/>
    <w:rsid w:val="009801CB"/>
    <w:rsid w:val="00980A3C"/>
    <w:rsid w:val="00980D71"/>
    <w:rsid w:val="009812B1"/>
    <w:rsid w:val="00981A6C"/>
    <w:rsid w:val="00981B41"/>
    <w:rsid w:val="00982F44"/>
    <w:rsid w:val="00983D34"/>
    <w:rsid w:val="00984552"/>
    <w:rsid w:val="00984DC1"/>
    <w:rsid w:val="009857C1"/>
    <w:rsid w:val="0098720C"/>
    <w:rsid w:val="00987AAD"/>
    <w:rsid w:val="009903D2"/>
    <w:rsid w:val="0099040E"/>
    <w:rsid w:val="00990B1E"/>
    <w:rsid w:val="00990F71"/>
    <w:rsid w:val="009918AA"/>
    <w:rsid w:val="00991E0C"/>
    <w:rsid w:val="00994203"/>
    <w:rsid w:val="00994AE3"/>
    <w:rsid w:val="00994DAF"/>
    <w:rsid w:val="009975A1"/>
    <w:rsid w:val="009976D6"/>
    <w:rsid w:val="00997E25"/>
    <w:rsid w:val="009A0209"/>
    <w:rsid w:val="009A14EC"/>
    <w:rsid w:val="009A1F10"/>
    <w:rsid w:val="009A2224"/>
    <w:rsid w:val="009A23E0"/>
    <w:rsid w:val="009A28B8"/>
    <w:rsid w:val="009A29A4"/>
    <w:rsid w:val="009A3151"/>
    <w:rsid w:val="009A3714"/>
    <w:rsid w:val="009A4528"/>
    <w:rsid w:val="009A4F0D"/>
    <w:rsid w:val="009A54E9"/>
    <w:rsid w:val="009A5B4E"/>
    <w:rsid w:val="009A5E4C"/>
    <w:rsid w:val="009A7264"/>
    <w:rsid w:val="009A72F2"/>
    <w:rsid w:val="009A7464"/>
    <w:rsid w:val="009A7596"/>
    <w:rsid w:val="009A7928"/>
    <w:rsid w:val="009B0418"/>
    <w:rsid w:val="009B1BBF"/>
    <w:rsid w:val="009B21F9"/>
    <w:rsid w:val="009B28D0"/>
    <w:rsid w:val="009B3DC5"/>
    <w:rsid w:val="009B4921"/>
    <w:rsid w:val="009B4AEF"/>
    <w:rsid w:val="009B4F9E"/>
    <w:rsid w:val="009B5507"/>
    <w:rsid w:val="009B5687"/>
    <w:rsid w:val="009B669F"/>
    <w:rsid w:val="009B7474"/>
    <w:rsid w:val="009B76C9"/>
    <w:rsid w:val="009B7AC7"/>
    <w:rsid w:val="009C000F"/>
    <w:rsid w:val="009C121E"/>
    <w:rsid w:val="009C155E"/>
    <w:rsid w:val="009C367D"/>
    <w:rsid w:val="009C41BD"/>
    <w:rsid w:val="009C531D"/>
    <w:rsid w:val="009C603F"/>
    <w:rsid w:val="009C6A6D"/>
    <w:rsid w:val="009C7015"/>
    <w:rsid w:val="009C7BF9"/>
    <w:rsid w:val="009C7D2E"/>
    <w:rsid w:val="009D0563"/>
    <w:rsid w:val="009D07D2"/>
    <w:rsid w:val="009D1A5F"/>
    <w:rsid w:val="009D2181"/>
    <w:rsid w:val="009D230F"/>
    <w:rsid w:val="009D2C32"/>
    <w:rsid w:val="009D2FBD"/>
    <w:rsid w:val="009D3050"/>
    <w:rsid w:val="009D489D"/>
    <w:rsid w:val="009D4A41"/>
    <w:rsid w:val="009D539A"/>
    <w:rsid w:val="009D5B54"/>
    <w:rsid w:val="009D7270"/>
    <w:rsid w:val="009D7A65"/>
    <w:rsid w:val="009E00BA"/>
    <w:rsid w:val="009E15BB"/>
    <w:rsid w:val="009E1AF7"/>
    <w:rsid w:val="009E1EC7"/>
    <w:rsid w:val="009E1FF8"/>
    <w:rsid w:val="009E2B11"/>
    <w:rsid w:val="009E3239"/>
    <w:rsid w:val="009E3D1A"/>
    <w:rsid w:val="009E43F6"/>
    <w:rsid w:val="009E5C2B"/>
    <w:rsid w:val="009E6097"/>
    <w:rsid w:val="009E61C4"/>
    <w:rsid w:val="009E65FB"/>
    <w:rsid w:val="009E69B5"/>
    <w:rsid w:val="009E7422"/>
    <w:rsid w:val="009E75CE"/>
    <w:rsid w:val="009E77B1"/>
    <w:rsid w:val="009F0525"/>
    <w:rsid w:val="009F15DA"/>
    <w:rsid w:val="009F16BB"/>
    <w:rsid w:val="009F3093"/>
    <w:rsid w:val="009F36B8"/>
    <w:rsid w:val="009F42CF"/>
    <w:rsid w:val="009F4408"/>
    <w:rsid w:val="009F51D3"/>
    <w:rsid w:val="009F59F4"/>
    <w:rsid w:val="009F654C"/>
    <w:rsid w:val="009F6CAE"/>
    <w:rsid w:val="009F74A2"/>
    <w:rsid w:val="009F7C3E"/>
    <w:rsid w:val="009F7F6D"/>
    <w:rsid w:val="00A01841"/>
    <w:rsid w:val="00A02156"/>
    <w:rsid w:val="00A03108"/>
    <w:rsid w:val="00A0325B"/>
    <w:rsid w:val="00A04895"/>
    <w:rsid w:val="00A04955"/>
    <w:rsid w:val="00A0512E"/>
    <w:rsid w:val="00A05A61"/>
    <w:rsid w:val="00A0721E"/>
    <w:rsid w:val="00A07456"/>
    <w:rsid w:val="00A0756C"/>
    <w:rsid w:val="00A0773B"/>
    <w:rsid w:val="00A105F4"/>
    <w:rsid w:val="00A10D05"/>
    <w:rsid w:val="00A11FAF"/>
    <w:rsid w:val="00A12372"/>
    <w:rsid w:val="00A12E09"/>
    <w:rsid w:val="00A13008"/>
    <w:rsid w:val="00A15DD2"/>
    <w:rsid w:val="00A16231"/>
    <w:rsid w:val="00A164F9"/>
    <w:rsid w:val="00A16B72"/>
    <w:rsid w:val="00A16D9E"/>
    <w:rsid w:val="00A1725D"/>
    <w:rsid w:val="00A17E1C"/>
    <w:rsid w:val="00A201FC"/>
    <w:rsid w:val="00A206C1"/>
    <w:rsid w:val="00A21A08"/>
    <w:rsid w:val="00A22D9F"/>
    <w:rsid w:val="00A23735"/>
    <w:rsid w:val="00A242E1"/>
    <w:rsid w:val="00A24931"/>
    <w:rsid w:val="00A249A2"/>
    <w:rsid w:val="00A24A95"/>
    <w:rsid w:val="00A259AE"/>
    <w:rsid w:val="00A2711F"/>
    <w:rsid w:val="00A27593"/>
    <w:rsid w:val="00A277B7"/>
    <w:rsid w:val="00A31E8E"/>
    <w:rsid w:val="00A32386"/>
    <w:rsid w:val="00A34235"/>
    <w:rsid w:val="00A34804"/>
    <w:rsid w:val="00A362CC"/>
    <w:rsid w:val="00A377C6"/>
    <w:rsid w:val="00A40C35"/>
    <w:rsid w:val="00A40DFE"/>
    <w:rsid w:val="00A4150F"/>
    <w:rsid w:val="00A41EE3"/>
    <w:rsid w:val="00A42C2D"/>
    <w:rsid w:val="00A433AC"/>
    <w:rsid w:val="00A43D03"/>
    <w:rsid w:val="00A44111"/>
    <w:rsid w:val="00A46DDA"/>
    <w:rsid w:val="00A471C9"/>
    <w:rsid w:val="00A51313"/>
    <w:rsid w:val="00A519B5"/>
    <w:rsid w:val="00A54054"/>
    <w:rsid w:val="00A548C1"/>
    <w:rsid w:val="00A54CC8"/>
    <w:rsid w:val="00A55558"/>
    <w:rsid w:val="00A558FD"/>
    <w:rsid w:val="00A560CE"/>
    <w:rsid w:val="00A560E0"/>
    <w:rsid w:val="00A566DB"/>
    <w:rsid w:val="00A56AE0"/>
    <w:rsid w:val="00A56E48"/>
    <w:rsid w:val="00A570CC"/>
    <w:rsid w:val="00A608C7"/>
    <w:rsid w:val="00A60957"/>
    <w:rsid w:val="00A60BFE"/>
    <w:rsid w:val="00A60CCB"/>
    <w:rsid w:val="00A62D57"/>
    <w:rsid w:val="00A63618"/>
    <w:rsid w:val="00A6366D"/>
    <w:rsid w:val="00A640B5"/>
    <w:rsid w:val="00A64983"/>
    <w:rsid w:val="00A64E00"/>
    <w:rsid w:val="00A66BAA"/>
    <w:rsid w:val="00A70CED"/>
    <w:rsid w:val="00A713F6"/>
    <w:rsid w:val="00A7328B"/>
    <w:rsid w:val="00A732D0"/>
    <w:rsid w:val="00A73553"/>
    <w:rsid w:val="00A7429E"/>
    <w:rsid w:val="00A74617"/>
    <w:rsid w:val="00A74D68"/>
    <w:rsid w:val="00A75505"/>
    <w:rsid w:val="00A767FB"/>
    <w:rsid w:val="00A77656"/>
    <w:rsid w:val="00A77A30"/>
    <w:rsid w:val="00A80561"/>
    <w:rsid w:val="00A821FE"/>
    <w:rsid w:val="00A82715"/>
    <w:rsid w:val="00A8280F"/>
    <w:rsid w:val="00A82A2E"/>
    <w:rsid w:val="00A8334F"/>
    <w:rsid w:val="00A84504"/>
    <w:rsid w:val="00A8499E"/>
    <w:rsid w:val="00A84F58"/>
    <w:rsid w:val="00A85177"/>
    <w:rsid w:val="00A85203"/>
    <w:rsid w:val="00A8538E"/>
    <w:rsid w:val="00A8579D"/>
    <w:rsid w:val="00A859BE"/>
    <w:rsid w:val="00A87A97"/>
    <w:rsid w:val="00A909BB"/>
    <w:rsid w:val="00A91965"/>
    <w:rsid w:val="00A9230E"/>
    <w:rsid w:val="00A92518"/>
    <w:rsid w:val="00A9333F"/>
    <w:rsid w:val="00A943A2"/>
    <w:rsid w:val="00A954F5"/>
    <w:rsid w:val="00A97BDE"/>
    <w:rsid w:val="00AA021D"/>
    <w:rsid w:val="00AA0A0B"/>
    <w:rsid w:val="00AA1AB6"/>
    <w:rsid w:val="00AA211D"/>
    <w:rsid w:val="00AA229C"/>
    <w:rsid w:val="00AA28AE"/>
    <w:rsid w:val="00AA2DC7"/>
    <w:rsid w:val="00AA3151"/>
    <w:rsid w:val="00AA47C7"/>
    <w:rsid w:val="00AA563A"/>
    <w:rsid w:val="00AA5A78"/>
    <w:rsid w:val="00AA5BA3"/>
    <w:rsid w:val="00AA5FCD"/>
    <w:rsid w:val="00AA7E92"/>
    <w:rsid w:val="00AB0308"/>
    <w:rsid w:val="00AB158A"/>
    <w:rsid w:val="00AB177B"/>
    <w:rsid w:val="00AB182A"/>
    <w:rsid w:val="00AB1ABC"/>
    <w:rsid w:val="00AB1BF0"/>
    <w:rsid w:val="00AB2043"/>
    <w:rsid w:val="00AB23EE"/>
    <w:rsid w:val="00AB25D8"/>
    <w:rsid w:val="00AB25E1"/>
    <w:rsid w:val="00AB2F6C"/>
    <w:rsid w:val="00AB450F"/>
    <w:rsid w:val="00AB5B73"/>
    <w:rsid w:val="00AB6AC2"/>
    <w:rsid w:val="00AB6CA9"/>
    <w:rsid w:val="00AB7602"/>
    <w:rsid w:val="00AC0105"/>
    <w:rsid w:val="00AC176C"/>
    <w:rsid w:val="00AC190B"/>
    <w:rsid w:val="00AC19F2"/>
    <w:rsid w:val="00AC1B1B"/>
    <w:rsid w:val="00AC1B21"/>
    <w:rsid w:val="00AC2B13"/>
    <w:rsid w:val="00AC2C1B"/>
    <w:rsid w:val="00AC3D80"/>
    <w:rsid w:val="00AC3DE8"/>
    <w:rsid w:val="00AC6163"/>
    <w:rsid w:val="00AC659E"/>
    <w:rsid w:val="00AC6DFF"/>
    <w:rsid w:val="00AC6FDF"/>
    <w:rsid w:val="00AC7227"/>
    <w:rsid w:val="00AC7591"/>
    <w:rsid w:val="00AD0F80"/>
    <w:rsid w:val="00AD0FC8"/>
    <w:rsid w:val="00AD1A4B"/>
    <w:rsid w:val="00AD2DE6"/>
    <w:rsid w:val="00AD332E"/>
    <w:rsid w:val="00AD3A04"/>
    <w:rsid w:val="00AD3E99"/>
    <w:rsid w:val="00AD4422"/>
    <w:rsid w:val="00AD4465"/>
    <w:rsid w:val="00AD4A2B"/>
    <w:rsid w:val="00AD5452"/>
    <w:rsid w:val="00AD6D13"/>
    <w:rsid w:val="00AD736C"/>
    <w:rsid w:val="00AE0BD4"/>
    <w:rsid w:val="00AE26AB"/>
    <w:rsid w:val="00AE2F1C"/>
    <w:rsid w:val="00AE383A"/>
    <w:rsid w:val="00AE5479"/>
    <w:rsid w:val="00AE7105"/>
    <w:rsid w:val="00AF05C7"/>
    <w:rsid w:val="00AF0EC8"/>
    <w:rsid w:val="00AF1F9B"/>
    <w:rsid w:val="00AF22AF"/>
    <w:rsid w:val="00AF24F2"/>
    <w:rsid w:val="00AF24FF"/>
    <w:rsid w:val="00AF25F0"/>
    <w:rsid w:val="00AF265F"/>
    <w:rsid w:val="00AF2968"/>
    <w:rsid w:val="00AF3343"/>
    <w:rsid w:val="00AF3573"/>
    <w:rsid w:val="00AF395E"/>
    <w:rsid w:val="00AF3D41"/>
    <w:rsid w:val="00AF3FB7"/>
    <w:rsid w:val="00AF426F"/>
    <w:rsid w:val="00AF4843"/>
    <w:rsid w:val="00AF62F2"/>
    <w:rsid w:val="00AF6EDD"/>
    <w:rsid w:val="00B0132D"/>
    <w:rsid w:val="00B018EC"/>
    <w:rsid w:val="00B04E0E"/>
    <w:rsid w:val="00B05102"/>
    <w:rsid w:val="00B065D8"/>
    <w:rsid w:val="00B069CA"/>
    <w:rsid w:val="00B06FEB"/>
    <w:rsid w:val="00B075B3"/>
    <w:rsid w:val="00B075B6"/>
    <w:rsid w:val="00B121D7"/>
    <w:rsid w:val="00B14A10"/>
    <w:rsid w:val="00B15BF3"/>
    <w:rsid w:val="00B15C97"/>
    <w:rsid w:val="00B17DDE"/>
    <w:rsid w:val="00B2005C"/>
    <w:rsid w:val="00B20533"/>
    <w:rsid w:val="00B2082E"/>
    <w:rsid w:val="00B2122B"/>
    <w:rsid w:val="00B2134F"/>
    <w:rsid w:val="00B229AA"/>
    <w:rsid w:val="00B22A4D"/>
    <w:rsid w:val="00B230C3"/>
    <w:rsid w:val="00B248C4"/>
    <w:rsid w:val="00B266E8"/>
    <w:rsid w:val="00B270E2"/>
    <w:rsid w:val="00B27BCD"/>
    <w:rsid w:val="00B3054B"/>
    <w:rsid w:val="00B30DD2"/>
    <w:rsid w:val="00B326E9"/>
    <w:rsid w:val="00B352A0"/>
    <w:rsid w:val="00B355AF"/>
    <w:rsid w:val="00B36F90"/>
    <w:rsid w:val="00B37877"/>
    <w:rsid w:val="00B40897"/>
    <w:rsid w:val="00B4208D"/>
    <w:rsid w:val="00B44ADB"/>
    <w:rsid w:val="00B44E06"/>
    <w:rsid w:val="00B4670E"/>
    <w:rsid w:val="00B47675"/>
    <w:rsid w:val="00B5065F"/>
    <w:rsid w:val="00B50BFF"/>
    <w:rsid w:val="00B50F42"/>
    <w:rsid w:val="00B5183F"/>
    <w:rsid w:val="00B526D3"/>
    <w:rsid w:val="00B534BD"/>
    <w:rsid w:val="00B53D06"/>
    <w:rsid w:val="00B55228"/>
    <w:rsid w:val="00B55315"/>
    <w:rsid w:val="00B559D6"/>
    <w:rsid w:val="00B56490"/>
    <w:rsid w:val="00B57496"/>
    <w:rsid w:val="00B602DF"/>
    <w:rsid w:val="00B61A2D"/>
    <w:rsid w:val="00B63FEC"/>
    <w:rsid w:val="00B6471C"/>
    <w:rsid w:val="00B6560B"/>
    <w:rsid w:val="00B65C79"/>
    <w:rsid w:val="00B67103"/>
    <w:rsid w:val="00B67E48"/>
    <w:rsid w:val="00B703E9"/>
    <w:rsid w:val="00B70512"/>
    <w:rsid w:val="00B705F4"/>
    <w:rsid w:val="00B70F87"/>
    <w:rsid w:val="00B70F8A"/>
    <w:rsid w:val="00B7120F"/>
    <w:rsid w:val="00B71F3D"/>
    <w:rsid w:val="00B72495"/>
    <w:rsid w:val="00B729CE"/>
    <w:rsid w:val="00B72B48"/>
    <w:rsid w:val="00B730F3"/>
    <w:rsid w:val="00B7337C"/>
    <w:rsid w:val="00B7465B"/>
    <w:rsid w:val="00B750B9"/>
    <w:rsid w:val="00B75941"/>
    <w:rsid w:val="00B759AE"/>
    <w:rsid w:val="00B75AD0"/>
    <w:rsid w:val="00B75C49"/>
    <w:rsid w:val="00B76CE1"/>
    <w:rsid w:val="00B8041F"/>
    <w:rsid w:val="00B83687"/>
    <w:rsid w:val="00B84B00"/>
    <w:rsid w:val="00B85CED"/>
    <w:rsid w:val="00B8691F"/>
    <w:rsid w:val="00B87384"/>
    <w:rsid w:val="00B8781B"/>
    <w:rsid w:val="00B902B3"/>
    <w:rsid w:val="00B9041D"/>
    <w:rsid w:val="00B90764"/>
    <w:rsid w:val="00B91335"/>
    <w:rsid w:val="00B91B6B"/>
    <w:rsid w:val="00B9210A"/>
    <w:rsid w:val="00B922C5"/>
    <w:rsid w:val="00B92B31"/>
    <w:rsid w:val="00B938F5"/>
    <w:rsid w:val="00B94E26"/>
    <w:rsid w:val="00B9618D"/>
    <w:rsid w:val="00B9799A"/>
    <w:rsid w:val="00BA0030"/>
    <w:rsid w:val="00BA023D"/>
    <w:rsid w:val="00BA02FD"/>
    <w:rsid w:val="00BA0D10"/>
    <w:rsid w:val="00BA19A6"/>
    <w:rsid w:val="00BA1AC1"/>
    <w:rsid w:val="00BA1D8E"/>
    <w:rsid w:val="00BA1DDD"/>
    <w:rsid w:val="00BA295F"/>
    <w:rsid w:val="00BA2F46"/>
    <w:rsid w:val="00BA31BC"/>
    <w:rsid w:val="00BA3E60"/>
    <w:rsid w:val="00BA419D"/>
    <w:rsid w:val="00BA427F"/>
    <w:rsid w:val="00BA5B95"/>
    <w:rsid w:val="00BA5FEF"/>
    <w:rsid w:val="00BA6129"/>
    <w:rsid w:val="00BA6649"/>
    <w:rsid w:val="00BA6CBA"/>
    <w:rsid w:val="00BB00CB"/>
    <w:rsid w:val="00BB016A"/>
    <w:rsid w:val="00BB0A1B"/>
    <w:rsid w:val="00BB0A2B"/>
    <w:rsid w:val="00BB0B65"/>
    <w:rsid w:val="00BB2B19"/>
    <w:rsid w:val="00BB3282"/>
    <w:rsid w:val="00BB37CF"/>
    <w:rsid w:val="00BB3822"/>
    <w:rsid w:val="00BB4E13"/>
    <w:rsid w:val="00BB591F"/>
    <w:rsid w:val="00BB7314"/>
    <w:rsid w:val="00BB7DF1"/>
    <w:rsid w:val="00BC0056"/>
    <w:rsid w:val="00BC26AD"/>
    <w:rsid w:val="00BC2DFE"/>
    <w:rsid w:val="00BC34A0"/>
    <w:rsid w:val="00BC55EC"/>
    <w:rsid w:val="00BC692D"/>
    <w:rsid w:val="00BC6CE4"/>
    <w:rsid w:val="00BC7021"/>
    <w:rsid w:val="00BC715F"/>
    <w:rsid w:val="00BC7DB0"/>
    <w:rsid w:val="00BD0288"/>
    <w:rsid w:val="00BD0FE4"/>
    <w:rsid w:val="00BD2A46"/>
    <w:rsid w:val="00BD2DB2"/>
    <w:rsid w:val="00BD356F"/>
    <w:rsid w:val="00BD378A"/>
    <w:rsid w:val="00BD3C89"/>
    <w:rsid w:val="00BD45AD"/>
    <w:rsid w:val="00BD6D63"/>
    <w:rsid w:val="00BD7975"/>
    <w:rsid w:val="00BE04A2"/>
    <w:rsid w:val="00BE059E"/>
    <w:rsid w:val="00BE0AE3"/>
    <w:rsid w:val="00BE0F03"/>
    <w:rsid w:val="00BE0FD6"/>
    <w:rsid w:val="00BE1641"/>
    <w:rsid w:val="00BE1B11"/>
    <w:rsid w:val="00BE241A"/>
    <w:rsid w:val="00BE3283"/>
    <w:rsid w:val="00BE33A5"/>
    <w:rsid w:val="00BE3595"/>
    <w:rsid w:val="00BE3CE9"/>
    <w:rsid w:val="00BE6552"/>
    <w:rsid w:val="00BE669B"/>
    <w:rsid w:val="00BE6724"/>
    <w:rsid w:val="00BE6AE9"/>
    <w:rsid w:val="00BE6F90"/>
    <w:rsid w:val="00BE7286"/>
    <w:rsid w:val="00BE7F6D"/>
    <w:rsid w:val="00BF11DC"/>
    <w:rsid w:val="00BF2A35"/>
    <w:rsid w:val="00BF35D7"/>
    <w:rsid w:val="00BF3CC4"/>
    <w:rsid w:val="00BF4062"/>
    <w:rsid w:val="00BF4C27"/>
    <w:rsid w:val="00BF4D96"/>
    <w:rsid w:val="00BF535D"/>
    <w:rsid w:val="00BF5C68"/>
    <w:rsid w:val="00BF7DD4"/>
    <w:rsid w:val="00C00B3E"/>
    <w:rsid w:val="00C01CDD"/>
    <w:rsid w:val="00C01FE8"/>
    <w:rsid w:val="00C02005"/>
    <w:rsid w:val="00C0238A"/>
    <w:rsid w:val="00C02EA0"/>
    <w:rsid w:val="00C03807"/>
    <w:rsid w:val="00C0451C"/>
    <w:rsid w:val="00C0457F"/>
    <w:rsid w:val="00C04C18"/>
    <w:rsid w:val="00C05195"/>
    <w:rsid w:val="00C05EC5"/>
    <w:rsid w:val="00C0604B"/>
    <w:rsid w:val="00C069E7"/>
    <w:rsid w:val="00C06A97"/>
    <w:rsid w:val="00C06C03"/>
    <w:rsid w:val="00C0754C"/>
    <w:rsid w:val="00C07864"/>
    <w:rsid w:val="00C10657"/>
    <w:rsid w:val="00C10B5D"/>
    <w:rsid w:val="00C11644"/>
    <w:rsid w:val="00C11B49"/>
    <w:rsid w:val="00C11C63"/>
    <w:rsid w:val="00C14F13"/>
    <w:rsid w:val="00C15BC6"/>
    <w:rsid w:val="00C15E44"/>
    <w:rsid w:val="00C15E93"/>
    <w:rsid w:val="00C16BCB"/>
    <w:rsid w:val="00C16DFD"/>
    <w:rsid w:val="00C1782A"/>
    <w:rsid w:val="00C17CCF"/>
    <w:rsid w:val="00C210AE"/>
    <w:rsid w:val="00C2239B"/>
    <w:rsid w:val="00C22A20"/>
    <w:rsid w:val="00C23952"/>
    <w:rsid w:val="00C23BA4"/>
    <w:rsid w:val="00C25A23"/>
    <w:rsid w:val="00C260F5"/>
    <w:rsid w:val="00C2639C"/>
    <w:rsid w:val="00C27779"/>
    <w:rsid w:val="00C27ED7"/>
    <w:rsid w:val="00C301E3"/>
    <w:rsid w:val="00C31A35"/>
    <w:rsid w:val="00C328A4"/>
    <w:rsid w:val="00C32A6C"/>
    <w:rsid w:val="00C32BA7"/>
    <w:rsid w:val="00C33059"/>
    <w:rsid w:val="00C35AF7"/>
    <w:rsid w:val="00C35ED1"/>
    <w:rsid w:val="00C376D9"/>
    <w:rsid w:val="00C37E9E"/>
    <w:rsid w:val="00C40DE8"/>
    <w:rsid w:val="00C411D9"/>
    <w:rsid w:val="00C418CC"/>
    <w:rsid w:val="00C41D71"/>
    <w:rsid w:val="00C4284D"/>
    <w:rsid w:val="00C43440"/>
    <w:rsid w:val="00C44FAC"/>
    <w:rsid w:val="00C45352"/>
    <w:rsid w:val="00C457A7"/>
    <w:rsid w:val="00C46964"/>
    <w:rsid w:val="00C46EE4"/>
    <w:rsid w:val="00C478B6"/>
    <w:rsid w:val="00C50D3D"/>
    <w:rsid w:val="00C50E12"/>
    <w:rsid w:val="00C51730"/>
    <w:rsid w:val="00C52560"/>
    <w:rsid w:val="00C54265"/>
    <w:rsid w:val="00C54387"/>
    <w:rsid w:val="00C544DF"/>
    <w:rsid w:val="00C565BD"/>
    <w:rsid w:val="00C567CA"/>
    <w:rsid w:val="00C56AFD"/>
    <w:rsid w:val="00C57610"/>
    <w:rsid w:val="00C60843"/>
    <w:rsid w:val="00C60FB5"/>
    <w:rsid w:val="00C60FE6"/>
    <w:rsid w:val="00C61E5A"/>
    <w:rsid w:val="00C63676"/>
    <w:rsid w:val="00C6394D"/>
    <w:rsid w:val="00C6509A"/>
    <w:rsid w:val="00C65664"/>
    <w:rsid w:val="00C657F5"/>
    <w:rsid w:val="00C65866"/>
    <w:rsid w:val="00C66832"/>
    <w:rsid w:val="00C66D10"/>
    <w:rsid w:val="00C678F4"/>
    <w:rsid w:val="00C70BDD"/>
    <w:rsid w:val="00C7276B"/>
    <w:rsid w:val="00C72B3A"/>
    <w:rsid w:val="00C73B06"/>
    <w:rsid w:val="00C74A06"/>
    <w:rsid w:val="00C75407"/>
    <w:rsid w:val="00C759EC"/>
    <w:rsid w:val="00C75F83"/>
    <w:rsid w:val="00C77090"/>
    <w:rsid w:val="00C771F7"/>
    <w:rsid w:val="00C77A46"/>
    <w:rsid w:val="00C81531"/>
    <w:rsid w:val="00C82330"/>
    <w:rsid w:val="00C8305F"/>
    <w:rsid w:val="00C83781"/>
    <w:rsid w:val="00C83EE2"/>
    <w:rsid w:val="00C84190"/>
    <w:rsid w:val="00C84391"/>
    <w:rsid w:val="00C852C8"/>
    <w:rsid w:val="00C866E7"/>
    <w:rsid w:val="00C87663"/>
    <w:rsid w:val="00C87716"/>
    <w:rsid w:val="00C87EBA"/>
    <w:rsid w:val="00C9024A"/>
    <w:rsid w:val="00C90501"/>
    <w:rsid w:val="00C90546"/>
    <w:rsid w:val="00C92C38"/>
    <w:rsid w:val="00C9470A"/>
    <w:rsid w:val="00C95387"/>
    <w:rsid w:val="00C955CD"/>
    <w:rsid w:val="00C95960"/>
    <w:rsid w:val="00C959E4"/>
    <w:rsid w:val="00C965C2"/>
    <w:rsid w:val="00C969B3"/>
    <w:rsid w:val="00CA02A7"/>
    <w:rsid w:val="00CA0875"/>
    <w:rsid w:val="00CA0953"/>
    <w:rsid w:val="00CA1039"/>
    <w:rsid w:val="00CA2272"/>
    <w:rsid w:val="00CA3047"/>
    <w:rsid w:val="00CA38E6"/>
    <w:rsid w:val="00CA42B8"/>
    <w:rsid w:val="00CA47C4"/>
    <w:rsid w:val="00CA4A69"/>
    <w:rsid w:val="00CA5FF3"/>
    <w:rsid w:val="00CA7289"/>
    <w:rsid w:val="00CB0418"/>
    <w:rsid w:val="00CB3564"/>
    <w:rsid w:val="00CB4071"/>
    <w:rsid w:val="00CB4F43"/>
    <w:rsid w:val="00CB5A7A"/>
    <w:rsid w:val="00CB60C3"/>
    <w:rsid w:val="00CB61CA"/>
    <w:rsid w:val="00CB6427"/>
    <w:rsid w:val="00CB6A4A"/>
    <w:rsid w:val="00CB7340"/>
    <w:rsid w:val="00CB7511"/>
    <w:rsid w:val="00CB762B"/>
    <w:rsid w:val="00CB7B9C"/>
    <w:rsid w:val="00CB7D8E"/>
    <w:rsid w:val="00CC06AF"/>
    <w:rsid w:val="00CC0AEE"/>
    <w:rsid w:val="00CC0B5D"/>
    <w:rsid w:val="00CC14D8"/>
    <w:rsid w:val="00CC29F5"/>
    <w:rsid w:val="00CC2EDC"/>
    <w:rsid w:val="00CC3308"/>
    <w:rsid w:val="00CC3578"/>
    <w:rsid w:val="00CC3F6A"/>
    <w:rsid w:val="00CC5BDB"/>
    <w:rsid w:val="00CC5F44"/>
    <w:rsid w:val="00CC6723"/>
    <w:rsid w:val="00CC75BF"/>
    <w:rsid w:val="00CD0310"/>
    <w:rsid w:val="00CD09E8"/>
    <w:rsid w:val="00CD11CE"/>
    <w:rsid w:val="00CD2100"/>
    <w:rsid w:val="00CD2202"/>
    <w:rsid w:val="00CD4944"/>
    <w:rsid w:val="00CD4F4B"/>
    <w:rsid w:val="00CD5335"/>
    <w:rsid w:val="00CD5C68"/>
    <w:rsid w:val="00CD5E5C"/>
    <w:rsid w:val="00CD6063"/>
    <w:rsid w:val="00CD628E"/>
    <w:rsid w:val="00CD629D"/>
    <w:rsid w:val="00CD7481"/>
    <w:rsid w:val="00CE0090"/>
    <w:rsid w:val="00CE0DA2"/>
    <w:rsid w:val="00CE0F99"/>
    <w:rsid w:val="00CE12FC"/>
    <w:rsid w:val="00CE16C4"/>
    <w:rsid w:val="00CE17C6"/>
    <w:rsid w:val="00CE22D6"/>
    <w:rsid w:val="00CE27D5"/>
    <w:rsid w:val="00CE3B22"/>
    <w:rsid w:val="00CE4AB8"/>
    <w:rsid w:val="00CE4D94"/>
    <w:rsid w:val="00CE4E20"/>
    <w:rsid w:val="00CE4F8F"/>
    <w:rsid w:val="00CE54E5"/>
    <w:rsid w:val="00CE60E4"/>
    <w:rsid w:val="00CE6287"/>
    <w:rsid w:val="00CE6439"/>
    <w:rsid w:val="00CE673F"/>
    <w:rsid w:val="00CE6883"/>
    <w:rsid w:val="00CE6967"/>
    <w:rsid w:val="00CE6C1C"/>
    <w:rsid w:val="00CE6E7F"/>
    <w:rsid w:val="00CE726D"/>
    <w:rsid w:val="00CE74FF"/>
    <w:rsid w:val="00CE7588"/>
    <w:rsid w:val="00CE77BE"/>
    <w:rsid w:val="00CE7DEF"/>
    <w:rsid w:val="00CF03A9"/>
    <w:rsid w:val="00CF1014"/>
    <w:rsid w:val="00CF1102"/>
    <w:rsid w:val="00CF15F1"/>
    <w:rsid w:val="00CF1B1A"/>
    <w:rsid w:val="00CF1E92"/>
    <w:rsid w:val="00CF2557"/>
    <w:rsid w:val="00CF2723"/>
    <w:rsid w:val="00CF35F6"/>
    <w:rsid w:val="00CF39F6"/>
    <w:rsid w:val="00CF53B0"/>
    <w:rsid w:val="00CF5826"/>
    <w:rsid w:val="00CF5B19"/>
    <w:rsid w:val="00CF6F27"/>
    <w:rsid w:val="00CF7EB9"/>
    <w:rsid w:val="00D007AA"/>
    <w:rsid w:val="00D01964"/>
    <w:rsid w:val="00D027F8"/>
    <w:rsid w:val="00D02822"/>
    <w:rsid w:val="00D0400B"/>
    <w:rsid w:val="00D0493A"/>
    <w:rsid w:val="00D04A17"/>
    <w:rsid w:val="00D050B7"/>
    <w:rsid w:val="00D05F7E"/>
    <w:rsid w:val="00D06978"/>
    <w:rsid w:val="00D06B7E"/>
    <w:rsid w:val="00D06C3B"/>
    <w:rsid w:val="00D06D89"/>
    <w:rsid w:val="00D07311"/>
    <w:rsid w:val="00D07616"/>
    <w:rsid w:val="00D0785F"/>
    <w:rsid w:val="00D116A4"/>
    <w:rsid w:val="00D1172C"/>
    <w:rsid w:val="00D128C0"/>
    <w:rsid w:val="00D12DA2"/>
    <w:rsid w:val="00D1386D"/>
    <w:rsid w:val="00D13D5E"/>
    <w:rsid w:val="00D1462A"/>
    <w:rsid w:val="00D14667"/>
    <w:rsid w:val="00D16D9E"/>
    <w:rsid w:val="00D16E2D"/>
    <w:rsid w:val="00D17243"/>
    <w:rsid w:val="00D173C7"/>
    <w:rsid w:val="00D21B5F"/>
    <w:rsid w:val="00D21DC9"/>
    <w:rsid w:val="00D251A0"/>
    <w:rsid w:val="00D252AA"/>
    <w:rsid w:val="00D25F03"/>
    <w:rsid w:val="00D26B74"/>
    <w:rsid w:val="00D275E1"/>
    <w:rsid w:val="00D30BAD"/>
    <w:rsid w:val="00D31D18"/>
    <w:rsid w:val="00D329D4"/>
    <w:rsid w:val="00D33122"/>
    <w:rsid w:val="00D33C1D"/>
    <w:rsid w:val="00D33CAD"/>
    <w:rsid w:val="00D33CF5"/>
    <w:rsid w:val="00D358DC"/>
    <w:rsid w:val="00D35FA7"/>
    <w:rsid w:val="00D3653F"/>
    <w:rsid w:val="00D36BBC"/>
    <w:rsid w:val="00D3789E"/>
    <w:rsid w:val="00D405F6"/>
    <w:rsid w:val="00D41D1E"/>
    <w:rsid w:val="00D4347B"/>
    <w:rsid w:val="00D43CB3"/>
    <w:rsid w:val="00D43D10"/>
    <w:rsid w:val="00D45B57"/>
    <w:rsid w:val="00D45D9C"/>
    <w:rsid w:val="00D46178"/>
    <w:rsid w:val="00D461AA"/>
    <w:rsid w:val="00D461B0"/>
    <w:rsid w:val="00D46938"/>
    <w:rsid w:val="00D46DA5"/>
    <w:rsid w:val="00D46E8D"/>
    <w:rsid w:val="00D47557"/>
    <w:rsid w:val="00D475C0"/>
    <w:rsid w:val="00D47931"/>
    <w:rsid w:val="00D47C2E"/>
    <w:rsid w:val="00D50C1B"/>
    <w:rsid w:val="00D52061"/>
    <w:rsid w:val="00D535C5"/>
    <w:rsid w:val="00D53A12"/>
    <w:rsid w:val="00D54468"/>
    <w:rsid w:val="00D544BD"/>
    <w:rsid w:val="00D5497A"/>
    <w:rsid w:val="00D55171"/>
    <w:rsid w:val="00D562AC"/>
    <w:rsid w:val="00D579C1"/>
    <w:rsid w:val="00D60B43"/>
    <w:rsid w:val="00D61531"/>
    <w:rsid w:val="00D616F7"/>
    <w:rsid w:val="00D63C7E"/>
    <w:rsid w:val="00D66FD1"/>
    <w:rsid w:val="00D6709F"/>
    <w:rsid w:val="00D7031F"/>
    <w:rsid w:val="00D70DFD"/>
    <w:rsid w:val="00D70F6B"/>
    <w:rsid w:val="00D724E8"/>
    <w:rsid w:val="00D72C43"/>
    <w:rsid w:val="00D74537"/>
    <w:rsid w:val="00D75087"/>
    <w:rsid w:val="00D760DB"/>
    <w:rsid w:val="00D76237"/>
    <w:rsid w:val="00D76374"/>
    <w:rsid w:val="00D7702B"/>
    <w:rsid w:val="00D770FE"/>
    <w:rsid w:val="00D7728D"/>
    <w:rsid w:val="00D80756"/>
    <w:rsid w:val="00D80BFC"/>
    <w:rsid w:val="00D80C36"/>
    <w:rsid w:val="00D81E5D"/>
    <w:rsid w:val="00D82039"/>
    <w:rsid w:val="00D82C1B"/>
    <w:rsid w:val="00D838EA"/>
    <w:rsid w:val="00D8397D"/>
    <w:rsid w:val="00D847BF"/>
    <w:rsid w:val="00D84818"/>
    <w:rsid w:val="00D84823"/>
    <w:rsid w:val="00D8483C"/>
    <w:rsid w:val="00D84C57"/>
    <w:rsid w:val="00D858B5"/>
    <w:rsid w:val="00D8706E"/>
    <w:rsid w:val="00D87103"/>
    <w:rsid w:val="00D87BB9"/>
    <w:rsid w:val="00D90931"/>
    <w:rsid w:val="00D91731"/>
    <w:rsid w:val="00D918A1"/>
    <w:rsid w:val="00D91B10"/>
    <w:rsid w:val="00D91E30"/>
    <w:rsid w:val="00D91E3F"/>
    <w:rsid w:val="00D928F4"/>
    <w:rsid w:val="00D929B2"/>
    <w:rsid w:val="00D92FD3"/>
    <w:rsid w:val="00D9350A"/>
    <w:rsid w:val="00D937AC"/>
    <w:rsid w:val="00D9558F"/>
    <w:rsid w:val="00D95CFB"/>
    <w:rsid w:val="00D960E4"/>
    <w:rsid w:val="00D97097"/>
    <w:rsid w:val="00DA0A65"/>
    <w:rsid w:val="00DA0B08"/>
    <w:rsid w:val="00DA0E25"/>
    <w:rsid w:val="00DA10F9"/>
    <w:rsid w:val="00DA14E7"/>
    <w:rsid w:val="00DA195D"/>
    <w:rsid w:val="00DA2107"/>
    <w:rsid w:val="00DA24F5"/>
    <w:rsid w:val="00DA3183"/>
    <w:rsid w:val="00DA40EC"/>
    <w:rsid w:val="00DA4B8F"/>
    <w:rsid w:val="00DA5524"/>
    <w:rsid w:val="00DA5663"/>
    <w:rsid w:val="00DA5CDD"/>
    <w:rsid w:val="00DA6071"/>
    <w:rsid w:val="00DA6192"/>
    <w:rsid w:val="00DA64E5"/>
    <w:rsid w:val="00DA7F98"/>
    <w:rsid w:val="00DB0880"/>
    <w:rsid w:val="00DB1A43"/>
    <w:rsid w:val="00DB1B8C"/>
    <w:rsid w:val="00DB1DB8"/>
    <w:rsid w:val="00DB1E4C"/>
    <w:rsid w:val="00DB2187"/>
    <w:rsid w:val="00DB3001"/>
    <w:rsid w:val="00DB3144"/>
    <w:rsid w:val="00DB32AA"/>
    <w:rsid w:val="00DB3E1C"/>
    <w:rsid w:val="00DB3F47"/>
    <w:rsid w:val="00DB6700"/>
    <w:rsid w:val="00DB7185"/>
    <w:rsid w:val="00DB76BF"/>
    <w:rsid w:val="00DB7C1C"/>
    <w:rsid w:val="00DC2345"/>
    <w:rsid w:val="00DC265E"/>
    <w:rsid w:val="00DC2F54"/>
    <w:rsid w:val="00DC30C0"/>
    <w:rsid w:val="00DC3131"/>
    <w:rsid w:val="00DC48E9"/>
    <w:rsid w:val="00DC604C"/>
    <w:rsid w:val="00DC636C"/>
    <w:rsid w:val="00DC6500"/>
    <w:rsid w:val="00DC7608"/>
    <w:rsid w:val="00DC7CED"/>
    <w:rsid w:val="00DD0560"/>
    <w:rsid w:val="00DD143D"/>
    <w:rsid w:val="00DD15AE"/>
    <w:rsid w:val="00DD1BF0"/>
    <w:rsid w:val="00DD1DEC"/>
    <w:rsid w:val="00DD2081"/>
    <w:rsid w:val="00DD2435"/>
    <w:rsid w:val="00DD2C15"/>
    <w:rsid w:val="00DD525E"/>
    <w:rsid w:val="00DD5CF9"/>
    <w:rsid w:val="00DD5FF3"/>
    <w:rsid w:val="00DD656F"/>
    <w:rsid w:val="00DD6B14"/>
    <w:rsid w:val="00DD6E63"/>
    <w:rsid w:val="00DD7596"/>
    <w:rsid w:val="00DD7C30"/>
    <w:rsid w:val="00DE00F1"/>
    <w:rsid w:val="00DE018A"/>
    <w:rsid w:val="00DE04E2"/>
    <w:rsid w:val="00DE2941"/>
    <w:rsid w:val="00DE3FD7"/>
    <w:rsid w:val="00DE4296"/>
    <w:rsid w:val="00DE431D"/>
    <w:rsid w:val="00DE4A92"/>
    <w:rsid w:val="00DE4ECE"/>
    <w:rsid w:val="00DE57D7"/>
    <w:rsid w:val="00DE5C9F"/>
    <w:rsid w:val="00DE5D9F"/>
    <w:rsid w:val="00DE66BF"/>
    <w:rsid w:val="00DE7072"/>
    <w:rsid w:val="00DE7322"/>
    <w:rsid w:val="00DF045C"/>
    <w:rsid w:val="00DF0A86"/>
    <w:rsid w:val="00DF0B25"/>
    <w:rsid w:val="00DF1703"/>
    <w:rsid w:val="00DF259A"/>
    <w:rsid w:val="00DF3BF3"/>
    <w:rsid w:val="00DF3FC0"/>
    <w:rsid w:val="00DF42B7"/>
    <w:rsid w:val="00DF4490"/>
    <w:rsid w:val="00DF4F00"/>
    <w:rsid w:val="00DF51E6"/>
    <w:rsid w:val="00DF6486"/>
    <w:rsid w:val="00DF6CA0"/>
    <w:rsid w:val="00DF743A"/>
    <w:rsid w:val="00DF786A"/>
    <w:rsid w:val="00E00134"/>
    <w:rsid w:val="00E00638"/>
    <w:rsid w:val="00E00642"/>
    <w:rsid w:val="00E00954"/>
    <w:rsid w:val="00E00A71"/>
    <w:rsid w:val="00E01BB6"/>
    <w:rsid w:val="00E02B9B"/>
    <w:rsid w:val="00E02D88"/>
    <w:rsid w:val="00E02DE7"/>
    <w:rsid w:val="00E04FB9"/>
    <w:rsid w:val="00E0518C"/>
    <w:rsid w:val="00E05936"/>
    <w:rsid w:val="00E05D57"/>
    <w:rsid w:val="00E06403"/>
    <w:rsid w:val="00E0671F"/>
    <w:rsid w:val="00E073C1"/>
    <w:rsid w:val="00E07BC0"/>
    <w:rsid w:val="00E10506"/>
    <w:rsid w:val="00E10BF9"/>
    <w:rsid w:val="00E120A7"/>
    <w:rsid w:val="00E132D9"/>
    <w:rsid w:val="00E1354C"/>
    <w:rsid w:val="00E13DED"/>
    <w:rsid w:val="00E13E28"/>
    <w:rsid w:val="00E14328"/>
    <w:rsid w:val="00E15008"/>
    <w:rsid w:val="00E15ACB"/>
    <w:rsid w:val="00E168C5"/>
    <w:rsid w:val="00E172FB"/>
    <w:rsid w:val="00E17DC6"/>
    <w:rsid w:val="00E218D9"/>
    <w:rsid w:val="00E22E9B"/>
    <w:rsid w:val="00E232BF"/>
    <w:rsid w:val="00E23648"/>
    <w:rsid w:val="00E23C5C"/>
    <w:rsid w:val="00E23E99"/>
    <w:rsid w:val="00E24330"/>
    <w:rsid w:val="00E256B1"/>
    <w:rsid w:val="00E25CBD"/>
    <w:rsid w:val="00E262E2"/>
    <w:rsid w:val="00E30785"/>
    <w:rsid w:val="00E31022"/>
    <w:rsid w:val="00E31113"/>
    <w:rsid w:val="00E3160B"/>
    <w:rsid w:val="00E32A6D"/>
    <w:rsid w:val="00E3354E"/>
    <w:rsid w:val="00E33BC3"/>
    <w:rsid w:val="00E35294"/>
    <w:rsid w:val="00E35544"/>
    <w:rsid w:val="00E37B5D"/>
    <w:rsid w:val="00E40121"/>
    <w:rsid w:val="00E40311"/>
    <w:rsid w:val="00E41AC6"/>
    <w:rsid w:val="00E426C4"/>
    <w:rsid w:val="00E42826"/>
    <w:rsid w:val="00E429CD"/>
    <w:rsid w:val="00E432DE"/>
    <w:rsid w:val="00E4384D"/>
    <w:rsid w:val="00E44155"/>
    <w:rsid w:val="00E4483B"/>
    <w:rsid w:val="00E448BD"/>
    <w:rsid w:val="00E44F7B"/>
    <w:rsid w:val="00E45A54"/>
    <w:rsid w:val="00E46D96"/>
    <w:rsid w:val="00E478F4"/>
    <w:rsid w:val="00E47B28"/>
    <w:rsid w:val="00E53415"/>
    <w:rsid w:val="00E5349A"/>
    <w:rsid w:val="00E55035"/>
    <w:rsid w:val="00E56702"/>
    <w:rsid w:val="00E56960"/>
    <w:rsid w:val="00E56E62"/>
    <w:rsid w:val="00E56E98"/>
    <w:rsid w:val="00E57F25"/>
    <w:rsid w:val="00E60DDF"/>
    <w:rsid w:val="00E619DB"/>
    <w:rsid w:val="00E626DA"/>
    <w:rsid w:val="00E6281D"/>
    <w:rsid w:val="00E62AA7"/>
    <w:rsid w:val="00E6359C"/>
    <w:rsid w:val="00E63632"/>
    <w:rsid w:val="00E63BCC"/>
    <w:rsid w:val="00E63F17"/>
    <w:rsid w:val="00E64164"/>
    <w:rsid w:val="00E65C82"/>
    <w:rsid w:val="00E6694D"/>
    <w:rsid w:val="00E67FF0"/>
    <w:rsid w:val="00E7015A"/>
    <w:rsid w:val="00E703E8"/>
    <w:rsid w:val="00E706BC"/>
    <w:rsid w:val="00E7106B"/>
    <w:rsid w:val="00E71D16"/>
    <w:rsid w:val="00E7373E"/>
    <w:rsid w:val="00E73CA2"/>
    <w:rsid w:val="00E747B8"/>
    <w:rsid w:val="00E748FD"/>
    <w:rsid w:val="00E74F26"/>
    <w:rsid w:val="00E75E13"/>
    <w:rsid w:val="00E7693D"/>
    <w:rsid w:val="00E76F73"/>
    <w:rsid w:val="00E771B4"/>
    <w:rsid w:val="00E77A2A"/>
    <w:rsid w:val="00E80A20"/>
    <w:rsid w:val="00E81D0F"/>
    <w:rsid w:val="00E82073"/>
    <w:rsid w:val="00E82B21"/>
    <w:rsid w:val="00E8350B"/>
    <w:rsid w:val="00E83FF9"/>
    <w:rsid w:val="00E84783"/>
    <w:rsid w:val="00E84E1E"/>
    <w:rsid w:val="00E84EC7"/>
    <w:rsid w:val="00E850E1"/>
    <w:rsid w:val="00E85962"/>
    <w:rsid w:val="00E86E39"/>
    <w:rsid w:val="00E871DC"/>
    <w:rsid w:val="00E879D2"/>
    <w:rsid w:val="00E87CEF"/>
    <w:rsid w:val="00E9071A"/>
    <w:rsid w:val="00E90C47"/>
    <w:rsid w:val="00E928AA"/>
    <w:rsid w:val="00E92D80"/>
    <w:rsid w:val="00E936AF"/>
    <w:rsid w:val="00E94309"/>
    <w:rsid w:val="00E94C90"/>
    <w:rsid w:val="00E954FA"/>
    <w:rsid w:val="00E9555C"/>
    <w:rsid w:val="00E97095"/>
    <w:rsid w:val="00E974DA"/>
    <w:rsid w:val="00E97EDC"/>
    <w:rsid w:val="00EA082C"/>
    <w:rsid w:val="00EA0915"/>
    <w:rsid w:val="00EA0E33"/>
    <w:rsid w:val="00EA16C0"/>
    <w:rsid w:val="00EA18DC"/>
    <w:rsid w:val="00EA2F55"/>
    <w:rsid w:val="00EA3578"/>
    <w:rsid w:val="00EA455C"/>
    <w:rsid w:val="00EA4929"/>
    <w:rsid w:val="00EA5CF3"/>
    <w:rsid w:val="00EA5DD7"/>
    <w:rsid w:val="00EA5E8F"/>
    <w:rsid w:val="00EA6D5A"/>
    <w:rsid w:val="00EA7076"/>
    <w:rsid w:val="00EA79D0"/>
    <w:rsid w:val="00EB03C0"/>
    <w:rsid w:val="00EB0463"/>
    <w:rsid w:val="00EB0AAF"/>
    <w:rsid w:val="00EB0F34"/>
    <w:rsid w:val="00EB20E6"/>
    <w:rsid w:val="00EB3914"/>
    <w:rsid w:val="00EB3F04"/>
    <w:rsid w:val="00EB4022"/>
    <w:rsid w:val="00EB4E20"/>
    <w:rsid w:val="00EB4E2C"/>
    <w:rsid w:val="00EB4E2D"/>
    <w:rsid w:val="00EB563B"/>
    <w:rsid w:val="00EB603E"/>
    <w:rsid w:val="00EB770B"/>
    <w:rsid w:val="00EC06C8"/>
    <w:rsid w:val="00EC0B8B"/>
    <w:rsid w:val="00EC444F"/>
    <w:rsid w:val="00EC446A"/>
    <w:rsid w:val="00EC4840"/>
    <w:rsid w:val="00EC583C"/>
    <w:rsid w:val="00EC61CA"/>
    <w:rsid w:val="00EC61F5"/>
    <w:rsid w:val="00EC6341"/>
    <w:rsid w:val="00EC6A07"/>
    <w:rsid w:val="00EC7CDC"/>
    <w:rsid w:val="00EC7F20"/>
    <w:rsid w:val="00ED04BA"/>
    <w:rsid w:val="00ED0906"/>
    <w:rsid w:val="00ED0B0D"/>
    <w:rsid w:val="00ED0CF5"/>
    <w:rsid w:val="00ED2773"/>
    <w:rsid w:val="00ED2CC5"/>
    <w:rsid w:val="00ED2EFA"/>
    <w:rsid w:val="00ED434D"/>
    <w:rsid w:val="00ED5BFF"/>
    <w:rsid w:val="00ED5DEE"/>
    <w:rsid w:val="00ED5F9B"/>
    <w:rsid w:val="00ED5FAB"/>
    <w:rsid w:val="00EE062B"/>
    <w:rsid w:val="00EE101B"/>
    <w:rsid w:val="00EE1173"/>
    <w:rsid w:val="00EE178C"/>
    <w:rsid w:val="00EE232A"/>
    <w:rsid w:val="00EE2C5D"/>
    <w:rsid w:val="00EE2C99"/>
    <w:rsid w:val="00EE3678"/>
    <w:rsid w:val="00EE3CF6"/>
    <w:rsid w:val="00EE577F"/>
    <w:rsid w:val="00EE5895"/>
    <w:rsid w:val="00EE5CEE"/>
    <w:rsid w:val="00EE658D"/>
    <w:rsid w:val="00EE6DE2"/>
    <w:rsid w:val="00EF13E4"/>
    <w:rsid w:val="00EF20AF"/>
    <w:rsid w:val="00EF29E1"/>
    <w:rsid w:val="00EF2CCA"/>
    <w:rsid w:val="00EF2D25"/>
    <w:rsid w:val="00EF3C2D"/>
    <w:rsid w:val="00EF4F80"/>
    <w:rsid w:val="00EF4FEC"/>
    <w:rsid w:val="00EF515B"/>
    <w:rsid w:val="00EF543B"/>
    <w:rsid w:val="00EF54B2"/>
    <w:rsid w:val="00EF5B3F"/>
    <w:rsid w:val="00EF72BD"/>
    <w:rsid w:val="00EF7460"/>
    <w:rsid w:val="00F00CF5"/>
    <w:rsid w:val="00F0125C"/>
    <w:rsid w:val="00F01688"/>
    <w:rsid w:val="00F016A0"/>
    <w:rsid w:val="00F018A6"/>
    <w:rsid w:val="00F0239F"/>
    <w:rsid w:val="00F0319A"/>
    <w:rsid w:val="00F0440C"/>
    <w:rsid w:val="00F06069"/>
    <w:rsid w:val="00F07172"/>
    <w:rsid w:val="00F100D0"/>
    <w:rsid w:val="00F11D1B"/>
    <w:rsid w:val="00F1250A"/>
    <w:rsid w:val="00F128FF"/>
    <w:rsid w:val="00F12BB9"/>
    <w:rsid w:val="00F12EC1"/>
    <w:rsid w:val="00F144D7"/>
    <w:rsid w:val="00F15CA1"/>
    <w:rsid w:val="00F1689F"/>
    <w:rsid w:val="00F1736F"/>
    <w:rsid w:val="00F1756A"/>
    <w:rsid w:val="00F17F0E"/>
    <w:rsid w:val="00F20353"/>
    <w:rsid w:val="00F20FD6"/>
    <w:rsid w:val="00F2112D"/>
    <w:rsid w:val="00F21A43"/>
    <w:rsid w:val="00F21B5D"/>
    <w:rsid w:val="00F22427"/>
    <w:rsid w:val="00F22862"/>
    <w:rsid w:val="00F22F1F"/>
    <w:rsid w:val="00F2310F"/>
    <w:rsid w:val="00F23173"/>
    <w:rsid w:val="00F2373A"/>
    <w:rsid w:val="00F23857"/>
    <w:rsid w:val="00F23E5D"/>
    <w:rsid w:val="00F24463"/>
    <w:rsid w:val="00F25289"/>
    <w:rsid w:val="00F315AB"/>
    <w:rsid w:val="00F3204F"/>
    <w:rsid w:val="00F326CE"/>
    <w:rsid w:val="00F3513E"/>
    <w:rsid w:val="00F35320"/>
    <w:rsid w:val="00F361B3"/>
    <w:rsid w:val="00F369C2"/>
    <w:rsid w:val="00F37ECE"/>
    <w:rsid w:val="00F4085C"/>
    <w:rsid w:val="00F413F0"/>
    <w:rsid w:val="00F41C33"/>
    <w:rsid w:val="00F42119"/>
    <w:rsid w:val="00F4442A"/>
    <w:rsid w:val="00F44C7E"/>
    <w:rsid w:val="00F4646E"/>
    <w:rsid w:val="00F46CCD"/>
    <w:rsid w:val="00F47839"/>
    <w:rsid w:val="00F51075"/>
    <w:rsid w:val="00F515E0"/>
    <w:rsid w:val="00F51DB8"/>
    <w:rsid w:val="00F52D19"/>
    <w:rsid w:val="00F5490D"/>
    <w:rsid w:val="00F55036"/>
    <w:rsid w:val="00F55676"/>
    <w:rsid w:val="00F5638D"/>
    <w:rsid w:val="00F56D8F"/>
    <w:rsid w:val="00F5707B"/>
    <w:rsid w:val="00F577A4"/>
    <w:rsid w:val="00F57B81"/>
    <w:rsid w:val="00F602C5"/>
    <w:rsid w:val="00F60BDD"/>
    <w:rsid w:val="00F61643"/>
    <w:rsid w:val="00F63357"/>
    <w:rsid w:val="00F6361E"/>
    <w:rsid w:val="00F65205"/>
    <w:rsid w:val="00F65473"/>
    <w:rsid w:val="00F660DC"/>
    <w:rsid w:val="00F6625F"/>
    <w:rsid w:val="00F665A4"/>
    <w:rsid w:val="00F666EC"/>
    <w:rsid w:val="00F70E2F"/>
    <w:rsid w:val="00F71284"/>
    <w:rsid w:val="00F7147C"/>
    <w:rsid w:val="00F73091"/>
    <w:rsid w:val="00F7367B"/>
    <w:rsid w:val="00F7465C"/>
    <w:rsid w:val="00F74A4B"/>
    <w:rsid w:val="00F7529D"/>
    <w:rsid w:val="00F75576"/>
    <w:rsid w:val="00F75654"/>
    <w:rsid w:val="00F76CD0"/>
    <w:rsid w:val="00F774A2"/>
    <w:rsid w:val="00F8004A"/>
    <w:rsid w:val="00F813D1"/>
    <w:rsid w:val="00F818B7"/>
    <w:rsid w:val="00F81D93"/>
    <w:rsid w:val="00F8223E"/>
    <w:rsid w:val="00F823E8"/>
    <w:rsid w:val="00F8251E"/>
    <w:rsid w:val="00F832EF"/>
    <w:rsid w:val="00F83D97"/>
    <w:rsid w:val="00F848DF"/>
    <w:rsid w:val="00F854A6"/>
    <w:rsid w:val="00F856CF"/>
    <w:rsid w:val="00F85F02"/>
    <w:rsid w:val="00F874A0"/>
    <w:rsid w:val="00F87F0F"/>
    <w:rsid w:val="00F9010B"/>
    <w:rsid w:val="00F90BCB"/>
    <w:rsid w:val="00F91193"/>
    <w:rsid w:val="00F92364"/>
    <w:rsid w:val="00F92E3B"/>
    <w:rsid w:val="00F943CD"/>
    <w:rsid w:val="00F94D67"/>
    <w:rsid w:val="00F94EC6"/>
    <w:rsid w:val="00F95AD5"/>
    <w:rsid w:val="00F95FF3"/>
    <w:rsid w:val="00F97273"/>
    <w:rsid w:val="00F9749F"/>
    <w:rsid w:val="00F974B5"/>
    <w:rsid w:val="00FA0489"/>
    <w:rsid w:val="00FA0F39"/>
    <w:rsid w:val="00FA1236"/>
    <w:rsid w:val="00FA2232"/>
    <w:rsid w:val="00FA2DB8"/>
    <w:rsid w:val="00FA3A07"/>
    <w:rsid w:val="00FA45FA"/>
    <w:rsid w:val="00FA5649"/>
    <w:rsid w:val="00FB1084"/>
    <w:rsid w:val="00FB1633"/>
    <w:rsid w:val="00FB2A1E"/>
    <w:rsid w:val="00FB2A32"/>
    <w:rsid w:val="00FB2B29"/>
    <w:rsid w:val="00FB34FB"/>
    <w:rsid w:val="00FB448D"/>
    <w:rsid w:val="00FB58F8"/>
    <w:rsid w:val="00FB62FF"/>
    <w:rsid w:val="00FB6D76"/>
    <w:rsid w:val="00FB7512"/>
    <w:rsid w:val="00FC191E"/>
    <w:rsid w:val="00FC3B9C"/>
    <w:rsid w:val="00FC3DA3"/>
    <w:rsid w:val="00FC4083"/>
    <w:rsid w:val="00FC4319"/>
    <w:rsid w:val="00FC5662"/>
    <w:rsid w:val="00FC57A6"/>
    <w:rsid w:val="00FC5F0D"/>
    <w:rsid w:val="00FC63D6"/>
    <w:rsid w:val="00FC67CE"/>
    <w:rsid w:val="00FD08C1"/>
    <w:rsid w:val="00FD1BB1"/>
    <w:rsid w:val="00FD1C84"/>
    <w:rsid w:val="00FD20E2"/>
    <w:rsid w:val="00FD2C3D"/>
    <w:rsid w:val="00FD2E54"/>
    <w:rsid w:val="00FD45AA"/>
    <w:rsid w:val="00FD473B"/>
    <w:rsid w:val="00FD4841"/>
    <w:rsid w:val="00FD4B21"/>
    <w:rsid w:val="00FD4F48"/>
    <w:rsid w:val="00FD713B"/>
    <w:rsid w:val="00FD734E"/>
    <w:rsid w:val="00FE03F0"/>
    <w:rsid w:val="00FE05DF"/>
    <w:rsid w:val="00FE0D10"/>
    <w:rsid w:val="00FE16C3"/>
    <w:rsid w:val="00FE183A"/>
    <w:rsid w:val="00FE2076"/>
    <w:rsid w:val="00FE2A27"/>
    <w:rsid w:val="00FE3025"/>
    <w:rsid w:val="00FE3A8A"/>
    <w:rsid w:val="00FE400A"/>
    <w:rsid w:val="00FE4873"/>
    <w:rsid w:val="00FE4D98"/>
    <w:rsid w:val="00FE537E"/>
    <w:rsid w:val="00FE76D7"/>
    <w:rsid w:val="00FE77C8"/>
    <w:rsid w:val="00FE7DF2"/>
    <w:rsid w:val="00FF1245"/>
    <w:rsid w:val="00FF3C61"/>
    <w:rsid w:val="00FF4F09"/>
    <w:rsid w:val="00FF510F"/>
    <w:rsid w:val="00FF658E"/>
    <w:rsid w:val="00FF6E1F"/>
    <w:rsid w:val="00FF7C97"/>
    <w:rsid w:val="2DDD3DEB"/>
    <w:rsid w:val="610114C7"/>
    <w:rsid w:val="7240A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FF36F4"/>
  <w15:chartTrackingRefBased/>
  <w15:docId w15:val="{51432C14-C871-4270-B3EE-D1C442AA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544"/>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link w:val="Heading3Char"/>
    <w:semiHidden/>
    <w:unhideWhenUsed/>
    <w:qFormat/>
    <w:rsid w:val="004D7E95"/>
    <w:pPr>
      <w:keepNext/>
      <w:keepLines/>
      <w:spacing w:before="40"/>
      <w:outlineLvl w:val="2"/>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400CB"/>
    <w:pPr>
      <w:ind w:firstLine="360"/>
    </w:pPr>
    <w:rPr>
      <w:lang w:val="x-none" w:eastAsia="x-none"/>
    </w:rPr>
  </w:style>
  <w:style w:type="character" w:customStyle="1" w:styleId="BodyTextIndentChar">
    <w:name w:val="Body Text Indent Char"/>
    <w:link w:val="BodyTextIndent"/>
    <w:rsid w:val="004400CB"/>
    <w:rPr>
      <w:sz w:val="24"/>
      <w:szCs w:val="24"/>
    </w:rPr>
  </w:style>
  <w:style w:type="paragraph" w:styleId="Footer">
    <w:name w:val="footer"/>
    <w:basedOn w:val="Normal"/>
    <w:link w:val="FooterChar"/>
    <w:rsid w:val="004400CB"/>
    <w:pPr>
      <w:tabs>
        <w:tab w:val="center" w:pos="4320"/>
        <w:tab w:val="right" w:pos="8640"/>
      </w:tabs>
    </w:pPr>
    <w:rPr>
      <w:lang w:val="x-none" w:eastAsia="x-none"/>
    </w:rPr>
  </w:style>
  <w:style w:type="character" w:customStyle="1" w:styleId="FooterChar">
    <w:name w:val="Footer Char"/>
    <w:link w:val="Footer"/>
    <w:rsid w:val="004400CB"/>
    <w:rPr>
      <w:sz w:val="24"/>
      <w:szCs w:val="24"/>
    </w:rPr>
  </w:style>
  <w:style w:type="character" w:styleId="PageNumber">
    <w:name w:val="page number"/>
    <w:rsid w:val="004400CB"/>
  </w:style>
  <w:style w:type="paragraph" w:styleId="FootnoteText">
    <w:name w:val="footnote text"/>
    <w:aliases w:val="*Footnote Text"/>
    <w:basedOn w:val="Normal"/>
    <w:link w:val="FootnoteTextChar"/>
    <w:qFormat/>
    <w:rsid w:val="004400CB"/>
    <w:rPr>
      <w:sz w:val="20"/>
      <w:szCs w:val="20"/>
    </w:rPr>
  </w:style>
  <w:style w:type="character" w:customStyle="1" w:styleId="FootnoteTextChar">
    <w:name w:val="Footnote Text Char"/>
    <w:aliases w:val="*Footnote Text Char"/>
    <w:basedOn w:val="DefaultParagraphFont"/>
    <w:link w:val="FootnoteText"/>
    <w:rsid w:val="004400CB"/>
  </w:style>
  <w:style w:type="character" w:styleId="FootnoteReference">
    <w:name w:val="footnote reference"/>
    <w:aliases w:val="*Footnote Reference,Number"/>
    <w:qFormat/>
    <w:rsid w:val="004400CB"/>
    <w:rPr>
      <w:vertAlign w:val="superscript"/>
    </w:rPr>
  </w:style>
  <w:style w:type="paragraph" w:styleId="BalloonText">
    <w:name w:val="Balloon Text"/>
    <w:basedOn w:val="Normal"/>
    <w:link w:val="BalloonTextChar"/>
    <w:rsid w:val="00CE0F99"/>
    <w:rPr>
      <w:rFonts w:ascii="Tahoma" w:hAnsi="Tahoma"/>
      <w:sz w:val="16"/>
      <w:szCs w:val="16"/>
      <w:lang w:val="x-none" w:eastAsia="x-none"/>
    </w:rPr>
  </w:style>
  <w:style w:type="character" w:customStyle="1" w:styleId="BalloonTextChar">
    <w:name w:val="Balloon Text Char"/>
    <w:link w:val="BalloonText"/>
    <w:rsid w:val="00CE0F99"/>
    <w:rPr>
      <w:rFonts w:ascii="Tahoma" w:hAnsi="Tahoma" w:cs="Tahoma"/>
      <w:sz w:val="16"/>
      <w:szCs w:val="16"/>
    </w:rPr>
  </w:style>
  <w:style w:type="paragraph" w:styleId="EndnoteText">
    <w:name w:val="endnote text"/>
    <w:basedOn w:val="Normal"/>
    <w:link w:val="EndnoteTextChar"/>
    <w:rsid w:val="00CE6287"/>
    <w:rPr>
      <w:sz w:val="20"/>
      <w:szCs w:val="20"/>
    </w:rPr>
  </w:style>
  <w:style w:type="character" w:customStyle="1" w:styleId="EndnoteTextChar">
    <w:name w:val="Endnote Text Char"/>
    <w:basedOn w:val="DefaultParagraphFont"/>
    <w:link w:val="EndnoteText"/>
    <w:rsid w:val="00CE6287"/>
  </w:style>
  <w:style w:type="character" w:styleId="EndnoteReference">
    <w:name w:val="endnote reference"/>
    <w:rsid w:val="00CE6287"/>
    <w:rPr>
      <w:vertAlign w:val="superscript"/>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F12BB9"/>
    <w:pPr>
      <w:ind w:left="720"/>
    </w:pPr>
  </w:style>
  <w:style w:type="character" w:styleId="Hyperlink">
    <w:name w:val="Hyperlink"/>
    <w:rsid w:val="004924A8"/>
    <w:rPr>
      <w:color w:val="0000FF"/>
      <w:u w:val="single"/>
    </w:rPr>
  </w:style>
  <w:style w:type="paragraph" w:styleId="Header">
    <w:name w:val="header"/>
    <w:basedOn w:val="Normal"/>
    <w:link w:val="HeaderChar"/>
    <w:rsid w:val="00EA0E33"/>
    <w:pPr>
      <w:tabs>
        <w:tab w:val="center" w:pos="4680"/>
        <w:tab w:val="right" w:pos="9360"/>
      </w:tabs>
    </w:pPr>
    <w:rPr>
      <w:lang w:val="x-none" w:eastAsia="x-none"/>
    </w:rPr>
  </w:style>
  <w:style w:type="character" w:customStyle="1" w:styleId="HeaderChar">
    <w:name w:val="Header Char"/>
    <w:link w:val="Header"/>
    <w:rsid w:val="00EA0E33"/>
    <w:rPr>
      <w:sz w:val="24"/>
      <w:szCs w:val="24"/>
    </w:rPr>
  </w:style>
  <w:style w:type="character" w:styleId="FollowedHyperlink">
    <w:name w:val="FollowedHyperlink"/>
    <w:rsid w:val="00C15E93"/>
    <w:rPr>
      <w:color w:val="800080"/>
      <w:u w:val="single"/>
    </w:rPr>
  </w:style>
  <w:style w:type="character" w:styleId="CommentReference">
    <w:name w:val="annotation reference"/>
    <w:uiPriority w:val="99"/>
    <w:rsid w:val="007149B1"/>
    <w:rPr>
      <w:sz w:val="16"/>
      <w:szCs w:val="16"/>
    </w:rPr>
  </w:style>
  <w:style w:type="paragraph" w:styleId="CommentText">
    <w:name w:val="annotation text"/>
    <w:basedOn w:val="Normal"/>
    <w:link w:val="CommentTextChar"/>
    <w:uiPriority w:val="99"/>
    <w:rsid w:val="007149B1"/>
    <w:rPr>
      <w:sz w:val="20"/>
      <w:szCs w:val="20"/>
    </w:rPr>
  </w:style>
  <w:style w:type="character" w:customStyle="1" w:styleId="CommentTextChar">
    <w:name w:val="Comment Text Char"/>
    <w:basedOn w:val="DefaultParagraphFont"/>
    <w:link w:val="CommentText"/>
    <w:uiPriority w:val="99"/>
    <w:rsid w:val="007149B1"/>
  </w:style>
  <w:style w:type="paragraph" w:styleId="CommentSubject">
    <w:name w:val="annotation subject"/>
    <w:basedOn w:val="CommentText"/>
    <w:next w:val="CommentText"/>
    <w:link w:val="CommentSubjectChar"/>
    <w:rsid w:val="007149B1"/>
    <w:rPr>
      <w:b/>
      <w:bCs/>
      <w:lang w:val="x-none" w:eastAsia="x-none"/>
    </w:rPr>
  </w:style>
  <w:style w:type="character" w:customStyle="1" w:styleId="CommentSubjectChar">
    <w:name w:val="Comment Subject Char"/>
    <w:link w:val="CommentSubject"/>
    <w:rsid w:val="007149B1"/>
    <w:rPr>
      <w:b/>
      <w:bCs/>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link w:val="ListParagraph"/>
    <w:uiPriority w:val="34"/>
    <w:locked/>
    <w:rsid w:val="00925F17"/>
    <w:rPr>
      <w:sz w:val="24"/>
      <w:szCs w:val="24"/>
    </w:rPr>
  </w:style>
  <w:style w:type="character" w:customStyle="1" w:styleId="UnresolvedMention">
    <w:name w:val="Unresolved Mention"/>
    <w:uiPriority w:val="99"/>
    <w:semiHidden/>
    <w:unhideWhenUsed/>
    <w:rsid w:val="00D35FA7"/>
    <w:rPr>
      <w:color w:val="808080"/>
      <w:shd w:val="clear" w:color="auto" w:fill="E6E6E6"/>
    </w:rPr>
  </w:style>
  <w:style w:type="paragraph" w:styleId="Revision">
    <w:name w:val="Revision"/>
    <w:hidden/>
    <w:uiPriority w:val="99"/>
    <w:semiHidden/>
    <w:rsid w:val="00322A13"/>
    <w:rPr>
      <w:sz w:val="24"/>
      <w:szCs w:val="24"/>
    </w:rPr>
  </w:style>
  <w:style w:type="paragraph" w:styleId="NoSpacing">
    <w:name w:val="No Spacing"/>
    <w:uiPriority w:val="1"/>
    <w:qFormat/>
    <w:rsid w:val="00B15C97"/>
    <w:rPr>
      <w:rFonts w:ascii="Calibri" w:eastAsia="Calibri" w:hAnsi="Calibri"/>
      <w:sz w:val="22"/>
      <w:szCs w:val="22"/>
    </w:rPr>
  </w:style>
  <w:style w:type="paragraph" w:customStyle="1" w:styleId="Default">
    <w:name w:val="Default"/>
    <w:rsid w:val="00B15C97"/>
    <w:pPr>
      <w:autoSpaceDE w:val="0"/>
      <w:autoSpaceDN w:val="0"/>
      <w:adjustRightInd w:val="0"/>
    </w:pPr>
    <w:rPr>
      <w:rFonts w:ascii="Calibri" w:eastAsia="Calibri" w:hAnsi="Calibri" w:cs="Calibri"/>
      <w:color w:val="000000"/>
      <w:sz w:val="24"/>
      <w:szCs w:val="24"/>
    </w:rPr>
  </w:style>
  <w:style w:type="paragraph" w:customStyle="1" w:styleId="paragraph">
    <w:name w:val="paragraph"/>
    <w:basedOn w:val="Normal"/>
    <w:rsid w:val="009F0525"/>
  </w:style>
  <w:style w:type="character" w:customStyle="1" w:styleId="normaltextrun1">
    <w:name w:val="normaltextrun1"/>
    <w:basedOn w:val="DefaultParagraphFont"/>
    <w:rsid w:val="009F0525"/>
  </w:style>
  <w:style w:type="character" w:customStyle="1" w:styleId="eop">
    <w:name w:val="eop"/>
    <w:basedOn w:val="DefaultParagraphFont"/>
    <w:rsid w:val="009F0525"/>
  </w:style>
  <w:style w:type="character" w:customStyle="1" w:styleId="textrun">
    <w:name w:val="textrun"/>
    <w:basedOn w:val="DefaultParagraphFont"/>
    <w:rsid w:val="003C62B9"/>
  </w:style>
  <w:style w:type="character" w:customStyle="1" w:styleId="Heading3Char">
    <w:name w:val="Heading 3 Char"/>
    <w:link w:val="Heading3"/>
    <w:semiHidden/>
    <w:rsid w:val="004D7E95"/>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5997">
      <w:bodyDiv w:val="1"/>
      <w:marLeft w:val="0"/>
      <w:marRight w:val="0"/>
      <w:marTop w:val="0"/>
      <w:marBottom w:val="0"/>
      <w:divBdr>
        <w:top w:val="none" w:sz="0" w:space="0" w:color="auto"/>
        <w:left w:val="none" w:sz="0" w:space="0" w:color="auto"/>
        <w:bottom w:val="none" w:sz="0" w:space="0" w:color="auto"/>
        <w:right w:val="none" w:sz="0" w:space="0" w:color="auto"/>
      </w:divBdr>
    </w:div>
    <w:div w:id="123735000">
      <w:bodyDiv w:val="1"/>
      <w:marLeft w:val="0"/>
      <w:marRight w:val="0"/>
      <w:marTop w:val="0"/>
      <w:marBottom w:val="0"/>
      <w:divBdr>
        <w:top w:val="none" w:sz="0" w:space="0" w:color="auto"/>
        <w:left w:val="none" w:sz="0" w:space="0" w:color="auto"/>
        <w:bottom w:val="none" w:sz="0" w:space="0" w:color="auto"/>
        <w:right w:val="none" w:sz="0" w:space="0" w:color="auto"/>
      </w:divBdr>
    </w:div>
    <w:div w:id="142431170">
      <w:bodyDiv w:val="1"/>
      <w:marLeft w:val="0"/>
      <w:marRight w:val="0"/>
      <w:marTop w:val="0"/>
      <w:marBottom w:val="0"/>
      <w:divBdr>
        <w:top w:val="none" w:sz="0" w:space="0" w:color="auto"/>
        <w:left w:val="none" w:sz="0" w:space="0" w:color="auto"/>
        <w:bottom w:val="none" w:sz="0" w:space="0" w:color="auto"/>
        <w:right w:val="none" w:sz="0" w:space="0" w:color="auto"/>
      </w:divBdr>
    </w:div>
    <w:div w:id="181673472">
      <w:bodyDiv w:val="1"/>
      <w:marLeft w:val="0"/>
      <w:marRight w:val="0"/>
      <w:marTop w:val="0"/>
      <w:marBottom w:val="0"/>
      <w:divBdr>
        <w:top w:val="none" w:sz="0" w:space="0" w:color="auto"/>
        <w:left w:val="none" w:sz="0" w:space="0" w:color="auto"/>
        <w:bottom w:val="none" w:sz="0" w:space="0" w:color="auto"/>
        <w:right w:val="none" w:sz="0" w:space="0" w:color="auto"/>
      </w:divBdr>
    </w:div>
    <w:div w:id="271785576">
      <w:bodyDiv w:val="1"/>
      <w:marLeft w:val="0"/>
      <w:marRight w:val="0"/>
      <w:marTop w:val="0"/>
      <w:marBottom w:val="0"/>
      <w:divBdr>
        <w:top w:val="none" w:sz="0" w:space="0" w:color="auto"/>
        <w:left w:val="none" w:sz="0" w:space="0" w:color="auto"/>
        <w:bottom w:val="none" w:sz="0" w:space="0" w:color="auto"/>
        <w:right w:val="none" w:sz="0" w:space="0" w:color="auto"/>
      </w:divBdr>
    </w:div>
    <w:div w:id="326521406">
      <w:bodyDiv w:val="1"/>
      <w:marLeft w:val="0"/>
      <w:marRight w:val="0"/>
      <w:marTop w:val="0"/>
      <w:marBottom w:val="0"/>
      <w:divBdr>
        <w:top w:val="none" w:sz="0" w:space="0" w:color="auto"/>
        <w:left w:val="none" w:sz="0" w:space="0" w:color="auto"/>
        <w:bottom w:val="none" w:sz="0" w:space="0" w:color="auto"/>
        <w:right w:val="none" w:sz="0" w:space="0" w:color="auto"/>
      </w:divBdr>
    </w:div>
    <w:div w:id="413866563">
      <w:bodyDiv w:val="1"/>
      <w:marLeft w:val="0"/>
      <w:marRight w:val="0"/>
      <w:marTop w:val="0"/>
      <w:marBottom w:val="0"/>
      <w:divBdr>
        <w:top w:val="none" w:sz="0" w:space="0" w:color="auto"/>
        <w:left w:val="none" w:sz="0" w:space="0" w:color="auto"/>
        <w:bottom w:val="none" w:sz="0" w:space="0" w:color="auto"/>
        <w:right w:val="none" w:sz="0" w:space="0" w:color="auto"/>
      </w:divBdr>
      <w:divsChild>
        <w:div w:id="145899955">
          <w:marLeft w:val="0"/>
          <w:marRight w:val="0"/>
          <w:marTop w:val="0"/>
          <w:marBottom w:val="0"/>
          <w:divBdr>
            <w:top w:val="none" w:sz="0" w:space="0" w:color="auto"/>
            <w:left w:val="none" w:sz="0" w:space="0" w:color="auto"/>
            <w:bottom w:val="none" w:sz="0" w:space="0" w:color="auto"/>
            <w:right w:val="none" w:sz="0" w:space="0" w:color="auto"/>
          </w:divBdr>
          <w:divsChild>
            <w:div w:id="1036851232">
              <w:marLeft w:val="0"/>
              <w:marRight w:val="0"/>
              <w:marTop w:val="0"/>
              <w:marBottom w:val="0"/>
              <w:divBdr>
                <w:top w:val="none" w:sz="0" w:space="0" w:color="auto"/>
                <w:left w:val="none" w:sz="0" w:space="0" w:color="auto"/>
                <w:bottom w:val="none" w:sz="0" w:space="0" w:color="auto"/>
                <w:right w:val="none" w:sz="0" w:space="0" w:color="auto"/>
              </w:divBdr>
              <w:divsChild>
                <w:div w:id="1057050301">
                  <w:marLeft w:val="0"/>
                  <w:marRight w:val="0"/>
                  <w:marTop w:val="0"/>
                  <w:marBottom w:val="0"/>
                  <w:divBdr>
                    <w:top w:val="none" w:sz="0" w:space="0" w:color="auto"/>
                    <w:left w:val="none" w:sz="0" w:space="0" w:color="auto"/>
                    <w:bottom w:val="none" w:sz="0" w:space="0" w:color="auto"/>
                    <w:right w:val="none" w:sz="0" w:space="0" w:color="auto"/>
                  </w:divBdr>
                  <w:divsChild>
                    <w:div w:id="315955647">
                      <w:marLeft w:val="0"/>
                      <w:marRight w:val="0"/>
                      <w:marTop w:val="0"/>
                      <w:marBottom w:val="0"/>
                      <w:divBdr>
                        <w:top w:val="none" w:sz="0" w:space="0" w:color="auto"/>
                        <w:left w:val="none" w:sz="0" w:space="0" w:color="auto"/>
                        <w:bottom w:val="none" w:sz="0" w:space="0" w:color="auto"/>
                        <w:right w:val="none" w:sz="0" w:space="0" w:color="auto"/>
                      </w:divBdr>
                      <w:divsChild>
                        <w:div w:id="1413045281">
                          <w:marLeft w:val="0"/>
                          <w:marRight w:val="0"/>
                          <w:marTop w:val="0"/>
                          <w:marBottom w:val="0"/>
                          <w:divBdr>
                            <w:top w:val="none" w:sz="0" w:space="0" w:color="auto"/>
                            <w:left w:val="none" w:sz="0" w:space="0" w:color="auto"/>
                            <w:bottom w:val="none" w:sz="0" w:space="0" w:color="auto"/>
                            <w:right w:val="none" w:sz="0" w:space="0" w:color="auto"/>
                          </w:divBdr>
                          <w:divsChild>
                            <w:div w:id="1447459494">
                              <w:marLeft w:val="0"/>
                              <w:marRight w:val="0"/>
                              <w:marTop w:val="0"/>
                              <w:marBottom w:val="0"/>
                              <w:divBdr>
                                <w:top w:val="none" w:sz="0" w:space="0" w:color="auto"/>
                                <w:left w:val="none" w:sz="0" w:space="0" w:color="auto"/>
                                <w:bottom w:val="none" w:sz="0" w:space="0" w:color="auto"/>
                                <w:right w:val="none" w:sz="0" w:space="0" w:color="auto"/>
                              </w:divBdr>
                              <w:divsChild>
                                <w:div w:id="1247374613">
                                  <w:marLeft w:val="0"/>
                                  <w:marRight w:val="0"/>
                                  <w:marTop w:val="0"/>
                                  <w:marBottom w:val="0"/>
                                  <w:divBdr>
                                    <w:top w:val="none" w:sz="0" w:space="0" w:color="auto"/>
                                    <w:left w:val="none" w:sz="0" w:space="0" w:color="auto"/>
                                    <w:bottom w:val="none" w:sz="0" w:space="0" w:color="auto"/>
                                    <w:right w:val="none" w:sz="0" w:space="0" w:color="auto"/>
                                  </w:divBdr>
                                  <w:divsChild>
                                    <w:div w:id="699360065">
                                      <w:marLeft w:val="0"/>
                                      <w:marRight w:val="0"/>
                                      <w:marTop w:val="0"/>
                                      <w:marBottom w:val="0"/>
                                      <w:divBdr>
                                        <w:top w:val="none" w:sz="0" w:space="0" w:color="auto"/>
                                        <w:left w:val="none" w:sz="0" w:space="0" w:color="auto"/>
                                        <w:bottom w:val="none" w:sz="0" w:space="0" w:color="auto"/>
                                        <w:right w:val="none" w:sz="0" w:space="0" w:color="auto"/>
                                      </w:divBdr>
                                      <w:divsChild>
                                        <w:div w:id="436489045">
                                          <w:marLeft w:val="0"/>
                                          <w:marRight w:val="0"/>
                                          <w:marTop w:val="0"/>
                                          <w:marBottom w:val="0"/>
                                          <w:divBdr>
                                            <w:top w:val="none" w:sz="0" w:space="0" w:color="auto"/>
                                            <w:left w:val="none" w:sz="0" w:space="0" w:color="auto"/>
                                            <w:bottom w:val="none" w:sz="0" w:space="0" w:color="auto"/>
                                            <w:right w:val="none" w:sz="0" w:space="0" w:color="auto"/>
                                          </w:divBdr>
                                          <w:divsChild>
                                            <w:div w:id="1601184130">
                                              <w:marLeft w:val="0"/>
                                              <w:marRight w:val="0"/>
                                              <w:marTop w:val="0"/>
                                              <w:marBottom w:val="0"/>
                                              <w:divBdr>
                                                <w:top w:val="none" w:sz="0" w:space="0" w:color="auto"/>
                                                <w:left w:val="none" w:sz="0" w:space="0" w:color="auto"/>
                                                <w:bottom w:val="none" w:sz="0" w:space="0" w:color="auto"/>
                                                <w:right w:val="none" w:sz="0" w:space="0" w:color="auto"/>
                                              </w:divBdr>
                                              <w:divsChild>
                                                <w:div w:id="1619138374">
                                                  <w:marLeft w:val="0"/>
                                                  <w:marRight w:val="0"/>
                                                  <w:marTop w:val="0"/>
                                                  <w:marBottom w:val="0"/>
                                                  <w:divBdr>
                                                    <w:top w:val="none" w:sz="0" w:space="0" w:color="auto"/>
                                                    <w:left w:val="none" w:sz="0" w:space="0" w:color="auto"/>
                                                    <w:bottom w:val="none" w:sz="0" w:space="0" w:color="auto"/>
                                                    <w:right w:val="none" w:sz="0" w:space="0" w:color="auto"/>
                                                  </w:divBdr>
                                                  <w:divsChild>
                                                    <w:div w:id="2022276507">
                                                      <w:marLeft w:val="0"/>
                                                      <w:marRight w:val="0"/>
                                                      <w:marTop w:val="0"/>
                                                      <w:marBottom w:val="0"/>
                                                      <w:divBdr>
                                                        <w:top w:val="single" w:sz="6" w:space="0" w:color="auto"/>
                                                        <w:left w:val="none" w:sz="0" w:space="0" w:color="auto"/>
                                                        <w:bottom w:val="single" w:sz="6" w:space="0" w:color="auto"/>
                                                        <w:right w:val="none" w:sz="0" w:space="0" w:color="auto"/>
                                                      </w:divBdr>
                                                      <w:divsChild>
                                                        <w:div w:id="878201911">
                                                          <w:marLeft w:val="0"/>
                                                          <w:marRight w:val="0"/>
                                                          <w:marTop w:val="0"/>
                                                          <w:marBottom w:val="0"/>
                                                          <w:divBdr>
                                                            <w:top w:val="none" w:sz="0" w:space="0" w:color="auto"/>
                                                            <w:left w:val="none" w:sz="0" w:space="0" w:color="auto"/>
                                                            <w:bottom w:val="none" w:sz="0" w:space="0" w:color="auto"/>
                                                            <w:right w:val="none" w:sz="0" w:space="0" w:color="auto"/>
                                                          </w:divBdr>
                                                          <w:divsChild>
                                                            <w:div w:id="702900196">
                                                              <w:marLeft w:val="0"/>
                                                              <w:marRight w:val="0"/>
                                                              <w:marTop w:val="0"/>
                                                              <w:marBottom w:val="0"/>
                                                              <w:divBdr>
                                                                <w:top w:val="none" w:sz="0" w:space="0" w:color="auto"/>
                                                                <w:left w:val="none" w:sz="0" w:space="0" w:color="auto"/>
                                                                <w:bottom w:val="none" w:sz="0" w:space="0" w:color="auto"/>
                                                                <w:right w:val="none" w:sz="0" w:space="0" w:color="auto"/>
                                                              </w:divBdr>
                                                              <w:divsChild>
                                                                <w:div w:id="1931742290">
                                                                  <w:marLeft w:val="0"/>
                                                                  <w:marRight w:val="0"/>
                                                                  <w:marTop w:val="0"/>
                                                                  <w:marBottom w:val="0"/>
                                                                  <w:divBdr>
                                                                    <w:top w:val="none" w:sz="0" w:space="0" w:color="auto"/>
                                                                    <w:left w:val="none" w:sz="0" w:space="0" w:color="auto"/>
                                                                    <w:bottom w:val="none" w:sz="0" w:space="0" w:color="auto"/>
                                                                    <w:right w:val="none" w:sz="0" w:space="0" w:color="auto"/>
                                                                  </w:divBdr>
                                                                  <w:divsChild>
                                                                    <w:div w:id="581136255">
                                                                      <w:marLeft w:val="0"/>
                                                                      <w:marRight w:val="0"/>
                                                                      <w:marTop w:val="0"/>
                                                                      <w:marBottom w:val="0"/>
                                                                      <w:divBdr>
                                                                        <w:top w:val="none" w:sz="0" w:space="0" w:color="auto"/>
                                                                        <w:left w:val="none" w:sz="0" w:space="0" w:color="auto"/>
                                                                        <w:bottom w:val="none" w:sz="0" w:space="0" w:color="auto"/>
                                                                        <w:right w:val="none" w:sz="0" w:space="0" w:color="auto"/>
                                                                      </w:divBdr>
                                                                      <w:divsChild>
                                                                        <w:div w:id="333189549">
                                                                          <w:marLeft w:val="0"/>
                                                                          <w:marRight w:val="0"/>
                                                                          <w:marTop w:val="0"/>
                                                                          <w:marBottom w:val="0"/>
                                                                          <w:divBdr>
                                                                            <w:top w:val="none" w:sz="0" w:space="0" w:color="auto"/>
                                                                            <w:left w:val="none" w:sz="0" w:space="0" w:color="auto"/>
                                                                            <w:bottom w:val="none" w:sz="0" w:space="0" w:color="auto"/>
                                                                            <w:right w:val="none" w:sz="0" w:space="0" w:color="auto"/>
                                                                          </w:divBdr>
                                                                          <w:divsChild>
                                                                            <w:div w:id="65034577">
                                                                              <w:marLeft w:val="0"/>
                                                                              <w:marRight w:val="0"/>
                                                                              <w:marTop w:val="0"/>
                                                                              <w:marBottom w:val="0"/>
                                                                              <w:divBdr>
                                                                                <w:top w:val="none" w:sz="0" w:space="0" w:color="auto"/>
                                                                                <w:left w:val="none" w:sz="0" w:space="0" w:color="auto"/>
                                                                                <w:bottom w:val="none" w:sz="0" w:space="0" w:color="auto"/>
                                                                                <w:right w:val="none" w:sz="0" w:space="0" w:color="auto"/>
                                                                              </w:divBdr>
                                                                              <w:divsChild>
                                                                                <w:div w:id="3248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0492395">
      <w:bodyDiv w:val="1"/>
      <w:marLeft w:val="0"/>
      <w:marRight w:val="0"/>
      <w:marTop w:val="0"/>
      <w:marBottom w:val="0"/>
      <w:divBdr>
        <w:top w:val="none" w:sz="0" w:space="0" w:color="auto"/>
        <w:left w:val="none" w:sz="0" w:space="0" w:color="auto"/>
        <w:bottom w:val="none" w:sz="0" w:space="0" w:color="auto"/>
        <w:right w:val="none" w:sz="0" w:space="0" w:color="auto"/>
      </w:divBdr>
    </w:div>
    <w:div w:id="436606888">
      <w:bodyDiv w:val="1"/>
      <w:marLeft w:val="0"/>
      <w:marRight w:val="0"/>
      <w:marTop w:val="0"/>
      <w:marBottom w:val="0"/>
      <w:divBdr>
        <w:top w:val="none" w:sz="0" w:space="0" w:color="auto"/>
        <w:left w:val="none" w:sz="0" w:space="0" w:color="auto"/>
        <w:bottom w:val="none" w:sz="0" w:space="0" w:color="auto"/>
        <w:right w:val="none" w:sz="0" w:space="0" w:color="auto"/>
      </w:divBdr>
    </w:div>
    <w:div w:id="503976727">
      <w:bodyDiv w:val="1"/>
      <w:marLeft w:val="0"/>
      <w:marRight w:val="0"/>
      <w:marTop w:val="0"/>
      <w:marBottom w:val="0"/>
      <w:divBdr>
        <w:top w:val="none" w:sz="0" w:space="0" w:color="auto"/>
        <w:left w:val="none" w:sz="0" w:space="0" w:color="auto"/>
        <w:bottom w:val="none" w:sz="0" w:space="0" w:color="auto"/>
        <w:right w:val="none" w:sz="0" w:space="0" w:color="auto"/>
      </w:divBdr>
    </w:div>
    <w:div w:id="519703745">
      <w:bodyDiv w:val="1"/>
      <w:marLeft w:val="0"/>
      <w:marRight w:val="0"/>
      <w:marTop w:val="0"/>
      <w:marBottom w:val="0"/>
      <w:divBdr>
        <w:top w:val="none" w:sz="0" w:space="0" w:color="auto"/>
        <w:left w:val="none" w:sz="0" w:space="0" w:color="auto"/>
        <w:bottom w:val="none" w:sz="0" w:space="0" w:color="auto"/>
        <w:right w:val="none" w:sz="0" w:space="0" w:color="auto"/>
      </w:divBdr>
    </w:div>
    <w:div w:id="566035954">
      <w:bodyDiv w:val="1"/>
      <w:marLeft w:val="0"/>
      <w:marRight w:val="0"/>
      <w:marTop w:val="0"/>
      <w:marBottom w:val="0"/>
      <w:divBdr>
        <w:top w:val="none" w:sz="0" w:space="0" w:color="auto"/>
        <w:left w:val="none" w:sz="0" w:space="0" w:color="auto"/>
        <w:bottom w:val="none" w:sz="0" w:space="0" w:color="auto"/>
        <w:right w:val="none" w:sz="0" w:space="0" w:color="auto"/>
      </w:divBdr>
    </w:div>
    <w:div w:id="618412127">
      <w:bodyDiv w:val="1"/>
      <w:marLeft w:val="0"/>
      <w:marRight w:val="0"/>
      <w:marTop w:val="0"/>
      <w:marBottom w:val="0"/>
      <w:divBdr>
        <w:top w:val="none" w:sz="0" w:space="0" w:color="auto"/>
        <w:left w:val="none" w:sz="0" w:space="0" w:color="auto"/>
        <w:bottom w:val="none" w:sz="0" w:space="0" w:color="auto"/>
        <w:right w:val="none" w:sz="0" w:space="0" w:color="auto"/>
      </w:divBdr>
    </w:div>
    <w:div w:id="1248417642">
      <w:bodyDiv w:val="1"/>
      <w:marLeft w:val="0"/>
      <w:marRight w:val="0"/>
      <w:marTop w:val="0"/>
      <w:marBottom w:val="0"/>
      <w:divBdr>
        <w:top w:val="none" w:sz="0" w:space="0" w:color="auto"/>
        <w:left w:val="none" w:sz="0" w:space="0" w:color="auto"/>
        <w:bottom w:val="none" w:sz="0" w:space="0" w:color="auto"/>
        <w:right w:val="none" w:sz="0" w:space="0" w:color="auto"/>
      </w:divBdr>
    </w:div>
    <w:div w:id="1306660865">
      <w:bodyDiv w:val="1"/>
      <w:marLeft w:val="0"/>
      <w:marRight w:val="0"/>
      <w:marTop w:val="0"/>
      <w:marBottom w:val="0"/>
      <w:divBdr>
        <w:top w:val="none" w:sz="0" w:space="0" w:color="auto"/>
        <w:left w:val="none" w:sz="0" w:space="0" w:color="auto"/>
        <w:bottom w:val="none" w:sz="0" w:space="0" w:color="auto"/>
        <w:right w:val="none" w:sz="0" w:space="0" w:color="auto"/>
      </w:divBdr>
    </w:div>
    <w:div w:id="1585066822">
      <w:bodyDiv w:val="1"/>
      <w:marLeft w:val="0"/>
      <w:marRight w:val="0"/>
      <w:marTop w:val="0"/>
      <w:marBottom w:val="0"/>
      <w:divBdr>
        <w:top w:val="none" w:sz="0" w:space="0" w:color="auto"/>
        <w:left w:val="none" w:sz="0" w:space="0" w:color="auto"/>
        <w:bottom w:val="none" w:sz="0" w:space="0" w:color="auto"/>
        <w:right w:val="none" w:sz="0" w:space="0" w:color="auto"/>
      </w:divBdr>
    </w:div>
    <w:div w:id="1649049323">
      <w:bodyDiv w:val="1"/>
      <w:marLeft w:val="0"/>
      <w:marRight w:val="0"/>
      <w:marTop w:val="0"/>
      <w:marBottom w:val="0"/>
      <w:divBdr>
        <w:top w:val="none" w:sz="0" w:space="0" w:color="auto"/>
        <w:left w:val="none" w:sz="0" w:space="0" w:color="auto"/>
        <w:bottom w:val="none" w:sz="0" w:space="0" w:color="auto"/>
        <w:right w:val="none" w:sz="0" w:space="0" w:color="auto"/>
      </w:divBdr>
    </w:div>
    <w:div w:id="1754622691">
      <w:bodyDiv w:val="1"/>
      <w:marLeft w:val="0"/>
      <w:marRight w:val="0"/>
      <w:marTop w:val="0"/>
      <w:marBottom w:val="0"/>
      <w:divBdr>
        <w:top w:val="none" w:sz="0" w:space="0" w:color="auto"/>
        <w:left w:val="none" w:sz="0" w:space="0" w:color="auto"/>
        <w:bottom w:val="none" w:sz="0" w:space="0" w:color="auto"/>
        <w:right w:val="none" w:sz="0" w:space="0" w:color="auto"/>
      </w:divBdr>
    </w:div>
    <w:div w:id="1771117454">
      <w:bodyDiv w:val="1"/>
      <w:marLeft w:val="0"/>
      <w:marRight w:val="0"/>
      <w:marTop w:val="0"/>
      <w:marBottom w:val="0"/>
      <w:divBdr>
        <w:top w:val="none" w:sz="0" w:space="0" w:color="auto"/>
        <w:left w:val="none" w:sz="0" w:space="0" w:color="auto"/>
        <w:bottom w:val="none" w:sz="0" w:space="0" w:color="auto"/>
        <w:right w:val="none" w:sz="0" w:space="0" w:color="auto"/>
      </w:divBdr>
    </w:div>
    <w:div w:id="1804931177">
      <w:bodyDiv w:val="1"/>
      <w:marLeft w:val="0"/>
      <w:marRight w:val="0"/>
      <w:marTop w:val="0"/>
      <w:marBottom w:val="0"/>
      <w:divBdr>
        <w:top w:val="none" w:sz="0" w:space="0" w:color="auto"/>
        <w:left w:val="none" w:sz="0" w:space="0" w:color="auto"/>
        <w:bottom w:val="none" w:sz="0" w:space="0" w:color="auto"/>
        <w:right w:val="none" w:sz="0" w:space="0" w:color="auto"/>
      </w:divBdr>
    </w:div>
    <w:div w:id="1835144099">
      <w:bodyDiv w:val="1"/>
      <w:marLeft w:val="0"/>
      <w:marRight w:val="0"/>
      <w:marTop w:val="0"/>
      <w:marBottom w:val="0"/>
      <w:divBdr>
        <w:top w:val="none" w:sz="0" w:space="0" w:color="auto"/>
        <w:left w:val="none" w:sz="0" w:space="0" w:color="auto"/>
        <w:bottom w:val="none" w:sz="0" w:space="0" w:color="auto"/>
        <w:right w:val="none" w:sz="0" w:space="0" w:color="auto"/>
      </w:divBdr>
    </w:div>
    <w:div w:id="1941987584">
      <w:bodyDiv w:val="1"/>
      <w:marLeft w:val="0"/>
      <w:marRight w:val="0"/>
      <w:marTop w:val="0"/>
      <w:marBottom w:val="0"/>
      <w:divBdr>
        <w:top w:val="none" w:sz="0" w:space="0" w:color="auto"/>
        <w:left w:val="none" w:sz="0" w:space="0" w:color="auto"/>
        <w:bottom w:val="none" w:sz="0" w:space="0" w:color="auto"/>
        <w:right w:val="none" w:sz="0" w:space="0" w:color="auto"/>
      </w:divBdr>
    </w:div>
    <w:div w:id="2099057961">
      <w:bodyDiv w:val="1"/>
      <w:marLeft w:val="0"/>
      <w:marRight w:val="0"/>
      <w:marTop w:val="0"/>
      <w:marBottom w:val="0"/>
      <w:divBdr>
        <w:top w:val="none" w:sz="0" w:space="0" w:color="auto"/>
        <w:left w:val="none" w:sz="0" w:space="0" w:color="auto"/>
        <w:bottom w:val="none" w:sz="0" w:space="0" w:color="auto"/>
        <w:right w:val="none" w:sz="0" w:space="0" w:color="auto"/>
      </w:divBdr>
      <w:divsChild>
        <w:div w:id="301350849">
          <w:marLeft w:val="0"/>
          <w:marRight w:val="0"/>
          <w:marTop w:val="0"/>
          <w:marBottom w:val="0"/>
          <w:divBdr>
            <w:top w:val="none" w:sz="0" w:space="0" w:color="auto"/>
            <w:left w:val="none" w:sz="0" w:space="0" w:color="auto"/>
            <w:bottom w:val="none" w:sz="0" w:space="0" w:color="auto"/>
            <w:right w:val="none" w:sz="0" w:space="0" w:color="auto"/>
          </w:divBdr>
          <w:divsChild>
            <w:div w:id="1430083087">
              <w:marLeft w:val="0"/>
              <w:marRight w:val="0"/>
              <w:marTop w:val="0"/>
              <w:marBottom w:val="0"/>
              <w:divBdr>
                <w:top w:val="none" w:sz="0" w:space="0" w:color="auto"/>
                <w:left w:val="none" w:sz="0" w:space="0" w:color="auto"/>
                <w:bottom w:val="none" w:sz="0" w:space="0" w:color="auto"/>
                <w:right w:val="none" w:sz="0" w:space="0" w:color="auto"/>
              </w:divBdr>
              <w:divsChild>
                <w:div w:id="307170574">
                  <w:marLeft w:val="0"/>
                  <w:marRight w:val="0"/>
                  <w:marTop w:val="0"/>
                  <w:marBottom w:val="0"/>
                  <w:divBdr>
                    <w:top w:val="none" w:sz="0" w:space="0" w:color="auto"/>
                    <w:left w:val="none" w:sz="0" w:space="0" w:color="auto"/>
                    <w:bottom w:val="none" w:sz="0" w:space="0" w:color="auto"/>
                    <w:right w:val="none" w:sz="0" w:space="0" w:color="auto"/>
                  </w:divBdr>
                  <w:divsChild>
                    <w:div w:id="2021659603">
                      <w:marLeft w:val="0"/>
                      <w:marRight w:val="0"/>
                      <w:marTop w:val="0"/>
                      <w:marBottom w:val="0"/>
                      <w:divBdr>
                        <w:top w:val="none" w:sz="0" w:space="0" w:color="auto"/>
                        <w:left w:val="none" w:sz="0" w:space="0" w:color="auto"/>
                        <w:bottom w:val="none" w:sz="0" w:space="0" w:color="auto"/>
                        <w:right w:val="none" w:sz="0" w:space="0" w:color="auto"/>
                      </w:divBdr>
                      <w:divsChild>
                        <w:div w:id="1088235983">
                          <w:marLeft w:val="0"/>
                          <w:marRight w:val="0"/>
                          <w:marTop w:val="0"/>
                          <w:marBottom w:val="0"/>
                          <w:divBdr>
                            <w:top w:val="none" w:sz="0" w:space="0" w:color="auto"/>
                            <w:left w:val="none" w:sz="0" w:space="0" w:color="auto"/>
                            <w:bottom w:val="none" w:sz="0" w:space="0" w:color="auto"/>
                            <w:right w:val="none" w:sz="0" w:space="0" w:color="auto"/>
                          </w:divBdr>
                          <w:divsChild>
                            <w:div w:id="1262714290">
                              <w:marLeft w:val="0"/>
                              <w:marRight w:val="0"/>
                              <w:marTop w:val="0"/>
                              <w:marBottom w:val="0"/>
                              <w:divBdr>
                                <w:top w:val="none" w:sz="0" w:space="0" w:color="auto"/>
                                <w:left w:val="none" w:sz="0" w:space="0" w:color="auto"/>
                                <w:bottom w:val="none" w:sz="0" w:space="0" w:color="auto"/>
                                <w:right w:val="none" w:sz="0" w:space="0" w:color="auto"/>
                              </w:divBdr>
                              <w:divsChild>
                                <w:div w:id="488257211">
                                  <w:marLeft w:val="0"/>
                                  <w:marRight w:val="0"/>
                                  <w:marTop w:val="0"/>
                                  <w:marBottom w:val="0"/>
                                  <w:divBdr>
                                    <w:top w:val="none" w:sz="0" w:space="0" w:color="auto"/>
                                    <w:left w:val="none" w:sz="0" w:space="0" w:color="auto"/>
                                    <w:bottom w:val="none" w:sz="0" w:space="0" w:color="auto"/>
                                    <w:right w:val="none" w:sz="0" w:space="0" w:color="auto"/>
                                  </w:divBdr>
                                  <w:divsChild>
                                    <w:div w:id="2128616751">
                                      <w:marLeft w:val="0"/>
                                      <w:marRight w:val="0"/>
                                      <w:marTop w:val="0"/>
                                      <w:marBottom w:val="0"/>
                                      <w:divBdr>
                                        <w:top w:val="none" w:sz="0" w:space="0" w:color="auto"/>
                                        <w:left w:val="none" w:sz="0" w:space="0" w:color="auto"/>
                                        <w:bottom w:val="none" w:sz="0" w:space="0" w:color="auto"/>
                                        <w:right w:val="none" w:sz="0" w:space="0" w:color="auto"/>
                                      </w:divBdr>
                                      <w:divsChild>
                                        <w:div w:id="715087041">
                                          <w:marLeft w:val="0"/>
                                          <w:marRight w:val="0"/>
                                          <w:marTop w:val="0"/>
                                          <w:marBottom w:val="0"/>
                                          <w:divBdr>
                                            <w:top w:val="none" w:sz="0" w:space="0" w:color="auto"/>
                                            <w:left w:val="none" w:sz="0" w:space="0" w:color="auto"/>
                                            <w:bottom w:val="none" w:sz="0" w:space="0" w:color="auto"/>
                                            <w:right w:val="none" w:sz="0" w:space="0" w:color="auto"/>
                                          </w:divBdr>
                                          <w:divsChild>
                                            <w:div w:id="320157134">
                                              <w:marLeft w:val="0"/>
                                              <w:marRight w:val="0"/>
                                              <w:marTop w:val="0"/>
                                              <w:marBottom w:val="0"/>
                                              <w:divBdr>
                                                <w:top w:val="none" w:sz="0" w:space="0" w:color="auto"/>
                                                <w:left w:val="none" w:sz="0" w:space="0" w:color="auto"/>
                                                <w:bottom w:val="none" w:sz="0" w:space="0" w:color="auto"/>
                                                <w:right w:val="none" w:sz="0" w:space="0" w:color="auto"/>
                                              </w:divBdr>
                                              <w:divsChild>
                                                <w:div w:id="1241712317">
                                                  <w:marLeft w:val="0"/>
                                                  <w:marRight w:val="0"/>
                                                  <w:marTop w:val="0"/>
                                                  <w:marBottom w:val="0"/>
                                                  <w:divBdr>
                                                    <w:top w:val="none" w:sz="0" w:space="0" w:color="auto"/>
                                                    <w:left w:val="none" w:sz="0" w:space="0" w:color="auto"/>
                                                    <w:bottom w:val="none" w:sz="0" w:space="0" w:color="auto"/>
                                                    <w:right w:val="none" w:sz="0" w:space="0" w:color="auto"/>
                                                  </w:divBdr>
                                                  <w:divsChild>
                                                    <w:div w:id="1498108619">
                                                      <w:marLeft w:val="0"/>
                                                      <w:marRight w:val="0"/>
                                                      <w:marTop w:val="0"/>
                                                      <w:marBottom w:val="0"/>
                                                      <w:divBdr>
                                                        <w:top w:val="single" w:sz="6" w:space="0" w:color="auto"/>
                                                        <w:left w:val="none" w:sz="0" w:space="0" w:color="auto"/>
                                                        <w:bottom w:val="single" w:sz="6" w:space="0" w:color="auto"/>
                                                        <w:right w:val="none" w:sz="0" w:space="0" w:color="auto"/>
                                                      </w:divBdr>
                                                      <w:divsChild>
                                                        <w:div w:id="1687441442">
                                                          <w:marLeft w:val="0"/>
                                                          <w:marRight w:val="0"/>
                                                          <w:marTop w:val="0"/>
                                                          <w:marBottom w:val="0"/>
                                                          <w:divBdr>
                                                            <w:top w:val="none" w:sz="0" w:space="0" w:color="auto"/>
                                                            <w:left w:val="none" w:sz="0" w:space="0" w:color="auto"/>
                                                            <w:bottom w:val="none" w:sz="0" w:space="0" w:color="auto"/>
                                                            <w:right w:val="none" w:sz="0" w:space="0" w:color="auto"/>
                                                          </w:divBdr>
                                                          <w:divsChild>
                                                            <w:div w:id="695817164">
                                                              <w:marLeft w:val="0"/>
                                                              <w:marRight w:val="0"/>
                                                              <w:marTop w:val="0"/>
                                                              <w:marBottom w:val="0"/>
                                                              <w:divBdr>
                                                                <w:top w:val="none" w:sz="0" w:space="0" w:color="auto"/>
                                                                <w:left w:val="none" w:sz="0" w:space="0" w:color="auto"/>
                                                                <w:bottom w:val="none" w:sz="0" w:space="0" w:color="auto"/>
                                                                <w:right w:val="none" w:sz="0" w:space="0" w:color="auto"/>
                                                              </w:divBdr>
                                                              <w:divsChild>
                                                                <w:div w:id="1588152236">
                                                                  <w:marLeft w:val="0"/>
                                                                  <w:marRight w:val="0"/>
                                                                  <w:marTop w:val="0"/>
                                                                  <w:marBottom w:val="0"/>
                                                                  <w:divBdr>
                                                                    <w:top w:val="none" w:sz="0" w:space="0" w:color="auto"/>
                                                                    <w:left w:val="none" w:sz="0" w:space="0" w:color="auto"/>
                                                                    <w:bottom w:val="none" w:sz="0" w:space="0" w:color="auto"/>
                                                                    <w:right w:val="none" w:sz="0" w:space="0" w:color="auto"/>
                                                                  </w:divBdr>
                                                                  <w:divsChild>
                                                                    <w:div w:id="445589649">
                                                                      <w:marLeft w:val="0"/>
                                                                      <w:marRight w:val="0"/>
                                                                      <w:marTop w:val="0"/>
                                                                      <w:marBottom w:val="0"/>
                                                                      <w:divBdr>
                                                                        <w:top w:val="none" w:sz="0" w:space="0" w:color="auto"/>
                                                                        <w:left w:val="none" w:sz="0" w:space="0" w:color="auto"/>
                                                                        <w:bottom w:val="none" w:sz="0" w:space="0" w:color="auto"/>
                                                                        <w:right w:val="none" w:sz="0" w:space="0" w:color="auto"/>
                                                                      </w:divBdr>
                                                                      <w:divsChild>
                                                                        <w:div w:id="1070690169">
                                                                          <w:marLeft w:val="0"/>
                                                                          <w:marRight w:val="0"/>
                                                                          <w:marTop w:val="0"/>
                                                                          <w:marBottom w:val="0"/>
                                                                          <w:divBdr>
                                                                            <w:top w:val="none" w:sz="0" w:space="0" w:color="auto"/>
                                                                            <w:left w:val="none" w:sz="0" w:space="0" w:color="auto"/>
                                                                            <w:bottom w:val="none" w:sz="0" w:space="0" w:color="auto"/>
                                                                            <w:right w:val="none" w:sz="0" w:space="0" w:color="auto"/>
                                                                          </w:divBdr>
                                                                          <w:divsChild>
                                                                            <w:div w:id="2054455136">
                                                                              <w:marLeft w:val="0"/>
                                                                              <w:marRight w:val="0"/>
                                                                              <w:marTop w:val="0"/>
                                                                              <w:marBottom w:val="0"/>
                                                                              <w:divBdr>
                                                                                <w:top w:val="none" w:sz="0" w:space="0" w:color="auto"/>
                                                                                <w:left w:val="none" w:sz="0" w:space="0" w:color="auto"/>
                                                                                <w:bottom w:val="none" w:sz="0" w:space="0" w:color="auto"/>
                                                                                <w:right w:val="none" w:sz="0" w:space="0" w:color="auto"/>
                                                                              </w:divBdr>
                                                                              <w:divsChild>
                                                                                <w:div w:id="14785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apprenticesh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aspe.hhs.gov/system/files/pdf/242926/HHS_RIAGuidance.pdf" TargetMode="External"/><Relationship Id="rId1" Type="http://schemas.openxmlformats.org/officeDocument/2006/relationships/hyperlink" Target="https://aspe.hhs.gov/system/files/pdf/242926/HHS_RIA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6" ma:contentTypeDescription="Create a new document." ma:contentTypeScope="" ma:versionID="47e238d4bd289a6db093fd160621c0dd">
  <xsd:schema xmlns:xsd="http://www.w3.org/2001/XMLSchema" xmlns:xs="http://www.w3.org/2001/XMLSchema" xmlns:p="http://schemas.microsoft.com/office/2006/metadata/properties" xmlns:ns3="14ca70b7-b93c-4334-ab56-eeed2676982a" targetNamespace="http://schemas.microsoft.com/office/2006/metadata/properties" ma:root="true" ma:fieldsID="4bbc348afc3eb7b71d6829067a25ff87"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C4ED7-6F75-4DEE-AB36-48666CFEA999}">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terms/"/>
    <ds:schemaRef ds:uri="14ca70b7-b93c-4334-ab56-eeed2676982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6DB4F2C-22B1-4324-99C8-65F9E4BB3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995F3-A928-4E29-BD02-6C9FCEDADC32}">
  <ds:schemaRefs>
    <ds:schemaRef ds:uri="http://schemas.microsoft.com/sharepoint/v3/contenttype/forms"/>
  </ds:schemaRefs>
</ds:datastoreItem>
</file>

<file path=customXml/itemProps4.xml><?xml version="1.0" encoding="utf-8"?>
<ds:datastoreItem xmlns:ds="http://schemas.openxmlformats.org/officeDocument/2006/customXml" ds:itemID="{D023D02A-9AB3-4409-BC42-ABB45729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6971</Words>
  <Characters>37729</Characters>
  <Application>Microsoft Office Word</Application>
  <DocSecurity>0</DocSecurity>
  <Lines>314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44611</CharactersWithSpaces>
  <SharedDoc>false</SharedDoc>
  <HLinks>
    <vt:vector size="18" baseType="variant">
      <vt:variant>
        <vt:i4>4915289</vt:i4>
      </vt:variant>
      <vt:variant>
        <vt:i4>0</vt:i4>
      </vt:variant>
      <vt:variant>
        <vt:i4>0</vt:i4>
      </vt:variant>
      <vt:variant>
        <vt:i4>5</vt:i4>
      </vt:variant>
      <vt:variant>
        <vt:lpwstr>http://www.dol.gov/apprenticeship</vt:lpwstr>
      </vt:variant>
      <vt:variant>
        <vt:lpwstr/>
      </vt:variant>
      <vt:variant>
        <vt:i4>1048691</vt:i4>
      </vt:variant>
      <vt:variant>
        <vt:i4>3</vt:i4>
      </vt:variant>
      <vt:variant>
        <vt:i4>0</vt:i4>
      </vt:variant>
      <vt:variant>
        <vt:i4>5</vt:i4>
      </vt:variant>
      <vt:variant>
        <vt:lpwstr>https://aspe.hhs.gov/system/files/pdf/242926/HHS_RIAGuidance.pdf</vt:lpwstr>
      </vt:variant>
      <vt:variant>
        <vt:lpwstr/>
      </vt:variant>
      <vt:variant>
        <vt:i4>1048691</vt:i4>
      </vt:variant>
      <vt:variant>
        <vt:i4>0</vt:i4>
      </vt:variant>
      <vt:variant>
        <vt:i4>0</vt:i4>
      </vt:variant>
      <vt:variant>
        <vt:i4>5</vt:i4>
      </vt:variant>
      <vt:variant>
        <vt:lpwstr>https://aspe.hhs.gov/system/files/pdf/242926/HHS_RIAGuidance.pdf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Beadle, Nicholas D - SOL</dc:creator>
  <cp:keywords/>
  <dc:description/>
  <cp:lastModifiedBy>Mitchell, Cierra - ETA</cp:lastModifiedBy>
  <cp:revision>2</cp:revision>
  <cp:lastPrinted>2020-02-24T16:36:00Z</cp:lastPrinted>
  <dcterms:created xsi:type="dcterms:W3CDTF">2020-03-10T15:28:00Z</dcterms:created>
  <dcterms:modified xsi:type="dcterms:W3CDTF">2020-03-10T15:28:00Z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