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C9" w:rsidRDefault="00AC48C9" w14:paraId="1C2F248C" w14:textId="77777777">
      <w:pPr>
        <w:widowControl/>
        <w:jc w:val="center"/>
        <w:rPr>
          <w:b/>
          <w:bCs/>
        </w:rPr>
      </w:pPr>
      <w:bookmarkStart w:name="_GoBack" w:id="0"/>
      <w:bookmarkEnd w:id="0"/>
    </w:p>
    <w:p w:rsidR="00AC48C9" w:rsidRDefault="00C50A6B" w14:paraId="5799D0CC" w14:textId="77777777">
      <w:pPr>
        <w:widowControl/>
        <w:jc w:val="center"/>
        <w:rPr>
          <w:b/>
          <w:bCs/>
        </w:rPr>
      </w:pPr>
      <w:r>
        <w:rPr>
          <w:b/>
          <w:bCs/>
        </w:rPr>
        <w:t xml:space="preserve">SUPPORTING STATEMENT FOR THE </w:t>
      </w:r>
    </w:p>
    <w:p w:rsidR="00AC48C9" w:rsidRDefault="00C50A6B" w14:paraId="42EBF5F4" w14:textId="77777777">
      <w:pPr>
        <w:widowControl/>
        <w:jc w:val="center"/>
        <w:rPr>
          <w:b/>
          <w:bCs/>
        </w:rPr>
      </w:pPr>
      <w:r>
        <w:rPr>
          <w:b/>
          <w:bCs/>
        </w:rPr>
        <w:t>INFORMATION COLLECTION REQUIREMENTS</w:t>
      </w:r>
    </w:p>
    <w:p w:rsidR="00AC48C9" w:rsidRDefault="00C50A6B" w14:paraId="7147754B" w14:textId="77777777">
      <w:pPr>
        <w:widowControl/>
        <w:jc w:val="center"/>
        <w:rPr>
          <w:b/>
          <w:bCs/>
        </w:rPr>
      </w:pPr>
      <w:r>
        <w:rPr>
          <w:b/>
          <w:bCs/>
        </w:rPr>
        <w:t xml:space="preserve"> OF THE CRAWLER, LOCOMOTIVE, AND </w:t>
      </w:r>
    </w:p>
    <w:p w:rsidR="00AC48C9" w:rsidRDefault="00C50A6B" w14:paraId="5D6BAE6A" w14:textId="77777777">
      <w:pPr>
        <w:widowControl/>
        <w:jc w:val="center"/>
        <w:rPr>
          <w:b/>
          <w:bCs/>
        </w:rPr>
      </w:pPr>
      <w:r>
        <w:rPr>
          <w:b/>
          <w:bCs/>
        </w:rPr>
        <w:t>TRUCK CRANES STANDARD (29 CFR 1910.180)</w:t>
      </w:r>
      <w:r>
        <w:rPr>
          <w:rStyle w:val="FootnoteAnchor"/>
          <w:b/>
        </w:rPr>
        <w:footnoteReference w:id="1"/>
      </w:r>
    </w:p>
    <w:p w:rsidR="00AC48C9" w:rsidRDefault="00C50A6B" w14:paraId="070EEF34" w14:textId="77777777">
      <w:pPr>
        <w:widowControl/>
        <w:jc w:val="center"/>
      </w:pPr>
      <w:r>
        <w:rPr>
          <w:b/>
          <w:bCs/>
        </w:rPr>
        <w:t>OFFICE OF MANAGEMENT AND BUDGET (OMB)</w:t>
      </w:r>
    </w:p>
    <w:p w:rsidR="00AC48C9" w:rsidRDefault="00C50A6B" w14:paraId="62FB576F" w14:textId="77777777">
      <w:pPr>
        <w:widowControl/>
        <w:jc w:val="center"/>
        <w:rPr>
          <w:b/>
          <w:bCs/>
        </w:rPr>
      </w:pPr>
      <w:r>
        <w:rPr>
          <w:b/>
          <w:bCs/>
        </w:rPr>
        <w:t xml:space="preserve">CONTROL NO. 1218-0221 </w:t>
      </w:r>
    </w:p>
    <w:p w:rsidR="00AC48C9" w:rsidRDefault="00C50A6B" w14:paraId="5F562A58" w14:textId="15AAFD5C">
      <w:pPr>
        <w:widowControl/>
        <w:jc w:val="center"/>
      </w:pPr>
      <w:r>
        <w:rPr>
          <w:b/>
          <w:bCs/>
        </w:rPr>
        <w:t>(</w:t>
      </w:r>
      <w:r w:rsidR="00C7351B">
        <w:rPr>
          <w:b/>
          <w:bCs/>
        </w:rPr>
        <w:t>April</w:t>
      </w:r>
      <w:r>
        <w:rPr>
          <w:b/>
          <w:bCs/>
        </w:rPr>
        <w:t xml:space="preserve"> 20</w:t>
      </w:r>
      <w:r w:rsidR="00AB6068">
        <w:rPr>
          <w:b/>
          <w:bCs/>
        </w:rPr>
        <w:t>20</w:t>
      </w:r>
      <w:r>
        <w:rPr>
          <w:b/>
          <w:bCs/>
        </w:rPr>
        <w:t>)</w:t>
      </w:r>
    </w:p>
    <w:p w:rsidR="00AC48C9" w:rsidRDefault="00AC48C9" w14:paraId="07A356D3" w14:textId="77777777">
      <w:pPr>
        <w:widowControl/>
        <w:rPr>
          <w:b/>
          <w:bCs/>
        </w:rPr>
      </w:pPr>
    </w:p>
    <w:p w:rsidR="00AC48C9" w:rsidRDefault="00C50A6B" w14:paraId="2046A2DD" w14:textId="77777777">
      <w:pPr>
        <w:widowControl/>
      </w:pPr>
      <w:r>
        <w:rPr>
          <w:bCs/>
        </w:rPr>
        <w:t>This ICR</w:t>
      </w:r>
      <w:r w:rsidR="003D5637">
        <w:rPr>
          <w:bCs/>
        </w:rPr>
        <w:t xml:space="preserve"> is an extension of a currently approved data collection. </w:t>
      </w:r>
    </w:p>
    <w:p w:rsidR="00AC48C9" w:rsidRDefault="00AC48C9" w14:paraId="50E2B354" w14:textId="77777777">
      <w:pPr>
        <w:widowControl/>
        <w:jc w:val="center"/>
        <w:rPr>
          <w:b/>
          <w:bCs/>
        </w:rPr>
      </w:pPr>
    </w:p>
    <w:p w:rsidR="00AC48C9" w:rsidRDefault="00C50A6B" w14:paraId="24067C74" w14:textId="77777777">
      <w:pPr>
        <w:widowControl/>
        <w:tabs>
          <w:tab w:val="left" w:pos="0"/>
          <w:tab w:val="left" w:pos="540"/>
        </w:tabs>
        <w:rPr>
          <w:b/>
        </w:rPr>
      </w:pPr>
      <w:r>
        <w:rPr>
          <w:b/>
          <w:bCs/>
        </w:rPr>
        <w:t>A. JUSTIFICATION</w:t>
      </w:r>
    </w:p>
    <w:p w:rsidR="00AC48C9" w:rsidRDefault="00AC48C9" w14:paraId="27E126F0" w14:textId="77777777">
      <w:pPr>
        <w:widowControl/>
        <w:rPr>
          <w:b/>
          <w:bCs/>
        </w:rPr>
      </w:pPr>
    </w:p>
    <w:p w:rsidR="00AC48C9" w:rsidRDefault="00C50A6B" w14:paraId="039F92E4" w14:textId="77777777">
      <w:pPr>
        <w:widowControl/>
      </w:pPr>
      <w:r>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C48C9" w:rsidRDefault="00AC48C9" w14:paraId="1BD2F62B" w14:textId="77777777">
      <w:pPr>
        <w:widowControl/>
        <w:rPr>
          <w:b/>
          <w:bCs/>
        </w:rPr>
      </w:pPr>
    </w:p>
    <w:p w:rsidR="00AC48C9" w:rsidRDefault="00C50A6B" w14:paraId="073A9216" w14:textId="77777777">
      <w:pPr>
        <w:widowControl/>
      </w:pPr>
      <w: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AC48C9" w:rsidRDefault="00AC48C9" w14:paraId="6D030DE3" w14:textId="77777777">
      <w:pPr>
        <w:widowControl/>
      </w:pPr>
    </w:p>
    <w:p w:rsidR="00AC48C9" w:rsidRDefault="00C50A6B" w14:paraId="2938AA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Section 6(b) (7) of the Act specifies that “[a]</w:t>
      </w:r>
      <w:proofErr w:type="spellStart"/>
      <w:r>
        <w:t>ny</w:t>
      </w:r>
      <w:proofErr w:type="spellEnd"/>
      <w:r>
        <w:t xml:space="preserve"> standard promulgated under this subsection shall prescribe the use of labels or other appropriate forms of warning as are necessary to insure that workers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AC48C9" w:rsidRDefault="00AC48C9" w14:paraId="7DF6FB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072386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(29 </w:t>
      </w:r>
    </w:p>
    <w:p w:rsidR="00AC48C9" w:rsidRDefault="00C50A6B" w14:paraId="78F65E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U.S.C. 657).  The Act states further that “[t]he Secretary . . . shall prescribe such rules and regulations as [he/she] may deem necessary to carry out [his/her] responsibilities under this Act, </w:t>
      </w:r>
      <w:r>
        <w:lastRenderedPageBreak/>
        <w:t>including rules and regulations dealing with the inspection of an employer’s establishment” (29 U.S.C. 657).</w:t>
      </w:r>
    </w:p>
    <w:p w:rsidR="00AC48C9" w:rsidRDefault="00AC48C9" w14:paraId="1E8D94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389195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Under the authority granted by the Act, the Occupational Safety and Health Administration (i.e., “OSHA” or “the Agency”) published at 29 CFR 1910.180 a safety standard for general industry regulating the operation of crawler, locomotive, and truck cranes (i.e., “the Standard").  The paperwork provisions of this Standard specify requirements for developing, maintaining, and disclosing inspection records for cranes and ropes, as well as disclosing written reports of rated load tests.  Items 2 and 12 below describe in detail the specific information collection requirements of the Standard.</w:t>
      </w:r>
    </w:p>
    <w:p w:rsidR="00AC48C9" w:rsidRDefault="00AC48C9" w14:paraId="4424D9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54B382E6" w14:textId="77777777">
      <w:pPr>
        <w:widowControl/>
        <w:rPr>
          <w:b/>
        </w:rPr>
      </w:pPr>
      <w:r>
        <w:rPr>
          <w:b/>
          <w:bCs/>
        </w:rPr>
        <w:t>2.  Indicate how, by whom, and for what purpose the information is to be used.  Except for a new collection, indicate the actual use the Agency has made of the information received from the current collection.</w:t>
      </w:r>
    </w:p>
    <w:p w:rsidR="00AC48C9" w:rsidRDefault="00AC48C9" w14:paraId="05B1A1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0A932C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Standard specifies several paperwork requirements.  The following sections describe who uses the information collected under each requirement, as well as how they use it.  The purpose of each of these requirements is to prevent workers from using unsafe cranes and ropes, thereby, reducing their risk of death or serious injury caused by a crane or rope failure during material handling.</w:t>
      </w:r>
    </w:p>
    <w:p w:rsidR="00AC48C9" w:rsidRDefault="00AC48C9" w14:paraId="4B3069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1B53E8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(A)  </w:t>
      </w:r>
      <w:r>
        <w:rPr>
          <w:b/>
          <w:u w:val="single"/>
        </w:rPr>
        <w:t>Inspection of and Certification Records of Cranes (§§1910.180(d</w:t>
      </w:r>
      <w:proofErr w:type="gramStart"/>
      <w:r>
        <w:rPr>
          <w:b/>
          <w:u w:val="single"/>
        </w:rPr>
        <w:t>)(</w:t>
      </w:r>
      <w:proofErr w:type="gramEnd"/>
      <w:r>
        <w:rPr>
          <w:b/>
          <w:u w:val="single"/>
        </w:rPr>
        <w:t>4) and (d)(6))</w:t>
      </w:r>
    </w:p>
    <w:p w:rsidR="00AC48C9" w:rsidRDefault="00AC48C9" w14:paraId="7D169B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6761CC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Paragraph 1910.180(d) specifies that employers must prepare a written record to certify that the monthly inspection of critical items in use on cranes (such as brakes, crane hooks, and ropes) has been performed.  The certification record must include the inspection date, the signature of the person who conducted the inspection, and the serial number (or other identifier) of the inspected crane.  Employers must keep the certificate readily available. The certification record provides employers, workers, and OSHA compliance officers with assurance that critical items on cranes have been inspected, and that the equipment is in good operating condition so that the crane and rope will not fail during material handling. These records also enable OSHA to determine that an employer is complying with the Standard.</w:t>
      </w:r>
    </w:p>
    <w:p w:rsidR="00AC48C9" w:rsidRDefault="00AC48C9" w14:paraId="2DF7A3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103745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(B)  </w:t>
      </w:r>
      <w:r>
        <w:rPr>
          <w:b/>
          <w:u w:val="single"/>
        </w:rPr>
        <w:t>Rated Load Tests (§1910.180(e</w:t>
      </w:r>
      <w:proofErr w:type="gramStart"/>
      <w:r>
        <w:rPr>
          <w:b/>
          <w:u w:val="single"/>
        </w:rPr>
        <w:t>)(</w:t>
      </w:r>
      <w:proofErr w:type="gramEnd"/>
      <w:r>
        <w:rPr>
          <w:b/>
          <w:u w:val="single"/>
        </w:rPr>
        <w:t>2))</w:t>
      </w:r>
      <w:r>
        <w:rPr>
          <w:b/>
        </w:rPr>
        <w:t xml:space="preserve">  </w:t>
      </w:r>
    </w:p>
    <w:p w:rsidR="00AC48C9" w:rsidRDefault="00AC48C9" w14:paraId="337AAA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03F6E6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provision requires employers to make available written reports of load-rating tests showing test procedures and confirming the adequacy of repairs or alterations, and to make readily available any rerating test reports.  These reports inform the employer, workers, and OSHA compliance officers of a crane’s lifting limitations, and provide information to crane operators to prevent them from exceeding these limits and causing crane failure.</w:t>
      </w:r>
    </w:p>
    <w:p w:rsidR="00AC48C9" w:rsidRDefault="00AC48C9" w14:paraId="31F170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167402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(C)  </w:t>
      </w:r>
      <w:r>
        <w:rPr>
          <w:b/>
          <w:u w:val="single"/>
        </w:rPr>
        <w:t>Inspection of and Certification Records for Ropes (§§1910.180(g</w:t>
      </w:r>
      <w:proofErr w:type="gramStart"/>
      <w:r>
        <w:rPr>
          <w:b/>
          <w:u w:val="single"/>
        </w:rPr>
        <w:t>)(</w:t>
      </w:r>
      <w:proofErr w:type="gramEnd"/>
      <w:r>
        <w:rPr>
          <w:b/>
          <w:u w:val="single"/>
        </w:rPr>
        <w:t>1) and (g)(2)(ii))</w:t>
      </w:r>
      <w:r>
        <w:t xml:space="preserve">  </w:t>
      </w:r>
    </w:p>
    <w:p w:rsidR="00AC48C9" w:rsidRDefault="00AC48C9" w14:paraId="7B80C7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167A29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Paragraph (g) (1) requires employers to thoroughly inspect any rope in use at least once a month. The authorized person conducting the inspection must observe any deterioration resulting in </w:t>
      </w:r>
      <w:r>
        <w:lastRenderedPageBreak/>
        <w:t xml:space="preserve">appreciable loss of original strength and determine whether or not the condition is hazardous.  Before reusing a rope that has not been used for at least a month because the crane housing the rope is shutdown or in storage, paragraph (g) (2) (ii) specifies that employers must have an appointed or authorized person inspect the rope for all types of deterioration.  Employers must prepare a certification record for the inspections required by paragraphs (g) (1) and (g) (2) (ii).  These certification records must include the inspection date, the signature of the person conducting the inspection, and the identifier for the inspected rope; paragraph (g) (1) states that employers must keep the certificates “on file where readily available,” while paragraph (g) (2) (ii) requires that certificates “be . . . kept readily available.”  The certification records assure employers, workers, and OSHA that the inspected ropes are in good condition. </w:t>
      </w:r>
    </w:p>
    <w:p w:rsidR="00AC48C9" w:rsidRDefault="00AC48C9" w14:paraId="679E5B5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41222178"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(D)  </w:t>
      </w:r>
      <w:r>
        <w:rPr>
          <w:b/>
          <w:u w:val="single"/>
        </w:rPr>
        <w:t>Disclosure of Crane and Rope Inspection Certification Records</w:t>
      </w:r>
    </w:p>
    <w:p w:rsidR="00AC48C9" w:rsidRDefault="00AC48C9" w14:paraId="556AD9C6"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7F3171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Usually, OSHA requests access to records during an inspection.  Previously, the Agency has taken burden hours for the employer to access these records.  The Agency has determined that information collected by the Agency during the investigation is not subject to the PRA under 5 CFR 1320.4(a</w:t>
      </w:r>
      <w:proofErr w:type="gramStart"/>
      <w:r>
        <w:t>)(</w:t>
      </w:r>
      <w:proofErr w:type="gramEnd"/>
      <w:r>
        <w:t>2).  Therefore, OSHA takes no burden or cost for disclosure of records.</w:t>
      </w:r>
    </w:p>
    <w:p w:rsidR="00AC48C9" w:rsidRDefault="00AC48C9" w14:paraId="26D542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AC48C9" w:rsidRDefault="00C50A6B" w14:paraId="5E5DC3B6" w14:textId="77777777">
      <w:pPr>
        <w:widowControl/>
        <w:rPr>
          <w:b/>
          <w:bCs/>
        </w:rPr>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C48C9" w:rsidRDefault="00AC48C9" w14:paraId="4E2A16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3FA850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Employers may use automated, electronic, mechanical, or other technological information-collection techniques, or other forms of information technology (e.g., electronic submission of responses) when establishing and maintaining the required records.  The Agency wrote the paperwork requirements of the Standard in performance-oriented language (i.e., in terms of </w:t>
      </w:r>
      <w:r>
        <w:rPr>
          <w:u w:val="single"/>
        </w:rPr>
        <w:t>what</w:t>
      </w:r>
      <w:r>
        <w:t xml:space="preserve"> data to collect, not </w:t>
      </w:r>
      <w:r>
        <w:rPr>
          <w:u w:val="single"/>
        </w:rPr>
        <w:t>how</w:t>
      </w:r>
      <w:r>
        <w:t xml:space="preserve"> to record the data).</w:t>
      </w:r>
    </w:p>
    <w:p w:rsidR="00AC48C9" w:rsidRDefault="00AC48C9" w14:paraId="3724A4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13C4BB59" w14:textId="77777777">
      <w:pPr>
        <w:widowControl/>
        <w:rPr>
          <w:b/>
        </w:rPr>
      </w:pPr>
      <w:r>
        <w:rPr>
          <w:b/>
          <w:bCs/>
        </w:rPr>
        <w:t>4.  Describe efforts to identify duplication.  Show specifically why any similar information already available cannot be used or modified for use for the purpose(s) described in A.2 above.</w:t>
      </w:r>
    </w:p>
    <w:p w:rsidR="00AC48C9" w:rsidRDefault="00AC48C9" w14:paraId="7D53FF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1A7703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AC48C9" w:rsidRDefault="00AC48C9" w14:paraId="62D2B6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48C1F127" w14:textId="77777777">
      <w:pPr>
        <w:widowControl/>
        <w:rPr>
          <w:b/>
          <w:bCs/>
        </w:rPr>
      </w:pPr>
      <w:r>
        <w:rPr>
          <w:b/>
          <w:bCs/>
        </w:rPr>
        <w:t>5.  If the collection of information impacts small businesses or other small entities, describe the methods used to reduce the burden.</w:t>
      </w:r>
    </w:p>
    <w:p w:rsidR="00AC48C9" w:rsidRDefault="00AC48C9" w14:paraId="534D53B0" w14:textId="77777777">
      <w:pPr>
        <w:widowControl/>
        <w:rPr>
          <w:b/>
          <w:bCs/>
        </w:rPr>
      </w:pPr>
    </w:p>
    <w:p w:rsidR="00AC48C9" w:rsidRDefault="00C50A6B" w14:paraId="58905D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information collection requirements specified by the Standard do not have a significant impact on a substantial number of small entities.</w:t>
      </w:r>
    </w:p>
    <w:p w:rsidR="00AC48C9" w:rsidRDefault="00AC48C9" w14:paraId="3567A9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64D57E9A" w14:textId="77777777">
      <w:pPr>
        <w:widowControl/>
        <w:rPr>
          <w:b/>
        </w:rPr>
      </w:pPr>
      <w:r>
        <w:rPr>
          <w:b/>
          <w:bCs/>
        </w:rPr>
        <w:lastRenderedPageBreak/>
        <w:t>6.  Describe the consequence to Federal program or policy activities if the collection is or is not conducted less frequently and any technical or legal obstacles to reducing the burden.</w:t>
      </w:r>
    </w:p>
    <w:p w:rsidR="00AC48C9" w:rsidRDefault="00AC48C9" w14:paraId="6D66BF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AC48C9" w:rsidRDefault="00C50A6B" w14:paraId="19C0E4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Agency believes that the information collection frequencies required by the Standard are the minimum frequencies necessary to regulate crawler, locomotive, and truck cranes effectively, 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workers may inadvertently use unsafe cranes and ropes, thereby, increasing their risk of death or serious injury caused by crane or rope failure during material lifting.</w:t>
      </w:r>
    </w:p>
    <w:p w:rsidR="00AC48C9" w:rsidRDefault="00AC48C9" w14:paraId="17F8FA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AC48C9" w:rsidRDefault="00C50A6B" w14:paraId="45A425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7.  Explain any special circumstances that would cause an information collection to be conducted in a manner:</w:t>
      </w:r>
    </w:p>
    <w:p w:rsidR="00AC48C9" w:rsidRDefault="00AC48C9" w14:paraId="452FA8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50665C45"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requiring respondents to report information to the agency more often than quarterly;</w:t>
      </w:r>
    </w:p>
    <w:p w:rsidR="00AC48C9" w:rsidRDefault="00AC48C9" w14:paraId="01EEAD18"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AC48C9" w:rsidRDefault="00C50A6B" w14:paraId="3C732605"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requiring respondents to prepare a written response to a collection of information in fewer than 30 days after receipt of it;</w:t>
      </w:r>
    </w:p>
    <w:p w:rsidR="00AC48C9" w:rsidRDefault="00AC48C9" w14:paraId="28865F6B" w14:textId="77777777">
      <w:pPr>
        <w:pStyle w:val="ListParagraph"/>
        <w:rPr>
          <w:b/>
          <w:bCs/>
        </w:rPr>
      </w:pPr>
    </w:p>
    <w:p w:rsidR="00AC48C9" w:rsidRDefault="00C50A6B" w14:paraId="46074EEF"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requiring respondents to submit more than an original and two copies of any document;</w:t>
      </w:r>
    </w:p>
    <w:p w:rsidR="00AC48C9" w:rsidRDefault="00AC48C9" w14:paraId="216BF01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44E70803"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requiring respondents to retain records, other than health, medical, government contract, grant-in-aid, or tax records for more than three years;</w:t>
      </w:r>
    </w:p>
    <w:p w:rsidR="00AC48C9" w:rsidRDefault="00AC48C9" w14:paraId="6E2B2A8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090AD21D"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in connection with a statistical survey that is not designed to produce valid and reliable results that can  be generalized to the universe of study;</w:t>
      </w:r>
    </w:p>
    <w:p w:rsidR="00AC48C9" w:rsidRDefault="00AC48C9" w14:paraId="7F2B530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3C1C87EF"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requiring the use of statistical data classification that has not been reviewed and approved by OMB;</w:t>
      </w:r>
    </w:p>
    <w:p w:rsidR="00AC48C9" w:rsidRDefault="00AC48C9" w14:paraId="2D97C0C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31CA794A"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C48C9" w:rsidRDefault="00AC48C9" w14:paraId="3F9BE92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5B4CF5EE" w14:textId="77777777">
      <w:pPr>
        <w:pStyle w:val="Level1"/>
        <w:widowControl/>
        <w:numPr>
          <w:ilvl w:val="0"/>
          <w:numId w:val="4"/>
        </w:numPr>
        <w:tabs>
          <w:tab w:val="left" w:pos="0"/>
          <w:tab w:val="left" w:pos="63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b/>
        </w:rPr>
      </w:pPr>
      <w:r>
        <w:rPr>
          <w:b/>
          <w:bCs/>
        </w:rPr>
        <w:t xml:space="preserve">requiring respondents to submit proprietary trade secret, or other confidential </w:t>
      </w:r>
    </w:p>
    <w:p w:rsidR="00AC48C9" w:rsidRDefault="00C50A6B" w14:paraId="32838719" w14:textId="77777777">
      <w:pPr>
        <w:pStyle w:val="Level1"/>
        <w:widowControl/>
        <w:tabs>
          <w:tab w:val="left" w:pos="0"/>
          <w:tab w:val="left" w:pos="63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630" w:firstLine="0"/>
        <w:rPr>
          <w:b/>
          <w:bCs/>
        </w:rPr>
      </w:pPr>
      <w:proofErr w:type="gramStart"/>
      <w:r>
        <w:rPr>
          <w:b/>
          <w:bCs/>
        </w:rPr>
        <w:t>information</w:t>
      </w:r>
      <w:proofErr w:type="gramEnd"/>
      <w:r>
        <w:rPr>
          <w:b/>
          <w:bCs/>
        </w:rPr>
        <w:t xml:space="preserve"> unless the agency can prove that it has instituted procedures to protect the information's confidentially to the extent permitted by law.</w:t>
      </w:r>
    </w:p>
    <w:p w:rsidR="00AC48C9" w:rsidRDefault="00AC48C9" w14:paraId="7AE2A98A" w14:textId="77777777">
      <w:pPr>
        <w:pStyle w:val="Level1"/>
        <w:widowControl/>
        <w:tabs>
          <w:tab w:val="left" w:pos="0"/>
          <w:tab w:val="left" w:pos="63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630" w:firstLine="0"/>
        <w:rPr>
          <w:b/>
          <w:bCs/>
        </w:rPr>
      </w:pPr>
    </w:p>
    <w:p w:rsidRPr="009D0913" w:rsidR="00AC48C9" w:rsidRDefault="00C50A6B" w14:paraId="648EFCB4"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0913">
        <w:t>No special circumstances exist that require employers to collect information using the procedures specified by this item.  The requirements are within the guidelines set forth in 5 CFR 1320.5.</w:t>
      </w:r>
    </w:p>
    <w:p w:rsidRPr="00C002D6" w:rsidR="00AC48C9" w:rsidRDefault="00AC48C9" w14:paraId="5C81830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AC48C9" w:rsidRDefault="00C50A6B" w14:paraId="6F8D2E49" w14:textId="77777777">
      <w:pPr>
        <w:widowControl/>
        <w:rPr>
          <w:b/>
          <w:bCs/>
        </w:rPr>
      </w:pPr>
      <w:r>
        <w:rPr>
          <w:b/>
          <w:bCs/>
        </w:rPr>
        <w:lastRenderedPageBreak/>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w:t>
      </w:r>
    </w:p>
    <w:p w:rsidR="00AC48C9" w:rsidRDefault="00AC48C9" w14:paraId="163598F0"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00AC48C9" w:rsidRDefault="00C50A6B" w14:paraId="2138F0C1" w14:textId="77777777">
      <w:pPr>
        <w:widowControl/>
      </w:pPr>
      <w:r>
        <w:t>As required by the Paperwork Reduction Act of 1995 (44 U.S.C. 3506(c</w:t>
      </w:r>
      <w:proofErr w:type="gramStart"/>
      <w:r>
        <w:t>)(</w:t>
      </w:r>
      <w:proofErr w:type="gramEnd"/>
      <w:r>
        <w:t xml:space="preserve">2)(A)), OSHA published a notice in the </w:t>
      </w:r>
      <w:r>
        <w:rPr>
          <w:bCs/>
          <w:i/>
        </w:rPr>
        <w:t>Federal</w:t>
      </w:r>
      <w:r>
        <w:rPr>
          <w:bCs/>
        </w:rPr>
        <w:t xml:space="preserve"> </w:t>
      </w:r>
      <w:r>
        <w:rPr>
          <w:bCs/>
          <w:i/>
        </w:rPr>
        <w:t>Register</w:t>
      </w:r>
      <w:r>
        <w:t xml:space="preserve"> on February 26, </w:t>
      </w:r>
      <w:r w:rsidR="00F53142">
        <w:t xml:space="preserve">2020 </w:t>
      </w:r>
      <w:r>
        <w:t>(</w:t>
      </w:r>
      <w:r w:rsidR="00F53142">
        <w:t xml:space="preserve">85 </w:t>
      </w:r>
      <w:r>
        <w:t>FR</w:t>
      </w:r>
      <w:r w:rsidR="00F53142">
        <w:t xml:space="preserve"> 11112)</w:t>
      </w:r>
      <w:r>
        <w:t xml:space="preserve"> soliciting public comments on its proposal to extend the Office of Management and Budget’s (OMB) approval of the information collection requirements contained in the Standard on Crawler, Locomotive, and Truck Cranes (29 CFR 1910.180).  This notice is a part of a preclearance consultation program that provides the general public and government agencies with an opportunity to comment.  The Agency</w:t>
      </w:r>
      <w:r w:rsidR="00AA6BD4">
        <w:t xml:space="preserve"> did not receive</w:t>
      </w:r>
      <w:r>
        <w:t xml:space="preserve"> wil</w:t>
      </w:r>
      <w:r w:rsidR="00AA6BD4">
        <w:t xml:space="preserve">l </w:t>
      </w:r>
      <w:r>
        <w:t>any comments in response to this notice.</w:t>
      </w:r>
    </w:p>
    <w:p w:rsidR="00AC48C9" w:rsidRDefault="00AC48C9" w14:paraId="2078CD1E" w14:textId="77777777">
      <w:pPr>
        <w:widowControl/>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AC48C9" w:rsidRDefault="00C50A6B" w14:paraId="5561C9CB" w14:textId="77777777">
      <w:pPr>
        <w:widowControl/>
        <w:rPr>
          <w:b/>
        </w:rPr>
      </w:pPr>
      <w:r>
        <w:rPr>
          <w:b/>
          <w:bCs/>
        </w:rPr>
        <w:t xml:space="preserve">9.  Explain any decision to provide any payments or gift to respondents, other than </w:t>
      </w:r>
      <w:r w:rsidR="004F1421">
        <w:rPr>
          <w:b/>
          <w:bCs/>
        </w:rPr>
        <w:t>remuneration</w:t>
      </w:r>
      <w:r>
        <w:rPr>
          <w:b/>
          <w:bCs/>
        </w:rPr>
        <w:t xml:space="preserve"> of contractors or grantees.</w:t>
      </w:r>
    </w:p>
    <w:p w:rsidR="00AC48C9" w:rsidRDefault="00AC48C9" w14:paraId="23875F0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1B55EAD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rsidR="00AC48C9" w:rsidRDefault="00AC48C9" w14:paraId="4A1FC6C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401A67E3" w14:textId="77777777">
      <w:pPr>
        <w:widowControl/>
        <w:ind w:left="90" w:hanging="90"/>
        <w:rPr>
          <w:b/>
        </w:rPr>
      </w:pPr>
      <w:r>
        <w:rPr>
          <w:b/>
          <w:bCs/>
        </w:rPr>
        <w:t>10.  Describe any assurance of confidentiality provided to respondents and the basis for the assurance in statute, regulation, or agency policy.</w:t>
      </w:r>
    </w:p>
    <w:p w:rsidR="00AC48C9" w:rsidRDefault="00AC48C9" w14:paraId="501038E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1963835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The paperwork requirements specified by the Standard do not involve confidential information.</w:t>
      </w:r>
    </w:p>
    <w:p w:rsidR="00AC48C9" w:rsidRDefault="00AC48C9" w14:paraId="19B21B10"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60C4FDB7" w14:textId="77777777">
      <w:pPr>
        <w:widowControl/>
        <w:rPr>
          <w:b/>
          <w:bCs/>
        </w:rPr>
      </w:pPr>
      <w:r>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48C9" w:rsidRDefault="00AC48C9" w14:paraId="00464B92" w14:textId="77777777">
      <w:pPr>
        <w:widowControl/>
        <w:rPr>
          <w:b/>
          <w:bCs/>
        </w:rPr>
      </w:pPr>
    </w:p>
    <w:p w:rsidR="00AC48C9" w:rsidRDefault="00C50A6B" w14:paraId="23CDDDB5" w14:textId="77777777">
      <w:pPr>
        <w:widowControl/>
      </w:pPr>
      <w:r>
        <w:t>None of the provisions in the Standard require sensitive information.</w:t>
      </w:r>
    </w:p>
    <w:p w:rsidR="00AC48C9" w:rsidRDefault="00C50A6B" w14:paraId="2BBF2F0A"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AC48C9" w:rsidRDefault="00C50A6B" w14:paraId="607C6307"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12.  Provide estimates of the hour burden of the collection of information.  The statement should:</w:t>
      </w:r>
    </w:p>
    <w:p w:rsidR="00AC48C9" w:rsidRDefault="00AC48C9" w14:paraId="1EEFFFE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7839EEA7"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bCs/>
        </w:rPr>
      </w:pPr>
      <w:r>
        <w:rPr>
          <w:b/>
          <w:bCs/>
        </w:rPr>
        <w:tab/>
        <w:t>•</w:t>
      </w:r>
      <w:r>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Pr>
          <w:b/>
          <w:bCs/>
        </w:rPr>
        <w:lastRenderedPageBreak/>
        <w:t>estimates should not include burden hours for customary and usual business practices.</w:t>
      </w:r>
    </w:p>
    <w:p w:rsidR="00AC48C9" w:rsidRDefault="00AC48C9" w14:paraId="6185686A"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bCs/>
        </w:rPr>
      </w:pPr>
    </w:p>
    <w:p w:rsidR="00AC48C9" w:rsidRDefault="00C50A6B" w14:paraId="56038C23"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bCs/>
        </w:rPr>
      </w:pPr>
      <w:r>
        <w:rPr>
          <w:b/>
          <w:bCs/>
        </w:rPr>
        <w:tab/>
        <w:t>•</w:t>
      </w:r>
      <w:r>
        <w:rPr>
          <w:b/>
          <w:bCs/>
        </w:rPr>
        <w:tab/>
        <w:t>If this request for approval covers more than one form, provide separate hour burden estimates for each form and aggregate the hour burdens.</w:t>
      </w:r>
    </w:p>
    <w:p w:rsidR="00AC48C9" w:rsidRDefault="00AC48C9" w14:paraId="61240E8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3F4F3062"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bCs/>
        </w:rPr>
      </w:pPr>
      <w:r>
        <w:rPr>
          <w:b/>
          <w:bCs/>
        </w:rPr>
        <w:tab/>
        <w:t>•</w:t>
      </w:r>
      <w:r>
        <w:rPr>
          <w:b/>
          <w:bCs/>
        </w:rPr>
        <w:tab/>
        <w:t xml:space="preserve">Provide estimates of annualized cost to respondents for the hour burdens for collections of information, identifying and using appropriate wage-rate categories.  </w:t>
      </w:r>
    </w:p>
    <w:p w:rsidR="00AC48C9" w:rsidRDefault="00AC48C9" w14:paraId="5BFFEE6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046AA8B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Burden-Hour and Cost Determinations</w:t>
      </w:r>
    </w:p>
    <w:p w:rsidR="00AC48C9" w:rsidRDefault="00AC48C9" w14:paraId="0AD805A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1C5E5501" w14:textId="77777777">
      <w:r>
        <w:t>According to the Final Economic Analysis (FEA) (OSHA-2007-0066-0422) for the Direct Final Rule on Cranes and Derricks in Construction (77 FR 49722), there are 34,994 cranes operating in the industry profile sector.  “The Preliminary Economic Analysis (PEA) accompanying  the proposed standard presented an industry profile describing crane use in all sectors of the traditional construction industries, i.e., the current NAICS 233-236 (the older SICs 16, 17, and 18), and the crane rental industry sector in general industry, NAICS 53214. There were no comments objecting to the inclusion of these sectors in the economic analysis.” The agency continues to use these data as the best available to its knowledge.</w:t>
      </w:r>
    </w:p>
    <w:p w:rsidR="00AC48C9" w:rsidRDefault="00AC48C9" w14:paraId="69EFBFB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2D9A735F" w14:textId="77777777">
      <w:pPr>
        <w:pStyle w:val="PlainText"/>
      </w:pPr>
      <w:r>
        <w:rPr>
          <w:rFonts w:ascii="Times New Roman" w:hAnsi="Times New Roman"/>
          <w:sz w:val="24"/>
          <w:szCs w:val="24"/>
        </w:rPr>
        <w:t xml:space="preserve">OSHA estimates that, at most, 10% of these cranes are crawler, locomotive, and truck cranes.   Therefore, only 3,499 of these cranes are operating in general industry on an annual basis.  The determining the cost of the paperwork requirements specified by the Standard. </w:t>
      </w:r>
    </w:p>
    <w:p w:rsidR="00AC48C9" w:rsidRDefault="00AC48C9" w14:paraId="1948DD94" w14:textId="77777777">
      <w:pPr>
        <w:rPr>
          <w:rFonts w:eastAsia="Calibri"/>
        </w:rPr>
      </w:pPr>
    </w:p>
    <w:p w:rsidR="00AC48C9" w:rsidRDefault="00C50A6B" w14:paraId="1B6936FB" w14:textId="77777777">
      <w:r>
        <w:rPr>
          <w:rFonts w:eastAsia="Calibri"/>
        </w:rPr>
        <w:t xml:space="preserve">The Agency determined the wage rate from mean hourly wage earnings to represent the cost of employee time. </w:t>
      </w:r>
      <w:r>
        <w:t xml:space="preserve">The following hourly wage rates for the relevant occupational categories have been derived from the </w:t>
      </w:r>
      <w:r>
        <w:rPr>
          <w:i/>
        </w:rPr>
        <w:t>National Occupational Employment and Wage Estimates United States, May 2018</w:t>
      </w:r>
      <w:r>
        <w:t xml:space="preserve">, published by the Bureau of Labor Statistics. </w:t>
      </w:r>
      <w:r>
        <w:rPr>
          <w:rFonts w:eastAsia="Calibri"/>
        </w:rPr>
        <w:t xml:space="preserve"> For the relevant standard occupational classification category, OSHA used the wage rates reported in the Bureau of Labor Statistics, U.S. Department of Labor, </w:t>
      </w:r>
      <w:r>
        <w:rPr>
          <w:rFonts w:eastAsia="Calibri"/>
          <w:i/>
        </w:rPr>
        <w:t>Occupational Employment Statistics (OES), May 2018</w:t>
      </w:r>
      <w:r>
        <w:rPr>
          <w:rFonts w:eastAsia="Calibri"/>
        </w:rPr>
        <w:t xml:space="preserve"> [date accessed: October 18, 2019].  (OES data is available at </w:t>
      </w:r>
      <w:hyperlink r:id="rId10">
        <w:r>
          <w:rPr>
            <w:rStyle w:val="InternetLink"/>
            <w:rFonts w:eastAsia="Calibri"/>
            <w:i/>
          </w:rPr>
          <w:t>https://www.bls.gov/oes/tables.htm</w:t>
        </w:r>
      </w:hyperlink>
      <w:r>
        <w:rPr>
          <w:rFonts w:eastAsia="Calibri"/>
        </w:rPr>
        <w:t>.  To access a wage rate, select the year, “Occupation Profiles,” and the Standard Occupational Classification (SOC) code.)</w:t>
      </w:r>
    </w:p>
    <w:p w:rsidR="00AC48C9" w:rsidRDefault="00AC48C9" w14:paraId="2E6F0836" w14:textId="77777777">
      <w:pPr>
        <w:rPr>
          <w:rFonts w:eastAsia="Calibri"/>
        </w:rPr>
      </w:pPr>
    </w:p>
    <w:p w:rsidR="00AC48C9" w:rsidRDefault="00C50A6B" w14:paraId="749ACEF7" w14:textId="77777777">
      <w:r>
        <w:rPr>
          <w:rFonts w:eastAsia="Calibri"/>
        </w:rPr>
        <w:t>To account for fringe benefits, the Agency used the Bureau of Labor Statistics’ (BLS) March 2019 National Compensation Survey</w:t>
      </w:r>
      <w:r>
        <w:rPr>
          <w:rFonts w:eastAsia="Calibri"/>
          <w:i/>
        </w:rPr>
        <w:t xml:space="preserve">. </w:t>
      </w:r>
      <w:r>
        <w:rPr>
          <w:rFonts w:eastAsia="Calibri"/>
        </w:rPr>
        <w:t xml:space="preserve"> Fringe markup is from the following BLS release: </w:t>
      </w:r>
      <w:r>
        <w:rPr>
          <w:rFonts w:eastAsia="Calibri"/>
          <w:i/>
        </w:rPr>
        <w:t xml:space="preserve">Employer Costs for Employee Compensation </w:t>
      </w:r>
      <w:r>
        <w:rPr>
          <w:rFonts w:eastAsia="Calibri"/>
        </w:rPr>
        <w:t xml:space="preserve">news release text; released 10:00 AM (EDT), June 2019 </w:t>
      </w:r>
      <w:r>
        <w:rPr>
          <w:rFonts w:eastAsia="Calibri"/>
          <w:i/>
        </w:rPr>
        <w:t>(</w:t>
      </w:r>
      <w:hyperlink r:id="rId11">
        <w:r>
          <w:rPr>
            <w:rStyle w:val="InternetLink"/>
            <w:rFonts w:eastAsia="Calibri"/>
            <w:i/>
          </w:rPr>
          <w:t>https://www.bls.gov/news.release/pdf/ecec.pdf</w:t>
        </w:r>
      </w:hyperlink>
      <w:r>
        <w:rPr>
          <w:rFonts w:eastAsia="Calibri"/>
        </w:rPr>
        <w:t>). BLS reported that for civilian workers, fringe benefits accounted for 31.4 percent of total compensation and wages accounted for the remaining 68.6 percent.  To calculate the loaded hourly wage for each occupation, the Agency divided the mean hourly wage by</w:t>
      </w:r>
      <w:r>
        <w:t xml:space="preserve"> 1 minus the fringe benefits</w:t>
      </w:r>
      <w:r>
        <w:rPr>
          <w:rFonts w:eastAsia="Calibri"/>
        </w:rPr>
        <w:t>.</w:t>
      </w:r>
    </w:p>
    <w:p w:rsidR="00AC48C9" w:rsidRDefault="00AC48C9" w14:paraId="7202C147" w14:textId="77777777">
      <w:pPr>
        <w:rPr>
          <w:rFonts w:eastAsia="Calibri"/>
        </w:rPr>
      </w:pPr>
    </w:p>
    <w:p w:rsidR="00AC48C9" w:rsidRDefault="00C50A6B" w14:paraId="6EBDC231" w14:textId="77777777">
      <w:pPr>
        <w:tabs>
          <w:tab w:val="left" w:pos="-1440"/>
        </w:tabs>
      </w:pPr>
      <w:r>
        <w:t xml:space="preserve">OSHA is using a 23.8% hire rate taken from the manufacturing hires rate, </w:t>
      </w:r>
      <w:r>
        <w:rPr>
          <w:i/>
        </w:rPr>
        <w:t>Job Opening and Labor Turnover Survey (JOLT), 2014</w:t>
      </w:r>
      <w:r>
        <w:t>, Bureau of Labor Statistics, U.S. Department of Labor.</w:t>
      </w:r>
    </w:p>
    <w:p w:rsidR="00AC48C9" w:rsidRDefault="00AC48C9" w14:paraId="00CFC652" w14:textId="77777777">
      <w:pPr>
        <w:widowControl/>
        <w:rPr>
          <w:u w:val="single"/>
        </w:rPr>
      </w:pPr>
    </w:p>
    <w:tbl>
      <w:tblPr>
        <w:tblW w:w="902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3" w:type="dxa"/>
        </w:tblCellMar>
        <w:tblLook w:val="0000" w:firstRow="0" w:lastRow="0" w:firstColumn="0" w:lastColumn="0" w:noHBand="0" w:noVBand="0"/>
      </w:tblPr>
      <w:tblGrid>
        <w:gridCol w:w="1908"/>
        <w:gridCol w:w="1440"/>
        <w:gridCol w:w="1710"/>
        <w:gridCol w:w="1350"/>
        <w:gridCol w:w="2620"/>
      </w:tblGrid>
      <w:tr w:rsidR="00AC48C9" w14:paraId="67E48596" w14:textId="77777777">
        <w:tc>
          <w:tcPr>
            <w:tcW w:w="9028" w:type="dxa"/>
            <w:gridSpan w:val="5"/>
            <w:tcBorders>
              <w:top w:val="single" w:color="000000" w:sz="4" w:space="0"/>
              <w:left w:val="single" w:color="000000" w:sz="4" w:space="0"/>
              <w:bottom w:val="single" w:color="000000" w:sz="4" w:space="0"/>
              <w:right w:val="single" w:color="000000" w:sz="4" w:space="0"/>
            </w:tcBorders>
            <w:shd w:val="clear" w:color="auto" w:fill="8DB3E2"/>
          </w:tcPr>
          <w:p w:rsidR="00AC48C9" w:rsidRDefault="00C50A6B" w14:paraId="3DF7D649" w14:textId="77777777">
            <w:pPr>
              <w:tabs>
                <w:tab w:val="left" w:pos="-1440"/>
              </w:tabs>
              <w:jc w:val="center"/>
            </w:pPr>
            <w:r>
              <w:rPr>
                <w:i/>
              </w:rPr>
              <w:lastRenderedPageBreak/>
              <w:tab/>
            </w:r>
            <w:r>
              <w:rPr>
                <w:i/>
              </w:rPr>
              <w:tab/>
            </w:r>
            <w:r>
              <w:rPr>
                <w:b/>
              </w:rPr>
              <w:t xml:space="preserve">TABLE 1 WAGE HOUR ESTIMATES </w:t>
            </w:r>
          </w:p>
        </w:tc>
      </w:tr>
      <w:tr w:rsidR="00AC48C9" w14:paraId="22D95034" w14:textId="77777777">
        <w:tc>
          <w:tcPr>
            <w:tcW w:w="1908" w:type="dxa"/>
            <w:tcBorders>
              <w:top w:val="single" w:color="000000" w:sz="4" w:space="0"/>
              <w:left w:val="single" w:color="000000" w:sz="4" w:space="0"/>
              <w:bottom w:val="single" w:color="000000" w:sz="4" w:space="0"/>
            </w:tcBorders>
            <w:shd w:val="clear" w:color="auto" w:fill="C6D9F1"/>
          </w:tcPr>
          <w:p w:rsidR="00AC48C9" w:rsidRDefault="00C50A6B" w14:paraId="44E5B358" w14:textId="77777777">
            <w:pPr>
              <w:tabs>
                <w:tab w:val="left" w:pos="-1440"/>
              </w:tabs>
              <w:rPr>
                <w:b/>
              </w:rPr>
            </w:pPr>
            <w:r>
              <w:rPr>
                <w:b/>
              </w:rPr>
              <w:t>Occupational Title</w:t>
            </w:r>
          </w:p>
        </w:tc>
        <w:tc>
          <w:tcPr>
            <w:tcW w:w="1440" w:type="dxa"/>
            <w:tcBorders>
              <w:top w:val="single" w:color="000000" w:sz="4" w:space="0"/>
              <w:left w:val="single" w:color="000000" w:sz="4" w:space="0"/>
              <w:bottom w:val="single" w:color="000000" w:sz="4" w:space="0"/>
            </w:tcBorders>
            <w:shd w:val="clear" w:color="auto" w:fill="C6D9F1"/>
          </w:tcPr>
          <w:p w:rsidR="00AC48C9" w:rsidRDefault="00C50A6B" w14:paraId="3B1E075E" w14:textId="77777777">
            <w:pPr>
              <w:tabs>
                <w:tab w:val="left" w:pos="-1440"/>
              </w:tabs>
              <w:rPr>
                <w:b/>
              </w:rPr>
            </w:pPr>
            <w:r>
              <w:rPr>
                <w:b/>
              </w:rPr>
              <w:t>Standard Occupation Code</w:t>
            </w:r>
          </w:p>
        </w:tc>
        <w:tc>
          <w:tcPr>
            <w:tcW w:w="1710" w:type="dxa"/>
            <w:tcBorders>
              <w:top w:val="single" w:color="000000" w:sz="4" w:space="0"/>
              <w:left w:val="single" w:color="000000" w:sz="4" w:space="0"/>
              <w:bottom w:val="single" w:color="000000" w:sz="4" w:space="0"/>
            </w:tcBorders>
            <w:shd w:val="clear" w:color="auto" w:fill="C6D9F1"/>
          </w:tcPr>
          <w:p w:rsidR="00AC48C9" w:rsidRDefault="00C50A6B" w14:paraId="0A0D772B" w14:textId="77777777">
            <w:pPr>
              <w:tabs>
                <w:tab w:val="left" w:pos="-1440"/>
              </w:tabs>
              <w:rPr>
                <w:b/>
              </w:rPr>
            </w:pPr>
            <w:r>
              <w:rPr>
                <w:b/>
              </w:rPr>
              <w:t>Mean Hour Wage Rate (A)</w:t>
            </w:r>
          </w:p>
        </w:tc>
        <w:tc>
          <w:tcPr>
            <w:tcW w:w="1350" w:type="dxa"/>
            <w:tcBorders>
              <w:top w:val="single" w:color="000000" w:sz="4" w:space="0"/>
              <w:left w:val="single" w:color="000000" w:sz="4" w:space="0"/>
              <w:bottom w:val="single" w:color="000000" w:sz="4" w:space="0"/>
            </w:tcBorders>
            <w:shd w:val="clear" w:color="auto" w:fill="C6D9F1"/>
          </w:tcPr>
          <w:p w:rsidR="00AC48C9" w:rsidRDefault="00C50A6B" w14:paraId="41A1742E" w14:textId="77777777">
            <w:pPr>
              <w:tabs>
                <w:tab w:val="left" w:pos="-1440"/>
              </w:tabs>
              <w:rPr>
                <w:b/>
              </w:rPr>
            </w:pPr>
            <w:r>
              <w:rPr>
                <w:b/>
              </w:rPr>
              <w:t>Fringe Benefits (B)</w:t>
            </w:r>
          </w:p>
        </w:tc>
        <w:tc>
          <w:tcPr>
            <w:tcW w:w="2620" w:type="dxa"/>
            <w:tcBorders>
              <w:top w:val="single" w:color="000000" w:sz="4" w:space="0"/>
              <w:left w:val="single" w:color="000000" w:sz="4" w:space="0"/>
              <w:bottom w:val="single" w:color="000000" w:sz="4" w:space="0"/>
              <w:right w:val="single" w:color="000000" w:sz="4" w:space="0"/>
            </w:tcBorders>
            <w:shd w:val="clear" w:color="auto" w:fill="C6D9F1"/>
          </w:tcPr>
          <w:p w:rsidR="00AC48C9" w:rsidRDefault="00C50A6B" w14:paraId="69F2CE18" w14:textId="77777777">
            <w:pPr>
              <w:tabs>
                <w:tab w:val="left" w:pos="-1440"/>
              </w:tabs>
              <w:rPr>
                <w:b/>
              </w:rPr>
            </w:pPr>
            <w:r>
              <w:rPr>
                <w:b/>
              </w:rPr>
              <w:t xml:space="preserve">Loaded Hourly Wage Rate </w:t>
            </w:r>
            <w:r>
              <w:rPr>
                <w:b/>
                <w:bCs/>
              </w:rPr>
              <w:t>(C) = (A)/((1-(B))</w:t>
            </w:r>
          </w:p>
        </w:tc>
      </w:tr>
      <w:tr w:rsidR="00AC48C9" w14:paraId="2B1BB1BF" w14:textId="77777777">
        <w:trPr>
          <w:trHeight w:val="58"/>
        </w:trPr>
        <w:tc>
          <w:tcPr>
            <w:tcW w:w="1908" w:type="dxa"/>
            <w:tcBorders>
              <w:top w:val="single" w:color="000000" w:sz="4" w:space="0"/>
              <w:left w:val="single" w:color="000000" w:sz="4" w:space="0"/>
              <w:bottom w:val="single" w:color="000000" w:sz="4" w:space="0"/>
            </w:tcBorders>
            <w:shd w:val="clear" w:color="auto" w:fill="auto"/>
          </w:tcPr>
          <w:p w:rsidR="00AC48C9" w:rsidRDefault="00C50A6B" w14:paraId="05E69A6F" w14:textId="77777777">
            <w:pPr>
              <w:tabs>
                <w:tab w:val="left" w:pos="-1440"/>
              </w:tabs>
            </w:pPr>
            <w:r>
              <w:t>Crane and Tower Operator</w:t>
            </w:r>
          </w:p>
        </w:tc>
        <w:tc>
          <w:tcPr>
            <w:tcW w:w="1440" w:type="dxa"/>
            <w:tcBorders>
              <w:top w:val="single" w:color="000000" w:sz="4" w:space="0"/>
              <w:left w:val="single" w:color="000000" w:sz="4" w:space="0"/>
              <w:bottom w:val="single" w:color="000000" w:sz="4" w:space="0"/>
            </w:tcBorders>
            <w:shd w:val="clear" w:color="auto" w:fill="auto"/>
          </w:tcPr>
          <w:p w:rsidR="00AC48C9" w:rsidRDefault="00C50A6B" w14:paraId="7ABF48FF" w14:textId="77777777">
            <w:pPr>
              <w:tabs>
                <w:tab w:val="left" w:pos="-1440"/>
              </w:tabs>
            </w:pPr>
            <w:r>
              <w:t>53-7021</w:t>
            </w:r>
          </w:p>
        </w:tc>
        <w:tc>
          <w:tcPr>
            <w:tcW w:w="1710" w:type="dxa"/>
            <w:tcBorders>
              <w:top w:val="single" w:color="000000" w:sz="4" w:space="0"/>
              <w:left w:val="single" w:color="000000" w:sz="4" w:space="0"/>
              <w:bottom w:val="single" w:color="000000" w:sz="4" w:space="0"/>
            </w:tcBorders>
            <w:shd w:val="clear" w:color="auto" w:fill="auto"/>
          </w:tcPr>
          <w:p w:rsidR="00AC48C9" w:rsidRDefault="00C50A6B" w14:paraId="17605314" w14:textId="77777777">
            <w:pPr>
              <w:tabs>
                <w:tab w:val="left" w:pos="-1440"/>
              </w:tabs>
            </w:pPr>
            <w:r>
              <w:t>$27.96</w:t>
            </w:r>
          </w:p>
        </w:tc>
        <w:tc>
          <w:tcPr>
            <w:tcW w:w="1350" w:type="dxa"/>
            <w:tcBorders>
              <w:top w:val="single" w:color="000000" w:sz="4" w:space="0"/>
              <w:left w:val="single" w:color="000000" w:sz="4" w:space="0"/>
              <w:bottom w:val="single" w:color="000000" w:sz="4" w:space="0"/>
            </w:tcBorders>
            <w:shd w:val="clear" w:color="auto" w:fill="auto"/>
          </w:tcPr>
          <w:p w:rsidR="00AC48C9" w:rsidRDefault="00C50A6B" w14:paraId="655FE43B" w14:textId="77777777">
            <w:pPr>
              <w:tabs>
                <w:tab w:val="left" w:pos="-1440"/>
              </w:tabs>
            </w:pPr>
            <w:r>
              <w:t>.314</w:t>
            </w:r>
          </w:p>
        </w:tc>
        <w:tc>
          <w:tcPr>
            <w:tcW w:w="2620" w:type="dxa"/>
            <w:tcBorders>
              <w:top w:val="single" w:color="000000" w:sz="4" w:space="0"/>
              <w:left w:val="single" w:color="000000" w:sz="4" w:space="0"/>
              <w:bottom w:val="single" w:color="000000" w:sz="4" w:space="0"/>
              <w:right w:val="single" w:color="000000" w:sz="4" w:space="0"/>
            </w:tcBorders>
            <w:shd w:val="clear" w:color="auto" w:fill="auto"/>
          </w:tcPr>
          <w:p w:rsidR="00AC48C9" w:rsidRDefault="00C50A6B" w14:paraId="2AC38D97" w14:textId="77777777">
            <w:pPr>
              <w:tabs>
                <w:tab w:val="left" w:pos="-1440"/>
              </w:tabs>
            </w:pPr>
            <w:r>
              <w:t>$40.76</w:t>
            </w:r>
          </w:p>
        </w:tc>
      </w:tr>
    </w:tbl>
    <w:p w:rsidR="00AC48C9" w:rsidRDefault="00AC48C9" w14:paraId="607EC8B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7AE64C79"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Pr>
          <w:b/>
          <w:bCs/>
        </w:rPr>
        <w:t>(A)</w:t>
      </w:r>
      <w:r>
        <w:rPr>
          <w:b/>
          <w:bCs/>
        </w:rPr>
        <w:tab/>
      </w:r>
      <w:r>
        <w:rPr>
          <w:b/>
          <w:u w:val="single"/>
        </w:rPr>
        <w:t>Inspection of and Certification Records of Cranes (§§1910.180(d</w:t>
      </w:r>
      <w:proofErr w:type="gramStart"/>
      <w:r>
        <w:rPr>
          <w:b/>
          <w:u w:val="single"/>
        </w:rPr>
        <w:t>)(</w:t>
      </w:r>
      <w:proofErr w:type="gramEnd"/>
      <w:r>
        <w:rPr>
          <w:b/>
          <w:u w:val="single"/>
        </w:rPr>
        <w:t>4) and (d)(6))</w:t>
      </w:r>
    </w:p>
    <w:p w:rsidR="00AC48C9" w:rsidRDefault="00C50A6B" w14:paraId="7010A8C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p>
    <w:p w:rsidR="00AC48C9" w:rsidRDefault="00C50A6B" w14:paraId="4A28C19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The Agency assumes that 95% (3,324) of the cranes will be fully operational and that a crane operator spends 15 minutes (15/60 hour) performing each monthly inspection and preparing and maintaining a written certificate for the inspection.  Therefore, the total annual burden hour and cost estimates for §§1910.180(d</w:t>
      </w:r>
      <w:proofErr w:type="gramStart"/>
      <w:r>
        <w:t>)(</w:t>
      </w:r>
      <w:proofErr w:type="gramEnd"/>
      <w:r>
        <w:t>4) and (d)(6) are:</w:t>
      </w:r>
    </w:p>
    <w:p w:rsidR="00AC48C9" w:rsidRDefault="00AC48C9" w14:paraId="1896FD0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7376644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Pr>
          <w:bCs/>
        </w:rPr>
        <w:tab/>
      </w:r>
      <w:r>
        <w:rPr>
          <w:b/>
          <w:bCs/>
        </w:rPr>
        <w:t>Burden hours</w:t>
      </w:r>
      <w:r>
        <w:rPr>
          <w:b/>
        </w:rPr>
        <w:t>:</w:t>
      </w:r>
      <w:r>
        <w:t xml:space="preserve">  3,324 cranes x 12 monthly inspections x 15/60 hour = 9,972 hours</w:t>
      </w:r>
    </w:p>
    <w:p w:rsidR="00AC48C9" w:rsidRDefault="00C50A6B" w14:paraId="1FF1534E"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tab/>
      </w:r>
      <w:r>
        <w:tab/>
        <w:t xml:space="preserve">                </w:t>
      </w:r>
      <w:r>
        <w:rPr>
          <w:b/>
          <w:bCs/>
        </w:rPr>
        <w:t>Cost</w:t>
      </w:r>
      <w:r>
        <w:rPr>
          <w:b/>
        </w:rPr>
        <w:t>:</w:t>
      </w:r>
      <w:r>
        <w:t xml:space="preserve">  9,972 hours x $40.76 = $406,459</w:t>
      </w:r>
    </w:p>
    <w:p w:rsidR="00AC48C9" w:rsidRDefault="00AC48C9" w14:paraId="08159FA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409A3B48"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Pr>
          <w:b/>
          <w:bCs/>
        </w:rPr>
        <w:tab/>
      </w:r>
      <w:r>
        <w:rPr>
          <w:b/>
          <w:bCs/>
        </w:rPr>
        <w:tab/>
      </w:r>
      <w:r>
        <w:rPr>
          <w:b/>
          <w:bCs/>
          <w:u w:val="single"/>
        </w:rPr>
        <w:t>Rated Load Tests (§1910.180(e</w:t>
      </w:r>
      <w:proofErr w:type="gramStart"/>
      <w:r>
        <w:rPr>
          <w:b/>
          <w:bCs/>
          <w:u w:val="single"/>
        </w:rPr>
        <w:t>)(</w:t>
      </w:r>
      <w:proofErr w:type="gramEnd"/>
      <w:r>
        <w:rPr>
          <w:b/>
          <w:bCs/>
          <w:u w:val="single"/>
        </w:rPr>
        <w:t>2))</w:t>
      </w:r>
      <w:r>
        <w:rPr>
          <w:b/>
        </w:rPr>
        <w:t xml:space="preserve"> </w:t>
      </w:r>
    </w:p>
    <w:p w:rsidR="00AC48C9" w:rsidRDefault="00AC48C9" w14:paraId="77E117CA"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115A8A09"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Written reports shall be available showing test procedures and confirming the adequacy of repairs or alterations.  Rerating may also be necessary and the reports shall be readily available. Such tests are required when cranes are repaired or altered.  The tests would be conducted by either a crane operator or engineer.  OSHA estimates it will take about 1 hour to conduct the test and prepare the report.  The number of cranes or hooks that may be subjected to testing is estimated at no more than 2% (70), of the total number of cranes (3,499) in use.   </w:t>
      </w:r>
    </w:p>
    <w:p w:rsidR="00AC48C9" w:rsidRDefault="00AC48C9" w14:paraId="596E333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73B09F4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400"/>
      </w:pPr>
      <w:r>
        <w:rPr>
          <w:bCs/>
        </w:rPr>
        <w:tab/>
      </w:r>
      <w:r>
        <w:rPr>
          <w:b/>
          <w:bCs/>
        </w:rPr>
        <w:t>Burden hours</w:t>
      </w:r>
      <w:r>
        <w:rPr>
          <w:b/>
        </w:rPr>
        <w:t>:</w:t>
      </w:r>
      <w:r>
        <w:t xml:space="preserve">  70 cranes x 1 hour = 70 hours</w:t>
      </w:r>
    </w:p>
    <w:p w:rsidR="00AC48C9" w:rsidRDefault="00C50A6B" w14:paraId="59DC1547"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C00000"/>
        </w:rPr>
      </w:pPr>
      <w:r>
        <w:rPr>
          <w:bCs/>
        </w:rPr>
        <w:tab/>
      </w:r>
      <w:r>
        <w:rPr>
          <w:bCs/>
        </w:rPr>
        <w:tab/>
        <w:t xml:space="preserve">                </w:t>
      </w:r>
      <w:r>
        <w:rPr>
          <w:b/>
          <w:bCs/>
        </w:rPr>
        <w:t>Cost</w:t>
      </w:r>
      <w:r>
        <w:rPr>
          <w:b/>
        </w:rPr>
        <w:t>:</w:t>
      </w:r>
      <w:r>
        <w:t xml:space="preserve">  70 hours x $40.76 = $2,853</w:t>
      </w:r>
    </w:p>
    <w:p w:rsidR="00AC48C9" w:rsidRDefault="00AC48C9" w14:paraId="6B29299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C00000"/>
        </w:rPr>
      </w:pPr>
    </w:p>
    <w:p w:rsidR="00AC48C9" w:rsidRDefault="00C50A6B" w14:paraId="252CABA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(C)</w:t>
      </w:r>
      <w:r>
        <w:rPr>
          <w:b/>
          <w:bCs/>
        </w:rPr>
        <w:tab/>
      </w:r>
      <w:r>
        <w:rPr>
          <w:b/>
          <w:bCs/>
        </w:rPr>
        <w:tab/>
      </w:r>
      <w:r>
        <w:rPr>
          <w:b/>
          <w:u w:val="single"/>
        </w:rPr>
        <w:t>Inspection of and Certification Records for Ropes (§1910.180(g</w:t>
      </w:r>
      <w:proofErr w:type="gramStart"/>
      <w:r>
        <w:rPr>
          <w:b/>
          <w:u w:val="single"/>
        </w:rPr>
        <w:t>)(</w:t>
      </w:r>
      <w:proofErr w:type="gramEnd"/>
      <w:r>
        <w:rPr>
          <w:b/>
          <w:u w:val="single"/>
        </w:rPr>
        <w:t>1) and (g)(2)(ii))</w:t>
      </w:r>
      <w:r>
        <w:t xml:space="preserve"> </w:t>
      </w:r>
    </w:p>
    <w:p w:rsidR="00AC48C9" w:rsidRDefault="00AC48C9" w14:paraId="3DC1981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46F5225E"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If 3,324 cranes are fully operational each year, then employers must inspect the ropes attached to these cranes at least once a month.  In addition, the Agency estimates that employers will use the remaining 175 cranes part-time (i.e., six times a year).  Accordingly, employers must inspect the ropes on these cranes prior to use.  OSHA assumes that a crane operator takes 30 minutes (30/60 hour) to inspect all ropes and to develop and maintain a written certificate for each inspection, resulting in total annual burden hour and cost estimates of:</w:t>
      </w:r>
    </w:p>
    <w:p w:rsidR="00AC48C9" w:rsidRDefault="00AC48C9" w14:paraId="453452D4"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bCs/>
        </w:rPr>
      </w:pPr>
    </w:p>
    <w:p w:rsidR="00AC48C9" w:rsidP="004F1421" w:rsidRDefault="00C50A6B" w14:paraId="035A7153" w14:textId="77777777">
      <w:pPr>
        <w:widowControl/>
        <w:tabs>
          <w:tab w:val="left" w:pos="0"/>
          <w:tab w:val="left" w:pos="360"/>
          <w:tab w:val="left" w:pos="630"/>
          <w:tab w:val="left" w:pos="2160"/>
          <w:tab w:val="left" w:pos="2340"/>
          <w:tab w:val="left" w:pos="2430"/>
          <w:tab w:val="left" w:pos="2880"/>
          <w:tab w:val="left" w:pos="3600"/>
          <w:tab w:val="left" w:pos="4320"/>
          <w:tab w:val="left" w:pos="5040"/>
          <w:tab w:val="left" w:pos="5760"/>
          <w:tab w:val="left" w:pos="6480"/>
          <w:tab w:val="left" w:pos="7200"/>
          <w:tab w:val="left" w:pos="7920"/>
          <w:tab w:val="left" w:pos="8640"/>
          <w:tab w:val="left" w:pos="9360"/>
        </w:tabs>
        <w:ind w:left="630"/>
      </w:pPr>
      <w:r>
        <w:rPr>
          <w:b/>
          <w:bCs/>
        </w:rPr>
        <w:t>Burden hours</w:t>
      </w:r>
      <w:r>
        <w:rPr>
          <w:b/>
        </w:rPr>
        <w:t>:</w:t>
      </w:r>
      <w:r>
        <w:rPr>
          <w:b/>
        </w:rPr>
        <w:tab/>
      </w:r>
      <w:r>
        <w:rPr>
          <w:b/>
        </w:rPr>
        <w:tab/>
      </w:r>
      <w:r>
        <w:t>3,324 fully operational cranes x 12 monthly rope inspections x 30/60 hour</w:t>
      </w:r>
      <w:r w:rsidR="004F1421">
        <w:t xml:space="preserve"> </w:t>
      </w:r>
      <w:r>
        <w:t xml:space="preserve">= 19,944 hours </w:t>
      </w:r>
    </w:p>
    <w:p w:rsidR="00AC48C9" w:rsidRDefault="00AC48C9" w14:paraId="3FBA3C9E" w14:textId="77777777">
      <w:pPr>
        <w:widowControl/>
        <w:tabs>
          <w:tab w:val="left" w:pos="0"/>
          <w:tab w:val="left" w:pos="360"/>
          <w:tab w:val="left" w:pos="630"/>
          <w:tab w:val="left" w:pos="2160"/>
          <w:tab w:val="left" w:pos="2340"/>
          <w:tab w:val="left" w:pos="2430"/>
          <w:tab w:val="left" w:pos="2880"/>
          <w:tab w:val="left" w:pos="3600"/>
          <w:tab w:val="left" w:pos="4320"/>
          <w:tab w:val="left" w:pos="5040"/>
          <w:tab w:val="left" w:pos="5760"/>
          <w:tab w:val="left" w:pos="6480"/>
          <w:tab w:val="left" w:pos="7200"/>
          <w:tab w:val="left" w:pos="7920"/>
          <w:tab w:val="left" w:pos="8640"/>
          <w:tab w:val="left" w:pos="9360"/>
        </w:tabs>
        <w:ind w:left="2430"/>
      </w:pPr>
    </w:p>
    <w:p w:rsidR="00AC48C9" w:rsidRDefault="00C50A6B" w14:paraId="66B44D77" w14:textId="77777777">
      <w:pPr>
        <w:widowControl/>
        <w:tabs>
          <w:tab w:val="left" w:pos="0"/>
          <w:tab w:val="left" w:pos="360"/>
          <w:tab w:val="left" w:pos="63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t>175 part-time cranes x 6 monthly rope inspections x 30/60 hour = 525 hours</w:t>
      </w:r>
    </w:p>
    <w:p w:rsidR="00AC48C9" w:rsidRDefault="00AC48C9" w14:paraId="2E0CC6CB" w14:textId="77777777">
      <w:pPr>
        <w:widowControl/>
        <w:tabs>
          <w:tab w:val="left" w:pos="0"/>
          <w:tab w:val="left" w:pos="360"/>
          <w:tab w:val="left" w:pos="63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firstLine="360"/>
      </w:pPr>
    </w:p>
    <w:p w:rsidR="00AC48C9" w:rsidRDefault="00C50A6B" w14:paraId="3B331730" w14:textId="77777777">
      <w:pPr>
        <w:widowControl/>
        <w:tabs>
          <w:tab w:val="left" w:pos="0"/>
          <w:tab w:val="left" w:pos="360"/>
          <w:tab w:val="left" w:pos="630"/>
          <w:tab w:val="left" w:pos="2340"/>
          <w:tab w:val="left" w:pos="4320"/>
          <w:tab w:val="left" w:pos="5040"/>
          <w:tab w:val="left" w:pos="5760"/>
          <w:tab w:val="left" w:pos="6480"/>
          <w:tab w:val="left" w:pos="7200"/>
          <w:tab w:val="left" w:pos="7920"/>
          <w:tab w:val="left" w:pos="8640"/>
          <w:tab w:val="left" w:pos="9360"/>
        </w:tabs>
        <w:ind w:firstLine="630"/>
      </w:pPr>
      <w:r>
        <w:rPr>
          <w:bCs/>
        </w:rPr>
        <w:t xml:space="preserve">               </w:t>
      </w:r>
      <w:r>
        <w:rPr>
          <w:b/>
          <w:bCs/>
        </w:rPr>
        <w:t>Cost</w:t>
      </w:r>
      <w:r>
        <w:rPr>
          <w:b/>
        </w:rPr>
        <w:t>:</w:t>
      </w:r>
      <w:r>
        <w:t xml:space="preserve">   19,944 hours + 525 hours = 20,469 hours x $40.76 = $834,316</w:t>
      </w:r>
    </w:p>
    <w:p w:rsidR="00AC48C9" w:rsidRDefault="00AC48C9" w14:paraId="320D642E" w14:textId="77777777">
      <w:pPr>
        <w:widowControl/>
        <w:tabs>
          <w:tab w:val="left" w:pos="0"/>
          <w:tab w:val="left" w:pos="360"/>
          <w:tab w:val="left" w:pos="630"/>
          <w:tab w:val="left" w:pos="2340"/>
          <w:tab w:val="left" w:pos="4320"/>
          <w:tab w:val="left" w:pos="5040"/>
          <w:tab w:val="left" w:pos="5760"/>
          <w:tab w:val="left" w:pos="6480"/>
          <w:tab w:val="left" w:pos="7200"/>
          <w:tab w:val="left" w:pos="7920"/>
          <w:tab w:val="left" w:pos="8640"/>
          <w:tab w:val="left" w:pos="9360"/>
        </w:tabs>
        <w:ind w:firstLine="630"/>
      </w:pPr>
    </w:p>
    <w:p w:rsidR="00AC48C9" w:rsidRDefault="00C50A6B" w14:paraId="2AF2775B" w14:textId="77777777">
      <w:r>
        <w:t xml:space="preserve">Table 2 below provides </w:t>
      </w:r>
      <w:r w:rsidR="00AE7D44">
        <w:t xml:space="preserve">the estimated </w:t>
      </w:r>
      <w:r>
        <w:t>burden hour</w:t>
      </w:r>
      <w:r w:rsidR="00AE7D44">
        <w:t>s</w:t>
      </w:r>
      <w:r>
        <w:t xml:space="preserve"> and cost</w:t>
      </w:r>
      <w:r w:rsidR="00AE7D44">
        <w:t>s</w:t>
      </w:r>
      <w:r>
        <w:t xml:space="preserve"> for the information collection requirements specified by the Standard.</w:t>
      </w:r>
    </w:p>
    <w:p w:rsidR="00962ACB" w:rsidRDefault="00962ACB" w14:paraId="32D9B0DB" w14:textId="77777777">
      <w:pPr>
        <w:widowControl/>
        <w:autoSpaceDE/>
        <w:rPr>
          <w:b/>
          <w:sz w:val="22"/>
          <w:szCs w:val="22"/>
        </w:rPr>
      </w:pPr>
      <w:r>
        <w:rPr>
          <w:b/>
          <w:sz w:val="22"/>
          <w:szCs w:val="22"/>
        </w:rPr>
        <w:br w:type="page"/>
      </w:r>
    </w:p>
    <w:p w:rsidR="00252365" w:rsidP="00252365" w:rsidRDefault="00252365" w14:paraId="64629062" w14:textId="77777777">
      <w:pPr>
        <w:rPr>
          <w:b/>
          <w:sz w:val="22"/>
          <w:szCs w:val="22"/>
        </w:rPr>
      </w:pPr>
    </w:p>
    <w:p w:rsidR="00AC48C9" w:rsidRDefault="00AC48C9" w14:paraId="3449DCBD" w14:textId="77777777">
      <w:pPr>
        <w:rPr>
          <w:b/>
          <w:sz w:val="22"/>
          <w:szCs w:val="22"/>
        </w:rPr>
      </w:pPr>
    </w:p>
    <w:tbl>
      <w:tblPr>
        <w:tblW w:w="13530" w:type="dxa"/>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010"/>
        <w:gridCol w:w="1530"/>
        <w:gridCol w:w="1620"/>
        <w:gridCol w:w="1530"/>
        <w:gridCol w:w="1350"/>
        <w:gridCol w:w="1350"/>
        <w:gridCol w:w="1080"/>
        <w:gridCol w:w="1260"/>
        <w:gridCol w:w="1800"/>
      </w:tblGrid>
      <w:tr w:rsidRPr="00265256" w:rsidR="009E4E29" w:rsidTr="00C002D6" w14:paraId="4DC1E6C9" w14:textId="77777777">
        <w:trPr>
          <w:trHeight w:val="1088"/>
          <w:tblHeader/>
        </w:trPr>
        <w:tc>
          <w:tcPr>
            <w:tcW w:w="13530" w:type="dxa"/>
            <w:gridSpan w:val="9"/>
            <w:shd w:val="clear" w:color="auto" w:fill="DEEAF6"/>
          </w:tcPr>
          <w:p w:rsidRPr="00265256" w:rsidR="009E4E29" w:rsidP="00E832F6" w:rsidRDefault="009E4E29" w14:paraId="10A61009" w14:textId="77777777">
            <w:pPr>
              <w:rPr>
                <w:b/>
              </w:rPr>
            </w:pPr>
            <w:r w:rsidRPr="00265256">
              <w:rPr>
                <w:b/>
              </w:rPr>
              <w:t xml:space="preserve">                                                                              TABLE </w:t>
            </w:r>
            <w:r w:rsidR="00E832F6">
              <w:rPr>
                <w:b/>
              </w:rPr>
              <w:t>2</w:t>
            </w:r>
            <w:r w:rsidR="0045692F">
              <w:rPr>
                <w:b/>
              </w:rPr>
              <w:t xml:space="preserve"> </w:t>
            </w:r>
            <w:r w:rsidRPr="00265256">
              <w:rPr>
                <w:b/>
              </w:rPr>
              <w:t xml:space="preserve">- Estimated Respondent Hour </w:t>
            </w:r>
            <w:r w:rsidR="00350F43">
              <w:rPr>
                <w:b/>
              </w:rPr>
              <w:t xml:space="preserve">and </w:t>
            </w:r>
            <w:r w:rsidR="00E832F6">
              <w:rPr>
                <w:b/>
              </w:rPr>
              <w:t>Cost Burden</w:t>
            </w:r>
          </w:p>
        </w:tc>
      </w:tr>
      <w:tr w:rsidRPr="00265256" w:rsidR="009E4E29" w:rsidTr="00C002D6" w14:paraId="5B2FF92D" w14:textId="77777777">
        <w:trPr>
          <w:trHeight w:val="1088"/>
          <w:tblHeader/>
        </w:trPr>
        <w:tc>
          <w:tcPr>
            <w:tcW w:w="2010" w:type="dxa"/>
            <w:shd w:val="clear" w:color="auto" w:fill="DEEAF6"/>
            <w:hideMark/>
          </w:tcPr>
          <w:p w:rsidRPr="00265256" w:rsidR="009E4E29" w:rsidP="001F5885" w:rsidRDefault="009E4E29" w14:paraId="22BF8BBB" w14:textId="77777777">
            <w:pPr>
              <w:rPr>
                <w:b/>
              </w:rPr>
            </w:pPr>
            <w:r w:rsidRPr="00265256">
              <w:rPr>
                <w:b/>
              </w:rPr>
              <w:t xml:space="preserve">Information Collection Requirement </w:t>
            </w:r>
          </w:p>
          <w:p w:rsidRPr="00265256" w:rsidR="009E4E29" w:rsidP="001F5885" w:rsidRDefault="009E4E29" w14:paraId="29604F30" w14:textId="77777777">
            <w:pPr>
              <w:rPr>
                <w:b/>
              </w:rPr>
            </w:pPr>
          </w:p>
        </w:tc>
        <w:tc>
          <w:tcPr>
            <w:tcW w:w="1530" w:type="dxa"/>
            <w:shd w:val="clear" w:color="auto" w:fill="DEEAF6"/>
            <w:hideMark/>
          </w:tcPr>
          <w:p w:rsidRPr="00265256" w:rsidR="009E4E29" w:rsidP="001F5885" w:rsidRDefault="00452C77" w14:paraId="6ECABE80" w14:textId="77777777">
            <w:pPr>
              <w:rPr>
                <w:b/>
              </w:rPr>
            </w:pPr>
            <w:r>
              <w:rPr>
                <w:b/>
              </w:rPr>
              <w:t>Type of Respondent</w:t>
            </w:r>
          </w:p>
        </w:tc>
        <w:tc>
          <w:tcPr>
            <w:tcW w:w="1620" w:type="dxa"/>
            <w:shd w:val="clear" w:color="auto" w:fill="DEEAF6"/>
            <w:hideMark/>
          </w:tcPr>
          <w:p w:rsidRPr="00265256" w:rsidR="009E4E29" w:rsidP="001F5885" w:rsidRDefault="009E4E29" w14:paraId="72FB1B13" w14:textId="77777777">
            <w:pPr>
              <w:rPr>
                <w:b/>
              </w:rPr>
            </w:pPr>
            <w:r w:rsidRPr="00265256">
              <w:rPr>
                <w:b/>
              </w:rPr>
              <w:t xml:space="preserve">No. of </w:t>
            </w:r>
          </w:p>
          <w:p w:rsidRPr="00265256" w:rsidR="009E4E29" w:rsidP="001F5885" w:rsidRDefault="009E4E29" w14:paraId="264A9B5E" w14:textId="77777777">
            <w:pPr>
              <w:rPr>
                <w:b/>
              </w:rPr>
            </w:pPr>
            <w:r w:rsidRPr="00265256">
              <w:rPr>
                <w:b/>
              </w:rPr>
              <w:t>Respondents</w:t>
            </w:r>
          </w:p>
        </w:tc>
        <w:tc>
          <w:tcPr>
            <w:tcW w:w="1530" w:type="dxa"/>
            <w:shd w:val="clear" w:color="auto" w:fill="DEEAF6"/>
            <w:hideMark/>
          </w:tcPr>
          <w:p w:rsidRPr="00265256" w:rsidR="009E4E29" w:rsidP="001F5885" w:rsidRDefault="009E4E29" w14:paraId="17373B8B" w14:textId="77777777">
            <w:pPr>
              <w:rPr>
                <w:b/>
              </w:rPr>
            </w:pPr>
            <w:r w:rsidRPr="00265256">
              <w:rPr>
                <w:b/>
              </w:rPr>
              <w:t>No. of Responses per Respondent</w:t>
            </w:r>
          </w:p>
        </w:tc>
        <w:tc>
          <w:tcPr>
            <w:tcW w:w="1350" w:type="dxa"/>
            <w:shd w:val="clear" w:color="auto" w:fill="DEEAF6"/>
            <w:hideMark/>
          </w:tcPr>
          <w:p w:rsidRPr="00265256" w:rsidR="009E4E29" w:rsidP="001F5885" w:rsidRDefault="009E4E29" w14:paraId="3CF40788" w14:textId="77777777">
            <w:pPr>
              <w:rPr>
                <w:b/>
              </w:rPr>
            </w:pPr>
            <w:r w:rsidRPr="00265256">
              <w:rPr>
                <w:b/>
              </w:rPr>
              <w:t>Total No.  of Responses</w:t>
            </w:r>
          </w:p>
        </w:tc>
        <w:tc>
          <w:tcPr>
            <w:tcW w:w="1350" w:type="dxa"/>
            <w:shd w:val="clear" w:color="auto" w:fill="DEEAF6"/>
            <w:hideMark/>
          </w:tcPr>
          <w:p w:rsidRPr="00265256" w:rsidR="009E4E29" w:rsidP="001F5885" w:rsidRDefault="009E4E29" w14:paraId="78D1C38B" w14:textId="77777777">
            <w:pPr>
              <w:rPr>
                <w:b/>
              </w:rPr>
            </w:pPr>
            <w:r w:rsidRPr="00265256">
              <w:rPr>
                <w:b/>
              </w:rPr>
              <w:t>Avg.</w:t>
            </w:r>
          </w:p>
          <w:p w:rsidRPr="00265256" w:rsidR="009E4E29" w:rsidP="001F5885" w:rsidRDefault="009E4E29" w14:paraId="2247B537" w14:textId="77777777">
            <w:pPr>
              <w:rPr>
                <w:b/>
              </w:rPr>
            </w:pPr>
            <w:r w:rsidRPr="00265256">
              <w:rPr>
                <w:b/>
              </w:rPr>
              <w:t>Burden per Response (In Hrs.)</w:t>
            </w:r>
          </w:p>
        </w:tc>
        <w:tc>
          <w:tcPr>
            <w:tcW w:w="1080" w:type="dxa"/>
            <w:shd w:val="clear" w:color="auto" w:fill="DEEAF6"/>
            <w:hideMark/>
          </w:tcPr>
          <w:p w:rsidRPr="00265256" w:rsidR="009E4E29" w:rsidP="001F5885" w:rsidRDefault="00350F43" w14:paraId="33FFD36D" w14:textId="77777777">
            <w:pPr>
              <w:rPr>
                <w:b/>
              </w:rPr>
            </w:pPr>
            <w:r>
              <w:rPr>
                <w:b/>
              </w:rPr>
              <w:t xml:space="preserve">Total Burden Hours </w:t>
            </w:r>
          </w:p>
        </w:tc>
        <w:tc>
          <w:tcPr>
            <w:tcW w:w="1260" w:type="dxa"/>
            <w:shd w:val="clear" w:color="auto" w:fill="DEEAF6"/>
            <w:hideMark/>
          </w:tcPr>
          <w:p w:rsidRPr="00265256" w:rsidR="009E4E29" w:rsidP="001F5885" w:rsidRDefault="009E4E29" w14:paraId="785ECB45" w14:textId="77777777">
            <w:pPr>
              <w:rPr>
                <w:b/>
              </w:rPr>
            </w:pPr>
            <w:r w:rsidRPr="00265256">
              <w:rPr>
                <w:b/>
              </w:rPr>
              <w:t>Avg.  Hourly Wage Rate</w:t>
            </w:r>
          </w:p>
        </w:tc>
        <w:tc>
          <w:tcPr>
            <w:tcW w:w="1800" w:type="dxa"/>
            <w:shd w:val="clear" w:color="auto" w:fill="DEEAF6"/>
            <w:hideMark/>
          </w:tcPr>
          <w:p w:rsidRPr="00265256" w:rsidR="009E4E29" w:rsidP="00452C77" w:rsidRDefault="009E4E29" w14:paraId="67A90BA0" w14:textId="77777777">
            <w:pPr>
              <w:rPr>
                <w:b/>
              </w:rPr>
            </w:pPr>
            <w:r w:rsidRPr="00265256">
              <w:rPr>
                <w:b/>
              </w:rPr>
              <w:t xml:space="preserve">Total Burden Costs </w:t>
            </w:r>
          </w:p>
        </w:tc>
      </w:tr>
      <w:tr w:rsidRPr="00265256" w:rsidR="00930B58" w:rsidTr="00C002D6" w14:paraId="35462590" w14:textId="77777777">
        <w:trPr>
          <w:trHeight w:val="940"/>
        </w:trPr>
        <w:tc>
          <w:tcPr>
            <w:tcW w:w="2010" w:type="dxa"/>
            <w:shd w:val="clear" w:color="auto" w:fill="auto"/>
          </w:tcPr>
          <w:p w:rsidRPr="002B4D5E" w:rsidR="00930B58" w:rsidP="002B4D5E" w:rsidRDefault="002B4D5E" w14:paraId="5A771D72" w14:textId="77777777">
            <w:pPr>
              <w:rPr>
                <w:b/>
                <w:bCs/>
                <w:color w:val="000000"/>
              </w:rPr>
            </w:pPr>
            <w:r>
              <w:rPr>
                <w:sz w:val="22"/>
                <w:szCs w:val="22"/>
              </w:rPr>
              <w:t xml:space="preserve">(A) </w:t>
            </w:r>
            <w:r w:rsidRPr="002B4D5E" w:rsidR="00930B58">
              <w:rPr>
                <w:sz w:val="22"/>
                <w:szCs w:val="22"/>
              </w:rPr>
              <w:t>Inspection of and Certification Records of Cranes ((§§ 1910.180(d)(4) and</w:t>
            </w:r>
            <w:r w:rsidRPr="002B4D5E" w:rsidR="00930B58">
              <w:rPr>
                <w:sz w:val="22"/>
                <w:szCs w:val="22"/>
                <w:u w:val="single"/>
              </w:rPr>
              <w:t xml:space="preserve"> </w:t>
            </w:r>
            <w:r w:rsidRPr="002B4D5E" w:rsidR="00930B58">
              <w:rPr>
                <w:sz w:val="22"/>
                <w:szCs w:val="22"/>
              </w:rPr>
              <w:t>(d)(6)</w:t>
            </w:r>
          </w:p>
        </w:tc>
        <w:tc>
          <w:tcPr>
            <w:tcW w:w="1530" w:type="dxa"/>
            <w:shd w:val="clear" w:color="auto" w:fill="auto"/>
            <w:noWrap/>
          </w:tcPr>
          <w:p w:rsidRPr="00265256" w:rsidR="00930B58" w:rsidP="00930B58" w:rsidRDefault="00930B58" w14:paraId="26B1800C" w14:textId="77777777">
            <w:r>
              <w:t>Crane and Tower Operator</w:t>
            </w:r>
          </w:p>
        </w:tc>
        <w:tc>
          <w:tcPr>
            <w:tcW w:w="1620" w:type="dxa"/>
            <w:shd w:val="clear" w:color="auto" w:fill="auto"/>
            <w:noWrap/>
          </w:tcPr>
          <w:p w:rsidRPr="00265256" w:rsidR="00930B58" w:rsidP="00930B58" w:rsidRDefault="00930B58" w14:paraId="028A19D7" w14:textId="77777777">
            <w:r>
              <w:rPr>
                <w:sz w:val="22"/>
                <w:szCs w:val="22"/>
              </w:rPr>
              <w:t>3,324</w:t>
            </w:r>
          </w:p>
        </w:tc>
        <w:tc>
          <w:tcPr>
            <w:tcW w:w="1530" w:type="dxa"/>
            <w:shd w:val="clear" w:color="auto" w:fill="auto"/>
            <w:noWrap/>
          </w:tcPr>
          <w:p w:rsidRPr="00265256" w:rsidR="00930B58" w:rsidP="00930B58" w:rsidRDefault="00E277C6" w14:paraId="070DF98B" w14:textId="77777777">
            <w:r>
              <w:t>1</w:t>
            </w:r>
            <w:r w:rsidR="00450028">
              <w:t>2</w:t>
            </w:r>
          </w:p>
        </w:tc>
        <w:tc>
          <w:tcPr>
            <w:tcW w:w="1350" w:type="dxa"/>
            <w:shd w:val="clear" w:color="auto" w:fill="auto"/>
            <w:noWrap/>
          </w:tcPr>
          <w:p w:rsidRPr="00265256" w:rsidR="00930B58" w:rsidP="002638E0" w:rsidRDefault="00930B58" w14:paraId="3E2AF1F6" w14:textId="77777777">
            <w:r>
              <w:rPr>
                <w:sz w:val="22"/>
                <w:szCs w:val="22"/>
              </w:rPr>
              <w:t>3</w:t>
            </w:r>
            <w:r w:rsidR="002638E0">
              <w:rPr>
                <w:sz w:val="22"/>
                <w:szCs w:val="22"/>
              </w:rPr>
              <w:t>9</w:t>
            </w:r>
            <w:r>
              <w:rPr>
                <w:sz w:val="22"/>
                <w:szCs w:val="22"/>
              </w:rPr>
              <w:t>,</w:t>
            </w:r>
            <w:r w:rsidR="002638E0">
              <w:rPr>
                <w:sz w:val="22"/>
                <w:szCs w:val="22"/>
              </w:rPr>
              <w:t>888</w:t>
            </w:r>
          </w:p>
        </w:tc>
        <w:tc>
          <w:tcPr>
            <w:tcW w:w="1350" w:type="dxa"/>
            <w:shd w:val="clear" w:color="auto" w:fill="auto"/>
            <w:noWrap/>
          </w:tcPr>
          <w:p w:rsidRPr="00265256" w:rsidR="00930B58" w:rsidP="00930B58" w:rsidRDefault="00B71E9D" w14:paraId="10913823" w14:textId="77777777">
            <w:r>
              <w:t>15/60</w:t>
            </w:r>
          </w:p>
        </w:tc>
        <w:tc>
          <w:tcPr>
            <w:tcW w:w="1080" w:type="dxa"/>
            <w:shd w:val="clear" w:color="auto" w:fill="auto"/>
            <w:noWrap/>
          </w:tcPr>
          <w:p w:rsidRPr="00265256" w:rsidR="00930B58" w:rsidP="00930B58" w:rsidRDefault="00930B58" w14:paraId="2E234FBD" w14:textId="77777777">
            <w:r>
              <w:rPr>
                <w:sz w:val="22"/>
                <w:szCs w:val="22"/>
              </w:rPr>
              <w:t>9,972</w:t>
            </w:r>
          </w:p>
        </w:tc>
        <w:tc>
          <w:tcPr>
            <w:tcW w:w="1260" w:type="dxa"/>
            <w:shd w:val="clear" w:color="auto" w:fill="auto"/>
            <w:noWrap/>
          </w:tcPr>
          <w:p w:rsidRPr="00265256" w:rsidR="00930B58" w:rsidP="00930B58" w:rsidRDefault="00930B58" w14:paraId="1BB6C1E8" w14:textId="77777777">
            <w:r>
              <w:t>$40.76</w:t>
            </w:r>
          </w:p>
        </w:tc>
        <w:tc>
          <w:tcPr>
            <w:tcW w:w="1800" w:type="dxa"/>
            <w:shd w:val="clear" w:color="auto" w:fill="auto"/>
            <w:noWrap/>
          </w:tcPr>
          <w:p w:rsidRPr="00265256" w:rsidR="00930B58" w:rsidP="00930B58" w:rsidRDefault="00930B58" w14:paraId="4D399641" w14:textId="77777777">
            <w:r>
              <w:rPr>
                <w:sz w:val="22"/>
                <w:szCs w:val="22"/>
              </w:rPr>
              <w:t>$406,459</w:t>
            </w:r>
          </w:p>
        </w:tc>
      </w:tr>
      <w:tr w:rsidRPr="00265256" w:rsidR="00054F7E" w:rsidTr="00C002D6" w14:paraId="25995455" w14:textId="77777777">
        <w:trPr>
          <w:trHeight w:val="940"/>
        </w:trPr>
        <w:tc>
          <w:tcPr>
            <w:tcW w:w="2010" w:type="dxa"/>
            <w:shd w:val="clear" w:color="auto" w:fill="auto"/>
          </w:tcPr>
          <w:p w:rsidRPr="00C002D6" w:rsidR="00054F7E" w:rsidP="00C002D6" w:rsidRDefault="00054F7E" w14:paraId="5F1BD901" w14:textId="77777777">
            <w:pPr>
              <w:pStyle w:val="ListParagraph"/>
              <w:numPr>
                <w:ilvl w:val="0"/>
                <w:numId w:val="9"/>
              </w:numPr>
              <w:ind w:left="366"/>
              <w:rPr>
                <w:sz w:val="22"/>
                <w:szCs w:val="22"/>
              </w:rPr>
            </w:pPr>
            <w:r w:rsidRPr="00C002D6">
              <w:rPr>
                <w:sz w:val="22"/>
                <w:szCs w:val="22"/>
              </w:rPr>
              <w:t xml:space="preserve">Rated Load Tests </w:t>
            </w:r>
          </w:p>
          <w:p w:rsidRPr="00265256" w:rsidR="00054F7E" w:rsidP="00054F7E" w:rsidRDefault="00054F7E" w14:paraId="4A60F772" w14:textId="77777777">
            <w:pPr>
              <w:rPr>
                <w:bCs/>
                <w:color w:val="000000"/>
              </w:rPr>
            </w:pPr>
            <w:r>
              <w:rPr>
                <w:sz w:val="22"/>
                <w:szCs w:val="22"/>
              </w:rPr>
              <w:t>§1910.180 (e)(2))</w:t>
            </w:r>
          </w:p>
        </w:tc>
        <w:tc>
          <w:tcPr>
            <w:tcW w:w="1530" w:type="dxa"/>
            <w:shd w:val="clear" w:color="auto" w:fill="auto"/>
            <w:noWrap/>
          </w:tcPr>
          <w:p w:rsidRPr="00265256" w:rsidR="00054F7E" w:rsidP="00054F7E" w:rsidRDefault="00054F7E" w14:paraId="0501A277" w14:textId="77777777">
            <w:r>
              <w:t>Crane and Tower Operator</w:t>
            </w:r>
          </w:p>
        </w:tc>
        <w:tc>
          <w:tcPr>
            <w:tcW w:w="1620" w:type="dxa"/>
            <w:shd w:val="clear" w:color="auto" w:fill="auto"/>
            <w:noWrap/>
          </w:tcPr>
          <w:p w:rsidRPr="00265256" w:rsidR="00054F7E" w:rsidP="00054F7E" w:rsidRDefault="0051649F" w14:paraId="2AC25EBD" w14:textId="77777777">
            <w:r>
              <w:t>70</w:t>
            </w:r>
          </w:p>
        </w:tc>
        <w:tc>
          <w:tcPr>
            <w:tcW w:w="1530" w:type="dxa"/>
            <w:shd w:val="clear" w:color="auto" w:fill="auto"/>
            <w:noWrap/>
          </w:tcPr>
          <w:p w:rsidRPr="00265256" w:rsidR="00054F7E" w:rsidP="00054F7E" w:rsidRDefault="00E277C6" w14:paraId="7DB93247" w14:textId="77777777">
            <w:r>
              <w:t>1</w:t>
            </w:r>
          </w:p>
        </w:tc>
        <w:tc>
          <w:tcPr>
            <w:tcW w:w="1350" w:type="dxa"/>
            <w:shd w:val="clear" w:color="auto" w:fill="auto"/>
            <w:noWrap/>
          </w:tcPr>
          <w:p w:rsidRPr="00265256" w:rsidR="00054F7E" w:rsidP="00054F7E" w:rsidRDefault="007172FD" w14:paraId="44CAC1C8" w14:textId="77777777">
            <w:r>
              <w:rPr>
                <w:sz w:val="22"/>
                <w:szCs w:val="22"/>
              </w:rPr>
              <w:t>70</w:t>
            </w:r>
          </w:p>
        </w:tc>
        <w:tc>
          <w:tcPr>
            <w:tcW w:w="1350" w:type="dxa"/>
            <w:shd w:val="clear" w:color="auto" w:fill="auto"/>
            <w:noWrap/>
          </w:tcPr>
          <w:p w:rsidRPr="00265256" w:rsidR="00054F7E" w:rsidP="00054F7E" w:rsidRDefault="002638E0" w14:paraId="3178F664" w14:textId="77777777">
            <w:r>
              <w:t>1</w:t>
            </w:r>
            <w:r w:rsidR="00054F7E">
              <w:t xml:space="preserve"> </w:t>
            </w:r>
          </w:p>
        </w:tc>
        <w:tc>
          <w:tcPr>
            <w:tcW w:w="1080" w:type="dxa"/>
            <w:shd w:val="clear" w:color="auto" w:fill="auto"/>
            <w:noWrap/>
          </w:tcPr>
          <w:p w:rsidRPr="00265256" w:rsidR="00054F7E" w:rsidP="002638E0" w:rsidRDefault="002638E0" w14:paraId="089120EA" w14:textId="77777777">
            <w:r>
              <w:rPr>
                <w:sz w:val="22"/>
                <w:szCs w:val="22"/>
              </w:rPr>
              <w:t>70</w:t>
            </w:r>
          </w:p>
        </w:tc>
        <w:tc>
          <w:tcPr>
            <w:tcW w:w="1260" w:type="dxa"/>
            <w:shd w:val="clear" w:color="auto" w:fill="auto"/>
            <w:noWrap/>
          </w:tcPr>
          <w:p w:rsidRPr="00265256" w:rsidR="00054F7E" w:rsidP="00054F7E" w:rsidRDefault="00054F7E" w14:paraId="42A86888" w14:textId="77777777">
            <w:r>
              <w:t>$40.76</w:t>
            </w:r>
          </w:p>
        </w:tc>
        <w:tc>
          <w:tcPr>
            <w:tcW w:w="1800" w:type="dxa"/>
            <w:shd w:val="clear" w:color="auto" w:fill="auto"/>
            <w:noWrap/>
          </w:tcPr>
          <w:p w:rsidRPr="00265256" w:rsidR="00054F7E" w:rsidP="002638E0" w:rsidRDefault="003712CB" w14:paraId="51BEF3BC" w14:textId="77777777">
            <w:r>
              <w:t>$</w:t>
            </w:r>
            <w:r w:rsidR="002638E0">
              <w:t>2,853</w:t>
            </w:r>
          </w:p>
        </w:tc>
      </w:tr>
      <w:tr w:rsidRPr="00265256" w:rsidR="00054F7E" w:rsidTr="00C002D6" w14:paraId="32C366C2" w14:textId="77777777">
        <w:trPr>
          <w:trHeight w:val="940"/>
        </w:trPr>
        <w:tc>
          <w:tcPr>
            <w:tcW w:w="2010" w:type="dxa"/>
            <w:shd w:val="clear" w:color="auto" w:fill="auto"/>
            <w:hideMark/>
          </w:tcPr>
          <w:p w:rsidRPr="00C002D6" w:rsidR="00054F7E" w:rsidP="00C002D6" w:rsidRDefault="00054F7E" w14:paraId="0644FCFA" w14:textId="09A9B3FA">
            <w:pPr>
              <w:pStyle w:val="ListParagraph"/>
              <w:numPr>
                <w:ilvl w:val="0"/>
                <w:numId w:val="8"/>
              </w:numPr>
              <w:tabs>
                <w:tab w:val="left" w:pos="-18"/>
                <w:tab w:val="left" w:pos="162"/>
                <w:tab w:val="left" w:pos="342"/>
              </w:tabs>
              <w:ind w:left="366"/>
              <w:rPr>
                <w:sz w:val="22"/>
                <w:szCs w:val="22"/>
              </w:rPr>
            </w:pPr>
            <w:r w:rsidRPr="00C002D6">
              <w:rPr>
                <w:sz w:val="22"/>
                <w:szCs w:val="22"/>
              </w:rPr>
              <w:t>Inspection of</w:t>
            </w:r>
            <w:r w:rsidR="00623888">
              <w:rPr>
                <w:sz w:val="22"/>
                <w:szCs w:val="22"/>
              </w:rPr>
              <w:t xml:space="preserve"> </w:t>
            </w:r>
            <w:r w:rsidRPr="00C002D6">
              <w:rPr>
                <w:sz w:val="22"/>
                <w:szCs w:val="22"/>
              </w:rPr>
              <w:t>and</w:t>
            </w:r>
          </w:p>
          <w:p w:rsidRPr="00265256" w:rsidR="00054F7E" w:rsidP="00054F7E" w:rsidRDefault="00054F7E" w14:paraId="1FA9A9DC" w14:textId="77777777">
            <w:r>
              <w:rPr>
                <w:sz w:val="22"/>
                <w:szCs w:val="22"/>
              </w:rPr>
              <w:t xml:space="preserve">  Certification Records for</w:t>
            </w:r>
            <w:r>
              <w:rPr>
                <w:b/>
                <w:sz w:val="22"/>
                <w:szCs w:val="22"/>
              </w:rPr>
              <w:t xml:space="preserve"> </w:t>
            </w:r>
            <w:r>
              <w:rPr>
                <w:sz w:val="22"/>
                <w:szCs w:val="22"/>
              </w:rPr>
              <w:t>Rope (§1910.180(g)(1)</w:t>
            </w:r>
            <w:r>
              <w:rPr>
                <w:sz w:val="22"/>
                <w:szCs w:val="22"/>
                <w:u w:val="single"/>
              </w:rPr>
              <w:t xml:space="preserve"> </w:t>
            </w:r>
            <w:r>
              <w:rPr>
                <w:sz w:val="22"/>
                <w:szCs w:val="22"/>
              </w:rPr>
              <w:t>and (g)(2)(ii))</w:t>
            </w:r>
          </w:p>
        </w:tc>
        <w:tc>
          <w:tcPr>
            <w:tcW w:w="1530" w:type="dxa"/>
            <w:shd w:val="clear" w:color="auto" w:fill="auto"/>
            <w:noWrap/>
            <w:hideMark/>
          </w:tcPr>
          <w:p w:rsidRPr="00265256" w:rsidR="00054F7E" w:rsidP="00054F7E" w:rsidRDefault="00054F7E" w14:paraId="4AE628C0" w14:textId="77777777">
            <w:r w:rsidRPr="00265256">
              <w:t>First Line Supervisor</w:t>
            </w:r>
          </w:p>
        </w:tc>
        <w:tc>
          <w:tcPr>
            <w:tcW w:w="1620" w:type="dxa"/>
            <w:shd w:val="clear" w:color="auto" w:fill="auto"/>
            <w:noWrap/>
          </w:tcPr>
          <w:p w:rsidRPr="00265256" w:rsidR="00054F7E" w:rsidP="00054F7E" w:rsidRDefault="00450028" w14:paraId="7AB620B1" w14:textId="77777777">
            <w:r>
              <w:t>3,499</w:t>
            </w:r>
          </w:p>
        </w:tc>
        <w:tc>
          <w:tcPr>
            <w:tcW w:w="1530" w:type="dxa"/>
            <w:shd w:val="clear" w:color="auto" w:fill="auto"/>
            <w:noWrap/>
          </w:tcPr>
          <w:p w:rsidRPr="00265256" w:rsidR="00054F7E" w:rsidP="00450028" w:rsidRDefault="002638E0" w14:paraId="3811296D" w14:textId="77777777">
            <w:r>
              <w:t>11.7</w:t>
            </w:r>
          </w:p>
        </w:tc>
        <w:tc>
          <w:tcPr>
            <w:tcW w:w="1350" w:type="dxa"/>
            <w:shd w:val="clear" w:color="auto" w:fill="auto"/>
            <w:noWrap/>
          </w:tcPr>
          <w:p w:rsidRPr="00265256" w:rsidR="00054F7E" w:rsidP="00450028" w:rsidRDefault="00450028" w14:paraId="056F0FA5" w14:textId="77777777">
            <w:r>
              <w:t>40,938</w:t>
            </w:r>
          </w:p>
        </w:tc>
        <w:tc>
          <w:tcPr>
            <w:tcW w:w="1350" w:type="dxa"/>
            <w:shd w:val="clear" w:color="auto" w:fill="auto"/>
            <w:noWrap/>
            <w:hideMark/>
          </w:tcPr>
          <w:p w:rsidRPr="00265256" w:rsidR="00054F7E" w:rsidP="00054F7E" w:rsidRDefault="00054F7E" w14:paraId="10B7E6A4" w14:textId="77777777">
            <w:r>
              <w:t xml:space="preserve">30/60 </w:t>
            </w:r>
          </w:p>
        </w:tc>
        <w:tc>
          <w:tcPr>
            <w:tcW w:w="1080" w:type="dxa"/>
            <w:shd w:val="clear" w:color="auto" w:fill="auto"/>
            <w:noWrap/>
          </w:tcPr>
          <w:p w:rsidRPr="00265256" w:rsidR="00054F7E" w:rsidP="00054F7E" w:rsidRDefault="00054F7E" w14:paraId="7A17CFCE" w14:textId="77777777">
            <w:r>
              <w:rPr>
                <w:sz w:val="22"/>
                <w:szCs w:val="22"/>
              </w:rPr>
              <w:t>20,469</w:t>
            </w:r>
          </w:p>
        </w:tc>
        <w:tc>
          <w:tcPr>
            <w:tcW w:w="1260" w:type="dxa"/>
            <w:shd w:val="clear" w:color="auto" w:fill="auto"/>
            <w:noWrap/>
          </w:tcPr>
          <w:p w:rsidRPr="00265256" w:rsidR="00054F7E" w:rsidP="00054F7E" w:rsidRDefault="00054F7E" w14:paraId="7E8C14CF" w14:textId="77777777">
            <w:r>
              <w:t>$40.76</w:t>
            </w:r>
          </w:p>
        </w:tc>
        <w:tc>
          <w:tcPr>
            <w:tcW w:w="1800" w:type="dxa"/>
            <w:shd w:val="clear" w:color="auto" w:fill="auto"/>
            <w:noWrap/>
          </w:tcPr>
          <w:p w:rsidRPr="00265256" w:rsidR="00054F7E" w:rsidP="00054F7E" w:rsidRDefault="003712CB" w14:paraId="5F073685" w14:textId="77777777">
            <w:r>
              <w:t>$834,316</w:t>
            </w:r>
          </w:p>
        </w:tc>
      </w:tr>
      <w:tr w:rsidRPr="00265256" w:rsidR="00476526" w:rsidTr="00C002D6" w14:paraId="792AC465" w14:textId="77777777">
        <w:trPr>
          <w:trHeight w:val="413"/>
        </w:trPr>
        <w:tc>
          <w:tcPr>
            <w:tcW w:w="2010" w:type="dxa"/>
            <w:shd w:val="clear" w:color="auto" w:fill="auto"/>
            <w:vAlign w:val="center"/>
          </w:tcPr>
          <w:p w:rsidRPr="00265256" w:rsidR="00476526" w:rsidP="00476526" w:rsidRDefault="00476526" w14:paraId="0F741F7C" w14:textId="77777777">
            <w:pPr>
              <w:rPr>
                <w:b/>
                <w:bCs/>
                <w:color w:val="000000"/>
              </w:rPr>
            </w:pPr>
            <w:r w:rsidRPr="00265256">
              <w:rPr>
                <w:b/>
                <w:bCs/>
                <w:color w:val="000000"/>
              </w:rPr>
              <w:t>Totals</w:t>
            </w:r>
          </w:p>
        </w:tc>
        <w:tc>
          <w:tcPr>
            <w:tcW w:w="1530" w:type="dxa"/>
            <w:shd w:val="clear" w:color="auto" w:fill="DEEAF6" w:themeFill="accent1" w:themeFillTint="33"/>
            <w:noWrap/>
          </w:tcPr>
          <w:p w:rsidRPr="00265256" w:rsidR="00476526" w:rsidP="00476526" w:rsidRDefault="00476526" w14:paraId="74E8A3F2" w14:textId="77777777"/>
        </w:tc>
        <w:tc>
          <w:tcPr>
            <w:tcW w:w="1620" w:type="dxa"/>
            <w:shd w:val="clear" w:color="auto" w:fill="DEEAF6" w:themeFill="accent1" w:themeFillTint="33"/>
            <w:noWrap/>
          </w:tcPr>
          <w:p w:rsidRPr="00E50DC0" w:rsidR="00476526" w:rsidP="00476526" w:rsidRDefault="00476526" w14:paraId="1BE67B32" w14:textId="77777777">
            <w:pPr>
              <w:rPr>
                <w:b/>
              </w:rPr>
            </w:pPr>
          </w:p>
        </w:tc>
        <w:tc>
          <w:tcPr>
            <w:tcW w:w="1530" w:type="dxa"/>
            <w:shd w:val="clear" w:color="auto" w:fill="DEEAF6" w:themeFill="accent1" w:themeFillTint="33"/>
            <w:noWrap/>
          </w:tcPr>
          <w:p w:rsidRPr="00E50DC0" w:rsidR="00476526" w:rsidP="00476526" w:rsidRDefault="00476526" w14:paraId="7410DF70" w14:textId="77777777">
            <w:pPr>
              <w:rPr>
                <w:b/>
              </w:rPr>
            </w:pPr>
          </w:p>
        </w:tc>
        <w:tc>
          <w:tcPr>
            <w:tcW w:w="1350" w:type="dxa"/>
            <w:shd w:val="clear" w:color="auto" w:fill="auto"/>
            <w:noWrap/>
          </w:tcPr>
          <w:p w:rsidRPr="002638E0" w:rsidR="00476526" w:rsidP="003D5637" w:rsidRDefault="002638E0" w14:paraId="4658C752" w14:textId="77777777">
            <w:pPr>
              <w:rPr>
                <w:b/>
              </w:rPr>
            </w:pPr>
            <w:r w:rsidRPr="002638E0">
              <w:rPr>
                <w:b/>
              </w:rPr>
              <w:t>80,</w:t>
            </w:r>
            <w:r w:rsidR="003D5637">
              <w:rPr>
                <w:b/>
              </w:rPr>
              <w:t>896</w:t>
            </w:r>
          </w:p>
        </w:tc>
        <w:tc>
          <w:tcPr>
            <w:tcW w:w="1350" w:type="dxa"/>
            <w:shd w:val="clear" w:color="auto" w:fill="DEEAF6" w:themeFill="accent1" w:themeFillTint="33"/>
            <w:noWrap/>
          </w:tcPr>
          <w:p w:rsidRPr="00265256" w:rsidR="00476526" w:rsidP="00476526" w:rsidRDefault="00476526" w14:paraId="56E3638A" w14:textId="77777777"/>
        </w:tc>
        <w:tc>
          <w:tcPr>
            <w:tcW w:w="1080" w:type="dxa"/>
            <w:shd w:val="clear" w:color="auto" w:fill="auto"/>
            <w:noWrap/>
          </w:tcPr>
          <w:p w:rsidRPr="00265256" w:rsidR="00476526" w:rsidP="00476526" w:rsidRDefault="00476526" w14:paraId="6C6E7B4C" w14:textId="77777777">
            <w:r>
              <w:rPr>
                <w:b/>
                <w:sz w:val="22"/>
                <w:szCs w:val="22"/>
              </w:rPr>
              <w:t>30,511</w:t>
            </w:r>
          </w:p>
        </w:tc>
        <w:tc>
          <w:tcPr>
            <w:tcW w:w="1260" w:type="dxa"/>
            <w:shd w:val="clear" w:color="auto" w:fill="auto"/>
            <w:noWrap/>
          </w:tcPr>
          <w:p w:rsidRPr="00265256" w:rsidR="00476526" w:rsidP="00476526" w:rsidRDefault="00476526" w14:paraId="657D0E77" w14:textId="77777777"/>
        </w:tc>
        <w:tc>
          <w:tcPr>
            <w:tcW w:w="1800" w:type="dxa"/>
            <w:shd w:val="clear" w:color="auto" w:fill="auto"/>
            <w:noWrap/>
          </w:tcPr>
          <w:p w:rsidRPr="00265256" w:rsidR="00476526" w:rsidP="00476526" w:rsidRDefault="00B74950" w14:paraId="09A0CED0" w14:textId="77777777">
            <w:r w:rsidRPr="00B74950">
              <w:rPr>
                <w:b/>
                <w:sz w:val="22"/>
                <w:szCs w:val="22"/>
              </w:rPr>
              <w:t>$1,243,628</w:t>
            </w:r>
          </w:p>
        </w:tc>
      </w:tr>
    </w:tbl>
    <w:p w:rsidRPr="00265256" w:rsidR="009E4E29" w:rsidP="009E4E29" w:rsidRDefault="009E4E29" w14:paraId="78BD57CA" w14:textId="77777777">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265256" w:rsidR="009E4E29" w:rsidP="009E4E29" w:rsidRDefault="009E4E29" w14:paraId="12DDDF64" w14:textId="77777777">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r w:rsidRPr="00265256">
        <w:br w:type="page"/>
      </w:r>
    </w:p>
    <w:p w:rsidR="00AC48C9" w:rsidRDefault="00AC48C9" w14:paraId="64CFAE4E"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sectPr w:rsidR="00AC48C9" w:rsidSect="00AC5A4A">
          <w:headerReference w:type="default" r:id="rId12"/>
          <w:footerReference w:type="default" r:id="rId13"/>
          <w:pgSz w:w="12240" w:h="15840"/>
          <w:pgMar w:top="1440" w:right="1440" w:bottom="1440" w:left="1440" w:header="720" w:footer="0" w:gutter="0"/>
          <w:cols w:space="720"/>
          <w:formProt w:val="0"/>
          <w:docGrid w:linePitch="326"/>
        </w:sectPr>
      </w:pPr>
    </w:p>
    <w:p w:rsidR="00AC48C9" w:rsidRDefault="00C50A6B" w14:paraId="0E5EE24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lastRenderedPageBreak/>
        <w:t xml:space="preserve">13.  Provide an estimate of the total annual cost burden to respondents or </w:t>
      </w:r>
      <w:proofErr w:type="spellStart"/>
      <w:r>
        <w:rPr>
          <w:b/>
          <w:bCs/>
        </w:rPr>
        <w:t>recordkeepers</w:t>
      </w:r>
      <w:proofErr w:type="spellEnd"/>
      <w:r>
        <w:rPr>
          <w:b/>
          <w:bCs/>
        </w:rPr>
        <w:t xml:space="preserve"> resulting from the collection of information.  (Do not include the cost of any hour burden shown in Items 12 and 14.)</w:t>
      </w:r>
    </w:p>
    <w:p w:rsidR="00AC48C9" w:rsidRDefault="00AC48C9" w14:paraId="691B352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53D3DD7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28" w:hanging="628"/>
      </w:pPr>
      <w:r>
        <w:rPr>
          <w:b/>
        </w:rPr>
        <w:tab/>
        <w:t>·</w:t>
      </w:r>
      <w:r>
        <w:rPr>
          <w:b/>
        </w:rPr>
        <w:tab/>
      </w:r>
      <w:r>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C48C9" w:rsidRDefault="00AC48C9" w14:paraId="01E3B0B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1700175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28" w:hanging="360"/>
        <w:rPr>
          <w:b/>
          <w:bCs/>
        </w:rPr>
      </w:pPr>
      <w:r>
        <w:rPr>
          <w:b/>
        </w:rPr>
        <w:tab/>
        <w:t>·</w:t>
      </w:r>
      <w:r>
        <w:rPr>
          <w:b/>
        </w:rPr>
        <w:tab/>
      </w: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b/>
        </w:rPr>
        <w:t>.</w:t>
      </w:r>
    </w:p>
    <w:p w:rsidR="00AC48C9" w:rsidRDefault="00AC48C9" w14:paraId="798BD51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047AF9E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pPr>
      <w:r>
        <w:rPr>
          <w:b/>
          <w:bCs/>
        </w:rPr>
        <w:tab/>
        <w:t>·</w:t>
      </w:r>
      <w:r>
        <w:rPr>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48C9" w:rsidRDefault="00AC48C9" w14:paraId="7CD2A47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37FCE30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additional costs to the respondents other than their time.   </w:t>
      </w:r>
    </w:p>
    <w:p w:rsidR="00AC48C9" w:rsidRDefault="00AC48C9" w14:paraId="7B9EE73F" w14:textId="77777777">
      <w:pPr>
        <w:widowControl/>
        <w:ind w:left="360" w:hanging="360"/>
        <w:rPr>
          <w:b/>
          <w:bCs/>
        </w:rPr>
      </w:pPr>
    </w:p>
    <w:p w:rsidR="00AC48C9" w:rsidRDefault="00C50A6B" w14:paraId="1A1A5C51" w14:textId="77777777">
      <w:pPr>
        <w:widowControl/>
        <w:ind w:left="720" w:hanging="360"/>
        <w:rPr>
          <w:b/>
        </w:rPr>
      </w:pPr>
      <w:r>
        <w:rPr>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Pr>
          <w:b/>
          <w:bCs/>
        </w:rPr>
        <w:t>any</w:t>
      </w:r>
      <w:proofErr w:type="gramEnd"/>
      <w:r>
        <w:rPr>
          <w:b/>
          <w:bCs/>
        </w:rPr>
        <w:t xml:space="preserve"> other expense that would not have been incurred without this collection of information.  Agencies also may aggregate cost estimates from Items 12, 13, and 14 into a single table.</w:t>
      </w:r>
    </w:p>
    <w:p w:rsidR="00AC48C9" w:rsidRDefault="00AC48C9" w14:paraId="00544FC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3D85D35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There is no cost to the Federal Government associated with this information request.</w:t>
      </w:r>
    </w:p>
    <w:p w:rsidR="00AC48C9" w:rsidRDefault="00C50A6B" w14:paraId="5209C47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br w:type="page"/>
      </w:r>
    </w:p>
    <w:p w:rsidR="00AC48C9" w:rsidRDefault="00C50A6B" w14:paraId="5BC1F35F" w14:textId="77777777">
      <w:pPr>
        <w:widowControl/>
        <w:ind w:left="90" w:hanging="90"/>
        <w:rPr>
          <w:b/>
          <w:bCs/>
        </w:rPr>
      </w:pPr>
      <w:r>
        <w:rPr>
          <w:b/>
          <w:bCs/>
        </w:rPr>
        <w:lastRenderedPageBreak/>
        <w:t>15.  Explain the reasons for any program changes or adjustments.</w:t>
      </w:r>
    </w:p>
    <w:p w:rsidR="00AC48C9" w:rsidRDefault="00AC48C9" w14:paraId="3AA278ED" w14:textId="77777777">
      <w:pPr>
        <w:widowControl/>
        <w:ind w:left="90" w:hanging="90"/>
        <w:rPr>
          <w:b/>
          <w:bCs/>
        </w:rPr>
      </w:pPr>
    </w:p>
    <w:p w:rsidRPr="00C002D6" w:rsidR="00AC48C9" w:rsidRDefault="00C50A6B" w14:paraId="0605E7C7" w14:textId="26E8A9F3">
      <w:pPr>
        <w:widowControl/>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rPr>
      </w:pPr>
      <w:r>
        <w:t xml:space="preserve">There are no adjustments or program changes associated with the information collection requirements in the standard.  The Agency is requesting to retain its current burden hours of 30,511.  </w:t>
      </w:r>
    </w:p>
    <w:p w:rsidR="00523AD0" w:rsidRDefault="00523AD0" w14:paraId="2B99824E" w14:textId="77777777">
      <w:pPr>
        <w:widowControl/>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523AD0" w:rsidRDefault="00523AD0" w14:paraId="3B28A8FA" w14:textId="77777777">
      <w:pPr>
        <w:widowControl/>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252365" w:rsidP="00252365" w:rsidRDefault="00B74950" w14:paraId="21E752F8" w14:textId="77777777">
      <w:pPr>
        <w:rPr>
          <w:b/>
          <w:sz w:val="22"/>
          <w:szCs w:val="22"/>
        </w:rPr>
      </w:pPr>
      <w:r>
        <w:rPr>
          <w:b/>
          <w:sz w:val="22"/>
          <w:szCs w:val="22"/>
        </w:rPr>
        <w:t xml:space="preserve">                          </w:t>
      </w:r>
      <w:r w:rsidR="00252365">
        <w:rPr>
          <w:b/>
          <w:sz w:val="22"/>
          <w:szCs w:val="22"/>
        </w:rPr>
        <w:t>Table 3</w:t>
      </w:r>
      <w:r w:rsidR="00962ACB">
        <w:rPr>
          <w:b/>
          <w:sz w:val="22"/>
          <w:szCs w:val="22"/>
        </w:rPr>
        <w:t xml:space="preserve"> -</w:t>
      </w:r>
      <w:r w:rsidR="00252365">
        <w:rPr>
          <w:b/>
          <w:sz w:val="22"/>
          <w:szCs w:val="22"/>
        </w:rPr>
        <w:t xml:space="preserve"> Summary of Annual Burden Hour and Cost Estimates</w:t>
      </w:r>
    </w:p>
    <w:p w:rsidR="00252365" w:rsidP="00252365" w:rsidRDefault="00252365" w14:paraId="4266A6E5" w14:textId="77777777">
      <w:pPr>
        <w:jc w:val="center"/>
        <w:rPr>
          <w:b/>
          <w:sz w:val="22"/>
          <w:szCs w:val="22"/>
        </w:rPr>
      </w:pPr>
    </w:p>
    <w:tbl>
      <w:tblPr>
        <w:tblW w:w="9730" w:type="dxa"/>
        <w:tblInd w:w="175" w:type="dxa"/>
        <w:tblBorders>
          <w:top w:val="single" w:color="000000" w:sz="4" w:space="0"/>
          <w:left w:val="single" w:color="000000" w:sz="4" w:space="0"/>
          <w:bottom w:val="single" w:color="000000" w:sz="4" w:space="0"/>
          <w:insideH w:val="single" w:color="000000" w:sz="4" w:space="0"/>
        </w:tblBorders>
        <w:tblCellMar>
          <w:left w:w="103" w:type="dxa"/>
        </w:tblCellMar>
        <w:tblLook w:val="0000" w:firstRow="0" w:lastRow="0" w:firstColumn="0" w:lastColumn="0" w:noHBand="0" w:noVBand="0"/>
      </w:tblPr>
      <w:tblGrid>
        <w:gridCol w:w="2207"/>
        <w:gridCol w:w="987"/>
        <w:gridCol w:w="1202"/>
        <w:gridCol w:w="1324"/>
        <w:gridCol w:w="1227"/>
        <w:gridCol w:w="1410"/>
        <w:gridCol w:w="1373"/>
      </w:tblGrid>
      <w:tr w:rsidR="00B74950" w:rsidTr="00C002D6" w14:paraId="627B4310" w14:textId="77777777">
        <w:tc>
          <w:tcPr>
            <w:tcW w:w="2207" w:type="dxa"/>
            <w:tcBorders>
              <w:top w:val="single" w:color="000000" w:sz="4" w:space="0"/>
              <w:left w:val="single" w:color="000000" w:sz="4" w:space="0"/>
              <w:bottom w:val="single" w:color="000000" w:sz="4" w:space="0"/>
            </w:tcBorders>
            <w:shd w:val="clear" w:color="auto" w:fill="BDD6EE"/>
          </w:tcPr>
          <w:p w:rsidR="00252365" w:rsidP="00F50D8A" w:rsidRDefault="00252365" w14:paraId="771D7EDF" w14:textId="77777777">
            <w:pPr>
              <w:rPr>
                <w:b/>
                <w:sz w:val="22"/>
                <w:szCs w:val="22"/>
              </w:rPr>
            </w:pPr>
            <w:r>
              <w:rPr>
                <w:b/>
                <w:sz w:val="22"/>
                <w:szCs w:val="22"/>
              </w:rPr>
              <w:t>Collection of Information Requirements</w:t>
            </w:r>
          </w:p>
        </w:tc>
        <w:tc>
          <w:tcPr>
            <w:tcW w:w="987" w:type="dxa"/>
            <w:tcBorders>
              <w:top w:val="single" w:color="000000" w:sz="4" w:space="0"/>
              <w:left w:val="single" w:color="000000" w:sz="4" w:space="0"/>
              <w:bottom w:val="single" w:color="000000" w:sz="4" w:space="0"/>
            </w:tcBorders>
            <w:shd w:val="clear" w:color="auto" w:fill="BDD6EE"/>
          </w:tcPr>
          <w:p w:rsidR="00252365" w:rsidP="00F50D8A" w:rsidRDefault="00252365" w14:paraId="41992F7E" w14:textId="77777777">
            <w:pPr>
              <w:jc w:val="center"/>
              <w:rPr>
                <w:b/>
                <w:sz w:val="22"/>
                <w:szCs w:val="22"/>
              </w:rPr>
            </w:pPr>
            <w:r>
              <w:rPr>
                <w:b/>
                <w:sz w:val="22"/>
                <w:szCs w:val="22"/>
              </w:rPr>
              <w:t>Current Burden Hours</w:t>
            </w:r>
          </w:p>
        </w:tc>
        <w:tc>
          <w:tcPr>
            <w:tcW w:w="1202" w:type="dxa"/>
            <w:tcBorders>
              <w:top w:val="single" w:color="000000" w:sz="4" w:space="0"/>
              <w:left w:val="single" w:color="000000" w:sz="4" w:space="0"/>
              <w:bottom w:val="single" w:color="000000" w:sz="4" w:space="0"/>
            </w:tcBorders>
            <w:shd w:val="clear" w:color="auto" w:fill="BDD6EE"/>
          </w:tcPr>
          <w:p w:rsidR="00252365" w:rsidP="00F50D8A" w:rsidRDefault="00252365" w14:paraId="2CBFBFA1" w14:textId="77777777">
            <w:pPr>
              <w:jc w:val="center"/>
              <w:rPr>
                <w:b/>
                <w:sz w:val="22"/>
                <w:szCs w:val="22"/>
              </w:rPr>
            </w:pPr>
            <w:r>
              <w:rPr>
                <w:b/>
                <w:sz w:val="22"/>
                <w:szCs w:val="22"/>
              </w:rPr>
              <w:t>Requested Burden Hours</w:t>
            </w:r>
          </w:p>
        </w:tc>
        <w:tc>
          <w:tcPr>
            <w:tcW w:w="1324" w:type="dxa"/>
            <w:tcBorders>
              <w:top w:val="single" w:color="000000" w:sz="4" w:space="0"/>
              <w:left w:val="single" w:color="000000" w:sz="4" w:space="0"/>
              <w:bottom w:val="single" w:color="000000" w:sz="4" w:space="0"/>
            </w:tcBorders>
            <w:shd w:val="clear" w:color="auto" w:fill="BDD6EE"/>
          </w:tcPr>
          <w:p w:rsidR="00252365" w:rsidP="00F50D8A" w:rsidRDefault="00252365" w14:paraId="53274892" w14:textId="77777777">
            <w:pPr>
              <w:rPr>
                <w:b/>
                <w:sz w:val="22"/>
                <w:szCs w:val="22"/>
              </w:rPr>
            </w:pPr>
            <w:r>
              <w:rPr>
                <w:b/>
                <w:sz w:val="22"/>
                <w:szCs w:val="22"/>
              </w:rPr>
              <w:t xml:space="preserve">Adjustment to Burden Hours </w:t>
            </w:r>
          </w:p>
        </w:tc>
        <w:tc>
          <w:tcPr>
            <w:tcW w:w="1227" w:type="dxa"/>
            <w:tcBorders>
              <w:top w:val="single" w:color="000000" w:sz="4" w:space="0"/>
              <w:left w:val="single" w:color="000000" w:sz="4" w:space="0"/>
              <w:bottom w:val="single" w:color="000000" w:sz="4" w:space="0"/>
            </w:tcBorders>
            <w:shd w:val="clear" w:color="auto" w:fill="BDD6EE"/>
          </w:tcPr>
          <w:p w:rsidR="00252365" w:rsidP="00F50D8A" w:rsidRDefault="00252365" w14:paraId="2517F503" w14:textId="77777777">
            <w:pPr>
              <w:jc w:val="center"/>
              <w:rPr>
                <w:b/>
                <w:sz w:val="22"/>
                <w:szCs w:val="22"/>
              </w:rPr>
            </w:pPr>
            <w:r>
              <w:rPr>
                <w:b/>
                <w:sz w:val="22"/>
                <w:szCs w:val="22"/>
              </w:rPr>
              <w:t>Total Number of Responses</w:t>
            </w:r>
          </w:p>
        </w:tc>
        <w:tc>
          <w:tcPr>
            <w:tcW w:w="1410" w:type="dxa"/>
            <w:tcBorders>
              <w:top w:val="single" w:color="000000" w:sz="4" w:space="0"/>
              <w:left w:val="single" w:color="000000" w:sz="4" w:space="0"/>
              <w:bottom w:val="single" w:color="000000" w:sz="4" w:space="0"/>
            </w:tcBorders>
            <w:shd w:val="clear" w:color="auto" w:fill="BDD6EE"/>
          </w:tcPr>
          <w:p w:rsidR="00252365" w:rsidP="00F50D8A" w:rsidRDefault="00252365" w14:paraId="231F441E" w14:textId="77777777">
            <w:pPr>
              <w:jc w:val="center"/>
              <w:rPr>
                <w:b/>
                <w:sz w:val="22"/>
                <w:szCs w:val="22"/>
              </w:rPr>
            </w:pPr>
            <w:r>
              <w:rPr>
                <w:b/>
                <w:sz w:val="22"/>
                <w:szCs w:val="22"/>
              </w:rPr>
              <w:t>Number of Respondents</w:t>
            </w:r>
          </w:p>
        </w:tc>
        <w:tc>
          <w:tcPr>
            <w:tcW w:w="1373" w:type="dxa"/>
            <w:tcBorders>
              <w:top w:val="single" w:color="000000" w:sz="4" w:space="0"/>
              <w:left w:val="single" w:color="000000" w:sz="4" w:space="0"/>
              <w:bottom w:val="single" w:color="000000" w:sz="4" w:space="0"/>
              <w:right w:val="single" w:color="000000" w:sz="4" w:space="0"/>
            </w:tcBorders>
            <w:shd w:val="clear" w:color="auto" w:fill="BDD6EE"/>
          </w:tcPr>
          <w:p w:rsidR="00252365" w:rsidP="00B74950" w:rsidRDefault="00252365" w14:paraId="0184E614" w14:textId="77777777">
            <w:pPr>
              <w:jc w:val="center"/>
              <w:rPr>
                <w:b/>
                <w:sz w:val="22"/>
                <w:szCs w:val="22"/>
              </w:rPr>
            </w:pPr>
            <w:r>
              <w:rPr>
                <w:b/>
                <w:sz w:val="22"/>
                <w:szCs w:val="22"/>
              </w:rPr>
              <w:t>Total Cost</w:t>
            </w:r>
            <w:r w:rsidR="00B74950">
              <w:rPr>
                <w:b/>
                <w:sz w:val="22"/>
                <w:szCs w:val="22"/>
              </w:rPr>
              <w:t xml:space="preserve"> Burden</w:t>
            </w:r>
          </w:p>
        </w:tc>
      </w:tr>
      <w:tr w:rsidR="00B74950" w:rsidTr="00C002D6" w14:paraId="62E37747" w14:textId="77777777">
        <w:tc>
          <w:tcPr>
            <w:tcW w:w="2207" w:type="dxa"/>
            <w:tcBorders>
              <w:top w:val="single" w:color="000000" w:sz="4" w:space="0"/>
              <w:left w:val="single" w:color="000000" w:sz="4" w:space="0"/>
              <w:bottom w:val="single" w:color="000000" w:sz="4" w:space="0"/>
            </w:tcBorders>
            <w:shd w:val="clear" w:color="auto" w:fill="auto"/>
          </w:tcPr>
          <w:p w:rsidR="00252365" w:rsidP="00B74950" w:rsidRDefault="00B74950" w14:paraId="2DC8A6B0" w14:textId="77777777">
            <w:pPr>
              <w:tabs>
                <w:tab w:val="left" w:pos="360"/>
              </w:tabs>
            </w:pPr>
            <w:r>
              <w:rPr>
                <w:sz w:val="22"/>
                <w:szCs w:val="22"/>
              </w:rPr>
              <w:t>(A)</w:t>
            </w:r>
            <w:r w:rsidR="00252365">
              <w:rPr>
                <w:sz w:val="22"/>
                <w:szCs w:val="22"/>
              </w:rPr>
              <w:t>Inspection of and Certification Records of Cranes ((§§ 910.180(d)(4) and</w:t>
            </w:r>
            <w:r w:rsidR="00252365">
              <w:rPr>
                <w:sz w:val="22"/>
                <w:szCs w:val="22"/>
                <w:u w:val="single"/>
              </w:rPr>
              <w:t xml:space="preserve"> </w:t>
            </w:r>
            <w:r w:rsidR="00252365">
              <w:rPr>
                <w:sz w:val="22"/>
                <w:szCs w:val="22"/>
              </w:rPr>
              <w:t>(d)(6)</w:t>
            </w:r>
          </w:p>
        </w:tc>
        <w:tc>
          <w:tcPr>
            <w:tcW w:w="987" w:type="dxa"/>
            <w:tcBorders>
              <w:top w:val="single" w:color="000000" w:sz="4" w:space="0"/>
              <w:left w:val="single" w:color="000000" w:sz="4" w:space="0"/>
              <w:bottom w:val="single" w:color="000000" w:sz="4" w:space="0"/>
            </w:tcBorders>
            <w:shd w:val="clear" w:color="auto" w:fill="auto"/>
          </w:tcPr>
          <w:p w:rsidR="00252365" w:rsidP="00F50D8A" w:rsidRDefault="00252365" w14:paraId="05AF862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9,972</w:t>
            </w:r>
          </w:p>
        </w:tc>
        <w:tc>
          <w:tcPr>
            <w:tcW w:w="1202" w:type="dxa"/>
            <w:tcBorders>
              <w:top w:val="single" w:color="000000" w:sz="4" w:space="0"/>
              <w:left w:val="single" w:color="000000" w:sz="4" w:space="0"/>
              <w:bottom w:val="single" w:color="000000" w:sz="4" w:space="0"/>
            </w:tcBorders>
            <w:shd w:val="clear" w:color="auto" w:fill="auto"/>
          </w:tcPr>
          <w:p w:rsidR="00252365" w:rsidP="00F50D8A" w:rsidRDefault="00252365" w14:paraId="39B971D0"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9,972</w:t>
            </w:r>
          </w:p>
        </w:tc>
        <w:tc>
          <w:tcPr>
            <w:tcW w:w="1324" w:type="dxa"/>
            <w:tcBorders>
              <w:top w:val="single" w:color="000000" w:sz="4" w:space="0"/>
              <w:left w:val="single" w:color="000000" w:sz="4" w:space="0"/>
              <w:bottom w:val="single" w:color="000000" w:sz="4" w:space="0"/>
            </w:tcBorders>
            <w:shd w:val="clear" w:color="auto" w:fill="auto"/>
          </w:tcPr>
          <w:p w:rsidR="00252365" w:rsidP="00F50D8A" w:rsidRDefault="00252365" w14:paraId="1A4FF987"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227" w:type="dxa"/>
            <w:tcBorders>
              <w:top w:val="single" w:color="000000" w:sz="4" w:space="0"/>
              <w:left w:val="single" w:color="000000" w:sz="4" w:space="0"/>
              <w:bottom w:val="single" w:color="000000" w:sz="4" w:space="0"/>
            </w:tcBorders>
            <w:shd w:val="clear" w:color="auto" w:fill="auto"/>
          </w:tcPr>
          <w:p w:rsidR="00252365" w:rsidP="00F50D8A" w:rsidRDefault="002638E0" w14:paraId="09247608"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w:t>
            </w:r>
            <w:r w:rsidR="003D5637">
              <w:rPr>
                <w:sz w:val="22"/>
                <w:szCs w:val="22"/>
              </w:rPr>
              <w:t>9,888</w:t>
            </w:r>
          </w:p>
        </w:tc>
        <w:tc>
          <w:tcPr>
            <w:tcW w:w="1410" w:type="dxa"/>
            <w:tcBorders>
              <w:top w:val="single" w:color="000000" w:sz="4" w:space="0"/>
              <w:left w:val="single" w:color="000000" w:sz="4" w:space="0"/>
              <w:bottom w:val="single" w:color="000000" w:sz="4" w:space="0"/>
            </w:tcBorders>
            <w:shd w:val="clear" w:color="auto" w:fill="auto"/>
          </w:tcPr>
          <w:p w:rsidR="00252365" w:rsidP="00F50D8A" w:rsidRDefault="00252365" w14:paraId="56D0B70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3,324</w:t>
            </w:r>
          </w:p>
        </w:tc>
        <w:tc>
          <w:tcPr>
            <w:tcW w:w="1373" w:type="dxa"/>
            <w:tcBorders>
              <w:top w:val="single" w:color="000000" w:sz="4" w:space="0"/>
              <w:left w:val="single" w:color="000000" w:sz="4" w:space="0"/>
              <w:bottom w:val="single" w:color="000000" w:sz="4" w:space="0"/>
              <w:right w:val="single" w:color="000000" w:sz="4" w:space="0"/>
            </w:tcBorders>
            <w:shd w:val="clear" w:color="auto" w:fill="auto"/>
          </w:tcPr>
          <w:p w:rsidR="00252365" w:rsidP="00F50D8A" w:rsidRDefault="00252365" w14:paraId="200B0C4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$406,459</w:t>
            </w:r>
          </w:p>
        </w:tc>
      </w:tr>
      <w:tr w:rsidR="00B74950" w:rsidTr="00C002D6" w14:paraId="0409510C" w14:textId="77777777">
        <w:tc>
          <w:tcPr>
            <w:tcW w:w="2207" w:type="dxa"/>
            <w:tcBorders>
              <w:top w:val="single" w:color="000000" w:sz="4" w:space="0"/>
              <w:left w:val="single" w:color="000000" w:sz="4" w:space="0"/>
              <w:bottom w:val="single" w:color="000000" w:sz="4" w:space="0"/>
            </w:tcBorders>
            <w:shd w:val="clear" w:color="auto" w:fill="auto"/>
          </w:tcPr>
          <w:p w:rsidR="00252365" w:rsidP="002638E0" w:rsidRDefault="002638E0" w14:paraId="4B63DD6C" w14:textId="77777777">
            <w:pPr>
              <w:tabs>
                <w:tab w:val="left" w:pos="342"/>
              </w:tabs>
              <w:rPr>
                <w:sz w:val="22"/>
                <w:szCs w:val="22"/>
              </w:rPr>
            </w:pPr>
            <w:r>
              <w:rPr>
                <w:sz w:val="22"/>
                <w:szCs w:val="22"/>
              </w:rPr>
              <w:t>(B)</w:t>
            </w:r>
            <w:r w:rsidR="00252365">
              <w:rPr>
                <w:sz w:val="22"/>
                <w:szCs w:val="22"/>
              </w:rPr>
              <w:t xml:space="preserve">Rated Load Tests </w:t>
            </w:r>
          </w:p>
          <w:p w:rsidR="00252365" w:rsidP="00F50D8A" w:rsidRDefault="00252365" w14:paraId="51325106" w14:textId="77777777">
            <w:pPr>
              <w:tabs>
                <w:tab w:val="left" w:pos="360"/>
              </w:tabs>
              <w:rPr>
                <w:b/>
                <w:sz w:val="22"/>
                <w:szCs w:val="22"/>
              </w:rPr>
            </w:pPr>
            <w:r>
              <w:rPr>
                <w:sz w:val="22"/>
                <w:szCs w:val="22"/>
              </w:rPr>
              <w:t>§1910.180 (e)(2))</w:t>
            </w:r>
          </w:p>
        </w:tc>
        <w:tc>
          <w:tcPr>
            <w:tcW w:w="987" w:type="dxa"/>
            <w:tcBorders>
              <w:top w:val="single" w:color="000000" w:sz="4" w:space="0"/>
              <w:left w:val="single" w:color="000000" w:sz="4" w:space="0"/>
              <w:bottom w:val="single" w:color="000000" w:sz="4" w:space="0"/>
            </w:tcBorders>
            <w:shd w:val="clear" w:color="auto" w:fill="auto"/>
          </w:tcPr>
          <w:p w:rsidR="00252365" w:rsidP="00F50D8A" w:rsidRDefault="00252365" w14:paraId="125B366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70</w:t>
            </w:r>
          </w:p>
        </w:tc>
        <w:tc>
          <w:tcPr>
            <w:tcW w:w="1202" w:type="dxa"/>
            <w:tcBorders>
              <w:top w:val="single" w:color="000000" w:sz="4" w:space="0"/>
              <w:left w:val="single" w:color="000000" w:sz="4" w:space="0"/>
              <w:bottom w:val="single" w:color="000000" w:sz="4" w:space="0"/>
            </w:tcBorders>
            <w:shd w:val="clear" w:color="auto" w:fill="auto"/>
          </w:tcPr>
          <w:p w:rsidR="00252365" w:rsidP="00F50D8A" w:rsidRDefault="00252365" w14:paraId="50423A5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70</w:t>
            </w:r>
          </w:p>
        </w:tc>
        <w:tc>
          <w:tcPr>
            <w:tcW w:w="1324" w:type="dxa"/>
            <w:tcBorders>
              <w:top w:val="single" w:color="000000" w:sz="4" w:space="0"/>
              <w:left w:val="single" w:color="000000" w:sz="4" w:space="0"/>
              <w:bottom w:val="single" w:color="000000" w:sz="4" w:space="0"/>
            </w:tcBorders>
            <w:shd w:val="clear" w:color="auto" w:fill="auto"/>
          </w:tcPr>
          <w:p w:rsidR="00252365" w:rsidP="00F50D8A" w:rsidRDefault="00252365" w14:paraId="17C44B2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227" w:type="dxa"/>
            <w:tcBorders>
              <w:top w:val="single" w:color="000000" w:sz="4" w:space="0"/>
              <w:left w:val="single" w:color="000000" w:sz="4" w:space="0"/>
              <w:bottom w:val="single" w:color="000000" w:sz="4" w:space="0"/>
            </w:tcBorders>
            <w:shd w:val="clear" w:color="auto" w:fill="auto"/>
          </w:tcPr>
          <w:p w:rsidR="00252365" w:rsidP="00F50D8A" w:rsidRDefault="003D5637" w14:paraId="60832E0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70</w:t>
            </w:r>
          </w:p>
        </w:tc>
        <w:tc>
          <w:tcPr>
            <w:tcW w:w="1410" w:type="dxa"/>
            <w:tcBorders>
              <w:top w:val="single" w:color="000000" w:sz="4" w:space="0"/>
              <w:left w:val="single" w:color="000000" w:sz="4" w:space="0"/>
              <w:bottom w:val="single" w:color="000000" w:sz="4" w:space="0"/>
            </w:tcBorders>
            <w:shd w:val="clear" w:color="auto" w:fill="auto"/>
          </w:tcPr>
          <w:p w:rsidR="00252365" w:rsidP="00F50D8A" w:rsidRDefault="00252365" w14:paraId="238A3BE8"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70</w:t>
            </w:r>
          </w:p>
        </w:tc>
        <w:tc>
          <w:tcPr>
            <w:tcW w:w="1373" w:type="dxa"/>
            <w:tcBorders>
              <w:top w:val="single" w:color="000000" w:sz="4" w:space="0"/>
              <w:left w:val="single" w:color="000000" w:sz="4" w:space="0"/>
              <w:bottom w:val="single" w:color="000000" w:sz="4" w:space="0"/>
              <w:right w:val="single" w:color="000000" w:sz="4" w:space="0"/>
            </w:tcBorders>
            <w:shd w:val="clear" w:color="auto" w:fill="auto"/>
          </w:tcPr>
          <w:p w:rsidR="00252365" w:rsidP="00F50D8A" w:rsidRDefault="00B74950" w14:paraId="0928F9F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 xml:space="preserve">    </w:t>
            </w:r>
            <w:r w:rsidR="00252365">
              <w:rPr>
                <w:sz w:val="22"/>
                <w:szCs w:val="22"/>
              </w:rPr>
              <w:t>$2,853</w:t>
            </w:r>
          </w:p>
        </w:tc>
      </w:tr>
      <w:tr w:rsidR="00B74950" w:rsidTr="00C002D6" w14:paraId="55FD17FA" w14:textId="77777777">
        <w:tc>
          <w:tcPr>
            <w:tcW w:w="2207" w:type="dxa"/>
            <w:tcBorders>
              <w:top w:val="single" w:color="000000" w:sz="4" w:space="0"/>
              <w:left w:val="single" w:color="000000" w:sz="4" w:space="0"/>
              <w:bottom w:val="single" w:color="000000" w:sz="4" w:space="0"/>
            </w:tcBorders>
            <w:shd w:val="clear" w:color="auto" w:fill="auto"/>
          </w:tcPr>
          <w:p w:rsidR="00252365" w:rsidP="002638E0" w:rsidRDefault="002638E0" w14:paraId="7476D933" w14:textId="77777777">
            <w:pPr>
              <w:tabs>
                <w:tab w:val="left" w:pos="-18"/>
                <w:tab w:val="left" w:pos="162"/>
                <w:tab w:val="left" w:pos="342"/>
              </w:tabs>
              <w:rPr>
                <w:sz w:val="22"/>
                <w:szCs w:val="22"/>
              </w:rPr>
            </w:pPr>
            <w:r>
              <w:rPr>
                <w:sz w:val="22"/>
                <w:szCs w:val="22"/>
              </w:rPr>
              <w:t>(C)</w:t>
            </w:r>
            <w:r w:rsidR="00252365">
              <w:rPr>
                <w:sz w:val="22"/>
                <w:szCs w:val="22"/>
              </w:rPr>
              <w:t>Inspection of and</w:t>
            </w:r>
          </w:p>
          <w:p w:rsidR="00252365" w:rsidP="00F50D8A" w:rsidRDefault="00252365" w14:paraId="0E77814D" w14:textId="77777777">
            <w:pPr>
              <w:tabs>
                <w:tab w:val="left" w:pos="0"/>
              </w:tabs>
              <w:ind w:left="-18" w:hanging="90"/>
              <w:rPr>
                <w:b/>
                <w:sz w:val="22"/>
                <w:szCs w:val="22"/>
              </w:rPr>
            </w:pPr>
            <w:r>
              <w:rPr>
                <w:sz w:val="22"/>
                <w:szCs w:val="22"/>
              </w:rPr>
              <w:t xml:space="preserve">  Certification Records for</w:t>
            </w:r>
            <w:r>
              <w:rPr>
                <w:b/>
                <w:sz w:val="22"/>
                <w:szCs w:val="22"/>
              </w:rPr>
              <w:t xml:space="preserve"> </w:t>
            </w:r>
            <w:r>
              <w:rPr>
                <w:sz w:val="22"/>
                <w:szCs w:val="22"/>
              </w:rPr>
              <w:t>Rope (§1910.180(g)(1)</w:t>
            </w:r>
            <w:r>
              <w:rPr>
                <w:sz w:val="22"/>
                <w:szCs w:val="22"/>
                <w:u w:val="single"/>
              </w:rPr>
              <w:t xml:space="preserve"> </w:t>
            </w:r>
            <w:r>
              <w:rPr>
                <w:sz w:val="22"/>
                <w:szCs w:val="22"/>
              </w:rPr>
              <w:t>and (g)(2)(ii))</w:t>
            </w:r>
          </w:p>
        </w:tc>
        <w:tc>
          <w:tcPr>
            <w:tcW w:w="987" w:type="dxa"/>
            <w:tcBorders>
              <w:top w:val="single" w:color="000000" w:sz="4" w:space="0"/>
              <w:left w:val="single" w:color="000000" w:sz="4" w:space="0"/>
              <w:bottom w:val="single" w:color="000000" w:sz="4" w:space="0"/>
            </w:tcBorders>
            <w:shd w:val="clear" w:color="auto" w:fill="auto"/>
          </w:tcPr>
          <w:p w:rsidR="00252365" w:rsidP="00F50D8A" w:rsidRDefault="00252365" w14:paraId="19A81F8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 w:val="22"/>
                <w:szCs w:val="22"/>
              </w:rPr>
              <w:t>20,469</w:t>
            </w:r>
          </w:p>
        </w:tc>
        <w:tc>
          <w:tcPr>
            <w:tcW w:w="1202" w:type="dxa"/>
            <w:tcBorders>
              <w:top w:val="single" w:color="000000" w:sz="4" w:space="0"/>
              <w:left w:val="single" w:color="000000" w:sz="4" w:space="0"/>
              <w:bottom w:val="single" w:color="000000" w:sz="4" w:space="0"/>
            </w:tcBorders>
            <w:shd w:val="clear" w:color="auto" w:fill="auto"/>
          </w:tcPr>
          <w:p w:rsidR="00252365" w:rsidP="00F50D8A" w:rsidRDefault="00252365" w14:paraId="61CEF6A7"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 w:val="22"/>
                <w:szCs w:val="22"/>
              </w:rPr>
              <w:t>20,469</w:t>
            </w:r>
          </w:p>
        </w:tc>
        <w:tc>
          <w:tcPr>
            <w:tcW w:w="1324" w:type="dxa"/>
            <w:tcBorders>
              <w:top w:val="single" w:color="000000" w:sz="4" w:space="0"/>
              <w:left w:val="single" w:color="000000" w:sz="4" w:space="0"/>
              <w:bottom w:val="single" w:color="000000" w:sz="4" w:space="0"/>
            </w:tcBorders>
            <w:shd w:val="clear" w:color="auto" w:fill="auto"/>
          </w:tcPr>
          <w:p w:rsidR="00252365" w:rsidP="00F50D8A" w:rsidRDefault="00252365" w14:paraId="5BD958B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227" w:type="dxa"/>
            <w:tcBorders>
              <w:top w:val="single" w:color="000000" w:sz="4" w:space="0"/>
              <w:left w:val="single" w:color="000000" w:sz="4" w:space="0"/>
              <w:bottom w:val="single" w:color="000000" w:sz="4" w:space="0"/>
            </w:tcBorders>
            <w:shd w:val="clear" w:color="auto" w:fill="auto"/>
          </w:tcPr>
          <w:p w:rsidR="00252365" w:rsidP="00F50D8A" w:rsidRDefault="003D5637" w14:paraId="3C2DE5A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40,938</w:t>
            </w:r>
          </w:p>
        </w:tc>
        <w:tc>
          <w:tcPr>
            <w:tcW w:w="1410" w:type="dxa"/>
            <w:tcBorders>
              <w:top w:val="single" w:color="000000" w:sz="4" w:space="0"/>
              <w:left w:val="single" w:color="000000" w:sz="4" w:space="0"/>
              <w:bottom w:val="single" w:color="000000" w:sz="4" w:space="0"/>
            </w:tcBorders>
            <w:shd w:val="clear" w:color="auto" w:fill="auto"/>
          </w:tcPr>
          <w:p w:rsidR="00252365" w:rsidP="00F50D8A" w:rsidRDefault="00252365" w14:paraId="47CF60A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3,324</w:t>
            </w:r>
          </w:p>
        </w:tc>
        <w:tc>
          <w:tcPr>
            <w:tcW w:w="1373" w:type="dxa"/>
            <w:tcBorders>
              <w:top w:val="single" w:color="000000" w:sz="4" w:space="0"/>
              <w:left w:val="single" w:color="000000" w:sz="4" w:space="0"/>
              <w:bottom w:val="single" w:color="000000" w:sz="4" w:space="0"/>
              <w:right w:val="single" w:color="000000" w:sz="4" w:space="0"/>
            </w:tcBorders>
            <w:shd w:val="clear" w:color="auto" w:fill="auto"/>
          </w:tcPr>
          <w:p w:rsidR="00252365" w:rsidP="00F50D8A" w:rsidRDefault="00252365" w14:paraId="79BCAB1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$834,316</w:t>
            </w:r>
          </w:p>
        </w:tc>
      </w:tr>
      <w:tr w:rsidR="00B74950" w:rsidTr="00C002D6" w14:paraId="0F10F281" w14:textId="77777777">
        <w:tc>
          <w:tcPr>
            <w:tcW w:w="2207" w:type="dxa"/>
            <w:tcBorders>
              <w:top w:val="single" w:color="000000" w:sz="4" w:space="0"/>
              <w:left w:val="single" w:color="000000" w:sz="4" w:space="0"/>
              <w:bottom w:val="single" w:color="000000" w:sz="4" w:space="0"/>
            </w:tcBorders>
            <w:shd w:val="clear" w:color="auto" w:fill="BDD6EE"/>
          </w:tcPr>
          <w:p w:rsidR="00252365" w:rsidP="00F50D8A" w:rsidRDefault="00252365" w14:paraId="0F556518" w14:textId="77777777">
            <w:pPr>
              <w:rPr>
                <w:b/>
                <w:sz w:val="22"/>
                <w:szCs w:val="22"/>
              </w:rPr>
            </w:pPr>
            <w:r>
              <w:rPr>
                <w:b/>
                <w:sz w:val="22"/>
                <w:szCs w:val="22"/>
              </w:rPr>
              <w:t>TOTAL</w:t>
            </w:r>
          </w:p>
        </w:tc>
        <w:tc>
          <w:tcPr>
            <w:tcW w:w="987" w:type="dxa"/>
            <w:tcBorders>
              <w:top w:val="single" w:color="000000" w:sz="4" w:space="0"/>
              <w:left w:val="single" w:color="000000" w:sz="4" w:space="0"/>
              <w:bottom w:val="single" w:color="000000" w:sz="4" w:space="0"/>
            </w:tcBorders>
            <w:shd w:val="clear" w:color="auto" w:fill="auto"/>
          </w:tcPr>
          <w:p w:rsidR="00252365" w:rsidP="00F50D8A" w:rsidRDefault="00252365" w14:paraId="5A14052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30,511</w:t>
            </w:r>
          </w:p>
        </w:tc>
        <w:tc>
          <w:tcPr>
            <w:tcW w:w="1202" w:type="dxa"/>
            <w:tcBorders>
              <w:top w:val="single" w:color="000000" w:sz="4" w:space="0"/>
              <w:left w:val="single" w:color="000000" w:sz="4" w:space="0"/>
              <w:bottom w:val="single" w:color="000000" w:sz="4" w:space="0"/>
            </w:tcBorders>
            <w:shd w:val="clear" w:color="auto" w:fill="auto"/>
          </w:tcPr>
          <w:p w:rsidR="00252365" w:rsidP="00F50D8A" w:rsidRDefault="00252365" w14:paraId="4D15EB20"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30,511</w:t>
            </w:r>
          </w:p>
        </w:tc>
        <w:tc>
          <w:tcPr>
            <w:tcW w:w="1324" w:type="dxa"/>
            <w:tcBorders>
              <w:top w:val="single" w:color="000000" w:sz="4" w:space="0"/>
              <w:left w:val="single" w:color="000000" w:sz="4" w:space="0"/>
              <w:bottom w:val="single" w:color="000000" w:sz="4" w:space="0"/>
            </w:tcBorders>
            <w:shd w:val="clear" w:color="auto" w:fill="BDD6EE"/>
          </w:tcPr>
          <w:p w:rsidR="00252365" w:rsidP="00F50D8A" w:rsidRDefault="00252365" w14:paraId="5CEA1B8A"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sz w:val="22"/>
                <w:szCs w:val="22"/>
              </w:rPr>
            </w:pPr>
          </w:p>
        </w:tc>
        <w:tc>
          <w:tcPr>
            <w:tcW w:w="1227" w:type="dxa"/>
            <w:tcBorders>
              <w:top w:val="single" w:color="000000" w:sz="4" w:space="0"/>
              <w:left w:val="single" w:color="000000" w:sz="4" w:space="0"/>
              <w:bottom w:val="single" w:color="000000" w:sz="4" w:space="0"/>
            </w:tcBorders>
            <w:shd w:val="clear" w:color="auto" w:fill="auto"/>
          </w:tcPr>
          <w:p w:rsidR="00252365" w:rsidP="00F50D8A" w:rsidRDefault="003D5637" w14:paraId="1C2F731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80,896</w:t>
            </w:r>
          </w:p>
        </w:tc>
        <w:tc>
          <w:tcPr>
            <w:tcW w:w="1410" w:type="dxa"/>
            <w:tcBorders>
              <w:top w:val="single" w:color="000000" w:sz="4" w:space="0"/>
              <w:left w:val="single" w:color="000000" w:sz="4" w:space="0"/>
              <w:bottom w:val="single" w:color="000000" w:sz="4" w:space="0"/>
            </w:tcBorders>
            <w:shd w:val="clear" w:color="auto" w:fill="9CC2E5" w:themeFill="accent1" w:themeFillTint="99"/>
          </w:tcPr>
          <w:p w:rsidR="00252365" w:rsidP="00F50D8A" w:rsidRDefault="00252365" w14:paraId="635E4FA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Pr>
          <w:p w:rsidR="00252365" w:rsidP="00B74950" w:rsidRDefault="00252365" w14:paraId="3421C861" w14:textId="77777777">
            <w:r>
              <w:rPr>
                <w:b/>
                <w:sz w:val="22"/>
                <w:szCs w:val="22"/>
              </w:rPr>
              <w:t>$1</w:t>
            </w:r>
            <w:r w:rsidR="00B74950">
              <w:rPr>
                <w:b/>
                <w:sz w:val="22"/>
                <w:szCs w:val="22"/>
              </w:rPr>
              <w:t>,243,628</w:t>
            </w:r>
          </w:p>
        </w:tc>
      </w:tr>
    </w:tbl>
    <w:p w:rsidR="00523AD0" w:rsidRDefault="00523AD0" w14:paraId="1833FA5C" w14:textId="77777777">
      <w:pPr>
        <w:widowControl/>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C48C9" w:rsidRDefault="00AC48C9" w14:paraId="1D185771" w14:textId="77777777">
      <w:pPr>
        <w:widowControl/>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49DF507C" w14:textId="77777777">
      <w:pPr>
        <w:widowControl/>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C48C9" w:rsidRDefault="00AC48C9" w14:paraId="171F750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2CD82D3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OSHA will not publish the information collected under the Standard.</w:t>
      </w:r>
    </w:p>
    <w:p w:rsidR="00AC48C9" w:rsidRDefault="00AC48C9" w14:paraId="7C4B2A8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C48C9" w:rsidRDefault="00C50A6B" w14:paraId="6AABB344" w14:textId="77777777">
      <w:pPr>
        <w:widowControl/>
        <w:tabs>
          <w:tab w:val="left" w:pos="-108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17.  If seeking approval to not display the expiration date for OMB approval of the information collection, explain the reasons that display would be appropriate.</w:t>
      </w:r>
    </w:p>
    <w:p w:rsidR="00AC48C9" w:rsidRDefault="00AC48C9" w14:paraId="58092E5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7342A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OSHA lists current valid control numbers in §§1910.8, 1915.8, 1917.4, 1918.4 and 1926.5 and publishes the expiration date in a Federal Register notice announcing OMB approval of the information collection requirement (see 5 CFR 1320.3(f</w:t>
      </w:r>
      <w:proofErr w:type="gramStart"/>
      <w:r>
        <w:t>)(</w:t>
      </w:r>
      <w:proofErr w:type="gramEnd"/>
      <w:r>
        <w:t>3)). OSHA believes that this is the most appropriate and accurate mechanism to inform interested parties of these expiration dates.</w:t>
      </w:r>
    </w:p>
    <w:p w:rsidR="00AC48C9" w:rsidRDefault="00AC48C9" w14:paraId="5E3AC80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AC48C9" w:rsidRDefault="00C50A6B" w14:paraId="10187941" w14:textId="77777777">
      <w:pPr>
        <w:widowControl/>
        <w:rPr>
          <w:b/>
          <w:bCs/>
        </w:rPr>
      </w:pPr>
      <w:r>
        <w:rPr>
          <w:b/>
          <w:bCs/>
        </w:rPr>
        <w:t>18.  Explain each exception to the certification statement.</w:t>
      </w:r>
    </w:p>
    <w:p w:rsidR="00AC48C9" w:rsidRDefault="00AC48C9" w14:paraId="15F07BB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RDefault="00C50A6B" w14:paraId="45C80CA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OSHA is not seeking an exception to the certification statement.</w:t>
      </w:r>
    </w:p>
    <w:p w:rsidR="00AC48C9" w:rsidRDefault="00AC48C9" w14:paraId="269A3A5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Default="00C50A6B" w14:paraId="05BCBCA7" w14:textId="77777777">
      <w:pPr>
        <w:widowControl/>
        <w:numPr>
          <w:ilvl w:val="0"/>
          <w:numId w:val="3"/>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rPr>
      </w:pPr>
      <w:r>
        <w:rPr>
          <w:b/>
        </w:rPr>
        <w:lastRenderedPageBreak/>
        <w:t>COLLECTION OF INFORMATION EMPLOYING STATISTICAL METHODS.</w:t>
      </w:r>
    </w:p>
    <w:p w:rsidR="00AC48C9" w:rsidRDefault="00AC48C9" w14:paraId="349E0A1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RDefault="00C50A6B" w14:paraId="2DF6E44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This supporting statement does not contain any collection of information requirements that employ statistical methods.</w:t>
      </w:r>
    </w:p>
    <w:p w:rsidR="00AC48C9" w:rsidRDefault="00AC48C9" w14:paraId="739F9D20"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00AC48C9" w:rsidRDefault="00AC48C9" w14:paraId="4D5BDD12"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rPr>
      </w:pPr>
    </w:p>
    <w:sectPr w:rsidR="00AC48C9">
      <w:headerReference w:type="default" r:id="rId14"/>
      <w:pgSz w:w="12240" w:h="15840"/>
      <w:pgMar w:top="1440" w:right="1440" w:bottom="1440" w:left="1440"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8208A" w14:textId="77777777" w:rsidR="00B076AD" w:rsidRDefault="00B076AD">
      <w:r>
        <w:separator/>
      </w:r>
    </w:p>
  </w:endnote>
  <w:endnote w:type="continuationSeparator" w:id="0">
    <w:p w14:paraId="49AE08BD" w14:textId="77777777" w:rsidR="00B076AD" w:rsidRDefault="00B0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241216"/>
      <w:docPartObj>
        <w:docPartGallery w:val="Page Numbers (Bottom of Page)"/>
        <w:docPartUnique/>
      </w:docPartObj>
    </w:sdtPr>
    <w:sdtEndPr>
      <w:rPr>
        <w:noProof/>
      </w:rPr>
    </w:sdtEndPr>
    <w:sdtContent>
      <w:p w14:paraId="561A81D6" w14:textId="5CF7F919" w:rsidR="004F1421" w:rsidRDefault="004F1421">
        <w:pPr>
          <w:pStyle w:val="Footer"/>
          <w:jc w:val="center"/>
        </w:pPr>
        <w:r>
          <w:fldChar w:fldCharType="begin"/>
        </w:r>
        <w:r>
          <w:instrText xml:space="preserve"> PAGE   \* MERGEFORMAT </w:instrText>
        </w:r>
        <w:r>
          <w:fldChar w:fldCharType="separate"/>
        </w:r>
        <w:r w:rsidR="00AC5A4A">
          <w:rPr>
            <w:noProof/>
          </w:rPr>
          <w:t>12</w:t>
        </w:r>
        <w:r>
          <w:rPr>
            <w:noProof/>
          </w:rPr>
          <w:fldChar w:fldCharType="end"/>
        </w:r>
      </w:p>
    </w:sdtContent>
  </w:sdt>
  <w:p w14:paraId="51F3C595" w14:textId="77777777" w:rsidR="004F1421" w:rsidRDefault="004F1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67B00" w14:textId="77777777" w:rsidR="00B076AD" w:rsidRDefault="00B076AD">
      <w:r>
        <w:separator/>
      </w:r>
    </w:p>
  </w:footnote>
  <w:footnote w:type="continuationSeparator" w:id="0">
    <w:p w14:paraId="43D29A21" w14:textId="77777777" w:rsidR="00B076AD" w:rsidRDefault="00B076AD">
      <w:r>
        <w:continuationSeparator/>
      </w:r>
    </w:p>
  </w:footnote>
  <w:footnote w:id="1">
    <w:p w14:paraId="060BDB33" w14:textId="77777777" w:rsidR="00AC48C9" w:rsidRDefault="00C50A6B">
      <w:pPr>
        <w:spacing w:after="240"/>
      </w:pPr>
      <w:r>
        <w:rPr>
          <w:rStyle w:val="FootnoteCharacters"/>
        </w:rPr>
        <w:footnoteRef/>
      </w:r>
      <w:r w:rsidR="003D5637">
        <w:rPr>
          <w:sz w:val="20"/>
          <w:szCs w:val="20"/>
        </w:rPr>
        <w:t xml:space="preserve">  </w:t>
      </w:r>
      <w:r>
        <w:rPr>
          <w:sz w:val="20"/>
          <w:szCs w:val="20"/>
        </w:rPr>
        <w:t>The purpose of this Supporting Statement is to analyze and describe the burden hours and cost associated with provisions of the Standard that contain paperwork requirements; this Supporting Statement does not provide information or guidance on how to comply with, or how to enforce,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9DC6F" w14:textId="77777777" w:rsidR="00AC48C9" w:rsidRDefault="00AB6068" w:rsidP="00FC5A2D">
    <w:pPr>
      <w:widowControl/>
      <w:rPr>
        <w:bCs/>
      </w:rPr>
    </w:pPr>
    <w:r w:rsidRPr="002E42BE">
      <w:rPr>
        <w:bCs/>
      </w:rPr>
      <w:t>THE CRAWLER, LOCOMOTIVE, AND TRUCK CRANES STANDARD</w:t>
    </w:r>
    <w:r w:rsidR="003D5637">
      <w:rPr>
        <w:bCs/>
      </w:rPr>
      <w:t xml:space="preserve"> </w:t>
    </w:r>
    <w:r w:rsidR="003D5637" w:rsidRPr="003D5637">
      <w:rPr>
        <w:bCs/>
      </w:rPr>
      <w:t>(29 CFR 1910.180)</w:t>
    </w:r>
  </w:p>
  <w:p w14:paraId="171A8FBA" w14:textId="77777777" w:rsidR="00AB6068" w:rsidRDefault="00AB6068" w:rsidP="00AB6068">
    <w:pPr>
      <w:pStyle w:val="Header"/>
      <w:rPr>
        <w:bCs/>
      </w:rPr>
    </w:pPr>
    <w:r>
      <w:rPr>
        <w:bCs/>
      </w:rPr>
      <w:t>OM</w:t>
    </w:r>
    <w:r w:rsidR="00C50A6B">
      <w:rPr>
        <w:bCs/>
      </w:rPr>
      <w:t>B</w:t>
    </w:r>
    <w:r>
      <w:rPr>
        <w:bCs/>
      </w:rPr>
      <w:t xml:space="preserve"> </w:t>
    </w:r>
    <w:r w:rsidR="00B23E15">
      <w:rPr>
        <w:bCs/>
      </w:rPr>
      <w:t xml:space="preserve">Control </w:t>
    </w:r>
    <w:r>
      <w:rPr>
        <w:bCs/>
      </w:rPr>
      <w:t>Number 1218-0221</w:t>
    </w:r>
  </w:p>
  <w:p w14:paraId="7108A0B8" w14:textId="77777777" w:rsidR="00AB6068" w:rsidRDefault="003D5637" w:rsidP="00AB6068">
    <w:pPr>
      <w:pStyle w:val="Header"/>
      <w:rPr>
        <w:sz w:val="22"/>
        <w:szCs w:val="22"/>
      </w:rPr>
    </w:pPr>
    <w:r>
      <w:rPr>
        <w:bCs/>
      </w:rPr>
      <w:t xml:space="preserve">April </w:t>
    </w:r>
    <w:r w:rsidR="00B23E15">
      <w:rPr>
        <w:bCs/>
      </w:rPr>
      <w:t xml:space="preserve">30, </w:t>
    </w:r>
    <w:r w:rsidR="00AB6068">
      <w:rPr>
        <w:bCs/>
      </w:rPr>
      <w:t>2020</w:t>
    </w:r>
  </w:p>
  <w:p w14:paraId="730A9DFD" w14:textId="77777777" w:rsidR="00AC48C9" w:rsidRDefault="00AC48C9">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7F3B" w14:textId="77777777" w:rsidR="00F6201C" w:rsidRPr="00F6201C" w:rsidRDefault="00F6201C" w:rsidP="00F6201C">
    <w:pPr>
      <w:pStyle w:val="Header"/>
      <w:rPr>
        <w:sz w:val="22"/>
        <w:szCs w:val="22"/>
      </w:rPr>
    </w:pPr>
    <w:r w:rsidRPr="00F6201C">
      <w:rPr>
        <w:sz w:val="22"/>
        <w:szCs w:val="22"/>
      </w:rPr>
      <w:t>THE CRAWLER, LOCOMOTIVE, AND TRUCK CRANES STANDARD (29 CFR 1910.180)</w:t>
    </w:r>
  </w:p>
  <w:p w14:paraId="2F870667" w14:textId="77777777" w:rsidR="00F6201C" w:rsidRPr="00F6201C" w:rsidRDefault="00F6201C" w:rsidP="00F6201C">
    <w:pPr>
      <w:pStyle w:val="Header"/>
      <w:rPr>
        <w:sz w:val="22"/>
        <w:szCs w:val="22"/>
      </w:rPr>
    </w:pPr>
    <w:r w:rsidRPr="00F6201C">
      <w:rPr>
        <w:sz w:val="22"/>
        <w:szCs w:val="22"/>
      </w:rPr>
      <w:t>OMB Number 1218-0221</w:t>
    </w:r>
  </w:p>
  <w:p w14:paraId="6A0D5C95" w14:textId="77777777" w:rsidR="00F6201C" w:rsidRDefault="00F6201C" w:rsidP="00F6201C">
    <w:pPr>
      <w:pStyle w:val="Header"/>
      <w:rPr>
        <w:sz w:val="22"/>
        <w:szCs w:val="22"/>
      </w:rPr>
    </w:pPr>
    <w:r w:rsidRPr="00F6201C">
      <w:rPr>
        <w:sz w:val="22"/>
        <w:szCs w:val="22"/>
      </w:rPr>
      <w:t>April 2020</w:t>
    </w:r>
  </w:p>
  <w:p w14:paraId="21E2BA38" w14:textId="77777777" w:rsidR="00AC48C9" w:rsidRDefault="00AC48C9">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5D64"/>
    <w:multiLevelType w:val="hybridMultilevel"/>
    <w:tmpl w:val="85AED68C"/>
    <w:lvl w:ilvl="0" w:tplc="AF5AB2F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A62A7"/>
    <w:multiLevelType w:val="multilevel"/>
    <w:tmpl w:val="EF1E0FC0"/>
    <w:lvl w:ilvl="0">
      <w:start w:val="2"/>
      <w:numFmt w:val="upp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A22557"/>
    <w:multiLevelType w:val="multilevel"/>
    <w:tmpl w:val="56CC2A86"/>
    <w:lvl w:ilvl="0">
      <w:start w:val="1"/>
      <w:numFmt w:val="bullet"/>
      <w:lvlText w:val=""/>
      <w:lvlJc w:val="left"/>
      <w:pPr>
        <w:ind w:left="261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7678F8"/>
    <w:multiLevelType w:val="multilevel"/>
    <w:tmpl w:val="4F7EFE9C"/>
    <w:lvl w:ilvl="0">
      <w:start w:val="1"/>
      <w:numFmt w:val="upperLetter"/>
      <w:lvlText w:val="(%1)"/>
      <w:lvlJc w:val="left"/>
      <w:pPr>
        <w:ind w:left="5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E06DAC"/>
    <w:multiLevelType w:val="hybridMultilevel"/>
    <w:tmpl w:val="71CAB48C"/>
    <w:lvl w:ilvl="0" w:tplc="899CC97E">
      <w:start w:val="1"/>
      <w:numFmt w:val="upperLetter"/>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C7209"/>
    <w:multiLevelType w:val="multilevel"/>
    <w:tmpl w:val="4F7EFE9C"/>
    <w:lvl w:ilvl="0">
      <w:start w:val="1"/>
      <w:numFmt w:val="upperLetter"/>
      <w:lvlText w:val="(%1)"/>
      <w:lvlJc w:val="left"/>
      <w:pPr>
        <w:ind w:left="5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F61737"/>
    <w:multiLevelType w:val="multilevel"/>
    <w:tmpl w:val="7C68140C"/>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696678"/>
    <w:multiLevelType w:val="multilevel"/>
    <w:tmpl w:val="9614168E"/>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E032D28"/>
    <w:multiLevelType w:val="hybridMultilevel"/>
    <w:tmpl w:val="4C805D24"/>
    <w:lvl w:ilvl="0" w:tplc="132E4FA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C9"/>
    <w:rsid w:val="000458A9"/>
    <w:rsid w:val="00054F7E"/>
    <w:rsid w:val="000C1AC9"/>
    <w:rsid w:val="00123270"/>
    <w:rsid w:val="001519C0"/>
    <w:rsid w:val="001B2C8A"/>
    <w:rsid w:val="002321DE"/>
    <w:rsid w:val="00237E04"/>
    <w:rsid w:val="00252365"/>
    <w:rsid w:val="002638E0"/>
    <w:rsid w:val="002B4D5E"/>
    <w:rsid w:val="002D3FA3"/>
    <w:rsid w:val="002E42BE"/>
    <w:rsid w:val="00313E3C"/>
    <w:rsid w:val="0033543D"/>
    <w:rsid w:val="00350F43"/>
    <w:rsid w:val="003712CB"/>
    <w:rsid w:val="003A0213"/>
    <w:rsid w:val="003D5637"/>
    <w:rsid w:val="003E0120"/>
    <w:rsid w:val="004230A0"/>
    <w:rsid w:val="00423336"/>
    <w:rsid w:val="00450028"/>
    <w:rsid w:val="00452C77"/>
    <w:rsid w:val="0045692F"/>
    <w:rsid w:val="00461785"/>
    <w:rsid w:val="00476526"/>
    <w:rsid w:val="00483433"/>
    <w:rsid w:val="00494AFA"/>
    <w:rsid w:val="00497642"/>
    <w:rsid w:val="004B1725"/>
    <w:rsid w:val="004C4F10"/>
    <w:rsid w:val="004E192D"/>
    <w:rsid w:val="004F1421"/>
    <w:rsid w:val="0051649F"/>
    <w:rsid w:val="00523AD0"/>
    <w:rsid w:val="00552FFC"/>
    <w:rsid w:val="00590A2F"/>
    <w:rsid w:val="00591158"/>
    <w:rsid w:val="00596432"/>
    <w:rsid w:val="005A2B46"/>
    <w:rsid w:val="005D1446"/>
    <w:rsid w:val="005F67F0"/>
    <w:rsid w:val="0060486E"/>
    <w:rsid w:val="00623888"/>
    <w:rsid w:val="0067769C"/>
    <w:rsid w:val="006852B2"/>
    <w:rsid w:val="006F26EB"/>
    <w:rsid w:val="00700B22"/>
    <w:rsid w:val="00713DD1"/>
    <w:rsid w:val="007172FD"/>
    <w:rsid w:val="007405FF"/>
    <w:rsid w:val="00787D6A"/>
    <w:rsid w:val="00791556"/>
    <w:rsid w:val="00806112"/>
    <w:rsid w:val="00826D38"/>
    <w:rsid w:val="00853D0E"/>
    <w:rsid w:val="00854B8B"/>
    <w:rsid w:val="00863F5C"/>
    <w:rsid w:val="00880AA9"/>
    <w:rsid w:val="00930B58"/>
    <w:rsid w:val="00962ACB"/>
    <w:rsid w:val="009726E4"/>
    <w:rsid w:val="00997ED3"/>
    <w:rsid w:val="009D0913"/>
    <w:rsid w:val="009E093E"/>
    <w:rsid w:val="009E4E29"/>
    <w:rsid w:val="009F041B"/>
    <w:rsid w:val="00A731A8"/>
    <w:rsid w:val="00A83D8A"/>
    <w:rsid w:val="00A86F72"/>
    <w:rsid w:val="00AA6BD4"/>
    <w:rsid w:val="00AB6068"/>
    <w:rsid w:val="00AC48C9"/>
    <w:rsid w:val="00AC5A4A"/>
    <w:rsid w:val="00AE123C"/>
    <w:rsid w:val="00AE7D44"/>
    <w:rsid w:val="00B076AD"/>
    <w:rsid w:val="00B23E15"/>
    <w:rsid w:val="00B71E9D"/>
    <w:rsid w:val="00B74950"/>
    <w:rsid w:val="00BF0AC8"/>
    <w:rsid w:val="00C002D6"/>
    <w:rsid w:val="00C50A6B"/>
    <w:rsid w:val="00C6735C"/>
    <w:rsid w:val="00C7351B"/>
    <w:rsid w:val="00CF5D8A"/>
    <w:rsid w:val="00D27EB8"/>
    <w:rsid w:val="00D55EA8"/>
    <w:rsid w:val="00E277C6"/>
    <w:rsid w:val="00E43E3F"/>
    <w:rsid w:val="00E50DC0"/>
    <w:rsid w:val="00E67BC1"/>
    <w:rsid w:val="00E7669E"/>
    <w:rsid w:val="00E832F6"/>
    <w:rsid w:val="00E83B4A"/>
    <w:rsid w:val="00E972B2"/>
    <w:rsid w:val="00F12571"/>
    <w:rsid w:val="00F26789"/>
    <w:rsid w:val="00F53142"/>
    <w:rsid w:val="00F6201C"/>
    <w:rsid w:val="00F62525"/>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BF2E"/>
  <w15:docId w15:val="{2DA49B70-ECF5-42FB-A20A-BEB8EC02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Lohit Devanagari"/>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pPr>
    <w:rPr>
      <w:rFonts w:ascii="Times New Roman" w:eastAsia="Times New Roman" w:hAnsi="Times New Roman" w:cs="Times New Roman"/>
      <w:sz w:val="24"/>
      <w:lang w:bidi="ar-SA"/>
    </w:rPr>
  </w:style>
  <w:style w:type="paragraph" w:styleId="Heading2">
    <w:name w:val="heading 2"/>
    <w:basedOn w:val="Normal"/>
    <w:next w:val="Normal"/>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u w:val="singl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St1z0">
    <w:name w:val="WW8NumSt1z0"/>
    <w:qFormat/>
    <w:rPr>
      <w:rFonts w:ascii="Times New Roman" w:hAnsi="Times New Roman" w:cs="Times New Roman"/>
    </w:rPr>
  </w:style>
  <w:style w:type="character" w:customStyle="1" w:styleId="FootnoteCharacters">
    <w:name w:val="Footnote Characters"/>
    <w:qFormat/>
  </w:style>
  <w:style w:type="character" w:styleId="CommentReference">
    <w:name w:val="annotation reference"/>
    <w:qFormat/>
    <w:rPr>
      <w:sz w:val="16"/>
      <w:szCs w:val="16"/>
    </w:rPr>
  </w:style>
  <w:style w:type="character" w:styleId="PageNumber">
    <w:name w:val="page number"/>
    <w:basedOn w:val="DefaultParagraphFont"/>
  </w:style>
  <w:style w:type="character" w:customStyle="1" w:styleId="InternetLink">
    <w:name w:val="Internet Link"/>
    <w:rPr>
      <w:color w:val="0000FF"/>
      <w:u w:val="single"/>
    </w:rPr>
  </w:style>
  <w:style w:type="character" w:customStyle="1" w:styleId="Heading2Char">
    <w:name w:val="Heading 2 Char"/>
    <w:qFormat/>
    <w:rPr>
      <w:rFonts w:ascii="Cambria" w:hAnsi="Cambria" w:cs="Cambria"/>
      <w:b/>
      <w:bCs/>
      <w:i/>
      <w:iCs/>
      <w:sz w:val="28"/>
      <w:szCs w:val="28"/>
    </w:rPr>
  </w:style>
  <w:style w:type="character" w:customStyle="1" w:styleId="HTMLPreformattedChar">
    <w:name w:val="HTML Preformatted Char"/>
    <w:qFormat/>
    <w:rPr>
      <w:rFonts w:ascii="Courier New" w:hAnsi="Courier New" w:cs="Courier New"/>
    </w:rPr>
  </w:style>
  <w:style w:type="character" w:customStyle="1" w:styleId="HeaderChar">
    <w:name w:val="Header Char"/>
    <w:qFormat/>
    <w:rPr>
      <w:sz w:val="24"/>
      <w:szCs w:val="24"/>
    </w:rPr>
  </w:style>
  <w:style w:type="character" w:customStyle="1" w:styleId="FootnoteTextChar">
    <w:name w:val="Footnote Text Char"/>
    <w:qFormat/>
  </w:style>
  <w:style w:type="character" w:customStyle="1" w:styleId="VisitedInternetLink">
    <w:name w:val="Visited Internet Link"/>
    <w:rPr>
      <w:color w:val="800080"/>
      <w:u w:val="single"/>
    </w:rPr>
  </w:style>
  <w:style w:type="character" w:customStyle="1" w:styleId="PlainTextChar">
    <w:name w:val="Plain Text Char"/>
    <w:qFormat/>
    <w:rPr>
      <w:rFonts w:ascii="Calibri" w:eastAsia="Calibri" w:hAnsi="Calibri" w:cs="Calibri"/>
      <w:sz w:val="22"/>
      <w:szCs w:val="21"/>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Level1">
    <w:name w:val="Level 1"/>
    <w:basedOn w:val="Normal"/>
    <w:qFormat/>
    <w:pPr>
      <w:ind w:left="2160" w:hanging="2160"/>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styleId="FootnoteText">
    <w:name w:val="footnote text"/>
    <w:basedOn w:val="Normal"/>
    <w:rPr>
      <w:sz w:val="20"/>
      <w:szCs w:val="20"/>
    </w:rPr>
  </w:style>
  <w:style w:type="paragraph" w:styleId="Footer">
    <w:name w:val="footer"/>
    <w:basedOn w:val="Normal"/>
    <w:link w:val="FooterChar"/>
    <w:uiPriority w:val="99"/>
    <w:pPr>
      <w:tabs>
        <w:tab w:val="center" w:pos="4320"/>
        <w:tab w:val="right" w:pos="8640"/>
      </w:tabs>
    </w:pPr>
  </w:style>
  <w:style w:type="paragraph" w:customStyle="1" w:styleId="default">
    <w:name w:val="default"/>
    <w:basedOn w:val="Normal"/>
    <w:qFormat/>
    <w:pPr>
      <w:widowControl/>
      <w:autoSpaceDE/>
      <w:spacing w:before="100" w:after="100"/>
    </w:pPr>
  </w:style>
  <w:style w:type="paragraph" w:styleId="ListParagraph">
    <w:name w:val="List Paragraph"/>
    <w:basedOn w:val="Normal"/>
    <w:qFormat/>
    <w:pPr>
      <w:ind w:left="720"/>
    </w:p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styleId="Header">
    <w:name w:val="header"/>
    <w:basedOn w:val="Normal"/>
    <w:pPr>
      <w:tabs>
        <w:tab w:val="center" w:pos="4680"/>
        <w:tab w:val="right" w:pos="9360"/>
      </w:tabs>
    </w:pPr>
  </w:style>
  <w:style w:type="paragraph" w:styleId="PlainText">
    <w:name w:val="Plain Text"/>
    <w:basedOn w:val="Normal"/>
    <w:qFormat/>
    <w:pPr>
      <w:widowControl/>
      <w:autoSpaceDE/>
    </w:pPr>
    <w:rPr>
      <w:rFonts w:ascii="Calibri" w:eastAsia="Calibri" w:hAnsi="Calibri"/>
      <w:sz w:val="22"/>
      <w:szCs w:val="21"/>
    </w:rPr>
  </w:style>
  <w:style w:type="paragraph" w:styleId="Revision">
    <w:name w:val="Revision"/>
    <w:qFormat/>
    <w:rPr>
      <w:rFonts w:ascii="Times New Roman" w:eastAsia="Times New Roman" w:hAnsi="Times New Roman" w:cs="Times New Roman"/>
      <w:sz w:val="24"/>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character" w:customStyle="1" w:styleId="FooterChar">
    <w:name w:val="Footer Char"/>
    <w:basedOn w:val="DefaultParagraphFont"/>
    <w:link w:val="Footer"/>
    <w:uiPriority w:val="99"/>
    <w:rsid w:val="004F1421"/>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news.release/pdf/ecec.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ls.gov/oes/table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00440-F9BF-4570-9D3C-6D0ABD5F49CB}">
  <ds:schemaRefs>
    <ds:schemaRef ds:uri="http://schemas.microsoft.com/sharepoint/v3/contenttype/forms"/>
  </ds:schemaRefs>
</ds:datastoreItem>
</file>

<file path=customXml/itemProps2.xml><?xml version="1.0" encoding="utf-8"?>
<ds:datastoreItem xmlns:ds="http://schemas.openxmlformats.org/officeDocument/2006/customXml" ds:itemID="{98F781E8-E2FC-4A57-BBF2-087BA3D5F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2FF7C-280D-47C6-AC2D-FB52EDD272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Department of Labor</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OSHA_User</dc:creator>
  <cp:keywords/>
  <dc:description/>
  <cp:lastModifiedBy>Edwards, Doris - OSHA</cp:lastModifiedBy>
  <cp:revision>3</cp:revision>
  <cp:lastPrinted>2019-12-10T11:44:00Z</cp:lastPrinted>
  <dcterms:created xsi:type="dcterms:W3CDTF">2020-04-29T15:35:00Z</dcterms:created>
  <dcterms:modified xsi:type="dcterms:W3CDTF">2020-04-29T15:35:00Z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