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6036" w:rsidR="001551C6" w:rsidP="001551C6" w:rsidRDefault="001551C6" w14:paraId="128865B7" w14:textId="129FBAC5">
      <w:pPr>
        <w:spacing w:after="360"/>
        <w:jc w:val="center"/>
        <w:rPr>
          <w:b/>
          <w:i/>
          <w:color w:val="000000" w:themeColor="text1"/>
          <w:sz w:val="32"/>
        </w:rPr>
      </w:pPr>
      <w:r w:rsidRPr="001E6036">
        <w:rPr>
          <w:b/>
          <w:sz w:val="32"/>
        </w:rPr>
        <w:t xml:space="preserve">SUPPORTING STATEMENT FOR </w:t>
      </w:r>
      <w:r w:rsidRPr="001E6036">
        <w:rPr>
          <w:b/>
          <w:sz w:val="32"/>
        </w:rPr>
        <w:br/>
        <w:t>PAPERWORK REDUCTION ACT SUBMISSION</w:t>
      </w:r>
      <w:r w:rsidRPr="001E6036">
        <w:rPr>
          <w:b/>
          <w:sz w:val="32"/>
        </w:rPr>
        <w:br/>
      </w:r>
      <w:r w:rsidRPr="001E6036">
        <w:rPr>
          <w:b/>
          <w:sz w:val="32"/>
        </w:rPr>
        <w:br/>
      </w:r>
      <w:r w:rsidRPr="001E6036" w:rsidR="00AF4BCF">
        <w:rPr>
          <w:b/>
          <w:i/>
          <w:color w:val="000000" w:themeColor="text1"/>
          <w:sz w:val="32"/>
        </w:rPr>
        <w:t>Evaluation of the Professional Fellows Program</w:t>
      </w:r>
      <w:r w:rsidRPr="001E6036" w:rsidR="00B45CB0">
        <w:rPr>
          <w:b/>
          <w:color w:val="000000" w:themeColor="text1"/>
          <w:sz w:val="32"/>
        </w:rPr>
        <w:br/>
        <w:t xml:space="preserve">OMB </w:t>
      </w:r>
      <w:r w:rsidRPr="001E6036">
        <w:rPr>
          <w:b/>
          <w:color w:val="000000" w:themeColor="text1"/>
          <w:sz w:val="32"/>
        </w:rPr>
        <w:t>Number 1405-</w:t>
      </w:r>
      <w:r w:rsidRPr="001E6036" w:rsidR="00AF4BCF">
        <w:rPr>
          <w:b/>
          <w:color w:val="000000" w:themeColor="text1"/>
          <w:sz w:val="32"/>
        </w:rPr>
        <w:t>XXXX</w:t>
      </w:r>
      <w:r w:rsidRPr="001E6036">
        <w:rPr>
          <w:b/>
          <w:color w:val="000000" w:themeColor="text1"/>
          <w:sz w:val="32"/>
        </w:rPr>
        <w:t xml:space="preserve"> </w:t>
      </w:r>
      <w:r w:rsidRPr="001E6036">
        <w:rPr>
          <w:b/>
          <w:i/>
          <w:color w:val="000000" w:themeColor="text1"/>
          <w:sz w:val="32"/>
        </w:rPr>
        <w:br/>
      </w:r>
    </w:p>
    <w:p w:rsidRPr="001E6036" w:rsidR="001551C6" w:rsidP="001551C6" w:rsidRDefault="001551C6" w14:paraId="09DE8378" w14:textId="77777777">
      <w:pPr>
        <w:pStyle w:val="Heading1"/>
      </w:pPr>
    </w:p>
    <w:p w:rsidRPr="001E6036" w:rsidR="001551C6" w:rsidP="001551C6" w:rsidRDefault="001551C6" w14:paraId="3866544F" w14:textId="77777777">
      <w:pPr>
        <w:pStyle w:val="Heading1"/>
      </w:pPr>
      <w:r w:rsidRPr="001E6036">
        <w:t>A.</w:t>
      </w:r>
      <w:r w:rsidRPr="001E6036">
        <w:tab/>
        <w:t>JUSTIFICATION</w:t>
      </w:r>
    </w:p>
    <w:p w:rsidRPr="001E6036" w:rsidR="001551C6" w:rsidP="001551C6" w:rsidRDefault="001551C6" w14:paraId="48BD19A4" w14:textId="77777777">
      <w:pPr>
        <w:numPr>
          <w:ilvl w:val="0"/>
          <w:numId w:val="1"/>
        </w:numPr>
        <w:rPr>
          <w:i/>
          <w:color w:val="000000" w:themeColor="text1"/>
          <w:sz w:val="28"/>
          <w:szCs w:val="28"/>
        </w:rPr>
      </w:pPr>
      <w:r w:rsidRPr="001E6036">
        <w:rPr>
          <w:i/>
          <w:color w:val="000000" w:themeColor="text1"/>
          <w:sz w:val="28"/>
          <w:szCs w:val="28"/>
        </w:rPr>
        <w:t>Why is this collection necessary and what are the legal statutes that allow this?</w:t>
      </w:r>
    </w:p>
    <w:p w:rsidRPr="001E6036" w:rsidR="0018530E" w:rsidP="0018530E" w:rsidRDefault="0018530E" w14:paraId="198D723C" w14:textId="778B7226">
      <w:pPr>
        <w:pStyle w:val="ListParagraph"/>
        <w:spacing w:before="100" w:beforeAutospacing="1"/>
        <w:ind w:left="360"/>
      </w:pPr>
      <w:r w:rsidRPr="001E6036">
        <w:t xml:space="preserve">The Department of State’s Bureau of Educational and Cultural Affairs (ECA) regularly monitors and evaluates its programs through the collection of data about program accomplishments in order to enable program staff to assess the impact of its programs, where improvements may be necessary, and to modify/plan future programs.  ECA is currently conducting an evaluation of the Professional Fellows Program (PFP).  </w:t>
      </w:r>
      <w:r w:rsidRPr="001E6036" w:rsidR="00BC5D07">
        <w:t xml:space="preserve">The PFP is a two-way, global exchange program for mid-level emerging leaders from select foreign countries. The PFP is managed by the Professional Fellows Division of </w:t>
      </w:r>
      <w:r w:rsidRPr="001E6036" w:rsidR="00305594">
        <w:t>ECA</w:t>
      </w:r>
      <w:r w:rsidRPr="001E6036" w:rsidR="00BC5D07">
        <w:t>. Foreign fellows come to the United States for a five- to six-week fellowship, including a minimum four-week tailored placement in a relevant professional organization (NGO’s, business, government, etc.) and an end of program conference in Washington, D.C.  While in the Unite</w:t>
      </w:r>
      <w:r w:rsidRPr="001E6036" w:rsidR="00771BEB">
        <w:t>d</w:t>
      </w:r>
      <w:r w:rsidRPr="001E6036" w:rsidR="00BC5D07">
        <w:t xml:space="preserve"> States the foreign fellows volunteer in their local community, stay with local families, and create follow-on project plans to implement back in their home country.  A select number of U.S. counterparts travel overseas on an outbound program that is approximately two weeks in length to directly support foreign fellows’ follow-on projects. </w:t>
      </w:r>
    </w:p>
    <w:p w:rsidRPr="001E6036" w:rsidR="00C77D5F" w:rsidP="0018530E" w:rsidRDefault="00C77D5F" w14:paraId="6264307A" w14:textId="77777777">
      <w:pPr>
        <w:pStyle w:val="ListParagraph"/>
        <w:spacing w:before="100" w:beforeAutospacing="1"/>
        <w:ind w:left="360"/>
      </w:pPr>
    </w:p>
    <w:p w:rsidRPr="001E6036" w:rsidR="00AA229E" w:rsidP="00AA229E" w:rsidRDefault="00C77D5F" w14:paraId="38A49981" w14:textId="77777777">
      <w:pPr>
        <w:pStyle w:val="ListParagraph"/>
        <w:spacing w:before="100" w:beforeAutospacing="1"/>
        <w:ind w:left="360"/>
      </w:pPr>
      <w:r w:rsidRPr="001E6036">
        <w:t xml:space="preserve">Beginning with the FY2012 grant cycle (program implementation in 2013), the Professional Exchanges Division began instituting program standards across </w:t>
      </w:r>
      <w:r w:rsidRPr="001E6036" w:rsidR="00AA229E">
        <w:t xml:space="preserve">the programmatic </w:t>
      </w:r>
      <w:r w:rsidRPr="001E6036">
        <w:t xml:space="preserve">themes and </w:t>
      </w:r>
      <w:r w:rsidRPr="001E6036" w:rsidR="00AA229E">
        <w:t xml:space="preserve">program </w:t>
      </w:r>
      <w:r w:rsidRPr="001E6036">
        <w:t>implementers. The evaluation covers the period of this standardization – from 2013 th</w:t>
      </w:r>
      <w:r w:rsidRPr="001E6036" w:rsidR="00AA229E">
        <w:t>rough 2018 –</w:t>
      </w:r>
      <w:r w:rsidRPr="001E6036">
        <w:t xml:space="preserve"> and seeks to determine the effect of these changes on program outcomes and the extent to which the program is achieving its long-term goals of developing lasting professional collaborative relationships between alumni and their U.S. counterparts to serve common issues. </w:t>
      </w:r>
    </w:p>
    <w:p w:rsidRPr="001E6036" w:rsidR="00AA229E" w:rsidP="00AA229E" w:rsidRDefault="00AA229E" w14:paraId="1DA1B3E5" w14:textId="77777777">
      <w:pPr>
        <w:pStyle w:val="ListParagraph"/>
        <w:spacing w:before="100" w:beforeAutospacing="1"/>
        <w:ind w:left="360"/>
      </w:pPr>
    </w:p>
    <w:p w:rsidRPr="001E6036" w:rsidR="0018530E" w:rsidP="00AA229E" w:rsidRDefault="00AA229E" w14:paraId="5F7F1D59" w14:textId="1293DC46">
      <w:pPr>
        <w:pStyle w:val="ListParagraph"/>
        <w:spacing w:before="100" w:beforeAutospacing="1"/>
        <w:ind w:left="360"/>
      </w:pPr>
      <w:r w:rsidRPr="001E6036">
        <w:t xml:space="preserve">To </w:t>
      </w:r>
      <w:r w:rsidRPr="001E6036" w:rsidR="006E7ABB">
        <w:t xml:space="preserve">conduct </w:t>
      </w:r>
      <w:r w:rsidRPr="001E6036">
        <w:t>the evaluation,</w:t>
      </w:r>
      <w:r w:rsidRPr="001E6036" w:rsidR="00C77D5F">
        <w:t xml:space="preserve"> ECA </w:t>
      </w:r>
      <w:r w:rsidRPr="001E6036" w:rsidR="0018530E">
        <w:t xml:space="preserve">contracted </w:t>
      </w:r>
      <w:r w:rsidRPr="001E6036" w:rsidR="00C77D5F">
        <w:t>General Dynamics Information Technology</w:t>
      </w:r>
      <w:r w:rsidRPr="001E6036" w:rsidR="0018530E">
        <w:t xml:space="preserve"> </w:t>
      </w:r>
      <w:r w:rsidRPr="001E6036">
        <w:t xml:space="preserve">(GDIT) </w:t>
      </w:r>
      <w:r w:rsidRPr="001E6036" w:rsidR="0018530E">
        <w:t xml:space="preserve">to </w:t>
      </w:r>
      <w:r w:rsidRPr="001E6036" w:rsidR="00AD1704">
        <w:t>carry out in-d</w:t>
      </w:r>
      <w:r w:rsidRPr="001E6036">
        <w:t xml:space="preserve">epth interviews and surveys of the following stakeholder groups: </w:t>
      </w:r>
      <w:r w:rsidRPr="001E6036" w:rsidR="00AD1704">
        <w:t xml:space="preserve">foreign fellows, </w:t>
      </w:r>
      <w:r w:rsidRPr="001E6036" w:rsidR="00D002E1">
        <w:t xml:space="preserve">U.S. reciprocal fellows, </w:t>
      </w:r>
      <w:r w:rsidRPr="001E6036" w:rsidR="00AD1704">
        <w:t xml:space="preserve">the U.S. professionals with whom they </w:t>
      </w:r>
      <w:r w:rsidRPr="001E6036" w:rsidR="00305594">
        <w:t>worked</w:t>
      </w:r>
      <w:r w:rsidRPr="001E6036">
        <w:t xml:space="preserve">, </w:t>
      </w:r>
      <w:r w:rsidRPr="001E6036" w:rsidR="00AD1704">
        <w:t>as well as U.S. homestay hosts.</w:t>
      </w:r>
    </w:p>
    <w:p w:rsidRPr="001E6036" w:rsidR="0018530E" w:rsidP="00AA229E" w:rsidRDefault="0018530E" w14:paraId="2A95D246" w14:textId="77777777">
      <w:pPr>
        <w:pStyle w:val="ListParagraph"/>
        <w:spacing w:before="100" w:beforeAutospacing="1"/>
        <w:ind w:left="360"/>
        <w:jc w:val="center"/>
      </w:pPr>
    </w:p>
    <w:p w:rsidRPr="001E6036" w:rsidR="0018530E" w:rsidP="0018530E" w:rsidRDefault="0018530E" w14:paraId="50B09355" w14:textId="77777777">
      <w:pPr>
        <w:pStyle w:val="ListParagraph"/>
        <w:spacing w:before="100" w:beforeAutospacing="1"/>
        <w:ind w:left="360"/>
      </w:pPr>
      <w:r w:rsidRPr="001E6036">
        <w:t xml:space="preserve">Legal authorities and administrative requirements that necessitate the collection of these data can be found below:  </w:t>
      </w:r>
    </w:p>
    <w:p w:rsidRPr="001E6036" w:rsidR="0018530E" w:rsidP="00AD1704" w:rsidRDefault="0018530E" w14:paraId="2110FDCC" w14:textId="77777777">
      <w:pPr>
        <w:pStyle w:val="ListParagraph"/>
        <w:numPr>
          <w:ilvl w:val="0"/>
          <w:numId w:val="8"/>
        </w:numPr>
        <w:spacing w:before="100" w:beforeAutospacing="1" w:after="0"/>
      </w:pPr>
      <w:r w:rsidRPr="001E6036">
        <w:t xml:space="preserve">Government Performance and Results Act of 1993 (GPRA)    </w:t>
      </w:r>
    </w:p>
    <w:p w:rsidRPr="001E6036" w:rsidR="0018530E" w:rsidP="00AD1704" w:rsidRDefault="0018530E" w14:paraId="23E52D63" w14:textId="77777777">
      <w:pPr>
        <w:pStyle w:val="ListParagraph"/>
        <w:numPr>
          <w:ilvl w:val="0"/>
          <w:numId w:val="8"/>
        </w:numPr>
        <w:spacing w:before="100" w:beforeAutospacing="1" w:after="0"/>
      </w:pPr>
      <w:r w:rsidRPr="001E6036">
        <w:t xml:space="preserve">Government Performance and Results Modernization Act of 2010 (GPRAMA) </w:t>
      </w:r>
    </w:p>
    <w:p w:rsidRPr="001E6036" w:rsidR="0018530E" w:rsidP="00AD1704" w:rsidRDefault="0018530E" w14:paraId="4EE95149" w14:textId="77777777">
      <w:pPr>
        <w:pStyle w:val="ListParagraph"/>
        <w:numPr>
          <w:ilvl w:val="0"/>
          <w:numId w:val="8"/>
        </w:numPr>
        <w:spacing w:before="100" w:beforeAutospacing="1" w:after="0"/>
      </w:pPr>
      <w:r w:rsidRPr="001E6036">
        <w:lastRenderedPageBreak/>
        <w:t>Department of State’s Program and Project Design, Monitoring, and Evaluation Policy</w:t>
      </w:r>
    </w:p>
    <w:p w:rsidRPr="001E6036" w:rsidR="0018530E" w:rsidP="00AD1704" w:rsidRDefault="0018530E" w14:paraId="67E03B41" w14:textId="74E2FBF9">
      <w:pPr>
        <w:pStyle w:val="ListParagraph"/>
        <w:numPr>
          <w:ilvl w:val="0"/>
          <w:numId w:val="8"/>
        </w:numPr>
        <w:spacing w:before="100" w:beforeAutospacing="1" w:after="0"/>
      </w:pPr>
      <w:r w:rsidRPr="001E6036">
        <w:t xml:space="preserve">Mutual Educational and Cultural Exchange Act of 1961, as amended, 22 U.S.C. 2451 </w:t>
      </w:r>
      <w:r w:rsidRPr="001E6036">
        <w:rPr>
          <w:i/>
          <w:iCs/>
        </w:rPr>
        <w:t>et seq</w:t>
      </w:r>
      <w:r w:rsidRPr="001E6036" w:rsidR="00F75D34">
        <w:rPr>
          <w:i/>
          <w:iCs/>
        </w:rPr>
        <w:t>.</w:t>
      </w:r>
      <w:r w:rsidRPr="001E6036">
        <w:rPr>
          <w:i/>
          <w:iCs/>
        </w:rPr>
        <w:t xml:space="preserve"> </w:t>
      </w:r>
      <w:r w:rsidRPr="001E6036">
        <w:rPr>
          <w:iCs/>
        </w:rPr>
        <w:t>(also known as the Fulbright-Hays Act)</w:t>
      </w:r>
    </w:p>
    <w:p w:rsidRPr="001E6036" w:rsidR="00AD1704" w:rsidP="00AD1704" w:rsidRDefault="00AD1704" w14:paraId="204E0F5F" w14:textId="77777777">
      <w:pPr>
        <w:pStyle w:val="ListParagraph"/>
        <w:spacing w:before="100" w:beforeAutospacing="1" w:after="0"/>
        <w:ind w:left="1440"/>
      </w:pPr>
    </w:p>
    <w:p w:rsidRPr="001E6036" w:rsidR="001551C6" w:rsidP="001551C6" w:rsidRDefault="001551C6" w14:paraId="6DB0726C" w14:textId="77777777">
      <w:pPr>
        <w:numPr>
          <w:ilvl w:val="0"/>
          <w:numId w:val="1"/>
        </w:numPr>
        <w:rPr>
          <w:i/>
          <w:color w:val="000000" w:themeColor="text1"/>
          <w:sz w:val="28"/>
          <w:szCs w:val="28"/>
        </w:rPr>
      </w:pPr>
      <w:r w:rsidRPr="001E6036">
        <w:rPr>
          <w:i/>
          <w:color w:val="000000" w:themeColor="text1"/>
          <w:sz w:val="28"/>
          <w:szCs w:val="28"/>
        </w:rPr>
        <w:t>What business purpose is the information gathered going to be used for?</w:t>
      </w:r>
    </w:p>
    <w:p w:rsidRPr="001E6036" w:rsidR="00190238" w:rsidP="00190238" w:rsidRDefault="00AD1704" w14:paraId="1D7B6AF0" w14:textId="156D12CD">
      <w:pPr>
        <w:pStyle w:val="ListParagraph"/>
        <w:spacing w:before="100" w:beforeAutospacing="1"/>
        <w:ind w:left="360"/>
        <w:rPr>
          <w:szCs w:val="24"/>
        </w:rPr>
      </w:pPr>
      <w:r w:rsidRPr="001E6036">
        <w:t xml:space="preserve">The data will primarily be used by ECA’s Evaluation Division, the PFP program staff and </w:t>
      </w:r>
      <w:r w:rsidRPr="001E6036" w:rsidR="00C07FE2">
        <w:t xml:space="preserve">the PFP implementing partners to improve program design, effectiveness, and impact. </w:t>
      </w:r>
      <w:r w:rsidRPr="001E6036" w:rsidR="00B168C5">
        <w:t>A high-level version of the final</w:t>
      </w:r>
      <w:r w:rsidRPr="001E6036">
        <w:t xml:space="preserve"> report will also be made available to the public as part of ECA’s </w:t>
      </w:r>
      <w:r w:rsidRPr="001E6036">
        <w:rPr>
          <w:szCs w:val="24"/>
        </w:rPr>
        <w:t xml:space="preserve">responsibility to be accountable for the use of its funds and performance of its mission.  The ECA Evaluation Division, in partnership with GDIT, is conducting the evaluation, </w:t>
      </w:r>
      <w:r w:rsidRPr="001E6036" w:rsidR="00C07FE2">
        <w:rPr>
          <w:szCs w:val="24"/>
        </w:rPr>
        <w:t xml:space="preserve">and </w:t>
      </w:r>
      <w:r w:rsidRPr="001E6036">
        <w:rPr>
          <w:szCs w:val="24"/>
        </w:rPr>
        <w:t>will be responsible for collecting and analyzing the data.</w:t>
      </w:r>
      <w:r w:rsidRPr="001E6036" w:rsidR="00190238">
        <w:rPr>
          <w:szCs w:val="24"/>
        </w:rPr>
        <w:t xml:space="preserve"> Note that these data collection tools are not designed for foreign participants in the PFP, as ECA has already collected data from this stakeholder group. We believe this new information collection will help supplement our understanding of this program by surveying the group of participants ECA has not previously solicited feedback from.</w:t>
      </w:r>
    </w:p>
    <w:p w:rsidRPr="001E6036" w:rsidR="00AD1704" w:rsidP="00AD1704" w:rsidRDefault="00AD1704" w14:paraId="25227AF1" w14:textId="4274416B">
      <w:pPr>
        <w:pStyle w:val="ListParagraph"/>
        <w:spacing w:before="100" w:beforeAutospacing="1"/>
        <w:ind w:left="360"/>
        <w:rPr>
          <w:szCs w:val="24"/>
        </w:rPr>
      </w:pPr>
    </w:p>
    <w:p w:rsidRPr="001E6036" w:rsidR="001551C6" w:rsidP="001551C6" w:rsidRDefault="001551C6" w14:paraId="36D343FF" w14:textId="77777777">
      <w:pPr>
        <w:numPr>
          <w:ilvl w:val="0"/>
          <w:numId w:val="1"/>
        </w:numPr>
        <w:rPr>
          <w:i/>
          <w:color w:val="000000" w:themeColor="text1"/>
          <w:sz w:val="28"/>
          <w:szCs w:val="28"/>
        </w:rPr>
      </w:pPr>
      <w:r w:rsidRPr="001E6036">
        <w:rPr>
          <w:i/>
          <w:color w:val="000000" w:themeColor="text1"/>
          <w:sz w:val="28"/>
          <w:szCs w:val="28"/>
        </w:rPr>
        <w:t>Is this collection able to be completed electronically (e.g. through a website or application)?</w:t>
      </w:r>
    </w:p>
    <w:p w:rsidRPr="001E6036" w:rsidR="00C07FE2" w:rsidP="001551C6" w:rsidRDefault="00C07FE2" w14:paraId="61E45C4F" w14:textId="77777777">
      <w:pPr>
        <w:ind w:left="360"/>
      </w:pPr>
      <w:r w:rsidRPr="001E6036">
        <w:t>The surveys will be administered using Survey Monkey.</w:t>
      </w:r>
      <w:r w:rsidRPr="001E6036" w:rsidR="001551C6">
        <w:t xml:space="preserve"> </w:t>
      </w:r>
      <w:r w:rsidRPr="001E6036">
        <w:t xml:space="preserve">To protect the anonymity of the respondents, a general survey link (as opposed to individualized survey links) will be sent to the entire respondent base for each respective survey using updated emails supplied by the implementing partners. Survey Monkey allows for: </w:t>
      </w:r>
    </w:p>
    <w:p w:rsidRPr="001E6036" w:rsidR="00C07FE2" w:rsidP="00C07FE2" w:rsidRDefault="00C07FE2" w14:paraId="10B63844" w14:textId="77777777">
      <w:pPr>
        <w:pStyle w:val="ListParagraph"/>
        <w:numPr>
          <w:ilvl w:val="0"/>
          <w:numId w:val="9"/>
        </w:numPr>
      </w:pPr>
      <w:r w:rsidRPr="001E6036">
        <w:t>easy programming and testing before launch,</w:t>
      </w:r>
    </w:p>
    <w:p w:rsidRPr="001E6036" w:rsidR="00C07FE2" w:rsidP="00C07FE2" w:rsidRDefault="00C07FE2" w14:paraId="39993BF4" w14:textId="77777777">
      <w:pPr>
        <w:pStyle w:val="ListParagraph"/>
        <w:numPr>
          <w:ilvl w:val="0"/>
          <w:numId w:val="9"/>
        </w:numPr>
      </w:pPr>
      <w:r w:rsidRPr="001E6036">
        <w:t xml:space="preserve">real-time monitoring of results, </w:t>
      </w:r>
    </w:p>
    <w:p w:rsidRPr="001E6036" w:rsidR="00C07FE2" w:rsidP="00C07FE2" w:rsidRDefault="00C07FE2" w14:paraId="469DE2C5" w14:textId="77777777">
      <w:pPr>
        <w:pStyle w:val="ListParagraph"/>
        <w:numPr>
          <w:ilvl w:val="0"/>
          <w:numId w:val="9"/>
        </w:numPr>
      </w:pPr>
      <w:r w:rsidRPr="001E6036">
        <w:t xml:space="preserve">real-time visual presentation of data, and </w:t>
      </w:r>
    </w:p>
    <w:p w:rsidRPr="001E6036" w:rsidR="00C07FE2" w:rsidP="00C07FE2" w:rsidRDefault="00C07FE2" w14:paraId="32118552" w14:textId="2573D092">
      <w:pPr>
        <w:pStyle w:val="ListParagraph"/>
        <w:numPr>
          <w:ilvl w:val="0"/>
          <w:numId w:val="9"/>
        </w:numPr>
      </w:pPr>
      <w:r w:rsidRPr="001E6036">
        <w:t>easy data export</w:t>
      </w:r>
      <w:r w:rsidRPr="001E6036" w:rsidR="00B168C5">
        <w:t>s</w:t>
      </w:r>
      <w:r w:rsidRPr="001E6036">
        <w:t xml:space="preserve"> to </w:t>
      </w:r>
      <w:r w:rsidRPr="001E6036" w:rsidR="00771BEB">
        <w:t xml:space="preserve">Microsoft Excel </w:t>
      </w:r>
      <w:r w:rsidRPr="001E6036">
        <w:t xml:space="preserve">or </w:t>
      </w:r>
      <w:r w:rsidRPr="001E6036" w:rsidR="00771BEB">
        <w:t xml:space="preserve">IBM </w:t>
      </w:r>
      <w:r w:rsidRPr="001E6036">
        <w:t>SPSS</w:t>
      </w:r>
      <w:r w:rsidRPr="001E6036" w:rsidR="00771BEB">
        <w:t xml:space="preserve"> software</w:t>
      </w:r>
      <w:r w:rsidRPr="001E6036">
        <w:t xml:space="preserve"> for further data analysis.</w:t>
      </w:r>
    </w:p>
    <w:p w:rsidRPr="001E6036" w:rsidR="00B168C5" w:rsidP="00D836E8" w:rsidRDefault="00C07FE2" w14:paraId="727F2537" w14:textId="323D2E51">
      <w:pPr>
        <w:ind w:left="360"/>
      </w:pPr>
      <w:r w:rsidRPr="001E6036">
        <w:t xml:space="preserve">Periodic reminders will be sent to the entire respondent pool throughout the survey window in order to improve the response rate.  </w:t>
      </w:r>
    </w:p>
    <w:p w:rsidRPr="001E6036" w:rsidR="00B168C5" w:rsidP="00B168C5" w:rsidRDefault="00B168C5" w14:paraId="1BD0A96B" w14:textId="4BE5DCD1">
      <w:pPr>
        <w:spacing w:before="100" w:beforeAutospacing="1"/>
        <w:ind w:left="360"/>
        <w:rPr>
          <w:szCs w:val="24"/>
        </w:rPr>
      </w:pPr>
      <w:r w:rsidRPr="001E6036">
        <w:rPr>
          <w:szCs w:val="24"/>
        </w:rPr>
        <w:t>Due to the nature of in-depth interviews, th</w:t>
      </w:r>
      <w:r w:rsidRPr="001E6036" w:rsidR="006E06F2">
        <w:rPr>
          <w:szCs w:val="24"/>
        </w:rPr>
        <w:t xml:space="preserve">ey </w:t>
      </w:r>
      <w:r w:rsidRPr="001E6036">
        <w:rPr>
          <w:szCs w:val="24"/>
        </w:rPr>
        <w:t xml:space="preserve">will need to be administered in-person, by phone or via virtual meeting platform such as Skype. </w:t>
      </w:r>
    </w:p>
    <w:p w:rsidRPr="001E6036" w:rsidR="00B168C5" w:rsidP="001551C6" w:rsidRDefault="00B168C5" w14:paraId="73DA6138" w14:textId="77777777">
      <w:pPr>
        <w:ind w:left="360"/>
      </w:pPr>
    </w:p>
    <w:p w:rsidRPr="001E6036" w:rsidR="001551C6" w:rsidP="001551C6" w:rsidRDefault="001551C6" w14:paraId="26826C26" w14:textId="77777777">
      <w:pPr>
        <w:numPr>
          <w:ilvl w:val="0"/>
          <w:numId w:val="1"/>
        </w:numPr>
        <w:rPr>
          <w:i/>
          <w:color w:val="000000" w:themeColor="text1"/>
          <w:sz w:val="28"/>
          <w:szCs w:val="28"/>
        </w:rPr>
      </w:pPr>
      <w:r w:rsidRPr="001E6036">
        <w:rPr>
          <w:i/>
          <w:color w:val="000000" w:themeColor="text1"/>
          <w:sz w:val="28"/>
          <w:szCs w:val="28"/>
        </w:rPr>
        <w:t>Does this collection duplicate any other collection of information?</w:t>
      </w:r>
    </w:p>
    <w:p w:rsidRPr="001E6036" w:rsidR="009C450F" w:rsidP="009C450F" w:rsidRDefault="009C450F" w14:paraId="747BAADE" w14:textId="172243B4">
      <w:pPr>
        <w:pStyle w:val="ListParagraph"/>
        <w:spacing w:before="100" w:beforeAutospacing="1"/>
        <w:ind w:left="360"/>
      </w:pPr>
      <w:r w:rsidRPr="001E6036">
        <w:t xml:space="preserve">This data collection does not represent a duplication of effort. The questions are specifically designed to understand the impact of the PFP on the foreign professionals who participated in the program, </w:t>
      </w:r>
      <w:r w:rsidRPr="001E6036" w:rsidR="00D002E1">
        <w:t xml:space="preserve">the U.S. reciprocal fellows, </w:t>
      </w:r>
      <w:r w:rsidRPr="001E6036" w:rsidR="00305594">
        <w:t>the U.S. professionals with whom they worked</w:t>
      </w:r>
      <w:r w:rsidRPr="001E6036" w:rsidR="00777DC7">
        <w:t xml:space="preserve">, </w:t>
      </w:r>
      <w:r w:rsidRPr="001E6036">
        <w:t xml:space="preserve">and </w:t>
      </w:r>
      <w:r w:rsidRPr="001E6036" w:rsidR="00777DC7">
        <w:t xml:space="preserve">their </w:t>
      </w:r>
      <w:r w:rsidRPr="001E6036">
        <w:t>homestay hosts</w:t>
      </w:r>
      <w:r w:rsidRPr="001E6036" w:rsidR="00777DC7">
        <w:t>.</w:t>
      </w:r>
      <w:r w:rsidRPr="001E6036">
        <w:t xml:space="preserve"> ECA has not collected these data from these </w:t>
      </w:r>
      <w:r w:rsidRPr="001E6036" w:rsidR="00777DC7">
        <w:t xml:space="preserve">particular </w:t>
      </w:r>
      <w:r w:rsidRPr="001E6036">
        <w:t>stakeholders in the past.</w:t>
      </w:r>
    </w:p>
    <w:p w:rsidRPr="001E6036" w:rsidR="00777DC7" w:rsidP="00777DC7" w:rsidRDefault="001551C6" w14:paraId="47570846" w14:textId="77777777">
      <w:pPr>
        <w:numPr>
          <w:ilvl w:val="0"/>
          <w:numId w:val="1"/>
        </w:numPr>
        <w:rPr>
          <w:i/>
          <w:color w:val="000000" w:themeColor="text1"/>
          <w:sz w:val="28"/>
          <w:szCs w:val="28"/>
        </w:rPr>
      </w:pPr>
      <w:r w:rsidRPr="001E6036">
        <w:rPr>
          <w:i/>
          <w:color w:val="000000" w:themeColor="text1"/>
          <w:sz w:val="28"/>
          <w:szCs w:val="28"/>
        </w:rPr>
        <w:t>Describe any impacts on small business.</w:t>
      </w:r>
    </w:p>
    <w:p w:rsidRPr="001E6036" w:rsidR="00B168C5" w:rsidP="003B4C45" w:rsidRDefault="00B168C5" w14:paraId="226864DB" w14:textId="77777777">
      <w:pPr>
        <w:spacing w:before="100" w:beforeAutospacing="1"/>
        <w:ind w:left="360"/>
      </w:pPr>
      <w:r w:rsidRPr="001E6036">
        <w:lastRenderedPageBreak/>
        <w:t xml:space="preserve">Representatives from small businesses may be interviewed and/or surveyed for the evaluation, but we expect the time burden to be minimal. </w:t>
      </w:r>
    </w:p>
    <w:p w:rsidRPr="001E6036" w:rsidR="001551C6" w:rsidP="001551C6" w:rsidRDefault="001551C6" w14:paraId="271D7BB4" w14:textId="77777777">
      <w:pPr>
        <w:numPr>
          <w:ilvl w:val="0"/>
          <w:numId w:val="1"/>
        </w:numPr>
        <w:rPr>
          <w:i/>
          <w:color w:val="000000" w:themeColor="text1"/>
          <w:sz w:val="28"/>
          <w:szCs w:val="28"/>
        </w:rPr>
      </w:pPr>
      <w:r w:rsidRPr="001E6036">
        <w:rPr>
          <w:i/>
          <w:color w:val="000000" w:themeColor="text1"/>
          <w:sz w:val="28"/>
          <w:szCs w:val="28"/>
        </w:rPr>
        <w:t>What are consequences if this collection is not done?</w:t>
      </w:r>
    </w:p>
    <w:p w:rsidRPr="001E6036" w:rsidR="00777DC7" w:rsidP="003B4C45" w:rsidRDefault="00777DC7" w14:paraId="78BF9635" w14:textId="4C5524CD">
      <w:pPr>
        <w:pStyle w:val="ListParagraph"/>
        <w:spacing w:before="100" w:beforeAutospacing="1" w:after="0"/>
        <w:ind w:left="360"/>
        <w:rPr>
          <w:rFonts w:cstheme="minorHAnsi"/>
          <w:szCs w:val="24"/>
        </w:rPr>
      </w:pPr>
      <w:r w:rsidRPr="001E6036">
        <w:rPr>
          <w:rFonts w:cstheme="minorHAnsi"/>
          <w:szCs w:val="24"/>
        </w:rPr>
        <w:t xml:space="preserve">Approval is being sought for a one-time data collection. Since 2013, the Professional Fellows Division has taken steps to standardize the program across thematic areas, program components, and program </w:t>
      </w:r>
      <w:r w:rsidRPr="001E6036" w:rsidR="009319A2">
        <w:rPr>
          <w:rFonts w:cstheme="minorHAnsi"/>
          <w:szCs w:val="24"/>
        </w:rPr>
        <w:t xml:space="preserve">implementers. Since </w:t>
      </w:r>
      <w:r w:rsidRPr="001E6036" w:rsidR="00E31FDB">
        <w:rPr>
          <w:rFonts w:cstheme="minorHAnsi"/>
          <w:szCs w:val="24"/>
        </w:rPr>
        <w:t>that time</w:t>
      </w:r>
      <w:r w:rsidRPr="001E6036" w:rsidR="009319A2">
        <w:rPr>
          <w:rFonts w:cstheme="minorHAnsi"/>
          <w:szCs w:val="24"/>
        </w:rPr>
        <w:t xml:space="preserve">, </w:t>
      </w:r>
      <w:r w:rsidRPr="001E6036" w:rsidR="00E31FDB">
        <w:rPr>
          <w:rFonts w:cstheme="minorHAnsi"/>
          <w:szCs w:val="24"/>
        </w:rPr>
        <w:t>t</w:t>
      </w:r>
      <w:r w:rsidRPr="001E6036" w:rsidR="009319A2">
        <w:rPr>
          <w:rFonts w:cstheme="minorHAnsi"/>
          <w:szCs w:val="24"/>
        </w:rPr>
        <w:t xml:space="preserve">he </w:t>
      </w:r>
      <w:r w:rsidRPr="001E6036">
        <w:rPr>
          <w:rFonts w:cstheme="minorHAnsi"/>
          <w:szCs w:val="24"/>
        </w:rPr>
        <w:t xml:space="preserve">PFP has </w:t>
      </w:r>
      <w:r w:rsidRPr="001E6036" w:rsidR="00E31FDB">
        <w:rPr>
          <w:rFonts w:cstheme="minorHAnsi"/>
          <w:szCs w:val="24"/>
        </w:rPr>
        <w:t xml:space="preserve">not </w:t>
      </w:r>
      <w:r w:rsidRPr="001E6036" w:rsidR="009319A2">
        <w:rPr>
          <w:rFonts w:cstheme="minorHAnsi"/>
          <w:szCs w:val="24"/>
        </w:rPr>
        <w:t xml:space="preserve">been evaluated, and ECA </w:t>
      </w:r>
      <w:r w:rsidRPr="001E6036">
        <w:rPr>
          <w:rFonts w:cstheme="minorHAnsi"/>
          <w:szCs w:val="24"/>
        </w:rPr>
        <w:t xml:space="preserve">deems it critical to conduct an independent evaluation to capture the impact of the program and to determine </w:t>
      </w:r>
      <w:r w:rsidRPr="001E6036" w:rsidR="009319A2">
        <w:rPr>
          <w:rFonts w:cstheme="minorHAnsi"/>
          <w:szCs w:val="24"/>
        </w:rPr>
        <w:t>the extent to which current program requirements are conducive to meeting its long-term goals</w:t>
      </w:r>
      <w:r w:rsidRPr="001E6036" w:rsidR="00E31FDB">
        <w:rPr>
          <w:rFonts w:cstheme="minorHAnsi"/>
          <w:szCs w:val="24"/>
        </w:rPr>
        <w:t>.</w:t>
      </w:r>
      <w:r w:rsidRPr="001E6036" w:rsidR="009319A2">
        <w:rPr>
          <w:rFonts w:cstheme="minorHAnsi"/>
          <w:szCs w:val="24"/>
        </w:rPr>
        <w:t xml:space="preserve"> </w:t>
      </w:r>
      <w:r w:rsidRPr="001E6036">
        <w:rPr>
          <w:rFonts w:cstheme="minorHAnsi"/>
          <w:szCs w:val="24"/>
        </w:rPr>
        <w:t xml:space="preserve">Absent this data collection, ECA cannot fully answer questions about the long-term benefits of the program (or the lack thereof). </w:t>
      </w:r>
    </w:p>
    <w:p w:rsidRPr="001E6036" w:rsidR="00777DC7" w:rsidP="00777DC7" w:rsidRDefault="00777DC7" w14:paraId="68F255FA" w14:textId="77777777">
      <w:pPr>
        <w:ind w:left="360"/>
        <w:rPr>
          <w:i/>
          <w:color w:val="000000" w:themeColor="text1"/>
          <w:sz w:val="28"/>
          <w:szCs w:val="28"/>
        </w:rPr>
      </w:pPr>
    </w:p>
    <w:p w:rsidRPr="001E6036" w:rsidR="001551C6" w:rsidP="001551C6" w:rsidRDefault="001551C6" w14:paraId="33D95939" w14:textId="77777777">
      <w:pPr>
        <w:numPr>
          <w:ilvl w:val="0"/>
          <w:numId w:val="1"/>
        </w:numPr>
        <w:rPr>
          <w:i/>
          <w:color w:val="000000" w:themeColor="text1"/>
          <w:sz w:val="28"/>
          <w:szCs w:val="28"/>
        </w:rPr>
      </w:pPr>
      <w:r w:rsidRPr="001E6036">
        <w:rPr>
          <w:i/>
          <w:color w:val="000000" w:themeColor="text1"/>
          <w:sz w:val="28"/>
          <w:szCs w:val="28"/>
        </w:rPr>
        <w:t>Are there any special collection circumstances?</w:t>
      </w:r>
    </w:p>
    <w:p w:rsidRPr="001E6036" w:rsidR="002620EB" w:rsidP="00426749" w:rsidRDefault="002620EB" w14:paraId="3440ADC9" w14:textId="52D255C9">
      <w:pPr>
        <w:ind w:left="360"/>
        <w:rPr>
          <w:color w:val="000000" w:themeColor="text1"/>
          <w:szCs w:val="24"/>
        </w:rPr>
      </w:pPr>
      <w:r w:rsidRPr="001E6036">
        <w:rPr>
          <w:color w:val="000000" w:themeColor="text1"/>
          <w:szCs w:val="24"/>
        </w:rPr>
        <w:t xml:space="preserve">This data collection does not involve any special circumstances. It is a one-time data collection and does not require submission of any information that is not OMB-approved.  </w:t>
      </w:r>
      <w:r w:rsidRPr="001E6036" w:rsidR="008A2BEB">
        <w:rPr>
          <w:color w:val="000000" w:themeColor="text1"/>
          <w:szCs w:val="24"/>
        </w:rPr>
        <w:t xml:space="preserve">The participants will be notified of how the data will be used, and the Department will obtain their consent. </w:t>
      </w:r>
      <w:r w:rsidRPr="001E6036">
        <w:rPr>
          <w:color w:val="000000" w:themeColor="text1"/>
          <w:szCs w:val="24"/>
        </w:rPr>
        <w:t xml:space="preserve">No proprietary information will be collected. </w:t>
      </w:r>
    </w:p>
    <w:p w:rsidRPr="001E6036" w:rsidR="00426749" w:rsidP="00426749" w:rsidRDefault="001551C6" w14:paraId="3057B5D6" w14:textId="77777777">
      <w:pPr>
        <w:pStyle w:val="ListParagraph"/>
        <w:numPr>
          <w:ilvl w:val="0"/>
          <w:numId w:val="1"/>
        </w:numPr>
        <w:rPr>
          <w:i/>
          <w:color w:val="000000" w:themeColor="text1"/>
          <w:sz w:val="28"/>
          <w:szCs w:val="28"/>
        </w:rPr>
      </w:pPr>
      <w:r w:rsidRPr="001E6036">
        <w:rPr>
          <w:i/>
          <w:color w:val="000000" w:themeColor="text1"/>
          <w:sz w:val="28"/>
          <w:szCs w:val="28"/>
        </w:rPr>
        <w:t>Document publication (or intent to publish) a request for public comments in the Federal Register</w:t>
      </w:r>
    </w:p>
    <w:p w:rsidRPr="001E6036" w:rsidR="00426749" w:rsidP="00426749" w:rsidRDefault="00426749" w14:paraId="2FE7A6F7" w14:textId="77777777">
      <w:pPr>
        <w:pStyle w:val="ListParagraph"/>
        <w:ind w:left="360"/>
        <w:rPr>
          <w:i/>
          <w:color w:val="000000" w:themeColor="text1"/>
          <w:sz w:val="28"/>
          <w:szCs w:val="28"/>
        </w:rPr>
      </w:pPr>
    </w:p>
    <w:p w:rsidRPr="001E6036" w:rsidR="007B3448" w:rsidP="00426749" w:rsidRDefault="007B3448" w14:paraId="5BBC8637" w14:textId="418D9E3A">
      <w:pPr>
        <w:pStyle w:val="ListParagraph"/>
        <w:ind w:left="360"/>
        <w:rPr>
          <w:color w:val="000000"/>
        </w:rPr>
      </w:pPr>
      <w:r w:rsidRPr="001E6036">
        <w:rPr>
          <w:color w:val="000000"/>
        </w:rPr>
        <w:t>The 60-day Federal Register Notice was published on November 13, 2019 (</w:t>
      </w:r>
      <w:r w:rsidRPr="001E6036">
        <w:t xml:space="preserve">84 FR </w:t>
      </w:r>
      <w:r w:rsidRPr="001E6036" w:rsidR="003F333D">
        <w:t>61673</w:t>
      </w:r>
      <w:r w:rsidRPr="001E6036">
        <w:t>)</w:t>
      </w:r>
      <w:r w:rsidRPr="001E6036">
        <w:rPr>
          <w:color w:val="000000"/>
        </w:rPr>
        <w:t>.  No comments were received in that period.  The Department will publish a notice in the Federal Register soliciting public comments to OMB for a period of 30 days.</w:t>
      </w:r>
    </w:p>
    <w:p w:rsidRPr="001E6036" w:rsidR="007B3448" w:rsidP="00426749" w:rsidRDefault="007B3448" w14:paraId="2111DBF7" w14:textId="77777777">
      <w:pPr>
        <w:pStyle w:val="ListParagraph"/>
        <w:ind w:left="360"/>
        <w:rPr>
          <w:i/>
          <w:color w:val="000000" w:themeColor="text1"/>
          <w:sz w:val="28"/>
          <w:szCs w:val="28"/>
        </w:rPr>
      </w:pPr>
    </w:p>
    <w:p w:rsidRPr="001E6036" w:rsidR="001551C6" w:rsidP="001551C6" w:rsidRDefault="001551C6" w14:paraId="5AAF0910" w14:textId="77777777">
      <w:pPr>
        <w:numPr>
          <w:ilvl w:val="0"/>
          <w:numId w:val="1"/>
        </w:numPr>
        <w:rPr>
          <w:i/>
          <w:color w:val="000000" w:themeColor="text1"/>
          <w:sz w:val="28"/>
          <w:szCs w:val="28"/>
        </w:rPr>
      </w:pPr>
      <w:r w:rsidRPr="001E6036">
        <w:rPr>
          <w:i/>
          <w:color w:val="000000" w:themeColor="text1"/>
          <w:sz w:val="28"/>
          <w:szCs w:val="28"/>
        </w:rPr>
        <w:t>Are payments or gifts given to the respondents?</w:t>
      </w:r>
    </w:p>
    <w:p w:rsidRPr="001E6036" w:rsidR="001551C6" w:rsidP="001551C6" w:rsidRDefault="00426749" w14:paraId="07FB834E" w14:textId="77777777">
      <w:pPr>
        <w:ind w:left="360"/>
        <w:rPr>
          <w:i/>
          <w:color w:val="000000" w:themeColor="text1"/>
          <w:sz w:val="28"/>
          <w:szCs w:val="28"/>
        </w:rPr>
      </w:pPr>
      <w:r w:rsidRPr="001E6036">
        <w:t xml:space="preserve">No payments or gifts will be given to survey respondents or interviewees. </w:t>
      </w:r>
    </w:p>
    <w:p w:rsidRPr="001E6036" w:rsidR="001551C6" w:rsidP="001551C6" w:rsidRDefault="001551C6" w14:paraId="56E90EAB" w14:textId="77777777">
      <w:pPr>
        <w:numPr>
          <w:ilvl w:val="0"/>
          <w:numId w:val="1"/>
        </w:numPr>
        <w:rPr>
          <w:i/>
          <w:color w:val="000000" w:themeColor="text1"/>
          <w:sz w:val="28"/>
          <w:szCs w:val="28"/>
        </w:rPr>
      </w:pPr>
      <w:r w:rsidRPr="001E6036">
        <w:rPr>
          <w:i/>
          <w:color w:val="000000" w:themeColor="text1"/>
          <w:sz w:val="28"/>
          <w:szCs w:val="28"/>
        </w:rPr>
        <w:t xml:space="preserve"> Describe assurances of privacy/confidentiality</w:t>
      </w:r>
    </w:p>
    <w:p w:rsidRPr="001E6036" w:rsidR="00416592" w:rsidP="00D836E8" w:rsidRDefault="00426749" w14:paraId="6C00A736" w14:textId="3088FC79">
      <w:pPr>
        <w:ind w:left="360"/>
        <w:rPr>
          <w:color w:val="000000" w:themeColor="text1"/>
          <w:szCs w:val="24"/>
        </w:rPr>
      </w:pPr>
      <w:r w:rsidRPr="001E6036">
        <w:rPr>
          <w:color w:val="000000" w:themeColor="text1"/>
          <w:szCs w:val="24"/>
        </w:rPr>
        <w:t>ECA and its external contractors follow all procedures and policies stipulated under the Privacy Act of 1974 to guarantee the privacy of the respond</w:t>
      </w:r>
      <w:r w:rsidRPr="001E6036" w:rsidR="00524C6A">
        <w:rPr>
          <w:color w:val="000000" w:themeColor="text1"/>
          <w:szCs w:val="24"/>
        </w:rPr>
        <w:t xml:space="preserve">ents.  </w:t>
      </w:r>
      <w:r w:rsidRPr="001E6036" w:rsidR="001A7094">
        <w:rPr>
          <w:color w:val="000000" w:themeColor="text1"/>
          <w:szCs w:val="24"/>
        </w:rPr>
        <w:t>Beyond that, there are no assurances of confidentiality.</w:t>
      </w:r>
    </w:p>
    <w:p w:rsidRPr="001E6036" w:rsidR="00416592" w:rsidP="00426749" w:rsidRDefault="00E31FDB" w14:paraId="701BA765" w14:textId="4DA46918">
      <w:pPr>
        <w:ind w:left="360"/>
        <w:rPr>
          <w:color w:val="000000" w:themeColor="text1"/>
          <w:szCs w:val="24"/>
        </w:rPr>
      </w:pPr>
      <w:r w:rsidRPr="001E6036">
        <w:rPr>
          <w:color w:val="000000" w:themeColor="text1"/>
          <w:szCs w:val="24"/>
        </w:rPr>
        <w:t>Each survey will include the following language:</w:t>
      </w:r>
    </w:p>
    <w:p w:rsidRPr="001E6036" w:rsidR="00416592" w:rsidP="00416592" w:rsidRDefault="00416592" w14:paraId="6FF1B35E" w14:textId="77777777">
      <w:pPr>
        <w:pStyle w:val="paragraph"/>
        <w:spacing w:before="0" w:beforeAutospacing="0" w:after="0" w:afterAutospacing="0"/>
        <w:ind w:left="720"/>
        <w:textAlignment w:val="baseline"/>
        <w:rPr>
          <w:rStyle w:val="eop"/>
        </w:rPr>
      </w:pPr>
      <w:r w:rsidRPr="001E6036">
        <w:rPr>
          <w:rStyle w:val="normaltextrun"/>
          <w:b/>
          <w:bCs/>
        </w:rPr>
        <w:t>Please note that your participation in this survey is completely voluntary, and you are free to end the survey at any time. By clicking the “Consent and Enter Survey” button below, you are consenting to the following terms:</w:t>
      </w:r>
      <w:r w:rsidRPr="001E6036">
        <w:rPr>
          <w:rStyle w:val="eop"/>
        </w:rPr>
        <w:t> </w:t>
      </w:r>
    </w:p>
    <w:p w:rsidRPr="001E6036" w:rsidR="00416592" w:rsidP="00416592" w:rsidRDefault="00416592" w14:paraId="267B09B9" w14:textId="77777777">
      <w:pPr>
        <w:pStyle w:val="paragraph"/>
        <w:spacing w:before="0" w:beforeAutospacing="0" w:after="0" w:afterAutospacing="0"/>
        <w:ind w:left="720"/>
        <w:textAlignment w:val="baseline"/>
      </w:pPr>
    </w:p>
    <w:p w:rsidRPr="001E6036" w:rsidR="00416592" w:rsidP="00416592" w:rsidRDefault="00416592" w14:paraId="5930B953" w14:textId="77777777">
      <w:pPr>
        <w:pStyle w:val="paragraph"/>
        <w:numPr>
          <w:ilvl w:val="0"/>
          <w:numId w:val="12"/>
        </w:numPr>
        <w:spacing w:before="0" w:beforeAutospacing="0" w:after="0" w:afterAutospacing="0"/>
        <w:ind w:left="1080" w:firstLine="0"/>
        <w:textAlignment w:val="baseline"/>
      </w:pPr>
      <w:r w:rsidRPr="001E6036">
        <w:rPr>
          <w:rStyle w:val="normaltextrun"/>
        </w:rPr>
        <w:t>Any response you provide may be reported in the final report as part of the aggregated quantitative analysis or the de-identified qualitative analysis from open-ended responses. </w:t>
      </w:r>
      <w:r w:rsidRPr="001E6036">
        <w:rPr>
          <w:rStyle w:val="eop"/>
        </w:rPr>
        <w:t> </w:t>
      </w:r>
    </w:p>
    <w:p w:rsidRPr="001E6036" w:rsidR="00416592" w:rsidP="00416592" w:rsidRDefault="00416592" w14:paraId="3D428B0E" w14:textId="77777777">
      <w:pPr>
        <w:pStyle w:val="paragraph"/>
        <w:numPr>
          <w:ilvl w:val="0"/>
          <w:numId w:val="13"/>
        </w:numPr>
        <w:spacing w:before="0" w:beforeAutospacing="0" w:after="0" w:afterAutospacing="0"/>
        <w:ind w:left="1080" w:firstLine="0"/>
        <w:textAlignment w:val="baseline"/>
      </w:pPr>
      <w:r w:rsidRPr="001E6036">
        <w:rPr>
          <w:rStyle w:val="normaltextrun"/>
        </w:rPr>
        <w:t>Responses may be reported by specific demographic category, program year, or program site. The only identifying information used will be the demographic information provided in the final section of the survey.</w:t>
      </w:r>
      <w:r w:rsidRPr="001E6036">
        <w:rPr>
          <w:rStyle w:val="eop"/>
        </w:rPr>
        <w:t> </w:t>
      </w:r>
    </w:p>
    <w:p w:rsidRPr="001E6036" w:rsidR="00416592" w:rsidP="00416592" w:rsidRDefault="00416592" w14:paraId="3CDD7320" w14:textId="77777777">
      <w:pPr>
        <w:pStyle w:val="paragraph"/>
        <w:numPr>
          <w:ilvl w:val="0"/>
          <w:numId w:val="13"/>
        </w:numPr>
        <w:spacing w:before="0" w:beforeAutospacing="0" w:after="40" w:afterAutospacing="0"/>
        <w:ind w:left="1080" w:firstLine="0"/>
        <w:textAlignment w:val="baseline"/>
        <w:rPr>
          <w:rStyle w:val="normaltextrun"/>
        </w:rPr>
      </w:pPr>
      <w:r w:rsidRPr="001E6036">
        <w:rPr>
          <w:rStyle w:val="normaltextrun"/>
        </w:rPr>
        <w:lastRenderedPageBreak/>
        <w:t xml:space="preserve">De-identified data files will be submitted to ECA at the completion of the evaluation (without names or any contact information). </w:t>
      </w:r>
    </w:p>
    <w:p w:rsidRPr="001E6036" w:rsidR="00416592" w:rsidP="00416592" w:rsidRDefault="00416592" w14:paraId="169660B4" w14:textId="77777777">
      <w:pPr>
        <w:pStyle w:val="paragraph"/>
        <w:numPr>
          <w:ilvl w:val="0"/>
          <w:numId w:val="13"/>
        </w:numPr>
        <w:spacing w:before="0" w:beforeAutospacing="0" w:after="40" w:afterAutospacing="0"/>
        <w:ind w:left="1080" w:firstLine="0"/>
        <w:textAlignment w:val="baseline"/>
      </w:pPr>
      <w:r w:rsidRPr="001E6036">
        <w:rPr>
          <w:rStyle w:val="normaltextrun"/>
        </w:rPr>
        <w:t xml:space="preserve">The data you provide may be reanalyzed </w:t>
      </w:r>
      <w:r w:rsidRPr="001E6036">
        <w:rPr>
          <w:rStyle w:val="advancedproofingissue"/>
        </w:rPr>
        <w:t>at a later date</w:t>
      </w:r>
      <w:r w:rsidRPr="001E6036">
        <w:rPr>
          <w:rStyle w:val="normaltextrun"/>
        </w:rPr>
        <w:t xml:space="preserve"> for a follow-up study or other purpose as approved by ECA.</w:t>
      </w:r>
    </w:p>
    <w:p w:rsidRPr="001E6036" w:rsidR="00416592" w:rsidP="00416592" w:rsidRDefault="00416592" w14:paraId="22089735" w14:textId="77777777">
      <w:pPr>
        <w:ind w:left="720"/>
        <w:rPr>
          <w:color w:val="000000" w:themeColor="text1"/>
          <w:szCs w:val="24"/>
        </w:rPr>
      </w:pPr>
    </w:p>
    <w:p w:rsidRPr="001E6036" w:rsidR="00416592" w:rsidP="00416592" w:rsidRDefault="00416592" w14:paraId="3E9DA079" w14:textId="6970E541">
      <w:pPr>
        <w:ind w:left="720"/>
        <w:rPr>
          <w:color w:val="000000" w:themeColor="text1"/>
          <w:szCs w:val="24"/>
        </w:rPr>
      </w:pPr>
      <w:r w:rsidRPr="001E6036">
        <w:rPr>
          <w:color w:val="000000" w:themeColor="text1"/>
          <w:szCs w:val="24"/>
        </w:rPr>
        <w:t xml:space="preserve">If you have any questions about this survey or the PFP Evaluation more generally, please feel free to contact GDIT Evaluation Team at </w:t>
      </w:r>
      <w:hyperlink w:history="1" r:id="rId12">
        <w:r w:rsidRPr="001E6036">
          <w:rPr>
            <w:rStyle w:val="Hyperlink"/>
            <w:szCs w:val="24"/>
          </w:rPr>
          <w:t>PFP@gdit.com</w:t>
        </w:r>
      </w:hyperlink>
      <w:r w:rsidRPr="001E6036">
        <w:rPr>
          <w:color w:val="000000" w:themeColor="text1"/>
          <w:szCs w:val="24"/>
        </w:rPr>
        <w:t>.</w:t>
      </w:r>
    </w:p>
    <w:p w:rsidRPr="001E6036" w:rsidR="00E31FDB" w:rsidP="00232059" w:rsidRDefault="00E31FDB" w14:paraId="487C4892" w14:textId="77777777">
      <w:pPr>
        <w:ind w:left="720"/>
        <w:rPr>
          <w:b/>
          <w:color w:val="000000" w:themeColor="text1"/>
          <w:szCs w:val="24"/>
        </w:rPr>
      </w:pPr>
    </w:p>
    <w:p w:rsidRPr="001E6036" w:rsidR="00232059" w:rsidP="00232059" w:rsidRDefault="00232059" w14:paraId="6962F2E5" w14:textId="2875C110">
      <w:pPr>
        <w:ind w:left="720"/>
        <w:rPr>
          <w:b/>
          <w:color w:val="000000" w:themeColor="text1"/>
          <w:szCs w:val="24"/>
        </w:rPr>
      </w:pPr>
      <w:r w:rsidRPr="001E6036">
        <w:rPr>
          <w:b/>
          <w:color w:val="000000" w:themeColor="text1"/>
          <w:szCs w:val="24"/>
        </w:rPr>
        <w:t>CONSENT TO PARTICIPATE</w:t>
      </w:r>
    </w:p>
    <w:p w:rsidRPr="001E6036" w:rsidR="00232059" w:rsidP="00232059" w:rsidRDefault="00232059" w14:paraId="140D1F26" w14:textId="77777777">
      <w:pPr>
        <w:ind w:left="720"/>
        <w:rPr>
          <w:color w:val="000000" w:themeColor="text1"/>
          <w:szCs w:val="24"/>
        </w:rPr>
      </w:pPr>
      <w:r w:rsidRPr="001E6036">
        <w:rPr>
          <w:color w:val="000000" w:themeColor="text1"/>
          <w:szCs w:val="24"/>
        </w:rPr>
        <w:t xml:space="preserve">By clicking the button to enter the survey below, you are giving your consent to participate in this evaluation. If you do not wish to participate, please click the exit survey link below. </w:t>
      </w:r>
    </w:p>
    <w:p w:rsidRPr="001E6036" w:rsidR="00232059" w:rsidP="00232059" w:rsidRDefault="00232059" w14:paraId="2B17D8A3" w14:textId="5670B41E">
      <w:pPr>
        <w:ind w:left="720"/>
        <w:rPr>
          <w:color w:val="000000" w:themeColor="text1"/>
          <w:szCs w:val="24"/>
        </w:rPr>
      </w:pPr>
      <w:r w:rsidRPr="001E6036">
        <w:rPr>
          <w:color w:val="000000" w:themeColor="text1"/>
          <w:szCs w:val="24"/>
        </w:rPr>
        <w:t xml:space="preserve">Consent and Enter Survey     </w:t>
      </w:r>
      <w:r w:rsidRPr="001E6036">
        <w:rPr>
          <w:rFonts w:ascii="Cambria Math" w:hAnsi="Cambria Math" w:cs="Cambria Math"/>
          <w:color w:val="000000" w:themeColor="text1"/>
          <w:szCs w:val="24"/>
        </w:rPr>
        <w:t>⃝</w:t>
      </w:r>
      <w:r w:rsidRPr="001E6036">
        <w:rPr>
          <w:color w:val="000000" w:themeColor="text1"/>
          <w:szCs w:val="24"/>
        </w:rPr>
        <w:tab/>
      </w:r>
      <w:r w:rsidRPr="001E6036">
        <w:rPr>
          <w:color w:val="000000" w:themeColor="text1"/>
          <w:szCs w:val="24"/>
        </w:rPr>
        <w:tab/>
      </w:r>
      <w:r w:rsidRPr="001E6036">
        <w:rPr>
          <w:color w:val="000000" w:themeColor="text1"/>
          <w:szCs w:val="24"/>
        </w:rPr>
        <w:tab/>
      </w:r>
      <w:r w:rsidRPr="001E6036">
        <w:rPr>
          <w:color w:val="000000" w:themeColor="text1"/>
          <w:szCs w:val="24"/>
        </w:rPr>
        <w:tab/>
        <w:t xml:space="preserve">Refuse and Exit Survey     </w:t>
      </w:r>
      <w:r w:rsidRPr="001E6036">
        <w:rPr>
          <w:rFonts w:ascii="Cambria Math" w:hAnsi="Cambria Math" w:cs="Cambria Math"/>
          <w:color w:val="000000" w:themeColor="text1"/>
          <w:szCs w:val="24"/>
        </w:rPr>
        <w:t>⃝</w:t>
      </w:r>
    </w:p>
    <w:p w:rsidRPr="001E6036" w:rsidR="00416592" w:rsidP="00416592" w:rsidRDefault="00416592" w14:paraId="40222217" w14:textId="77777777">
      <w:pPr>
        <w:rPr>
          <w:color w:val="000000" w:themeColor="text1"/>
          <w:sz w:val="20"/>
        </w:rPr>
      </w:pPr>
    </w:p>
    <w:p w:rsidRPr="001E6036" w:rsidR="00416592" w:rsidP="00416592" w:rsidRDefault="00D129E7" w14:paraId="7882A7EA" w14:textId="389900EE">
      <w:pPr>
        <w:rPr>
          <w:color w:val="000000" w:themeColor="text1"/>
          <w:szCs w:val="24"/>
        </w:rPr>
      </w:pPr>
      <w:r w:rsidRPr="001E6036">
        <w:rPr>
          <w:color w:val="000000" w:themeColor="text1"/>
          <w:szCs w:val="24"/>
        </w:rPr>
        <w:t xml:space="preserve">Each Interview will begin with the following language: </w:t>
      </w:r>
    </w:p>
    <w:p w:rsidRPr="001E6036" w:rsidR="00416592" w:rsidP="00416592" w:rsidRDefault="001820CE" w14:paraId="4770BADC" w14:textId="17938BE9">
      <w:pPr>
        <w:ind w:left="720"/>
        <w:rPr>
          <w:color w:val="000000" w:themeColor="text1"/>
          <w:szCs w:val="24"/>
        </w:rPr>
      </w:pPr>
      <w:r w:rsidRPr="001E6036">
        <w:rPr>
          <w:color w:val="000000" w:themeColor="text1"/>
          <w:szCs w:val="24"/>
        </w:rPr>
        <w:t>Thank you for agreeing to meet with us. Please know that y</w:t>
      </w:r>
      <w:r w:rsidRPr="001E6036" w:rsidR="00416592">
        <w:rPr>
          <w:color w:val="000000" w:themeColor="text1"/>
          <w:szCs w:val="24"/>
        </w:rPr>
        <w:t xml:space="preserve">our participation in this </w:t>
      </w:r>
      <w:r w:rsidRPr="001E6036" w:rsidR="005F1F5F">
        <w:rPr>
          <w:color w:val="000000" w:themeColor="text1"/>
          <w:szCs w:val="24"/>
        </w:rPr>
        <w:t>inte</w:t>
      </w:r>
      <w:r w:rsidRPr="001E6036" w:rsidR="00BF7E18">
        <w:rPr>
          <w:color w:val="000000" w:themeColor="text1"/>
          <w:szCs w:val="24"/>
        </w:rPr>
        <w:t>r</w:t>
      </w:r>
      <w:r w:rsidRPr="001E6036" w:rsidR="005F1F5F">
        <w:rPr>
          <w:color w:val="000000" w:themeColor="text1"/>
          <w:szCs w:val="24"/>
        </w:rPr>
        <w:t>view</w:t>
      </w:r>
      <w:r w:rsidRPr="001E6036" w:rsidR="00416592">
        <w:rPr>
          <w:color w:val="000000" w:themeColor="text1"/>
          <w:szCs w:val="24"/>
        </w:rPr>
        <w:t xml:space="preserve"> is completely voluntary, </w:t>
      </w:r>
      <w:r w:rsidRPr="001E6036">
        <w:rPr>
          <w:color w:val="000000" w:themeColor="text1"/>
          <w:szCs w:val="24"/>
        </w:rPr>
        <w:t>that you may end the interview at any time</w:t>
      </w:r>
      <w:r w:rsidRPr="001E6036" w:rsidR="00305594">
        <w:rPr>
          <w:color w:val="000000" w:themeColor="text1"/>
          <w:szCs w:val="24"/>
        </w:rPr>
        <w:t>. Y</w:t>
      </w:r>
      <w:r w:rsidRPr="001E6036" w:rsidR="00416592">
        <w:rPr>
          <w:color w:val="000000" w:themeColor="text1"/>
          <w:szCs w:val="24"/>
        </w:rPr>
        <w:t xml:space="preserve">our answers and opinions will be kept strictly confidential.  </w:t>
      </w:r>
      <w:r w:rsidRPr="001E6036">
        <w:rPr>
          <w:color w:val="000000" w:themeColor="text1"/>
          <w:szCs w:val="24"/>
        </w:rPr>
        <w:t>A</w:t>
      </w:r>
      <w:r w:rsidRPr="001E6036" w:rsidR="00416592">
        <w:rPr>
          <w:color w:val="000000" w:themeColor="text1"/>
          <w:szCs w:val="24"/>
        </w:rPr>
        <w:t xml:space="preserve">ny response you provide may </w:t>
      </w:r>
      <w:r w:rsidRPr="001E6036">
        <w:rPr>
          <w:color w:val="000000" w:themeColor="text1"/>
          <w:szCs w:val="24"/>
        </w:rPr>
        <w:t>be included in the final report in the summary of the qualitative data or as an example, but no responses will ever be attributed to you personally. The</w:t>
      </w:r>
      <w:r w:rsidRPr="001E6036" w:rsidR="00416592">
        <w:rPr>
          <w:color w:val="000000" w:themeColor="text1"/>
          <w:szCs w:val="24"/>
        </w:rPr>
        <w:t xml:space="preserve"> de-identified </w:t>
      </w:r>
      <w:r w:rsidRPr="001E6036">
        <w:rPr>
          <w:color w:val="000000" w:themeColor="text1"/>
          <w:szCs w:val="24"/>
        </w:rPr>
        <w:t>data</w:t>
      </w:r>
      <w:r w:rsidRPr="001E6036" w:rsidR="00416592">
        <w:rPr>
          <w:color w:val="000000" w:themeColor="text1"/>
          <w:szCs w:val="24"/>
        </w:rPr>
        <w:t>, that is, without names or contact information, will be submitted to ECA at the completion of the evaluation</w:t>
      </w:r>
      <w:r w:rsidRPr="001E6036">
        <w:rPr>
          <w:color w:val="000000" w:themeColor="text1"/>
          <w:szCs w:val="24"/>
        </w:rPr>
        <w:t>.</w:t>
      </w:r>
      <w:r w:rsidRPr="001E6036" w:rsidR="00591630">
        <w:rPr>
          <w:color w:val="000000" w:themeColor="text1"/>
          <w:szCs w:val="24"/>
        </w:rPr>
        <w:t xml:space="preserve"> The information you share may be re-analyzed at a later date for a follow-up study or other purpose approved by ECA.</w:t>
      </w:r>
      <w:r w:rsidRPr="001E6036" w:rsidR="00416592">
        <w:rPr>
          <w:color w:val="000000" w:themeColor="text1"/>
          <w:szCs w:val="24"/>
        </w:rPr>
        <w:t xml:space="preserve"> </w:t>
      </w:r>
      <w:r w:rsidRPr="001E6036">
        <w:rPr>
          <w:color w:val="000000" w:themeColor="text1"/>
          <w:szCs w:val="24"/>
        </w:rPr>
        <w:t xml:space="preserve">If you are in agreement, </w:t>
      </w:r>
      <w:r w:rsidRPr="001E6036" w:rsidR="00416592">
        <w:rPr>
          <w:color w:val="000000" w:themeColor="text1"/>
          <w:szCs w:val="24"/>
        </w:rPr>
        <w:t xml:space="preserve">we would like to record this conversation </w:t>
      </w:r>
      <w:r w:rsidRPr="001E6036">
        <w:rPr>
          <w:color w:val="000000" w:themeColor="text1"/>
          <w:szCs w:val="24"/>
        </w:rPr>
        <w:t>so that we can focus on the conversation, rather than on taking notes</w:t>
      </w:r>
      <w:r w:rsidRPr="001E6036" w:rsidR="00416592">
        <w:rPr>
          <w:color w:val="000000" w:themeColor="text1"/>
          <w:szCs w:val="24"/>
        </w:rPr>
        <w:t>.  Do we have your consent to continue</w:t>
      </w:r>
      <w:r w:rsidRPr="001E6036">
        <w:rPr>
          <w:color w:val="000000" w:themeColor="text1"/>
          <w:szCs w:val="24"/>
        </w:rPr>
        <w:t xml:space="preserve"> and begin the interview</w:t>
      </w:r>
      <w:r w:rsidRPr="001E6036" w:rsidR="00416592">
        <w:rPr>
          <w:color w:val="000000" w:themeColor="text1"/>
          <w:szCs w:val="24"/>
        </w:rPr>
        <w:t>?</w:t>
      </w:r>
    </w:p>
    <w:p w:rsidRPr="001E6036" w:rsidR="001551C6" w:rsidP="001551C6" w:rsidRDefault="001551C6" w14:paraId="61A59F1C" w14:textId="77777777">
      <w:pPr>
        <w:numPr>
          <w:ilvl w:val="0"/>
          <w:numId w:val="1"/>
        </w:numPr>
        <w:rPr>
          <w:i/>
          <w:color w:val="000000" w:themeColor="text1"/>
          <w:sz w:val="28"/>
          <w:szCs w:val="28"/>
        </w:rPr>
      </w:pPr>
      <w:r w:rsidRPr="001E6036">
        <w:rPr>
          <w:i/>
          <w:color w:val="000000" w:themeColor="text1"/>
          <w:sz w:val="28"/>
          <w:szCs w:val="28"/>
        </w:rPr>
        <w:t>Are any questions of a sensitive nature asked?</w:t>
      </w:r>
    </w:p>
    <w:p w:rsidRPr="001E6036" w:rsidR="001551C6" w:rsidP="001551C6" w:rsidRDefault="008C41DF" w14:paraId="29D5DEE6" w14:textId="2FC9954C">
      <w:pPr>
        <w:ind w:left="360"/>
        <w:rPr>
          <w:i/>
          <w:color w:val="000000" w:themeColor="text1"/>
          <w:sz w:val="28"/>
          <w:szCs w:val="28"/>
        </w:rPr>
      </w:pPr>
      <w:r w:rsidRPr="001E6036">
        <w:t xml:space="preserve">Demographics will be requested in the surveys to better understand if the program is reaching the desired audiences. </w:t>
      </w:r>
    </w:p>
    <w:p w:rsidRPr="001E6036" w:rsidR="001551C6" w:rsidP="001551C6" w:rsidRDefault="001551C6" w14:paraId="0CD4DC59" w14:textId="77777777">
      <w:pPr>
        <w:numPr>
          <w:ilvl w:val="0"/>
          <w:numId w:val="1"/>
        </w:numPr>
        <w:rPr>
          <w:i/>
          <w:color w:val="000000" w:themeColor="text1"/>
          <w:sz w:val="28"/>
          <w:szCs w:val="28"/>
        </w:rPr>
      </w:pPr>
      <w:r w:rsidRPr="001E6036">
        <w:rPr>
          <w:i/>
          <w:color w:val="000000" w:themeColor="text1"/>
          <w:sz w:val="28"/>
          <w:szCs w:val="28"/>
        </w:rPr>
        <w:t xml:space="preserve"> Describe the hour time burden and the hour cost burden on the respondent needed to complete this collection</w:t>
      </w:r>
    </w:p>
    <w:p w:rsidRPr="001E6036" w:rsidR="00777295" w:rsidP="00777295" w:rsidRDefault="00777295" w14:paraId="5D15FE0C" w14:textId="77777777">
      <w:pPr>
        <w:ind w:left="360"/>
        <w:rPr>
          <w:color w:val="000000" w:themeColor="text1"/>
          <w:szCs w:val="24"/>
        </w:rPr>
      </w:pPr>
      <w:r w:rsidRPr="001E6036">
        <w:rPr>
          <w:color w:val="000000" w:themeColor="text1"/>
          <w:szCs w:val="24"/>
        </w:rPr>
        <w:t>The hour burden time for this data collection is presented in the table below.  Please note that only the data collection from U.S. stakeholders is included here.</w:t>
      </w:r>
    </w:p>
    <w:p w:rsidRPr="001E6036" w:rsidR="00777295" w:rsidP="00777295" w:rsidRDefault="00777295" w14:paraId="2FC009A6" w14:textId="77777777">
      <w:pPr>
        <w:ind w:left="360"/>
        <w:rPr>
          <w:b/>
          <w:color w:val="000000" w:themeColor="text1"/>
          <w:szCs w:val="24"/>
        </w:rPr>
      </w:pPr>
      <w:r w:rsidRPr="001E6036">
        <w:rPr>
          <w:b/>
          <w:color w:val="000000" w:themeColor="text1"/>
          <w:szCs w:val="24"/>
        </w:rPr>
        <w:t>Table 1. Hour Time Burden for U.S Stakeholders in the PFP</w:t>
      </w:r>
    </w:p>
    <w:tbl>
      <w:tblPr>
        <w:tblStyle w:val="TableGrid"/>
        <w:tblW w:w="0" w:type="auto"/>
        <w:tblLook w:val="04A0" w:firstRow="1" w:lastRow="0" w:firstColumn="1" w:lastColumn="0" w:noHBand="0" w:noVBand="1"/>
      </w:tblPr>
      <w:tblGrid>
        <w:gridCol w:w="3685"/>
        <w:gridCol w:w="2160"/>
        <w:gridCol w:w="1710"/>
        <w:gridCol w:w="1795"/>
      </w:tblGrid>
      <w:tr w:rsidRPr="001E6036" w:rsidR="00777295" w:rsidTr="00537B52" w14:paraId="02B29E3C" w14:textId="77777777">
        <w:tc>
          <w:tcPr>
            <w:tcW w:w="3685" w:type="dxa"/>
          </w:tcPr>
          <w:p w:rsidRPr="001E6036" w:rsidR="00777295" w:rsidP="00537B52" w:rsidRDefault="00777295" w14:paraId="753EDF5F" w14:textId="77777777">
            <w:pPr>
              <w:spacing w:after="0"/>
              <w:rPr>
                <w:b/>
                <w:sz w:val="20"/>
                <w:szCs w:val="24"/>
              </w:rPr>
            </w:pPr>
            <w:r w:rsidRPr="001E6036">
              <w:rPr>
                <w:b/>
                <w:sz w:val="20"/>
                <w:szCs w:val="24"/>
              </w:rPr>
              <w:t>Respondent Instrument</w:t>
            </w:r>
          </w:p>
        </w:tc>
        <w:tc>
          <w:tcPr>
            <w:tcW w:w="2160" w:type="dxa"/>
          </w:tcPr>
          <w:p w:rsidRPr="001E6036" w:rsidR="00777295" w:rsidP="00537B52" w:rsidRDefault="00777295" w14:paraId="080C36F3" w14:textId="09D508C0">
            <w:pPr>
              <w:spacing w:after="0"/>
              <w:jc w:val="center"/>
              <w:rPr>
                <w:b/>
                <w:sz w:val="20"/>
                <w:szCs w:val="24"/>
              </w:rPr>
            </w:pPr>
            <w:r w:rsidRPr="001E6036">
              <w:rPr>
                <w:b/>
                <w:sz w:val="20"/>
                <w:szCs w:val="24"/>
              </w:rPr>
              <w:t>Estimated Number of Respon</w:t>
            </w:r>
            <w:r w:rsidRPr="001E6036" w:rsidR="00F63479">
              <w:rPr>
                <w:b/>
                <w:sz w:val="20"/>
                <w:szCs w:val="24"/>
              </w:rPr>
              <w:t>ses</w:t>
            </w:r>
          </w:p>
        </w:tc>
        <w:tc>
          <w:tcPr>
            <w:tcW w:w="1710" w:type="dxa"/>
          </w:tcPr>
          <w:p w:rsidRPr="001E6036" w:rsidR="00777295" w:rsidP="00537B52" w:rsidRDefault="00777295" w14:paraId="57A4D06F" w14:textId="77777777">
            <w:pPr>
              <w:spacing w:after="0"/>
              <w:jc w:val="center"/>
              <w:rPr>
                <w:b/>
                <w:sz w:val="20"/>
                <w:szCs w:val="24"/>
              </w:rPr>
            </w:pPr>
            <w:r w:rsidRPr="001E6036">
              <w:rPr>
                <w:b/>
                <w:sz w:val="20"/>
                <w:szCs w:val="24"/>
              </w:rPr>
              <w:t>Average Time per Response</w:t>
            </w:r>
          </w:p>
        </w:tc>
        <w:tc>
          <w:tcPr>
            <w:tcW w:w="1795" w:type="dxa"/>
          </w:tcPr>
          <w:p w:rsidRPr="001E6036" w:rsidR="00777295" w:rsidP="00537B52" w:rsidRDefault="00777295" w14:paraId="68DD0917" w14:textId="77777777">
            <w:pPr>
              <w:spacing w:after="0"/>
              <w:jc w:val="center"/>
              <w:rPr>
                <w:b/>
                <w:sz w:val="20"/>
                <w:szCs w:val="24"/>
              </w:rPr>
            </w:pPr>
            <w:r w:rsidRPr="001E6036">
              <w:rPr>
                <w:b/>
                <w:sz w:val="20"/>
                <w:szCs w:val="24"/>
              </w:rPr>
              <w:t>Total Estimated Burden Time</w:t>
            </w:r>
          </w:p>
        </w:tc>
      </w:tr>
      <w:tr w:rsidRPr="001E6036" w:rsidR="00777295" w:rsidTr="00537B52" w14:paraId="68D49F40" w14:textId="77777777">
        <w:tc>
          <w:tcPr>
            <w:tcW w:w="3685" w:type="dxa"/>
          </w:tcPr>
          <w:p w:rsidRPr="001E6036" w:rsidR="00777295" w:rsidP="00537B52" w:rsidRDefault="00AA3A6F" w14:paraId="196D2656" w14:textId="60C56FD8">
            <w:pPr>
              <w:spacing w:after="0"/>
              <w:rPr>
                <w:sz w:val="20"/>
                <w:szCs w:val="24"/>
              </w:rPr>
            </w:pPr>
            <w:r w:rsidRPr="001E6036">
              <w:rPr>
                <w:sz w:val="20"/>
                <w:szCs w:val="24"/>
              </w:rPr>
              <w:t>Professional Contact</w:t>
            </w:r>
            <w:r w:rsidRPr="001E6036" w:rsidR="00777295">
              <w:rPr>
                <w:sz w:val="20"/>
                <w:szCs w:val="24"/>
              </w:rPr>
              <w:t xml:space="preserve"> Survey</w:t>
            </w:r>
          </w:p>
        </w:tc>
        <w:tc>
          <w:tcPr>
            <w:tcW w:w="2160" w:type="dxa"/>
          </w:tcPr>
          <w:p w:rsidRPr="001E6036" w:rsidR="00777295" w:rsidP="00537B52" w:rsidRDefault="00591630" w14:paraId="0B64701D" w14:textId="116092F4">
            <w:pPr>
              <w:spacing w:after="0"/>
              <w:jc w:val="center"/>
              <w:rPr>
                <w:sz w:val="20"/>
                <w:szCs w:val="24"/>
              </w:rPr>
            </w:pPr>
            <w:r w:rsidRPr="001E6036">
              <w:rPr>
                <w:sz w:val="20"/>
                <w:szCs w:val="24"/>
              </w:rPr>
              <w:t>300</w:t>
            </w:r>
          </w:p>
          <w:p w:rsidRPr="001E6036" w:rsidR="00777295" w:rsidP="00537B52" w:rsidRDefault="00777295" w14:paraId="272DBBDD" w14:textId="2C7A71C0">
            <w:pPr>
              <w:spacing w:after="0"/>
              <w:jc w:val="center"/>
              <w:rPr>
                <w:sz w:val="20"/>
                <w:szCs w:val="24"/>
              </w:rPr>
            </w:pPr>
          </w:p>
        </w:tc>
        <w:tc>
          <w:tcPr>
            <w:tcW w:w="1710" w:type="dxa"/>
          </w:tcPr>
          <w:p w:rsidRPr="001E6036" w:rsidR="00777295" w:rsidP="00537B52" w:rsidRDefault="00E24E94" w14:paraId="208CD106" w14:textId="77777777">
            <w:pPr>
              <w:spacing w:after="0"/>
              <w:jc w:val="center"/>
              <w:rPr>
                <w:sz w:val="20"/>
                <w:szCs w:val="24"/>
              </w:rPr>
            </w:pPr>
            <w:r w:rsidRPr="001E6036">
              <w:rPr>
                <w:sz w:val="20"/>
                <w:szCs w:val="24"/>
              </w:rPr>
              <w:t xml:space="preserve">20 </w:t>
            </w:r>
            <w:r w:rsidRPr="001E6036" w:rsidR="00777295">
              <w:rPr>
                <w:sz w:val="20"/>
                <w:szCs w:val="24"/>
              </w:rPr>
              <w:t>minutes</w:t>
            </w:r>
          </w:p>
        </w:tc>
        <w:tc>
          <w:tcPr>
            <w:tcW w:w="1795" w:type="dxa"/>
          </w:tcPr>
          <w:p w:rsidRPr="001E6036" w:rsidR="00777295" w:rsidP="00537B52" w:rsidRDefault="00E24E94" w14:paraId="553B8E72" w14:textId="77777777">
            <w:pPr>
              <w:spacing w:after="0"/>
              <w:jc w:val="center"/>
              <w:rPr>
                <w:sz w:val="20"/>
                <w:szCs w:val="24"/>
              </w:rPr>
            </w:pPr>
            <w:r w:rsidRPr="001E6036">
              <w:rPr>
                <w:sz w:val="20"/>
                <w:szCs w:val="24"/>
              </w:rPr>
              <w:t xml:space="preserve">100 </w:t>
            </w:r>
            <w:r w:rsidRPr="001E6036" w:rsidR="00777295">
              <w:rPr>
                <w:sz w:val="20"/>
                <w:szCs w:val="24"/>
              </w:rPr>
              <w:t>hours</w:t>
            </w:r>
          </w:p>
        </w:tc>
      </w:tr>
      <w:tr w:rsidRPr="001E6036" w:rsidR="00777295" w:rsidTr="00537B52" w14:paraId="70BE5130" w14:textId="77777777">
        <w:tc>
          <w:tcPr>
            <w:tcW w:w="3685" w:type="dxa"/>
          </w:tcPr>
          <w:p w:rsidRPr="001E6036" w:rsidR="00777295" w:rsidP="00777295" w:rsidRDefault="00AA3A6F" w14:paraId="3FEE5369" w14:textId="706AA0D3">
            <w:pPr>
              <w:spacing w:after="0"/>
              <w:rPr>
                <w:sz w:val="20"/>
                <w:szCs w:val="24"/>
              </w:rPr>
            </w:pPr>
            <w:r w:rsidRPr="001E6036">
              <w:rPr>
                <w:sz w:val="20"/>
                <w:szCs w:val="24"/>
              </w:rPr>
              <w:t>Professional Contact</w:t>
            </w:r>
            <w:r w:rsidRPr="001E6036" w:rsidR="00777295">
              <w:rPr>
                <w:sz w:val="20"/>
                <w:szCs w:val="24"/>
              </w:rPr>
              <w:t xml:space="preserve"> Interview Guide</w:t>
            </w:r>
          </w:p>
        </w:tc>
        <w:tc>
          <w:tcPr>
            <w:tcW w:w="2160" w:type="dxa"/>
          </w:tcPr>
          <w:p w:rsidRPr="001E6036" w:rsidR="00777295" w:rsidP="00537B52" w:rsidRDefault="00E24E94" w14:paraId="3502B1F8" w14:textId="77777777">
            <w:pPr>
              <w:spacing w:after="0"/>
              <w:jc w:val="center"/>
              <w:rPr>
                <w:sz w:val="20"/>
                <w:szCs w:val="24"/>
              </w:rPr>
            </w:pPr>
            <w:r w:rsidRPr="001E6036">
              <w:rPr>
                <w:sz w:val="20"/>
                <w:szCs w:val="24"/>
              </w:rPr>
              <w:t>40</w:t>
            </w:r>
          </w:p>
          <w:p w:rsidRPr="001E6036" w:rsidR="00777295" w:rsidP="00E24E94" w:rsidRDefault="00777295" w14:paraId="4372543B" w14:textId="717B99AC">
            <w:pPr>
              <w:spacing w:after="0"/>
              <w:jc w:val="center"/>
              <w:rPr>
                <w:sz w:val="20"/>
                <w:szCs w:val="24"/>
              </w:rPr>
            </w:pPr>
          </w:p>
        </w:tc>
        <w:tc>
          <w:tcPr>
            <w:tcW w:w="1710" w:type="dxa"/>
          </w:tcPr>
          <w:p w:rsidRPr="001E6036" w:rsidR="00777295" w:rsidP="00537B52" w:rsidRDefault="00E24E94" w14:paraId="14162CCF" w14:textId="77777777">
            <w:pPr>
              <w:spacing w:after="0"/>
              <w:jc w:val="center"/>
              <w:rPr>
                <w:sz w:val="20"/>
                <w:szCs w:val="24"/>
              </w:rPr>
            </w:pPr>
            <w:r w:rsidRPr="001E6036">
              <w:rPr>
                <w:sz w:val="20"/>
                <w:szCs w:val="24"/>
              </w:rPr>
              <w:t xml:space="preserve">40 </w:t>
            </w:r>
            <w:r w:rsidRPr="001E6036" w:rsidR="00777295">
              <w:rPr>
                <w:sz w:val="20"/>
                <w:szCs w:val="24"/>
              </w:rPr>
              <w:t>minutes</w:t>
            </w:r>
          </w:p>
        </w:tc>
        <w:tc>
          <w:tcPr>
            <w:tcW w:w="1795" w:type="dxa"/>
          </w:tcPr>
          <w:p w:rsidRPr="001E6036" w:rsidR="00777295" w:rsidP="00537B52" w:rsidRDefault="00E24E94" w14:paraId="31C1BEB7" w14:textId="77777777">
            <w:pPr>
              <w:spacing w:after="0"/>
              <w:jc w:val="center"/>
              <w:rPr>
                <w:sz w:val="20"/>
                <w:szCs w:val="24"/>
              </w:rPr>
            </w:pPr>
            <w:r w:rsidRPr="001E6036">
              <w:rPr>
                <w:sz w:val="20"/>
                <w:szCs w:val="24"/>
              </w:rPr>
              <w:t>26.7</w:t>
            </w:r>
            <w:r w:rsidRPr="001E6036" w:rsidR="00777295">
              <w:rPr>
                <w:sz w:val="20"/>
                <w:szCs w:val="24"/>
              </w:rPr>
              <w:t xml:space="preserve"> hours</w:t>
            </w:r>
          </w:p>
        </w:tc>
      </w:tr>
      <w:tr w:rsidRPr="001E6036" w:rsidR="00777295" w:rsidTr="00537B52" w14:paraId="11EABDAA" w14:textId="77777777">
        <w:tc>
          <w:tcPr>
            <w:tcW w:w="3685" w:type="dxa"/>
          </w:tcPr>
          <w:p w:rsidRPr="001E6036" w:rsidR="00777295" w:rsidP="00537B52" w:rsidRDefault="00777295" w14:paraId="503D8F0E" w14:textId="77777777">
            <w:pPr>
              <w:spacing w:after="0"/>
              <w:rPr>
                <w:sz w:val="20"/>
                <w:szCs w:val="24"/>
              </w:rPr>
            </w:pPr>
            <w:r w:rsidRPr="001E6036">
              <w:rPr>
                <w:sz w:val="20"/>
                <w:szCs w:val="24"/>
              </w:rPr>
              <w:t>Homestay Host Survey</w:t>
            </w:r>
          </w:p>
        </w:tc>
        <w:tc>
          <w:tcPr>
            <w:tcW w:w="2160" w:type="dxa"/>
          </w:tcPr>
          <w:p w:rsidRPr="001E6036" w:rsidR="00777295" w:rsidP="00537B52" w:rsidRDefault="00E24E94" w14:paraId="64A5E639" w14:textId="2DC34296">
            <w:pPr>
              <w:spacing w:after="0"/>
              <w:jc w:val="center"/>
              <w:rPr>
                <w:sz w:val="20"/>
                <w:szCs w:val="24"/>
              </w:rPr>
            </w:pPr>
            <w:r w:rsidRPr="001E6036">
              <w:rPr>
                <w:sz w:val="20"/>
                <w:szCs w:val="24"/>
              </w:rPr>
              <w:t>8</w:t>
            </w:r>
            <w:r w:rsidRPr="001E6036" w:rsidR="00591630">
              <w:rPr>
                <w:sz w:val="20"/>
                <w:szCs w:val="24"/>
              </w:rPr>
              <w:t>6</w:t>
            </w:r>
          </w:p>
          <w:p w:rsidRPr="001E6036" w:rsidR="00E24E94" w:rsidP="00537B52" w:rsidRDefault="00E24E94" w14:paraId="4B7E0640" w14:textId="36DE4BEF">
            <w:pPr>
              <w:spacing w:after="0"/>
              <w:jc w:val="center"/>
              <w:rPr>
                <w:sz w:val="20"/>
                <w:szCs w:val="24"/>
              </w:rPr>
            </w:pPr>
          </w:p>
        </w:tc>
        <w:tc>
          <w:tcPr>
            <w:tcW w:w="1710" w:type="dxa"/>
          </w:tcPr>
          <w:p w:rsidRPr="001E6036" w:rsidR="00777295" w:rsidP="00537B52" w:rsidRDefault="00E24E94" w14:paraId="3CC2B485" w14:textId="77777777">
            <w:pPr>
              <w:spacing w:after="0"/>
              <w:jc w:val="center"/>
              <w:rPr>
                <w:sz w:val="20"/>
                <w:szCs w:val="24"/>
              </w:rPr>
            </w:pPr>
            <w:r w:rsidRPr="001E6036">
              <w:rPr>
                <w:sz w:val="20"/>
                <w:szCs w:val="24"/>
              </w:rPr>
              <w:t>15</w:t>
            </w:r>
            <w:r w:rsidRPr="001E6036" w:rsidR="00777295">
              <w:rPr>
                <w:sz w:val="20"/>
                <w:szCs w:val="24"/>
              </w:rPr>
              <w:t xml:space="preserve"> minutes</w:t>
            </w:r>
          </w:p>
        </w:tc>
        <w:tc>
          <w:tcPr>
            <w:tcW w:w="1795" w:type="dxa"/>
          </w:tcPr>
          <w:p w:rsidRPr="001E6036" w:rsidR="00777295" w:rsidP="00E24E94" w:rsidRDefault="00E24E94" w14:paraId="1494220B" w14:textId="77777777">
            <w:pPr>
              <w:spacing w:after="0"/>
              <w:jc w:val="center"/>
              <w:rPr>
                <w:sz w:val="20"/>
                <w:szCs w:val="24"/>
              </w:rPr>
            </w:pPr>
            <w:r w:rsidRPr="001E6036">
              <w:rPr>
                <w:sz w:val="20"/>
                <w:szCs w:val="24"/>
              </w:rPr>
              <w:t xml:space="preserve">21.5 </w:t>
            </w:r>
            <w:r w:rsidRPr="001E6036" w:rsidR="00777295">
              <w:rPr>
                <w:sz w:val="20"/>
                <w:szCs w:val="24"/>
              </w:rPr>
              <w:t>hours</w:t>
            </w:r>
          </w:p>
        </w:tc>
      </w:tr>
      <w:tr w:rsidRPr="001E6036" w:rsidR="00777295" w:rsidTr="00537B52" w14:paraId="2DC04446" w14:textId="77777777">
        <w:tc>
          <w:tcPr>
            <w:tcW w:w="3685" w:type="dxa"/>
          </w:tcPr>
          <w:p w:rsidRPr="001E6036" w:rsidR="00777295" w:rsidP="00537B52" w:rsidRDefault="00777295" w14:paraId="757AE90A" w14:textId="77777777">
            <w:pPr>
              <w:spacing w:after="0"/>
              <w:rPr>
                <w:sz w:val="20"/>
                <w:szCs w:val="24"/>
              </w:rPr>
            </w:pPr>
            <w:r w:rsidRPr="001E6036">
              <w:rPr>
                <w:sz w:val="20"/>
                <w:szCs w:val="24"/>
              </w:rPr>
              <w:lastRenderedPageBreak/>
              <w:t>Homestay Host Interview Guide</w:t>
            </w:r>
          </w:p>
        </w:tc>
        <w:tc>
          <w:tcPr>
            <w:tcW w:w="2160" w:type="dxa"/>
          </w:tcPr>
          <w:p w:rsidRPr="001E6036" w:rsidR="00777295" w:rsidP="00537B52" w:rsidRDefault="00E24E94" w14:paraId="074B0D03" w14:textId="77777777">
            <w:pPr>
              <w:spacing w:after="0"/>
              <w:jc w:val="center"/>
              <w:rPr>
                <w:sz w:val="20"/>
                <w:szCs w:val="24"/>
              </w:rPr>
            </w:pPr>
            <w:r w:rsidRPr="001E6036">
              <w:rPr>
                <w:sz w:val="20"/>
                <w:szCs w:val="24"/>
              </w:rPr>
              <w:t>40</w:t>
            </w:r>
          </w:p>
          <w:p w:rsidRPr="001E6036" w:rsidR="00E24E94" w:rsidP="00537B52" w:rsidRDefault="00E24E94" w14:paraId="653EE09D" w14:textId="0913E8B1">
            <w:pPr>
              <w:spacing w:after="0"/>
              <w:jc w:val="center"/>
              <w:rPr>
                <w:sz w:val="20"/>
                <w:szCs w:val="24"/>
              </w:rPr>
            </w:pPr>
          </w:p>
        </w:tc>
        <w:tc>
          <w:tcPr>
            <w:tcW w:w="1710" w:type="dxa"/>
          </w:tcPr>
          <w:p w:rsidRPr="001E6036" w:rsidR="00777295" w:rsidP="00537B52" w:rsidRDefault="00E24E94" w14:paraId="383BCD8A" w14:textId="77777777">
            <w:pPr>
              <w:spacing w:after="0"/>
              <w:jc w:val="center"/>
              <w:rPr>
                <w:sz w:val="20"/>
                <w:szCs w:val="24"/>
              </w:rPr>
            </w:pPr>
            <w:r w:rsidRPr="001E6036">
              <w:rPr>
                <w:sz w:val="20"/>
                <w:szCs w:val="24"/>
              </w:rPr>
              <w:t>30</w:t>
            </w:r>
            <w:r w:rsidRPr="001E6036" w:rsidR="00777295">
              <w:rPr>
                <w:sz w:val="20"/>
                <w:szCs w:val="24"/>
              </w:rPr>
              <w:t xml:space="preserve"> minutes</w:t>
            </w:r>
          </w:p>
        </w:tc>
        <w:tc>
          <w:tcPr>
            <w:tcW w:w="1795" w:type="dxa"/>
          </w:tcPr>
          <w:p w:rsidRPr="001E6036" w:rsidR="00777295" w:rsidP="00537B52" w:rsidRDefault="00E24E94" w14:paraId="6948ED30" w14:textId="77777777">
            <w:pPr>
              <w:spacing w:after="0"/>
              <w:jc w:val="center"/>
              <w:rPr>
                <w:sz w:val="20"/>
                <w:szCs w:val="24"/>
              </w:rPr>
            </w:pPr>
            <w:r w:rsidRPr="001E6036">
              <w:rPr>
                <w:sz w:val="20"/>
                <w:szCs w:val="24"/>
              </w:rPr>
              <w:t>20</w:t>
            </w:r>
            <w:r w:rsidRPr="001E6036" w:rsidR="00777295">
              <w:rPr>
                <w:sz w:val="20"/>
                <w:szCs w:val="24"/>
              </w:rPr>
              <w:t xml:space="preserve"> hours</w:t>
            </w:r>
          </w:p>
        </w:tc>
      </w:tr>
      <w:tr w:rsidRPr="001E6036" w:rsidR="00777295" w:rsidTr="00537B52" w14:paraId="44B827A8" w14:textId="77777777">
        <w:tc>
          <w:tcPr>
            <w:tcW w:w="3685" w:type="dxa"/>
          </w:tcPr>
          <w:p w:rsidRPr="001E6036" w:rsidR="00777295" w:rsidP="00537B52" w:rsidRDefault="00777295" w14:paraId="4407F23E" w14:textId="77777777">
            <w:pPr>
              <w:spacing w:after="0"/>
              <w:rPr>
                <w:b/>
                <w:sz w:val="20"/>
                <w:szCs w:val="24"/>
              </w:rPr>
            </w:pPr>
            <w:r w:rsidRPr="001E6036">
              <w:rPr>
                <w:b/>
                <w:sz w:val="20"/>
                <w:szCs w:val="24"/>
              </w:rPr>
              <w:t>Total Estimated Burden Time</w:t>
            </w:r>
          </w:p>
        </w:tc>
        <w:tc>
          <w:tcPr>
            <w:tcW w:w="2160" w:type="dxa"/>
          </w:tcPr>
          <w:p w:rsidRPr="001E6036" w:rsidR="00777295" w:rsidP="00537B52" w:rsidRDefault="00777295" w14:paraId="7FE512EE" w14:textId="03306649">
            <w:pPr>
              <w:spacing w:after="0"/>
              <w:jc w:val="center"/>
              <w:rPr>
                <w:sz w:val="20"/>
                <w:szCs w:val="24"/>
              </w:rPr>
            </w:pPr>
          </w:p>
        </w:tc>
        <w:tc>
          <w:tcPr>
            <w:tcW w:w="1710" w:type="dxa"/>
          </w:tcPr>
          <w:p w:rsidRPr="001E6036" w:rsidR="00777295" w:rsidP="00537B52" w:rsidRDefault="00777295" w14:paraId="12142F92" w14:textId="77777777">
            <w:pPr>
              <w:spacing w:after="0"/>
              <w:jc w:val="center"/>
              <w:rPr>
                <w:sz w:val="20"/>
                <w:szCs w:val="24"/>
              </w:rPr>
            </w:pPr>
          </w:p>
        </w:tc>
        <w:tc>
          <w:tcPr>
            <w:tcW w:w="1795" w:type="dxa"/>
          </w:tcPr>
          <w:p w:rsidRPr="001E6036" w:rsidR="00777295" w:rsidP="00537B52" w:rsidRDefault="00E24E94" w14:paraId="2B71B84D" w14:textId="77777777">
            <w:pPr>
              <w:spacing w:after="0"/>
              <w:jc w:val="center"/>
              <w:rPr>
                <w:sz w:val="20"/>
                <w:szCs w:val="24"/>
              </w:rPr>
            </w:pPr>
            <w:r w:rsidRPr="001E6036">
              <w:rPr>
                <w:sz w:val="20"/>
                <w:szCs w:val="24"/>
              </w:rPr>
              <w:t>168</w:t>
            </w:r>
            <w:r w:rsidRPr="001E6036" w:rsidR="009377CD">
              <w:rPr>
                <w:sz w:val="20"/>
                <w:szCs w:val="24"/>
              </w:rPr>
              <w:t>.2</w:t>
            </w:r>
            <w:r w:rsidRPr="001E6036" w:rsidR="00777295">
              <w:rPr>
                <w:sz w:val="20"/>
                <w:szCs w:val="24"/>
              </w:rPr>
              <w:t xml:space="preserve"> annual hours</w:t>
            </w:r>
          </w:p>
        </w:tc>
      </w:tr>
    </w:tbl>
    <w:p w:rsidRPr="001E6036" w:rsidR="00777295" w:rsidP="00777295" w:rsidRDefault="00777295" w14:paraId="67D62F05" w14:textId="77777777">
      <w:pPr>
        <w:ind w:left="360"/>
        <w:rPr>
          <w:color w:val="000000" w:themeColor="text1"/>
          <w:szCs w:val="24"/>
        </w:rPr>
      </w:pPr>
    </w:p>
    <w:p w:rsidRPr="001E6036" w:rsidR="00E24E94" w:rsidP="00E24E94" w:rsidRDefault="00E24E94" w14:paraId="1ED6CE9A" w14:textId="77777777">
      <w:pPr>
        <w:ind w:left="360"/>
        <w:rPr>
          <w:color w:val="000000" w:themeColor="text1"/>
          <w:szCs w:val="24"/>
        </w:rPr>
      </w:pPr>
      <w:r w:rsidRPr="001E6036">
        <w:rPr>
          <w:color w:val="000000" w:themeColor="text1"/>
          <w:szCs w:val="24"/>
        </w:rPr>
        <w:t xml:space="preserve">Time burden estimated based on actual surveys and interviews carried out with similar audiences in foreign countries under other projects. </w:t>
      </w:r>
    </w:p>
    <w:p w:rsidRPr="001E6036" w:rsidR="001A1447" w:rsidP="009377CD" w:rsidRDefault="001A1447" w14:paraId="0456EC68" w14:textId="6B9DE180">
      <w:pPr>
        <w:ind w:left="360"/>
        <w:rPr>
          <w:b/>
          <w:color w:val="000000" w:themeColor="text1"/>
          <w:szCs w:val="24"/>
        </w:rPr>
      </w:pPr>
      <w:r w:rsidRPr="001E6036">
        <w:rPr>
          <w:b/>
          <w:color w:val="000000" w:themeColor="text1"/>
          <w:szCs w:val="24"/>
        </w:rPr>
        <w:t>Time Cost to Respondents</w:t>
      </w:r>
    </w:p>
    <w:p w:rsidRPr="001E6036" w:rsidR="009377CD" w:rsidP="009377CD" w:rsidRDefault="00AA3A6F" w14:paraId="45CB8540" w14:textId="39FD0839">
      <w:pPr>
        <w:ind w:left="360"/>
        <w:rPr>
          <w:szCs w:val="24"/>
        </w:rPr>
      </w:pPr>
      <w:r w:rsidRPr="001E6036">
        <w:rPr>
          <w:color w:val="000000" w:themeColor="text1"/>
          <w:szCs w:val="24"/>
        </w:rPr>
        <w:t>The cost to the respondents is the opportunity cost if they were to undertake paid work for the time that they spend responding to surveys or participating in an intervie</w:t>
      </w:r>
      <w:r w:rsidRPr="001E6036" w:rsidR="00806922">
        <w:rPr>
          <w:color w:val="000000" w:themeColor="text1"/>
          <w:szCs w:val="24"/>
        </w:rPr>
        <w:t>w</w:t>
      </w:r>
      <w:r w:rsidRPr="001E6036">
        <w:rPr>
          <w:color w:val="000000" w:themeColor="text1"/>
          <w:szCs w:val="24"/>
        </w:rPr>
        <w:t xml:space="preserve">. </w:t>
      </w:r>
      <w:r w:rsidRPr="001E6036" w:rsidR="009377CD">
        <w:rPr>
          <w:color w:val="000000" w:themeColor="text1"/>
          <w:szCs w:val="24"/>
        </w:rPr>
        <w:t>T</w:t>
      </w:r>
      <w:r w:rsidRPr="001E6036" w:rsidR="00806922">
        <w:rPr>
          <w:color w:val="000000" w:themeColor="text1"/>
          <w:szCs w:val="24"/>
        </w:rPr>
        <w:t>herefore t</w:t>
      </w:r>
      <w:r w:rsidRPr="001E6036" w:rsidR="009377CD">
        <w:rPr>
          <w:color w:val="000000" w:themeColor="text1"/>
          <w:szCs w:val="24"/>
        </w:rPr>
        <w:t xml:space="preserve">he </w:t>
      </w:r>
      <w:r w:rsidRPr="001E6036" w:rsidR="00D26094">
        <w:rPr>
          <w:color w:val="000000" w:themeColor="text1"/>
          <w:szCs w:val="24"/>
        </w:rPr>
        <w:t xml:space="preserve">cost estimate is based </w:t>
      </w:r>
      <w:r w:rsidRPr="001E6036" w:rsidR="00AB0537">
        <w:rPr>
          <w:color w:val="000000" w:themeColor="text1"/>
          <w:szCs w:val="24"/>
        </w:rPr>
        <w:t>on the Bureau of Labor Statistics May 2018 National Occupational Employment and Wage Estimates</w:t>
      </w:r>
      <w:r w:rsidRPr="001E6036" w:rsidR="00806922">
        <w:rPr>
          <w:color w:val="000000" w:themeColor="text1"/>
          <w:szCs w:val="24"/>
        </w:rPr>
        <w:t>.</w:t>
      </w:r>
      <w:r w:rsidRPr="001E6036" w:rsidR="00582835">
        <w:rPr>
          <w:rStyle w:val="FootnoteReference"/>
          <w:color w:val="000000" w:themeColor="text1"/>
          <w:szCs w:val="24"/>
        </w:rPr>
        <w:footnoteReference w:id="1"/>
      </w:r>
      <w:r w:rsidRPr="001E6036" w:rsidR="00806922">
        <w:rPr>
          <w:color w:val="000000" w:themeColor="text1"/>
          <w:szCs w:val="24"/>
        </w:rPr>
        <w:t xml:space="preserve"> Both respondent groups are likely in senior positions in their careers, but represent a variety of fields and are spread across the country. Therefore the</w:t>
      </w:r>
      <w:r w:rsidRPr="001E6036" w:rsidR="00AB0537">
        <w:rPr>
          <w:color w:val="000000" w:themeColor="text1"/>
          <w:szCs w:val="24"/>
        </w:rPr>
        <w:t xml:space="preserve"> </w:t>
      </w:r>
      <w:r w:rsidRPr="001E6036" w:rsidR="00D26094">
        <w:rPr>
          <w:color w:val="000000" w:themeColor="text1"/>
          <w:szCs w:val="24"/>
        </w:rPr>
        <w:t xml:space="preserve">average hourly wage of </w:t>
      </w:r>
      <w:r w:rsidRPr="001E6036" w:rsidR="00D26094">
        <w:rPr>
          <w:b/>
          <w:i/>
          <w:color w:val="000000" w:themeColor="text1"/>
          <w:szCs w:val="24"/>
        </w:rPr>
        <w:t>$</w:t>
      </w:r>
      <w:r w:rsidRPr="001E6036" w:rsidR="00806922">
        <w:rPr>
          <w:b/>
          <w:i/>
          <w:color w:val="000000" w:themeColor="text1"/>
          <w:szCs w:val="24"/>
        </w:rPr>
        <w:t xml:space="preserve">60.19 </w:t>
      </w:r>
      <w:r w:rsidRPr="001E6036" w:rsidR="00806922">
        <w:rPr>
          <w:color w:val="000000" w:themeColor="text1"/>
          <w:szCs w:val="24"/>
        </w:rPr>
        <w:t>(2018 hourly wage of $58.44 inflated by 3% for 2019)</w:t>
      </w:r>
      <w:r w:rsidRPr="001E6036" w:rsidR="00806922">
        <w:rPr>
          <w:i/>
          <w:color w:val="000000" w:themeColor="text1"/>
          <w:szCs w:val="24"/>
        </w:rPr>
        <w:t xml:space="preserve"> </w:t>
      </w:r>
      <w:r w:rsidRPr="001E6036" w:rsidR="00AB0537">
        <w:rPr>
          <w:color w:val="000000" w:themeColor="text1"/>
          <w:szCs w:val="24"/>
        </w:rPr>
        <w:t>for all Management Occupations</w:t>
      </w:r>
      <w:r w:rsidRPr="001E6036" w:rsidR="00D26094">
        <w:rPr>
          <w:color w:val="000000" w:themeColor="text1"/>
          <w:szCs w:val="24"/>
        </w:rPr>
        <w:t xml:space="preserve"> (Major Group)</w:t>
      </w:r>
      <w:r w:rsidRPr="001E6036" w:rsidR="00806922">
        <w:rPr>
          <w:color w:val="000000" w:themeColor="text1"/>
          <w:szCs w:val="24"/>
        </w:rPr>
        <w:t xml:space="preserve"> will be used as a proxy for both groups. </w:t>
      </w:r>
    </w:p>
    <w:p w:rsidRPr="001E6036" w:rsidR="009377CD" w:rsidP="009377CD" w:rsidRDefault="009377CD" w14:paraId="2BC3C6BC" w14:textId="77777777">
      <w:pPr>
        <w:spacing w:before="100" w:beforeAutospacing="1" w:after="0"/>
        <w:rPr>
          <w:rFonts w:cstheme="minorHAnsi"/>
          <w:szCs w:val="24"/>
        </w:rPr>
      </w:pPr>
      <w:r w:rsidRPr="001E6036">
        <w:rPr>
          <w:rFonts w:cstheme="minorHAnsi"/>
          <w:szCs w:val="24"/>
        </w:rPr>
        <w:t>Table 2. Estimate of Respondent Hour and Cost Burden</w:t>
      </w:r>
    </w:p>
    <w:tbl>
      <w:tblPr>
        <w:tblStyle w:val="TableGrid"/>
        <w:tblW w:w="0" w:type="auto"/>
        <w:tblLook w:val="04A0" w:firstRow="1" w:lastRow="0" w:firstColumn="1" w:lastColumn="0" w:noHBand="0" w:noVBand="1"/>
      </w:tblPr>
      <w:tblGrid>
        <w:gridCol w:w="3775"/>
        <w:gridCol w:w="2160"/>
        <w:gridCol w:w="1620"/>
        <w:gridCol w:w="1795"/>
      </w:tblGrid>
      <w:tr w:rsidRPr="001E6036" w:rsidR="009377CD" w:rsidTr="00537B52" w14:paraId="6F85BC92" w14:textId="77777777">
        <w:tc>
          <w:tcPr>
            <w:tcW w:w="3775" w:type="dxa"/>
          </w:tcPr>
          <w:p w:rsidRPr="001E6036" w:rsidR="009377CD" w:rsidP="00537B52" w:rsidRDefault="009377CD" w14:paraId="10ABF603" w14:textId="0E9B884A">
            <w:pPr>
              <w:spacing w:before="100" w:beforeAutospacing="1"/>
              <w:rPr>
                <w:rFonts w:cstheme="minorHAnsi"/>
                <w:b/>
                <w:sz w:val="20"/>
              </w:rPr>
            </w:pPr>
            <w:r w:rsidRPr="001E6036">
              <w:rPr>
                <w:rFonts w:cstheme="minorHAnsi"/>
                <w:b/>
                <w:sz w:val="20"/>
              </w:rPr>
              <w:t>Respon</w:t>
            </w:r>
            <w:r w:rsidRPr="001E6036" w:rsidR="00D002E1">
              <w:rPr>
                <w:rFonts w:cstheme="minorHAnsi"/>
                <w:b/>
                <w:sz w:val="20"/>
              </w:rPr>
              <w:t>se</w:t>
            </w:r>
            <w:r w:rsidRPr="001E6036">
              <w:rPr>
                <w:rFonts w:cstheme="minorHAnsi"/>
                <w:b/>
                <w:sz w:val="20"/>
              </w:rPr>
              <w:t xml:space="preserve"> Group</w:t>
            </w:r>
          </w:p>
        </w:tc>
        <w:tc>
          <w:tcPr>
            <w:tcW w:w="2160" w:type="dxa"/>
          </w:tcPr>
          <w:p w:rsidRPr="001E6036" w:rsidR="009377CD" w:rsidP="00537B52" w:rsidRDefault="009377CD" w14:paraId="30099128" w14:textId="77777777">
            <w:pPr>
              <w:spacing w:before="100" w:beforeAutospacing="1"/>
              <w:jc w:val="center"/>
              <w:rPr>
                <w:rFonts w:cstheme="minorHAnsi"/>
                <w:b/>
                <w:sz w:val="20"/>
              </w:rPr>
            </w:pPr>
            <w:r w:rsidRPr="001E6036">
              <w:rPr>
                <w:rFonts w:cstheme="minorHAnsi"/>
                <w:b/>
                <w:sz w:val="20"/>
              </w:rPr>
              <w:t>Total Estimated Hours</w:t>
            </w:r>
          </w:p>
        </w:tc>
        <w:tc>
          <w:tcPr>
            <w:tcW w:w="1620" w:type="dxa"/>
          </w:tcPr>
          <w:p w:rsidRPr="001E6036" w:rsidR="009377CD" w:rsidP="00537B52" w:rsidRDefault="009377CD" w14:paraId="7A126A9E" w14:textId="77777777">
            <w:pPr>
              <w:spacing w:before="100" w:beforeAutospacing="1"/>
              <w:jc w:val="center"/>
              <w:rPr>
                <w:rFonts w:cstheme="minorHAnsi"/>
                <w:b/>
                <w:sz w:val="20"/>
              </w:rPr>
            </w:pPr>
            <w:r w:rsidRPr="001E6036">
              <w:rPr>
                <w:rFonts w:cstheme="minorHAnsi"/>
                <w:b/>
                <w:sz w:val="20"/>
              </w:rPr>
              <w:t>Hourly Cost Rate</w:t>
            </w:r>
          </w:p>
        </w:tc>
        <w:tc>
          <w:tcPr>
            <w:tcW w:w="1795" w:type="dxa"/>
          </w:tcPr>
          <w:p w:rsidRPr="001E6036" w:rsidR="009377CD" w:rsidP="00537B52" w:rsidRDefault="009377CD" w14:paraId="2F912D5B" w14:textId="77777777">
            <w:pPr>
              <w:spacing w:before="100" w:beforeAutospacing="1"/>
              <w:jc w:val="center"/>
              <w:rPr>
                <w:rFonts w:cstheme="minorHAnsi"/>
                <w:b/>
                <w:sz w:val="20"/>
              </w:rPr>
            </w:pPr>
            <w:r w:rsidRPr="001E6036">
              <w:rPr>
                <w:rFonts w:cstheme="minorHAnsi"/>
                <w:b/>
                <w:sz w:val="20"/>
              </w:rPr>
              <w:t>Total Cost Burden</w:t>
            </w:r>
          </w:p>
        </w:tc>
      </w:tr>
      <w:tr w:rsidRPr="001E6036" w:rsidR="009377CD" w:rsidTr="00537B52" w14:paraId="04EDF674" w14:textId="77777777">
        <w:tc>
          <w:tcPr>
            <w:tcW w:w="3775" w:type="dxa"/>
          </w:tcPr>
          <w:p w:rsidRPr="001E6036" w:rsidR="009377CD" w:rsidP="00537B52" w:rsidRDefault="00AA3A6F" w14:paraId="78A015EF" w14:textId="1E3D8B7E">
            <w:pPr>
              <w:spacing w:before="100" w:beforeAutospacing="1"/>
              <w:rPr>
                <w:rFonts w:cstheme="minorHAnsi"/>
                <w:sz w:val="20"/>
              </w:rPr>
            </w:pPr>
            <w:r w:rsidRPr="001E6036">
              <w:rPr>
                <w:rFonts w:cstheme="minorHAnsi"/>
                <w:sz w:val="20"/>
              </w:rPr>
              <w:t>Professional Contacts</w:t>
            </w:r>
          </w:p>
        </w:tc>
        <w:tc>
          <w:tcPr>
            <w:tcW w:w="2160" w:type="dxa"/>
          </w:tcPr>
          <w:p w:rsidRPr="001E6036" w:rsidR="009377CD" w:rsidP="00537B52" w:rsidRDefault="009377CD" w14:paraId="30767D6B" w14:textId="77777777">
            <w:pPr>
              <w:spacing w:before="100" w:beforeAutospacing="1"/>
              <w:jc w:val="center"/>
              <w:rPr>
                <w:rFonts w:cstheme="minorHAnsi"/>
                <w:sz w:val="20"/>
              </w:rPr>
            </w:pPr>
            <w:r w:rsidRPr="001E6036">
              <w:rPr>
                <w:rFonts w:cstheme="minorHAnsi"/>
                <w:sz w:val="20"/>
              </w:rPr>
              <w:t>126.7</w:t>
            </w:r>
          </w:p>
        </w:tc>
        <w:tc>
          <w:tcPr>
            <w:tcW w:w="1620" w:type="dxa"/>
          </w:tcPr>
          <w:p w:rsidRPr="001E6036" w:rsidR="009377CD" w:rsidP="00D836E8" w:rsidRDefault="009377CD" w14:paraId="4CB634A2" w14:textId="3A1D1752">
            <w:pPr>
              <w:spacing w:before="100" w:beforeAutospacing="1"/>
              <w:jc w:val="center"/>
              <w:rPr>
                <w:rFonts w:cstheme="minorHAnsi"/>
                <w:sz w:val="20"/>
              </w:rPr>
            </w:pPr>
            <w:r w:rsidRPr="001E6036">
              <w:rPr>
                <w:rFonts w:cstheme="minorHAnsi"/>
                <w:sz w:val="20"/>
              </w:rPr>
              <w:t>$</w:t>
            </w:r>
            <w:r w:rsidRPr="001E6036" w:rsidR="00806922">
              <w:rPr>
                <w:rFonts w:cstheme="minorHAnsi"/>
                <w:sz w:val="20"/>
              </w:rPr>
              <w:t>60.19</w:t>
            </w:r>
          </w:p>
        </w:tc>
        <w:tc>
          <w:tcPr>
            <w:tcW w:w="1795" w:type="dxa"/>
          </w:tcPr>
          <w:p w:rsidRPr="001E6036" w:rsidR="009377CD" w:rsidP="003B4C45" w:rsidRDefault="009377CD" w14:paraId="050DFEA0" w14:textId="091487A0">
            <w:pPr>
              <w:spacing w:before="100" w:beforeAutospacing="1"/>
              <w:jc w:val="center"/>
              <w:rPr>
                <w:rFonts w:cstheme="minorHAnsi"/>
                <w:sz w:val="20"/>
              </w:rPr>
            </w:pPr>
            <w:r w:rsidRPr="001E6036">
              <w:rPr>
                <w:rFonts w:cstheme="minorHAnsi"/>
                <w:sz w:val="20"/>
              </w:rPr>
              <w:t>$7,</w:t>
            </w:r>
            <w:r w:rsidRPr="001E6036" w:rsidR="00806922">
              <w:rPr>
                <w:rFonts w:cstheme="minorHAnsi"/>
                <w:sz w:val="20"/>
              </w:rPr>
              <w:t>626.07</w:t>
            </w:r>
          </w:p>
        </w:tc>
      </w:tr>
      <w:tr w:rsidRPr="001E6036" w:rsidR="009377CD" w:rsidTr="00537B52" w14:paraId="18659807" w14:textId="77777777">
        <w:tc>
          <w:tcPr>
            <w:tcW w:w="3775" w:type="dxa"/>
          </w:tcPr>
          <w:p w:rsidRPr="001E6036" w:rsidR="009377CD" w:rsidP="00537B52" w:rsidRDefault="009377CD" w14:paraId="381467B4" w14:textId="73A3A8A3">
            <w:pPr>
              <w:spacing w:before="100" w:beforeAutospacing="1"/>
              <w:rPr>
                <w:rFonts w:cstheme="minorHAnsi"/>
                <w:sz w:val="20"/>
              </w:rPr>
            </w:pPr>
            <w:r w:rsidRPr="001E6036">
              <w:rPr>
                <w:rFonts w:cstheme="minorHAnsi"/>
                <w:sz w:val="20"/>
              </w:rPr>
              <w:t>Home</w:t>
            </w:r>
            <w:r w:rsidRPr="001E6036" w:rsidR="00AA3A6F">
              <w:rPr>
                <w:rFonts w:cstheme="minorHAnsi"/>
                <w:sz w:val="20"/>
              </w:rPr>
              <w:t>s</w:t>
            </w:r>
            <w:r w:rsidRPr="001E6036">
              <w:rPr>
                <w:rFonts w:cstheme="minorHAnsi"/>
                <w:sz w:val="20"/>
              </w:rPr>
              <w:t>tay Hosts</w:t>
            </w:r>
          </w:p>
        </w:tc>
        <w:tc>
          <w:tcPr>
            <w:tcW w:w="2160" w:type="dxa"/>
          </w:tcPr>
          <w:p w:rsidRPr="001E6036" w:rsidR="009377CD" w:rsidP="00537B52" w:rsidRDefault="009377CD" w14:paraId="01DB3AA3" w14:textId="77777777">
            <w:pPr>
              <w:spacing w:before="100" w:beforeAutospacing="1"/>
              <w:jc w:val="center"/>
              <w:rPr>
                <w:rFonts w:cstheme="minorHAnsi"/>
                <w:sz w:val="20"/>
              </w:rPr>
            </w:pPr>
            <w:r w:rsidRPr="001E6036">
              <w:rPr>
                <w:rFonts w:cstheme="minorHAnsi"/>
                <w:sz w:val="20"/>
              </w:rPr>
              <w:t>41.5</w:t>
            </w:r>
          </w:p>
        </w:tc>
        <w:tc>
          <w:tcPr>
            <w:tcW w:w="1620" w:type="dxa"/>
          </w:tcPr>
          <w:p w:rsidRPr="001E6036" w:rsidR="009377CD" w:rsidP="00D836E8" w:rsidRDefault="009377CD" w14:paraId="52653550" w14:textId="68897929">
            <w:pPr>
              <w:spacing w:before="100" w:beforeAutospacing="1"/>
              <w:jc w:val="center"/>
              <w:rPr>
                <w:rFonts w:cstheme="minorHAnsi"/>
                <w:sz w:val="20"/>
              </w:rPr>
            </w:pPr>
            <w:r w:rsidRPr="001E6036">
              <w:rPr>
                <w:rFonts w:cstheme="minorHAnsi"/>
                <w:sz w:val="20"/>
              </w:rPr>
              <w:t>$</w:t>
            </w:r>
            <w:r w:rsidRPr="001E6036" w:rsidR="00806922">
              <w:rPr>
                <w:rFonts w:cstheme="minorHAnsi"/>
                <w:sz w:val="20"/>
              </w:rPr>
              <w:t>60.19</w:t>
            </w:r>
          </w:p>
        </w:tc>
        <w:tc>
          <w:tcPr>
            <w:tcW w:w="1795" w:type="dxa"/>
          </w:tcPr>
          <w:p w:rsidRPr="001E6036" w:rsidR="009377CD" w:rsidP="003B4C45" w:rsidRDefault="009377CD" w14:paraId="0FBB1D74" w14:textId="7CFA1526">
            <w:pPr>
              <w:spacing w:before="100" w:beforeAutospacing="1"/>
              <w:jc w:val="center"/>
              <w:rPr>
                <w:rFonts w:cstheme="minorHAnsi"/>
                <w:sz w:val="20"/>
              </w:rPr>
            </w:pPr>
            <w:r w:rsidRPr="001E6036">
              <w:rPr>
                <w:rFonts w:cstheme="minorHAnsi"/>
                <w:sz w:val="20"/>
              </w:rPr>
              <w:t>$2,4</w:t>
            </w:r>
            <w:r w:rsidRPr="001E6036" w:rsidR="00806922">
              <w:rPr>
                <w:rFonts w:cstheme="minorHAnsi"/>
                <w:sz w:val="20"/>
              </w:rPr>
              <w:t>97.89</w:t>
            </w:r>
          </w:p>
        </w:tc>
      </w:tr>
      <w:tr w:rsidRPr="001E6036" w:rsidR="009377CD" w:rsidTr="00537B52" w14:paraId="2505191C" w14:textId="77777777">
        <w:tc>
          <w:tcPr>
            <w:tcW w:w="3775" w:type="dxa"/>
          </w:tcPr>
          <w:p w:rsidRPr="001E6036" w:rsidR="009377CD" w:rsidP="00537B52" w:rsidRDefault="009377CD" w14:paraId="08BE6603" w14:textId="77777777">
            <w:pPr>
              <w:spacing w:before="100" w:beforeAutospacing="1"/>
              <w:rPr>
                <w:rFonts w:cstheme="minorHAnsi"/>
                <w:b/>
                <w:sz w:val="20"/>
                <w:szCs w:val="24"/>
              </w:rPr>
            </w:pPr>
            <w:r w:rsidRPr="001E6036">
              <w:rPr>
                <w:rFonts w:cstheme="minorHAnsi"/>
                <w:b/>
                <w:sz w:val="20"/>
                <w:szCs w:val="24"/>
              </w:rPr>
              <w:t xml:space="preserve">Total </w:t>
            </w:r>
          </w:p>
        </w:tc>
        <w:tc>
          <w:tcPr>
            <w:tcW w:w="2160" w:type="dxa"/>
          </w:tcPr>
          <w:p w:rsidRPr="001E6036" w:rsidR="009377CD" w:rsidP="00537B52" w:rsidRDefault="009377CD" w14:paraId="0B5C39F7" w14:textId="77777777">
            <w:pPr>
              <w:spacing w:before="100" w:beforeAutospacing="1"/>
              <w:jc w:val="center"/>
              <w:rPr>
                <w:rFonts w:cstheme="minorHAnsi"/>
                <w:sz w:val="20"/>
              </w:rPr>
            </w:pPr>
            <w:r w:rsidRPr="001E6036">
              <w:rPr>
                <w:rFonts w:cstheme="minorHAnsi"/>
                <w:sz w:val="20"/>
              </w:rPr>
              <w:t>168.2</w:t>
            </w:r>
          </w:p>
        </w:tc>
        <w:tc>
          <w:tcPr>
            <w:tcW w:w="1620" w:type="dxa"/>
          </w:tcPr>
          <w:p w:rsidRPr="001E6036" w:rsidR="009377CD" w:rsidP="00537B52" w:rsidRDefault="009377CD" w14:paraId="6C286709" w14:textId="77777777">
            <w:pPr>
              <w:spacing w:before="100" w:beforeAutospacing="1"/>
              <w:jc w:val="center"/>
              <w:rPr>
                <w:rFonts w:cstheme="minorHAnsi"/>
                <w:sz w:val="20"/>
              </w:rPr>
            </w:pPr>
          </w:p>
        </w:tc>
        <w:tc>
          <w:tcPr>
            <w:tcW w:w="1795" w:type="dxa"/>
          </w:tcPr>
          <w:p w:rsidRPr="001E6036" w:rsidR="009377CD" w:rsidP="00D836E8" w:rsidRDefault="009377CD" w14:paraId="6505A7D9" w14:textId="210A4B4B">
            <w:pPr>
              <w:spacing w:before="100" w:beforeAutospacing="1"/>
              <w:jc w:val="center"/>
              <w:rPr>
                <w:rFonts w:cstheme="minorHAnsi"/>
                <w:sz w:val="20"/>
              </w:rPr>
            </w:pPr>
            <w:r w:rsidRPr="001E6036">
              <w:rPr>
                <w:rFonts w:cstheme="minorHAnsi"/>
                <w:sz w:val="20"/>
              </w:rPr>
              <w:t>$</w:t>
            </w:r>
            <w:r w:rsidRPr="001E6036" w:rsidR="00806922">
              <w:rPr>
                <w:rFonts w:cstheme="minorHAnsi"/>
                <w:sz w:val="20"/>
              </w:rPr>
              <w:t>10,123.96</w:t>
            </w:r>
          </w:p>
        </w:tc>
      </w:tr>
    </w:tbl>
    <w:p w:rsidRPr="001E6036" w:rsidR="009377CD" w:rsidP="009377CD" w:rsidRDefault="009377CD" w14:paraId="4FA10284" w14:textId="77777777">
      <w:pPr>
        <w:ind w:left="360"/>
        <w:rPr>
          <w:i/>
          <w:color w:val="000000" w:themeColor="text1"/>
          <w:sz w:val="28"/>
          <w:szCs w:val="28"/>
        </w:rPr>
      </w:pPr>
    </w:p>
    <w:p w:rsidRPr="001E6036" w:rsidR="001551C6" w:rsidP="001551C6" w:rsidRDefault="001551C6" w14:paraId="6EEA5665" w14:textId="77777777">
      <w:pPr>
        <w:numPr>
          <w:ilvl w:val="0"/>
          <w:numId w:val="1"/>
        </w:numPr>
        <w:rPr>
          <w:i/>
          <w:color w:val="000000" w:themeColor="text1"/>
          <w:sz w:val="28"/>
          <w:szCs w:val="28"/>
        </w:rPr>
      </w:pPr>
      <w:r w:rsidRPr="001E6036">
        <w:rPr>
          <w:i/>
          <w:color w:val="000000" w:themeColor="text1"/>
          <w:sz w:val="28"/>
          <w:szCs w:val="28"/>
        </w:rPr>
        <w:t>Describe the monetary burden to respondents (out of pocket costs) needed to complete this collection.</w:t>
      </w:r>
    </w:p>
    <w:p w:rsidRPr="001E6036" w:rsidR="009377CD" w:rsidP="009377CD" w:rsidRDefault="009377CD" w14:paraId="2F0155BB" w14:textId="77777777">
      <w:pPr>
        <w:ind w:left="360"/>
        <w:rPr>
          <w:color w:val="000000" w:themeColor="text1"/>
          <w:szCs w:val="24"/>
        </w:rPr>
      </w:pPr>
      <w:r w:rsidRPr="001E6036">
        <w:rPr>
          <w:color w:val="000000" w:themeColor="text1"/>
          <w:szCs w:val="24"/>
        </w:rPr>
        <w:t>Respondents will not incur any costs by participating in this data collection effort.</w:t>
      </w:r>
    </w:p>
    <w:p w:rsidRPr="001E6036" w:rsidR="001551C6" w:rsidP="001551C6" w:rsidRDefault="001551C6" w14:paraId="6142B648" w14:textId="77777777">
      <w:pPr>
        <w:numPr>
          <w:ilvl w:val="0"/>
          <w:numId w:val="1"/>
        </w:numPr>
        <w:rPr>
          <w:i/>
          <w:color w:val="000000" w:themeColor="text1"/>
          <w:sz w:val="28"/>
          <w:szCs w:val="28"/>
        </w:rPr>
      </w:pPr>
      <w:r w:rsidRPr="001E6036">
        <w:rPr>
          <w:i/>
          <w:color w:val="000000" w:themeColor="text1"/>
          <w:sz w:val="28"/>
          <w:szCs w:val="28"/>
        </w:rPr>
        <w:t>Describe the cost incurred by the Federal Government  to complete this collection.</w:t>
      </w:r>
    </w:p>
    <w:p w:rsidRPr="001E6036" w:rsidR="00946A3F" w:rsidP="00946A3F" w:rsidRDefault="00946A3F" w14:paraId="5757CFB5" w14:textId="2A3CBBC9">
      <w:pPr>
        <w:pStyle w:val="ListParagraph"/>
        <w:spacing w:before="100" w:beforeAutospacing="1" w:after="0"/>
        <w:ind w:left="360"/>
        <w:rPr>
          <w:rFonts w:cstheme="minorHAnsi"/>
          <w:szCs w:val="24"/>
        </w:rPr>
      </w:pPr>
      <w:r w:rsidRPr="001E6036">
        <w:rPr>
          <w:rFonts w:cstheme="minorHAnsi"/>
          <w:szCs w:val="24"/>
        </w:rPr>
        <w:t>The estimated cost to the USG for the PFP Evaluation as related to this collection is $</w:t>
      </w:r>
      <w:r w:rsidRPr="001E6036" w:rsidR="00EF060E">
        <w:rPr>
          <w:rFonts w:cstheme="minorHAnsi"/>
          <w:szCs w:val="24"/>
        </w:rPr>
        <w:t>95,386.80</w:t>
      </w:r>
      <w:r w:rsidRPr="001E6036">
        <w:rPr>
          <w:rFonts w:cstheme="minorHAnsi"/>
          <w:szCs w:val="24"/>
        </w:rPr>
        <w:t xml:space="preserve">.  This estimate includes all direct and indirect costs of the design, data collection, and analysis activities.  In </w:t>
      </w:r>
      <w:r w:rsidRPr="001E6036" w:rsidR="00A07982">
        <w:rPr>
          <w:rFonts w:cstheme="minorHAnsi"/>
          <w:szCs w:val="24"/>
        </w:rPr>
        <w:t xml:space="preserve">Table 3 </w:t>
      </w:r>
      <w:r w:rsidRPr="001E6036">
        <w:rPr>
          <w:rFonts w:cstheme="minorHAnsi"/>
          <w:szCs w:val="24"/>
        </w:rPr>
        <w:t>below, Personnel and Fringe Benefit costs are for the contractor (</w:t>
      </w:r>
      <w:r w:rsidRPr="001E6036" w:rsidR="00A07982">
        <w:rPr>
          <w:rFonts w:cstheme="minorHAnsi"/>
          <w:szCs w:val="24"/>
        </w:rPr>
        <w:t>GDIT</w:t>
      </w:r>
      <w:r w:rsidRPr="001E6036">
        <w:rPr>
          <w:rFonts w:cstheme="minorHAnsi"/>
          <w:szCs w:val="24"/>
        </w:rPr>
        <w:t xml:space="preserve">) personnel who manage the evaluation. </w:t>
      </w:r>
      <w:r w:rsidRPr="001E6036" w:rsidR="00A07982">
        <w:rPr>
          <w:rFonts w:cstheme="minorHAnsi"/>
          <w:szCs w:val="24"/>
        </w:rPr>
        <w:t xml:space="preserve">The wage rates of Federal employees at DOS were estimated using Steps 1 for Grades 13 and 14 of the General Schedule in the Washington-Baltimore-Arlington, DC-MD-VA-WV-PA locality area. </w:t>
      </w:r>
      <w:r w:rsidRPr="001E6036" w:rsidR="00A07982">
        <w:rPr>
          <w:rStyle w:val="FootnoteReference"/>
          <w:rFonts w:cstheme="minorHAnsi"/>
          <w:szCs w:val="24"/>
        </w:rPr>
        <w:footnoteReference w:id="2"/>
      </w:r>
      <w:r w:rsidRPr="001E6036" w:rsidR="00A07982">
        <w:rPr>
          <w:rFonts w:cstheme="minorHAnsi"/>
          <w:szCs w:val="24"/>
        </w:rPr>
        <w:t xml:space="preserve"> The </w:t>
      </w:r>
      <w:r w:rsidRPr="001E6036" w:rsidR="00A07982">
        <w:rPr>
          <w:rFonts w:cstheme="minorHAnsi"/>
          <w:szCs w:val="24"/>
        </w:rPr>
        <w:lastRenderedPageBreak/>
        <w:t>Department multiplied the hourly wage rate by 2 to account for a fringe benefits rate of 69 percent</w:t>
      </w:r>
      <w:r w:rsidRPr="001E6036" w:rsidR="00A07982">
        <w:rPr>
          <w:rStyle w:val="FootnoteReference"/>
          <w:rFonts w:cstheme="minorHAnsi"/>
          <w:szCs w:val="24"/>
        </w:rPr>
        <w:footnoteReference w:id="3"/>
      </w:r>
      <w:r w:rsidRPr="001E6036" w:rsidR="00A07982">
        <w:rPr>
          <w:rFonts w:cstheme="minorHAnsi"/>
          <w:szCs w:val="24"/>
        </w:rPr>
        <w:t xml:space="preserve"> and an overhead rate of 31 percent. </w:t>
      </w:r>
      <w:r w:rsidRPr="001E6036" w:rsidR="00A07982">
        <w:rPr>
          <w:rStyle w:val="FootnoteReference"/>
          <w:rFonts w:cstheme="minorHAnsi"/>
          <w:szCs w:val="24"/>
        </w:rPr>
        <w:footnoteReference w:id="4"/>
      </w:r>
    </w:p>
    <w:p w:rsidRPr="001E6036" w:rsidR="00946A3F" w:rsidP="00946A3F" w:rsidRDefault="00946A3F" w14:paraId="5EC82DA4" w14:textId="77777777">
      <w:pPr>
        <w:pStyle w:val="ListParagraph"/>
        <w:spacing w:before="100" w:beforeAutospacing="1" w:after="0"/>
        <w:ind w:left="360"/>
        <w:rPr>
          <w:rFonts w:cstheme="minorHAnsi"/>
          <w:szCs w:val="24"/>
        </w:rPr>
      </w:pPr>
    </w:p>
    <w:p w:rsidRPr="001E6036" w:rsidR="00946A3F" w:rsidP="00946A3F" w:rsidRDefault="00946A3F" w14:paraId="408BD315" w14:textId="77777777">
      <w:pPr>
        <w:spacing w:before="100" w:beforeAutospacing="1" w:after="0"/>
        <w:rPr>
          <w:rFonts w:cstheme="minorHAnsi"/>
          <w:szCs w:val="24"/>
        </w:rPr>
      </w:pPr>
      <w:r w:rsidRPr="001E6036">
        <w:rPr>
          <w:rFonts w:cstheme="minorHAnsi"/>
          <w:szCs w:val="24"/>
        </w:rPr>
        <w:t>Table 3. Total Cost to Federal Government</w:t>
      </w:r>
    </w:p>
    <w:tbl>
      <w:tblPr>
        <w:tblStyle w:val="TableGrid"/>
        <w:tblW w:w="0" w:type="auto"/>
        <w:tblLook w:val="04A0" w:firstRow="1" w:lastRow="0" w:firstColumn="1" w:lastColumn="0" w:noHBand="0" w:noVBand="1"/>
      </w:tblPr>
      <w:tblGrid>
        <w:gridCol w:w="7195"/>
        <w:gridCol w:w="2155"/>
      </w:tblGrid>
      <w:tr w:rsidRPr="001E6036" w:rsidR="00946A3F" w:rsidTr="00537B52" w14:paraId="077DA5F6" w14:textId="77777777">
        <w:tc>
          <w:tcPr>
            <w:tcW w:w="7195" w:type="dxa"/>
          </w:tcPr>
          <w:p w:rsidRPr="001E6036" w:rsidR="00946A3F" w:rsidP="00537B52" w:rsidRDefault="00946A3F" w14:paraId="4F2D92B0" w14:textId="77777777">
            <w:pPr>
              <w:spacing w:before="100" w:beforeAutospacing="1"/>
              <w:rPr>
                <w:rFonts w:cstheme="minorHAnsi"/>
                <w:b/>
                <w:sz w:val="20"/>
                <w:szCs w:val="24"/>
              </w:rPr>
            </w:pPr>
            <w:r w:rsidRPr="001E6036">
              <w:rPr>
                <w:rFonts w:cstheme="minorHAnsi"/>
                <w:b/>
                <w:sz w:val="20"/>
                <w:szCs w:val="24"/>
              </w:rPr>
              <w:t>Cost Item</w:t>
            </w:r>
          </w:p>
        </w:tc>
        <w:tc>
          <w:tcPr>
            <w:tcW w:w="2155" w:type="dxa"/>
          </w:tcPr>
          <w:p w:rsidRPr="001E6036" w:rsidR="00946A3F" w:rsidP="00537B52" w:rsidRDefault="00946A3F" w14:paraId="22613D69" w14:textId="77777777">
            <w:pPr>
              <w:spacing w:before="100" w:beforeAutospacing="1"/>
              <w:jc w:val="center"/>
              <w:rPr>
                <w:rFonts w:cstheme="minorHAnsi"/>
                <w:b/>
                <w:sz w:val="20"/>
                <w:szCs w:val="24"/>
              </w:rPr>
            </w:pPr>
            <w:r w:rsidRPr="001E6036">
              <w:rPr>
                <w:rFonts w:cstheme="minorHAnsi"/>
                <w:b/>
                <w:sz w:val="20"/>
                <w:szCs w:val="24"/>
              </w:rPr>
              <w:t>Total</w:t>
            </w:r>
          </w:p>
        </w:tc>
      </w:tr>
      <w:tr w:rsidRPr="001E6036" w:rsidR="00946A3F" w:rsidTr="00537B52" w14:paraId="6929F370" w14:textId="77777777">
        <w:tc>
          <w:tcPr>
            <w:tcW w:w="7195" w:type="dxa"/>
          </w:tcPr>
          <w:p w:rsidRPr="001E6036" w:rsidR="00946A3F" w:rsidP="00537B52" w:rsidRDefault="00946A3F" w14:paraId="7A548669" w14:textId="77777777">
            <w:pPr>
              <w:spacing w:before="100" w:beforeAutospacing="1"/>
              <w:rPr>
                <w:rFonts w:cstheme="minorHAnsi"/>
                <w:sz w:val="20"/>
                <w:szCs w:val="24"/>
              </w:rPr>
            </w:pPr>
            <w:r w:rsidRPr="001E6036">
              <w:rPr>
                <w:rFonts w:cstheme="minorHAnsi"/>
                <w:sz w:val="20"/>
                <w:szCs w:val="24"/>
              </w:rPr>
              <w:t>Federal Staff Costs [indicate grade and step and percentage of time]</w:t>
            </w:r>
          </w:p>
          <w:p w:rsidRPr="001E6036" w:rsidR="00946A3F" w:rsidP="00946A3F" w:rsidRDefault="00946A3F" w14:paraId="17B56541" w14:textId="3B2C25C1">
            <w:pPr>
              <w:pStyle w:val="ListParagraph"/>
              <w:numPr>
                <w:ilvl w:val="0"/>
                <w:numId w:val="11"/>
              </w:numPr>
              <w:spacing w:before="100" w:beforeAutospacing="1"/>
              <w:rPr>
                <w:rFonts w:cstheme="minorHAnsi"/>
                <w:sz w:val="20"/>
                <w:szCs w:val="24"/>
              </w:rPr>
            </w:pPr>
            <w:r w:rsidRPr="001E6036">
              <w:rPr>
                <w:rFonts w:cstheme="minorHAnsi"/>
                <w:sz w:val="20"/>
                <w:szCs w:val="24"/>
              </w:rPr>
              <w:t>GS-14, Step 1 equivalent – $</w:t>
            </w:r>
            <w:r w:rsidRPr="001E6036" w:rsidR="008E39C7">
              <w:rPr>
                <w:rFonts w:cstheme="minorHAnsi"/>
                <w:sz w:val="20"/>
                <w:szCs w:val="24"/>
              </w:rPr>
              <w:t>56.15</w:t>
            </w:r>
            <w:r w:rsidRPr="001E6036">
              <w:rPr>
                <w:rFonts w:cstheme="minorHAnsi"/>
                <w:sz w:val="20"/>
                <w:szCs w:val="24"/>
              </w:rPr>
              <w:t>/hour @ estimated 40 hours total</w:t>
            </w:r>
          </w:p>
          <w:p w:rsidRPr="001E6036" w:rsidR="008E39C7" w:rsidP="00D836E8" w:rsidRDefault="008E39C7" w14:paraId="24FA32E0" w14:textId="27B13A54">
            <w:pPr>
              <w:pStyle w:val="ListParagraph"/>
              <w:numPr>
                <w:ilvl w:val="0"/>
                <w:numId w:val="11"/>
              </w:numPr>
              <w:spacing w:before="100" w:beforeAutospacing="1"/>
              <w:rPr>
                <w:rFonts w:cstheme="minorHAnsi"/>
                <w:sz w:val="20"/>
                <w:szCs w:val="24"/>
              </w:rPr>
            </w:pPr>
            <w:r w:rsidRPr="001E6036">
              <w:rPr>
                <w:rFonts w:cstheme="minorHAnsi"/>
                <w:sz w:val="20"/>
                <w:szCs w:val="24"/>
              </w:rPr>
              <w:t>GS-13, Step 1 equivalent – $47.52/hour @ estimated 120 hours</w:t>
            </w:r>
          </w:p>
        </w:tc>
        <w:tc>
          <w:tcPr>
            <w:tcW w:w="2155" w:type="dxa"/>
            <w:vAlign w:val="center"/>
          </w:tcPr>
          <w:p w:rsidRPr="001E6036" w:rsidR="00946A3F" w:rsidP="00D836E8" w:rsidRDefault="00946A3F" w14:paraId="2D7E810F" w14:textId="7E1F5AB3">
            <w:pPr>
              <w:spacing w:before="100" w:beforeAutospacing="1"/>
              <w:jc w:val="center"/>
              <w:rPr>
                <w:rFonts w:cstheme="minorHAnsi"/>
                <w:sz w:val="20"/>
                <w:szCs w:val="24"/>
              </w:rPr>
            </w:pPr>
            <w:r w:rsidRPr="001E6036">
              <w:rPr>
                <w:rFonts w:cstheme="minorHAnsi"/>
                <w:sz w:val="20"/>
                <w:szCs w:val="24"/>
              </w:rPr>
              <w:t>$</w:t>
            </w:r>
            <w:r w:rsidRPr="001E6036" w:rsidR="008E39C7">
              <w:rPr>
                <w:rFonts w:cstheme="minorHAnsi"/>
                <w:sz w:val="20"/>
                <w:szCs w:val="24"/>
              </w:rPr>
              <w:t>13,650.80</w:t>
            </w:r>
          </w:p>
        </w:tc>
      </w:tr>
      <w:tr w:rsidRPr="001E6036" w:rsidR="00946A3F" w:rsidTr="00537B52" w14:paraId="2612F358" w14:textId="77777777">
        <w:tc>
          <w:tcPr>
            <w:tcW w:w="7195" w:type="dxa"/>
          </w:tcPr>
          <w:p w:rsidRPr="001E6036" w:rsidR="00946A3F" w:rsidP="00537B52" w:rsidRDefault="00946A3F" w14:paraId="096D0B79" w14:textId="77777777">
            <w:pPr>
              <w:spacing w:before="100" w:beforeAutospacing="1"/>
              <w:rPr>
                <w:rFonts w:cstheme="minorHAnsi"/>
                <w:sz w:val="20"/>
                <w:szCs w:val="24"/>
              </w:rPr>
            </w:pPr>
            <w:r w:rsidRPr="001E6036">
              <w:rPr>
                <w:rFonts w:cstheme="minorHAnsi"/>
                <w:sz w:val="20"/>
                <w:szCs w:val="24"/>
              </w:rPr>
              <w:t xml:space="preserve">Personnel </w:t>
            </w:r>
          </w:p>
        </w:tc>
        <w:tc>
          <w:tcPr>
            <w:tcW w:w="2155" w:type="dxa"/>
          </w:tcPr>
          <w:p w:rsidRPr="001E6036" w:rsidR="00946A3F" w:rsidP="001725A1" w:rsidRDefault="00946A3F" w14:paraId="375DD722" w14:textId="12F4FDBC">
            <w:pPr>
              <w:spacing w:before="100" w:beforeAutospacing="1"/>
              <w:jc w:val="center"/>
              <w:rPr>
                <w:rFonts w:cstheme="minorHAnsi"/>
                <w:sz w:val="20"/>
                <w:szCs w:val="24"/>
              </w:rPr>
            </w:pPr>
            <w:r w:rsidRPr="001E6036">
              <w:rPr>
                <w:rFonts w:cstheme="minorHAnsi"/>
                <w:sz w:val="20"/>
                <w:szCs w:val="24"/>
              </w:rPr>
              <w:t>$</w:t>
            </w:r>
            <w:r w:rsidRPr="001E6036" w:rsidR="001725A1">
              <w:rPr>
                <w:rFonts w:cstheme="minorHAnsi"/>
                <w:sz w:val="20"/>
                <w:szCs w:val="24"/>
              </w:rPr>
              <w:t>64,904</w:t>
            </w:r>
          </w:p>
        </w:tc>
      </w:tr>
      <w:tr w:rsidRPr="001E6036" w:rsidR="00946A3F" w:rsidTr="00537B52" w14:paraId="3065AF9B" w14:textId="77777777">
        <w:tc>
          <w:tcPr>
            <w:tcW w:w="7195" w:type="dxa"/>
          </w:tcPr>
          <w:p w:rsidRPr="001E6036" w:rsidR="00946A3F" w:rsidP="00537B52" w:rsidRDefault="00946A3F" w14:paraId="400E2F17" w14:textId="77777777">
            <w:pPr>
              <w:spacing w:before="100" w:beforeAutospacing="1"/>
              <w:rPr>
                <w:rFonts w:cstheme="minorHAnsi"/>
                <w:sz w:val="20"/>
                <w:szCs w:val="24"/>
              </w:rPr>
            </w:pPr>
            <w:r w:rsidRPr="001E6036">
              <w:rPr>
                <w:rFonts w:cstheme="minorHAnsi"/>
                <w:sz w:val="20"/>
                <w:szCs w:val="24"/>
              </w:rPr>
              <w:t xml:space="preserve">Fringe Benefits </w:t>
            </w:r>
          </w:p>
        </w:tc>
        <w:tc>
          <w:tcPr>
            <w:tcW w:w="2155" w:type="dxa"/>
          </w:tcPr>
          <w:p w:rsidRPr="001E6036" w:rsidR="00946A3F" w:rsidP="00537B52" w:rsidRDefault="00946A3F" w14:paraId="7B316110" w14:textId="77777777">
            <w:pPr>
              <w:spacing w:before="100" w:beforeAutospacing="1"/>
              <w:jc w:val="center"/>
              <w:rPr>
                <w:rFonts w:cstheme="minorHAnsi"/>
                <w:sz w:val="20"/>
                <w:szCs w:val="24"/>
              </w:rPr>
            </w:pPr>
            <w:r w:rsidRPr="001E6036">
              <w:rPr>
                <w:rFonts w:cstheme="minorHAnsi"/>
                <w:sz w:val="20"/>
                <w:szCs w:val="24"/>
              </w:rPr>
              <w:t xml:space="preserve"> NA</w:t>
            </w:r>
          </w:p>
        </w:tc>
      </w:tr>
      <w:tr w:rsidRPr="001E6036" w:rsidR="00946A3F" w:rsidTr="00537B52" w14:paraId="542B96A2" w14:textId="77777777">
        <w:tc>
          <w:tcPr>
            <w:tcW w:w="7195" w:type="dxa"/>
          </w:tcPr>
          <w:p w:rsidRPr="001E6036" w:rsidR="00946A3F" w:rsidP="00537B52" w:rsidRDefault="00946A3F" w14:paraId="480E8C79" w14:textId="77777777">
            <w:pPr>
              <w:spacing w:before="100" w:beforeAutospacing="1"/>
              <w:rPr>
                <w:rFonts w:cstheme="minorHAnsi"/>
                <w:sz w:val="20"/>
                <w:szCs w:val="24"/>
              </w:rPr>
            </w:pPr>
            <w:r w:rsidRPr="001E6036">
              <w:rPr>
                <w:rFonts w:cstheme="minorHAnsi"/>
                <w:sz w:val="20"/>
                <w:szCs w:val="24"/>
              </w:rPr>
              <w:t>Travel</w:t>
            </w:r>
          </w:p>
        </w:tc>
        <w:tc>
          <w:tcPr>
            <w:tcW w:w="2155" w:type="dxa"/>
          </w:tcPr>
          <w:p w:rsidRPr="001E6036" w:rsidR="00946A3F" w:rsidP="00A12E12" w:rsidRDefault="00946A3F" w14:paraId="712FDC84" w14:textId="41404B19">
            <w:pPr>
              <w:spacing w:before="100" w:beforeAutospacing="1"/>
              <w:jc w:val="center"/>
              <w:rPr>
                <w:rFonts w:cstheme="minorHAnsi"/>
                <w:sz w:val="20"/>
                <w:szCs w:val="24"/>
              </w:rPr>
            </w:pPr>
            <w:r w:rsidRPr="001E6036">
              <w:rPr>
                <w:rFonts w:cstheme="minorHAnsi"/>
                <w:sz w:val="20"/>
                <w:szCs w:val="24"/>
              </w:rPr>
              <w:t>$</w:t>
            </w:r>
            <w:r w:rsidRPr="001E6036" w:rsidR="00A12E12">
              <w:rPr>
                <w:rFonts w:cstheme="minorHAnsi"/>
                <w:sz w:val="20"/>
                <w:szCs w:val="24"/>
              </w:rPr>
              <w:t>16,832</w:t>
            </w:r>
            <w:r w:rsidRPr="001E6036" w:rsidR="001725A1">
              <w:rPr>
                <w:rStyle w:val="FootnoteReference"/>
                <w:rFonts w:cstheme="minorHAnsi"/>
                <w:sz w:val="20"/>
                <w:szCs w:val="24"/>
              </w:rPr>
              <w:footnoteReference w:id="5"/>
            </w:r>
          </w:p>
        </w:tc>
      </w:tr>
      <w:tr w:rsidRPr="001E6036" w:rsidR="00946A3F" w:rsidTr="00537B52" w14:paraId="5791FA62" w14:textId="77777777">
        <w:tc>
          <w:tcPr>
            <w:tcW w:w="7195" w:type="dxa"/>
          </w:tcPr>
          <w:p w:rsidRPr="001E6036" w:rsidR="00946A3F" w:rsidP="00537B52" w:rsidRDefault="00946A3F" w14:paraId="273EA73C" w14:textId="77777777">
            <w:pPr>
              <w:spacing w:before="100" w:beforeAutospacing="1"/>
              <w:rPr>
                <w:rFonts w:cstheme="minorHAnsi"/>
                <w:sz w:val="20"/>
                <w:szCs w:val="24"/>
              </w:rPr>
            </w:pPr>
            <w:r w:rsidRPr="001E6036">
              <w:rPr>
                <w:rFonts w:cstheme="minorHAnsi"/>
                <w:sz w:val="20"/>
                <w:szCs w:val="24"/>
              </w:rPr>
              <w:t>Equipment</w:t>
            </w:r>
          </w:p>
        </w:tc>
        <w:tc>
          <w:tcPr>
            <w:tcW w:w="2155" w:type="dxa"/>
          </w:tcPr>
          <w:p w:rsidRPr="001E6036" w:rsidR="00946A3F" w:rsidP="00537B52" w:rsidRDefault="00946A3F" w14:paraId="29A26F3B" w14:textId="77777777">
            <w:pPr>
              <w:spacing w:before="100" w:beforeAutospacing="1"/>
              <w:jc w:val="center"/>
              <w:rPr>
                <w:rFonts w:cstheme="minorHAnsi"/>
                <w:sz w:val="20"/>
                <w:szCs w:val="24"/>
              </w:rPr>
            </w:pPr>
            <w:r w:rsidRPr="001E6036">
              <w:rPr>
                <w:rFonts w:cstheme="minorHAnsi"/>
                <w:sz w:val="20"/>
                <w:szCs w:val="24"/>
              </w:rPr>
              <w:t>NA</w:t>
            </w:r>
          </w:p>
        </w:tc>
      </w:tr>
      <w:tr w:rsidRPr="001E6036" w:rsidR="00946A3F" w:rsidTr="00537B52" w14:paraId="39B6A634" w14:textId="77777777">
        <w:tc>
          <w:tcPr>
            <w:tcW w:w="7195" w:type="dxa"/>
          </w:tcPr>
          <w:p w:rsidRPr="001E6036" w:rsidR="00946A3F" w:rsidP="00537B52" w:rsidRDefault="00946A3F" w14:paraId="163F542D" w14:textId="77777777">
            <w:pPr>
              <w:spacing w:before="100" w:beforeAutospacing="1"/>
              <w:rPr>
                <w:rFonts w:cstheme="minorHAnsi"/>
                <w:sz w:val="20"/>
                <w:szCs w:val="24"/>
              </w:rPr>
            </w:pPr>
            <w:r w:rsidRPr="001E6036">
              <w:rPr>
                <w:rFonts w:cstheme="minorHAnsi"/>
                <w:sz w:val="20"/>
                <w:szCs w:val="24"/>
              </w:rPr>
              <w:t>Supplies</w:t>
            </w:r>
          </w:p>
        </w:tc>
        <w:tc>
          <w:tcPr>
            <w:tcW w:w="2155" w:type="dxa"/>
          </w:tcPr>
          <w:p w:rsidRPr="001E6036" w:rsidR="00946A3F" w:rsidP="00537B52" w:rsidRDefault="00666326" w14:paraId="168CFC45" w14:textId="68E0F699">
            <w:pPr>
              <w:spacing w:before="100" w:beforeAutospacing="1"/>
              <w:jc w:val="center"/>
              <w:rPr>
                <w:rFonts w:cstheme="minorHAnsi"/>
                <w:sz w:val="20"/>
                <w:szCs w:val="24"/>
              </w:rPr>
            </w:pPr>
            <w:r w:rsidRPr="001E6036">
              <w:rPr>
                <w:rFonts w:cstheme="minorHAnsi"/>
                <w:sz w:val="20"/>
                <w:szCs w:val="24"/>
              </w:rPr>
              <w:t>NA</w:t>
            </w:r>
            <w:r w:rsidRPr="001E6036" w:rsidR="00946A3F">
              <w:rPr>
                <w:rFonts w:cstheme="minorHAnsi"/>
                <w:sz w:val="20"/>
                <w:szCs w:val="24"/>
              </w:rPr>
              <w:t xml:space="preserve"> </w:t>
            </w:r>
          </w:p>
        </w:tc>
      </w:tr>
      <w:tr w:rsidRPr="001E6036" w:rsidR="00946A3F" w:rsidTr="00537B52" w14:paraId="66393EB1" w14:textId="77777777">
        <w:tc>
          <w:tcPr>
            <w:tcW w:w="7195" w:type="dxa"/>
          </w:tcPr>
          <w:p w:rsidRPr="001E6036" w:rsidR="00946A3F" w:rsidP="00537B52" w:rsidRDefault="00946A3F" w14:paraId="2F12E924" w14:textId="77777777">
            <w:pPr>
              <w:spacing w:before="100" w:beforeAutospacing="1"/>
              <w:rPr>
                <w:rFonts w:cstheme="minorHAnsi"/>
                <w:sz w:val="20"/>
                <w:szCs w:val="24"/>
              </w:rPr>
            </w:pPr>
            <w:r w:rsidRPr="001E6036">
              <w:rPr>
                <w:rFonts w:cstheme="minorHAnsi"/>
                <w:sz w:val="20"/>
                <w:szCs w:val="24"/>
              </w:rPr>
              <w:tab/>
              <w:t>Total Direct Costs</w:t>
            </w:r>
          </w:p>
        </w:tc>
        <w:tc>
          <w:tcPr>
            <w:tcW w:w="2155" w:type="dxa"/>
          </w:tcPr>
          <w:p w:rsidRPr="001E6036" w:rsidR="00946A3F" w:rsidP="001725A1" w:rsidRDefault="00946A3F" w14:paraId="0386D22A" w14:textId="5AFCE4B2">
            <w:pPr>
              <w:spacing w:before="100" w:beforeAutospacing="1"/>
              <w:jc w:val="center"/>
              <w:rPr>
                <w:rFonts w:cstheme="minorHAnsi"/>
                <w:sz w:val="20"/>
                <w:szCs w:val="24"/>
              </w:rPr>
            </w:pPr>
            <w:r w:rsidRPr="001E6036">
              <w:rPr>
                <w:rFonts w:cstheme="minorHAnsi"/>
                <w:sz w:val="20"/>
                <w:szCs w:val="24"/>
              </w:rPr>
              <w:t xml:space="preserve">$ </w:t>
            </w:r>
            <w:r w:rsidRPr="001E6036" w:rsidR="0000539F">
              <w:rPr>
                <w:rFonts w:cstheme="minorHAnsi"/>
                <w:sz w:val="20"/>
                <w:szCs w:val="24"/>
              </w:rPr>
              <w:t>16,832</w:t>
            </w:r>
          </w:p>
        </w:tc>
      </w:tr>
      <w:tr w:rsidRPr="001E6036" w:rsidR="00946A3F" w:rsidTr="00537B52" w14:paraId="1F208C1B" w14:textId="77777777">
        <w:trPr>
          <w:trHeight w:val="476"/>
        </w:trPr>
        <w:tc>
          <w:tcPr>
            <w:tcW w:w="7195" w:type="dxa"/>
            <w:tcBorders>
              <w:bottom w:val="single" w:color="auto" w:sz="12" w:space="0"/>
            </w:tcBorders>
          </w:tcPr>
          <w:p w:rsidRPr="001E6036" w:rsidR="00946A3F" w:rsidP="00537B52" w:rsidRDefault="00946A3F" w14:paraId="3D26F74D" w14:textId="77777777">
            <w:pPr>
              <w:spacing w:before="100" w:beforeAutospacing="1"/>
              <w:rPr>
                <w:rFonts w:cstheme="minorHAnsi"/>
                <w:sz w:val="20"/>
                <w:szCs w:val="24"/>
              </w:rPr>
            </w:pPr>
            <w:r w:rsidRPr="001E6036">
              <w:rPr>
                <w:rFonts w:cstheme="minorHAnsi"/>
                <w:sz w:val="20"/>
                <w:szCs w:val="24"/>
              </w:rPr>
              <w:tab/>
              <w:t>Indirect Charges [include Overhead, Fee, and G&amp;A]</w:t>
            </w:r>
          </w:p>
        </w:tc>
        <w:tc>
          <w:tcPr>
            <w:tcW w:w="2155" w:type="dxa"/>
            <w:tcBorders>
              <w:bottom w:val="single" w:color="auto" w:sz="12" w:space="0"/>
            </w:tcBorders>
          </w:tcPr>
          <w:p w:rsidRPr="001E6036" w:rsidR="00946A3F" w:rsidP="00537B52" w:rsidRDefault="00666326" w14:paraId="1AEA0723" w14:textId="19612FC4">
            <w:pPr>
              <w:spacing w:after="0"/>
              <w:jc w:val="center"/>
              <w:rPr>
                <w:rFonts w:cstheme="minorHAnsi"/>
                <w:sz w:val="20"/>
                <w:szCs w:val="24"/>
              </w:rPr>
            </w:pPr>
            <w:r w:rsidRPr="001E6036">
              <w:rPr>
                <w:rFonts w:cstheme="minorHAnsi"/>
                <w:sz w:val="20"/>
                <w:szCs w:val="24"/>
              </w:rPr>
              <w:t>NA</w:t>
            </w:r>
          </w:p>
        </w:tc>
      </w:tr>
      <w:tr w:rsidRPr="001E6036" w:rsidR="00946A3F" w:rsidTr="00537B52" w14:paraId="5F534DE8" w14:textId="77777777">
        <w:tc>
          <w:tcPr>
            <w:tcW w:w="7195" w:type="dxa"/>
            <w:tcBorders>
              <w:top w:val="single" w:color="auto" w:sz="12" w:space="0"/>
            </w:tcBorders>
          </w:tcPr>
          <w:p w:rsidRPr="001E6036" w:rsidR="00946A3F" w:rsidP="00537B52" w:rsidRDefault="00946A3F" w14:paraId="3EAB98BD" w14:textId="77777777">
            <w:pPr>
              <w:spacing w:before="100" w:beforeAutospacing="1"/>
              <w:rPr>
                <w:rFonts w:cstheme="minorHAnsi"/>
                <w:b/>
                <w:sz w:val="20"/>
                <w:szCs w:val="24"/>
              </w:rPr>
            </w:pPr>
            <w:r w:rsidRPr="001E6036">
              <w:rPr>
                <w:rFonts w:cstheme="minorHAnsi"/>
                <w:b/>
                <w:sz w:val="20"/>
                <w:szCs w:val="24"/>
              </w:rPr>
              <w:t xml:space="preserve">Total </w:t>
            </w:r>
          </w:p>
        </w:tc>
        <w:tc>
          <w:tcPr>
            <w:tcW w:w="2155" w:type="dxa"/>
            <w:tcBorders>
              <w:top w:val="single" w:color="auto" w:sz="12" w:space="0"/>
            </w:tcBorders>
          </w:tcPr>
          <w:p w:rsidRPr="001E6036" w:rsidR="00946A3F" w:rsidP="00537B52" w:rsidRDefault="001725A1" w14:paraId="580F5596" w14:textId="0804F539">
            <w:pPr>
              <w:spacing w:before="100" w:beforeAutospacing="1"/>
              <w:jc w:val="center"/>
              <w:rPr>
                <w:rFonts w:cstheme="minorHAnsi"/>
                <w:b/>
                <w:sz w:val="20"/>
                <w:szCs w:val="24"/>
              </w:rPr>
            </w:pPr>
            <w:r w:rsidRPr="001E6036">
              <w:rPr>
                <w:rFonts w:cstheme="minorHAnsi"/>
                <w:b/>
                <w:sz w:val="20"/>
                <w:szCs w:val="24"/>
              </w:rPr>
              <w:t>$95,386.80</w:t>
            </w:r>
          </w:p>
        </w:tc>
      </w:tr>
    </w:tbl>
    <w:p w:rsidRPr="001E6036" w:rsidR="00946A3F" w:rsidP="00946A3F" w:rsidRDefault="00946A3F" w14:paraId="19E0A522" w14:textId="77777777">
      <w:pPr>
        <w:ind w:left="360"/>
        <w:rPr>
          <w:i/>
          <w:color w:val="000000" w:themeColor="text1"/>
          <w:szCs w:val="24"/>
        </w:rPr>
      </w:pPr>
    </w:p>
    <w:p w:rsidRPr="001E6036" w:rsidR="001551C6" w:rsidP="001551C6" w:rsidRDefault="001551C6" w14:paraId="5A2BD9C0" w14:textId="77777777">
      <w:pPr>
        <w:numPr>
          <w:ilvl w:val="0"/>
          <w:numId w:val="1"/>
        </w:numPr>
        <w:rPr>
          <w:i/>
          <w:color w:val="000000" w:themeColor="text1"/>
          <w:sz w:val="28"/>
          <w:szCs w:val="28"/>
        </w:rPr>
      </w:pPr>
      <w:r w:rsidRPr="001E6036">
        <w:rPr>
          <w:i/>
          <w:color w:val="000000" w:themeColor="text1"/>
          <w:sz w:val="28"/>
          <w:szCs w:val="28"/>
        </w:rPr>
        <w:t>Explain any changes/adjustments to this collection since the previous submission</w:t>
      </w:r>
    </w:p>
    <w:p w:rsidRPr="001E6036" w:rsidR="001551C6" w:rsidP="00946A3F" w:rsidRDefault="00946A3F" w14:paraId="5F4D70C4" w14:textId="77777777">
      <w:pPr>
        <w:ind w:left="360"/>
        <w:rPr>
          <w:i/>
          <w:color w:val="000000" w:themeColor="text1"/>
          <w:sz w:val="28"/>
          <w:szCs w:val="28"/>
        </w:rPr>
      </w:pPr>
      <w:r w:rsidRPr="001E6036">
        <w:t>This is a new data collection.</w:t>
      </w:r>
    </w:p>
    <w:p w:rsidRPr="001E6036" w:rsidR="001551C6" w:rsidP="001551C6" w:rsidRDefault="001551C6" w14:paraId="38EBFD20" w14:textId="77777777">
      <w:pPr>
        <w:numPr>
          <w:ilvl w:val="0"/>
          <w:numId w:val="1"/>
        </w:numPr>
        <w:rPr>
          <w:i/>
          <w:color w:val="000000" w:themeColor="text1"/>
          <w:sz w:val="28"/>
          <w:szCs w:val="28"/>
        </w:rPr>
      </w:pPr>
      <w:r w:rsidRPr="001E6036">
        <w:rPr>
          <w:i/>
          <w:color w:val="000000" w:themeColor="text1"/>
          <w:sz w:val="28"/>
          <w:szCs w:val="28"/>
        </w:rPr>
        <w:t>Specify if the data gathered by this collection will be published.</w:t>
      </w:r>
    </w:p>
    <w:p w:rsidRPr="001E6036" w:rsidR="00135BBB" w:rsidP="00135BBB" w:rsidRDefault="00946A3F" w14:paraId="7C0972EB" w14:textId="35FAA36E">
      <w:pPr>
        <w:spacing w:before="100" w:beforeAutospacing="1"/>
        <w:ind w:left="360"/>
        <w:rPr>
          <w:rFonts w:cstheme="minorHAnsi"/>
          <w:szCs w:val="24"/>
        </w:rPr>
      </w:pPr>
      <w:r w:rsidRPr="001E6036">
        <w:rPr>
          <w:rFonts w:cstheme="minorHAnsi"/>
          <w:szCs w:val="24"/>
        </w:rPr>
        <w:t xml:space="preserve">Once data have been collected and analyzed, the evaluation contractor will produce a final report for publication, and to supplement that, a summary briefing and infographic for ECA’s use.  </w:t>
      </w:r>
      <w:r w:rsidRPr="001E6036" w:rsidR="00135BBB">
        <w:rPr>
          <w:rFonts w:cstheme="minorHAnsi"/>
          <w:szCs w:val="24"/>
        </w:rPr>
        <w:t>The ECA Evaluation Division will publish the external version of the report, and infographic on its website (</w:t>
      </w:r>
      <w:hyperlink w:history="1" r:id="rId13">
        <w:r w:rsidRPr="001E6036" w:rsidR="00135BBB">
          <w:rPr>
            <w:rStyle w:val="Hyperlink"/>
          </w:rPr>
          <w:t>https://eca.state.gov/impact/eca-evaluation-division</w:t>
        </w:r>
      </w:hyperlink>
      <w:r w:rsidRPr="001E6036" w:rsidR="00135BBB">
        <w:t xml:space="preserve">). </w:t>
      </w:r>
      <w:r w:rsidRPr="001E6036" w:rsidR="00135BBB">
        <w:rPr>
          <w:rFonts w:cstheme="minorHAnsi"/>
          <w:szCs w:val="24"/>
        </w:rPr>
        <w:t xml:space="preserve"> However, the raw data or those of individual respondents will not be published in any way with attribution.</w:t>
      </w:r>
    </w:p>
    <w:p w:rsidRPr="001E6036" w:rsidR="00946A3F" w:rsidP="00946A3F" w:rsidRDefault="00946A3F" w14:paraId="505A7A02" w14:textId="77777777">
      <w:pPr>
        <w:pStyle w:val="ListParagraph"/>
        <w:spacing w:before="100" w:beforeAutospacing="1"/>
        <w:ind w:left="360"/>
        <w:rPr>
          <w:rFonts w:cstheme="minorHAnsi"/>
          <w:szCs w:val="24"/>
        </w:rPr>
      </w:pPr>
    </w:p>
    <w:p w:rsidRPr="001E6036" w:rsidR="001551C6" w:rsidP="001551C6" w:rsidRDefault="001551C6" w14:paraId="3A078035" w14:textId="77777777">
      <w:pPr>
        <w:numPr>
          <w:ilvl w:val="0"/>
          <w:numId w:val="1"/>
        </w:numPr>
        <w:rPr>
          <w:i/>
          <w:color w:val="000000" w:themeColor="text1"/>
          <w:sz w:val="28"/>
          <w:szCs w:val="28"/>
        </w:rPr>
      </w:pPr>
      <w:r w:rsidRPr="001E6036">
        <w:rPr>
          <w:i/>
          <w:color w:val="000000" w:themeColor="text1"/>
          <w:sz w:val="28"/>
          <w:szCs w:val="28"/>
        </w:rPr>
        <w:t>If applicable, explain the reason(s) for seeking approval to not display the OMB expiration date.  Otherwise, write “The Department will display the OMB expiration date.”</w:t>
      </w:r>
    </w:p>
    <w:p w:rsidRPr="001E6036" w:rsidR="00946A3F" w:rsidP="00946A3F" w:rsidRDefault="00946A3F" w14:paraId="4CCE5728" w14:textId="77777777">
      <w:pPr>
        <w:pStyle w:val="ListParagraph"/>
        <w:spacing w:before="100" w:beforeAutospacing="1"/>
        <w:ind w:left="360"/>
      </w:pPr>
      <w:r w:rsidRPr="001E6036">
        <w:t xml:space="preserve">The Department will display the OMB expiration date. </w:t>
      </w:r>
    </w:p>
    <w:p w:rsidRPr="001E6036" w:rsidR="001551C6" w:rsidP="001551C6" w:rsidRDefault="001551C6" w14:paraId="22F27492" w14:textId="77777777">
      <w:pPr>
        <w:numPr>
          <w:ilvl w:val="0"/>
          <w:numId w:val="1"/>
        </w:numPr>
        <w:rPr>
          <w:i/>
          <w:color w:val="000000" w:themeColor="text1"/>
          <w:sz w:val="28"/>
          <w:szCs w:val="28"/>
        </w:rPr>
      </w:pPr>
      <w:r w:rsidRPr="001E6036">
        <w:rPr>
          <w:i/>
          <w:color w:val="000000" w:themeColor="text1"/>
          <w:sz w:val="28"/>
          <w:szCs w:val="28"/>
        </w:rPr>
        <w:t>Explain any exceptions to the OMB certification statement below.  If there are no exceptions, write “The Department is not seeking exceptions to the certification statement”.</w:t>
      </w:r>
    </w:p>
    <w:p w:rsidRPr="001E6036" w:rsidR="00946A3F" w:rsidP="00946A3F" w:rsidRDefault="00946A3F" w14:paraId="4A6ED31D" w14:textId="77777777">
      <w:pPr>
        <w:pStyle w:val="ListParagraph"/>
        <w:spacing w:before="100" w:beforeAutospacing="1"/>
        <w:ind w:left="360"/>
      </w:pPr>
      <w:r w:rsidRPr="001E6036">
        <w:t xml:space="preserve">The Department is not seeking exceptions to the certification statement. </w:t>
      </w:r>
    </w:p>
    <w:p w:rsidRPr="001E6036" w:rsidR="001551C6" w:rsidP="001551C6" w:rsidRDefault="001551C6" w14:paraId="18A5E3B8" w14:textId="77777777">
      <w:pPr>
        <w:pStyle w:val="Heading1"/>
        <w:rPr>
          <w:b w:val="0"/>
        </w:rPr>
      </w:pPr>
    </w:p>
    <w:p w:rsidRPr="001E6036" w:rsidR="005A3D91" w:rsidP="00582835" w:rsidRDefault="001551C6" w14:paraId="28B06226" w14:textId="40C20C31">
      <w:pPr>
        <w:pStyle w:val="Heading1"/>
      </w:pPr>
      <w:r w:rsidRPr="001E6036">
        <w:t>B.</w:t>
      </w:r>
      <w:r w:rsidRPr="001E6036">
        <w:tab/>
        <w:t>COLLECTION OF INFORMATION EMPLOYING STATISTICAL METHODS</w:t>
      </w:r>
    </w:p>
    <w:p w:rsidRPr="001E6036" w:rsidR="00B8093A" w:rsidP="001551C6" w:rsidRDefault="005A3D91" w14:paraId="18E63BCF" w14:textId="6F5A96A1">
      <w:pPr>
        <w:rPr>
          <w:color w:val="000000" w:themeColor="text1"/>
          <w:u w:val="single"/>
        </w:rPr>
      </w:pPr>
      <w:r w:rsidRPr="001E6036">
        <w:rPr>
          <w:color w:val="000000" w:themeColor="text1"/>
        </w:rPr>
        <w:t xml:space="preserve">This collection will employ statistical methods for each survey and interview. </w:t>
      </w:r>
    </w:p>
    <w:p w:rsidRPr="001E6036" w:rsidR="00EF060E" w:rsidP="001551C6" w:rsidRDefault="00BE5282" w14:paraId="2968E7EA" w14:textId="77777777">
      <w:pPr>
        <w:rPr>
          <w:color w:val="000000" w:themeColor="text1"/>
        </w:rPr>
      </w:pPr>
      <w:r w:rsidRPr="001E6036">
        <w:rPr>
          <w:b/>
          <w:i/>
          <w:color w:val="000000" w:themeColor="text1"/>
        </w:rPr>
        <w:t>Respondent Universe</w:t>
      </w:r>
      <w:r w:rsidRPr="001E6036">
        <w:rPr>
          <w:color w:val="000000" w:themeColor="text1"/>
        </w:rPr>
        <w:t>: T</w:t>
      </w:r>
      <w:r w:rsidRPr="001E6036" w:rsidR="00946A3F">
        <w:rPr>
          <w:color w:val="000000" w:themeColor="text1"/>
        </w:rPr>
        <w:t xml:space="preserve">he respondent universe for this survey includes </w:t>
      </w:r>
      <w:r w:rsidRPr="001E6036" w:rsidR="007256AB">
        <w:rPr>
          <w:color w:val="000000" w:themeColor="text1"/>
        </w:rPr>
        <w:t>171 host institution supervisors (44 of which participated in a reciprocal exchange to visit the foreign fellow) and 1,373 host institution point of contacts (487 of which participated in a reciprocal exchange) who interacted with a</w:t>
      </w:r>
      <w:r w:rsidRPr="001E6036" w:rsidR="00E2137E">
        <w:rPr>
          <w:color w:val="000000" w:themeColor="text1"/>
        </w:rPr>
        <w:t xml:space="preserve"> PFP </w:t>
      </w:r>
      <w:r w:rsidRPr="001E6036" w:rsidR="007256AB">
        <w:rPr>
          <w:color w:val="000000" w:themeColor="text1"/>
        </w:rPr>
        <w:t xml:space="preserve">fellow </w:t>
      </w:r>
      <w:r w:rsidRPr="001E6036" w:rsidR="00E2137E">
        <w:rPr>
          <w:color w:val="000000" w:themeColor="text1"/>
        </w:rPr>
        <w:t xml:space="preserve">between 2013 and 2018. </w:t>
      </w:r>
    </w:p>
    <w:p w:rsidRPr="001E6036" w:rsidR="00B3500F" w:rsidP="001551C6" w:rsidRDefault="00EF060E" w14:paraId="09F632A1" w14:textId="617A3C51">
      <w:pPr>
        <w:rPr>
          <w:color w:val="000000" w:themeColor="text1"/>
        </w:rPr>
      </w:pPr>
      <w:r w:rsidRPr="001E6036">
        <w:rPr>
          <w:color w:val="000000" w:themeColor="text1"/>
        </w:rPr>
        <w:t xml:space="preserve">Given that there is no additional cost or effort to sending emails to the entire universe and the desirability of having as large sample as possible with which to demonstrate the impact of the PFP on American stakeholders, we recommend a </w:t>
      </w:r>
      <w:r w:rsidRPr="001E6036">
        <w:rPr>
          <w:i/>
          <w:color w:val="000000" w:themeColor="text1"/>
        </w:rPr>
        <w:t>census</w:t>
      </w:r>
      <w:r w:rsidRPr="001E6036">
        <w:rPr>
          <w:color w:val="000000" w:themeColor="text1"/>
        </w:rPr>
        <w:t xml:space="preserve"> approach, rather than a sampling approach for this survey. </w:t>
      </w:r>
      <w:r w:rsidRPr="001E6036" w:rsidR="00E2137E">
        <w:rPr>
          <w:color w:val="000000" w:themeColor="text1"/>
        </w:rPr>
        <w:t xml:space="preserve">Based on past experience implementing web surveys with respondent groups for whom contact information is not regularly updated, we anticipate an overall response rate of 20%. </w:t>
      </w:r>
    </w:p>
    <w:p w:rsidRPr="001E6036" w:rsidR="00B8093A" w:rsidP="001551C6" w:rsidRDefault="00B8093A" w14:paraId="45C56905" w14:textId="6A4E44EC">
      <w:pPr>
        <w:rPr>
          <w:color w:val="000000" w:themeColor="text1"/>
        </w:rPr>
      </w:pPr>
      <w:r w:rsidRPr="001E6036">
        <w:rPr>
          <w:color w:val="000000" w:themeColor="text1"/>
        </w:rPr>
        <w:t>The contractor will employ the same census approach for the Homestay Host Survey as for the survey discussed above. There are approximately 855 individuals who hosted foreign fellows who participated in the PFP between 2013 and 2018 that will be invited to participate in the survey. We anticipate an overall response rate of approximately 10%.</w:t>
      </w:r>
    </w:p>
    <w:p w:rsidRPr="001E6036" w:rsidR="00D836E8" w:rsidP="001551C6" w:rsidRDefault="00BE5282" w14:paraId="5F012691" w14:textId="49C5DC1C">
      <w:pPr>
        <w:rPr>
          <w:color w:val="000000" w:themeColor="text1"/>
        </w:rPr>
      </w:pPr>
      <w:r w:rsidRPr="001E6036">
        <w:rPr>
          <w:b/>
          <w:i/>
          <w:color w:val="000000" w:themeColor="text1"/>
        </w:rPr>
        <w:t>Data collection methodology and maximizing response rates</w:t>
      </w:r>
      <w:r w:rsidRPr="001E6036" w:rsidR="007256AB">
        <w:rPr>
          <w:b/>
          <w:i/>
          <w:color w:val="000000" w:themeColor="text1"/>
        </w:rPr>
        <w:t>:</w:t>
      </w:r>
      <w:r w:rsidRPr="001E6036">
        <w:rPr>
          <w:color w:val="000000" w:themeColor="text1"/>
        </w:rPr>
        <w:t xml:space="preserve"> </w:t>
      </w:r>
      <w:r w:rsidRPr="001E6036" w:rsidR="00B3500F">
        <w:rPr>
          <w:color w:val="000000" w:themeColor="text1"/>
        </w:rPr>
        <w:t>To protect privacy (and to facilita</w:t>
      </w:r>
      <w:r w:rsidRPr="001E6036" w:rsidR="00232059">
        <w:rPr>
          <w:color w:val="000000" w:themeColor="text1"/>
        </w:rPr>
        <w:t>te sending repeat reminders), the contractor</w:t>
      </w:r>
      <w:r w:rsidRPr="001E6036" w:rsidR="00B3500F">
        <w:rPr>
          <w:color w:val="000000" w:themeColor="text1"/>
        </w:rPr>
        <w:t xml:space="preserve"> will </w:t>
      </w:r>
      <w:r w:rsidRPr="001E6036" w:rsidR="00232059">
        <w:rPr>
          <w:color w:val="000000" w:themeColor="text1"/>
        </w:rPr>
        <w:t>utilize Survey Monkey for data collection</w:t>
      </w:r>
      <w:r w:rsidRPr="001E6036" w:rsidR="00E0147B">
        <w:rPr>
          <w:color w:val="000000" w:themeColor="text1"/>
        </w:rPr>
        <w:t>.</w:t>
      </w:r>
      <w:r w:rsidRPr="001E6036" w:rsidR="00D836E8">
        <w:rPr>
          <w:color w:val="000000" w:themeColor="text1"/>
        </w:rPr>
        <w:t xml:space="preserve"> The survey will be </w:t>
      </w:r>
      <w:r w:rsidRPr="001E6036" w:rsidR="00B8093A">
        <w:rPr>
          <w:color w:val="000000" w:themeColor="text1"/>
        </w:rPr>
        <w:t>structured</w:t>
      </w:r>
      <w:r w:rsidRPr="001E6036" w:rsidR="00D836E8">
        <w:rPr>
          <w:color w:val="000000" w:themeColor="text1"/>
        </w:rPr>
        <w:t xml:space="preserve"> so that it follows a logic based on each respondent group,</w:t>
      </w:r>
      <w:r w:rsidRPr="001E6036" w:rsidR="00B8093A">
        <w:rPr>
          <w:color w:val="000000" w:themeColor="text1"/>
        </w:rPr>
        <w:t xml:space="preserve"> excluding any non-relevant questions and</w:t>
      </w:r>
      <w:r w:rsidRPr="001E6036" w:rsidR="00D836E8">
        <w:rPr>
          <w:color w:val="000000" w:themeColor="text1"/>
        </w:rPr>
        <w:t xml:space="preserve"> maximizing question applicability to each group. </w:t>
      </w:r>
      <w:r w:rsidRPr="001E6036">
        <w:rPr>
          <w:color w:val="000000" w:themeColor="text1"/>
        </w:rPr>
        <w:t>As soon as the contractor has entered the survey into Survey Monkey, we will conduct a pre-test by sending the link to internal contractor staff, to the Evaluation Division, and to Program staff to check for spelling and correct skip patterns.  Any deficiencies will then be remedied.</w:t>
      </w:r>
      <w:r w:rsidRPr="001E6036" w:rsidR="00E0147B">
        <w:rPr>
          <w:color w:val="000000" w:themeColor="text1"/>
        </w:rPr>
        <w:t xml:space="preserve"> </w:t>
      </w:r>
    </w:p>
    <w:p w:rsidRPr="001E6036" w:rsidR="00B8093A" w:rsidP="00A675B7" w:rsidRDefault="00E0147B" w14:paraId="46E6FCA5" w14:textId="5D0258F6">
      <w:pPr>
        <w:rPr>
          <w:color w:val="000000" w:themeColor="text1"/>
          <w:u w:val="single"/>
        </w:rPr>
      </w:pPr>
      <w:r w:rsidRPr="001E6036">
        <w:rPr>
          <w:color w:val="000000" w:themeColor="text1"/>
        </w:rPr>
        <w:t>T</w:t>
      </w:r>
      <w:r w:rsidRPr="001E6036" w:rsidR="00232059">
        <w:rPr>
          <w:color w:val="000000" w:themeColor="text1"/>
        </w:rPr>
        <w:t xml:space="preserve">he contractor will </w:t>
      </w:r>
      <w:r w:rsidRPr="001E6036" w:rsidR="00B3500F">
        <w:rPr>
          <w:color w:val="000000" w:themeColor="text1"/>
        </w:rPr>
        <w:t xml:space="preserve">send a general survey link to the census of </w:t>
      </w:r>
      <w:r w:rsidRPr="001E6036" w:rsidR="00EF060E">
        <w:rPr>
          <w:color w:val="000000" w:themeColor="text1"/>
        </w:rPr>
        <w:t>respondents</w:t>
      </w:r>
      <w:r w:rsidRPr="001E6036" w:rsidR="00B3500F">
        <w:rPr>
          <w:color w:val="000000" w:themeColor="text1"/>
        </w:rPr>
        <w:t xml:space="preserve"> </w:t>
      </w:r>
      <w:r w:rsidRPr="001E6036" w:rsidR="00D836E8">
        <w:rPr>
          <w:color w:val="000000" w:themeColor="text1"/>
        </w:rPr>
        <w:t>with contact information</w:t>
      </w:r>
      <w:r w:rsidRPr="001E6036" w:rsidR="00232059">
        <w:rPr>
          <w:color w:val="000000" w:themeColor="text1"/>
        </w:rPr>
        <w:t xml:space="preserve">. </w:t>
      </w:r>
      <w:r w:rsidRPr="001E6036" w:rsidR="00D836E8">
        <w:rPr>
          <w:color w:val="000000" w:themeColor="text1"/>
        </w:rPr>
        <w:t xml:space="preserve">The invitation to complete the survey will include an estimated completion time, which should encourage participation. </w:t>
      </w:r>
      <w:r w:rsidRPr="001E6036" w:rsidR="00B3500F">
        <w:rPr>
          <w:color w:val="000000" w:themeColor="text1"/>
        </w:rPr>
        <w:t xml:space="preserve">Once the survey has been launched (via an introductory email including the survey link), the contractor will send </w:t>
      </w:r>
      <w:r w:rsidRPr="001E6036" w:rsidR="00232059">
        <w:rPr>
          <w:color w:val="000000" w:themeColor="text1"/>
        </w:rPr>
        <w:t xml:space="preserve">period </w:t>
      </w:r>
      <w:r w:rsidRPr="001E6036" w:rsidR="00B3500F">
        <w:rPr>
          <w:color w:val="000000" w:themeColor="text1"/>
        </w:rPr>
        <w:t xml:space="preserve">reminders boost the response rate. </w:t>
      </w:r>
      <w:r w:rsidRPr="001E6036" w:rsidR="00232059">
        <w:rPr>
          <w:color w:val="000000" w:themeColor="text1"/>
        </w:rPr>
        <w:t xml:space="preserve">Based on prior experience, we expect the survey to be open for 6 – 8 weeks, requiring two </w:t>
      </w:r>
      <w:r w:rsidRPr="001E6036" w:rsidR="00232059">
        <w:rPr>
          <w:color w:val="000000" w:themeColor="text1"/>
        </w:rPr>
        <w:lastRenderedPageBreak/>
        <w:t xml:space="preserve">to three reminders. </w:t>
      </w:r>
      <w:r w:rsidRPr="001E6036" w:rsidR="00B8093A">
        <w:rPr>
          <w:color w:val="000000" w:themeColor="text1"/>
        </w:rPr>
        <w:t xml:space="preserve">If response rates remain low despite reminders, the contractor will ask implementing partners to assist with promotion of the survey since those organizations have established relationships with many of the respondents. </w:t>
      </w:r>
      <w:r w:rsidRPr="001E6036" w:rsidR="00232059">
        <w:rPr>
          <w:color w:val="000000" w:themeColor="text1"/>
        </w:rPr>
        <w:t xml:space="preserve">The contractor will track emails that are not deliverable, and will not send the reminders to these individuals. </w:t>
      </w:r>
    </w:p>
    <w:p w:rsidRPr="001E6036" w:rsidR="00A675B7" w:rsidP="00A675B7" w:rsidRDefault="00A675B7" w14:paraId="7F444FDA" w14:textId="7D1C0C7A">
      <w:pPr>
        <w:rPr>
          <w:color w:val="000000" w:themeColor="text1"/>
        </w:rPr>
      </w:pPr>
      <w:r w:rsidRPr="001E6036">
        <w:rPr>
          <w:color w:val="000000" w:themeColor="text1"/>
        </w:rPr>
        <w:t xml:space="preserve">For both surveys, </w:t>
      </w:r>
      <w:r w:rsidRPr="001E6036" w:rsidR="005B57AE">
        <w:rPr>
          <w:color w:val="000000" w:themeColor="text1"/>
        </w:rPr>
        <w:t xml:space="preserve">analysis will be detected to determine if there are </w:t>
      </w:r>
      <w:r w:rsidRPr="001E6036">
        <w:rPr>
          <w:color w:val="000000" w:themeColor="text1"/>
        </w:rPr>
        <w:t>any</w:t>
      </w:r>
      <w:r w:rsidRPr="001E6036" w:rsidR="00BF7E18">
        <w:rPr>
          <w:color w:val="000000" w:themeColor="text1"/>
        </w:rPr>
        <w:t xml:space="preserve"> significant differences between the </w:t>
      </w:r>
      <w:r w:rsidRPr="001E6036" w:rsidR="005B57AE">
        <w:rPr>
          <w:color w:val="000000" w:themeColor="text1"/>
        </w:rPr>
        <w:t xml:space="preserve">survey </w:t>
      </w:r>
      <w:r w:rsidRPr="001E6036" w:rsidR="00BF7E18">
        <w:rPr>
          <w:color w:val="000000" w:themeColor="text1"/>
        </w:rPr>
        <w:t>respondents and non-respondents with respect to program year, program theme, program implementer, and respondent type. As the data presented in the final report wil</w:t>
      </w:r>
      <w:r w:rsidRPr="001E6036" w:rsidR="005B57AE">
        <w:rPr>
          <w:color w:val="000000" w:themeColor="text1"/>
        </w:rPr>
        <w:t>l be descriptive of the program</w:t>
      </w:r>
      <w:r w:rsidRPr="001E6036" w:rsidR="00BF7E18">
        <w:rPr>
          <w:i/>
          <w:color w:val="000000" w:themeColor="text1"/>
        </w:rPr>
        <w:t xml:space="preserve"> as a whole</w:t>
      </w:r>
      <w:r w:rsidRPr="001E6036" w:rsidR="00BF7E18">
        <w:rPr>
          <w:color w:val="000000" w:themeColor="text1"/>
        </w:rPr>
        <w:t>, any such non-response differences</w:t>
      </w:r>
      <w:r w:rsidRPr="001E6036" w:rsidR="005B57AE">
        <w:rPr>
          <w:color w:val="000000" w:themeColor="text1"/>
        </w:rPr>
        <w:t xml:space="preserve"> (biases)</w:t>
      </w:r>
      <w:r w:rsidRPr="001E6036" w:rsidR="00BF7E18">
        <w:rPr>
          <w:color w:val="000000" w:themeColor="text1"/>
        </w:rPr>
        <w:t xml:space="preserve"> will be duly noted in the methodological section of the report. </w:t>
      </w:r>
      <w:r w:rsidRPr="001E6036">
        <w:rPr>
          <w:color w:val="000000" w:themeColor="text1"/>
        </w:rPr>
        <w:t xml:space="preserve"> </w:t>
      </w:r>
      <w:r w:rsidRPr="001E6036" w:rsidR="005B57AE">
        <w:rPr>
          <w:color w:val="000000" w:themeColor="text1"/>
        </w:rPr>
        <w:t xml:space="preserve">The goal is to demonstrate the extent to which the respondents are </w:t>
      </w:r>
      <w:r w:rsidRPr="001E6036" w:rsidR="00BE5282">
        <w:rPr>
          <w:color w:val="000000" w:themeColor="text1"/>
        </w:rPr>
        <w:t>representative of the stakeholder population, to set the context for the results.</w:t>
      </w:r>
    </w:p>
    <w:p w:rsidRPr="000E53CC" w:rsidR="000E53CC" w:rsidP="000E53CC" w:rsidRDefault="00A675B7" w14:paraId="461DD60A" w14:textId="667F67E8">
      <w:pPr>
        <w:rPr>
          <w:b/>
          <w:color w:val="000000" w:themeColor="text1"/>
        </w:rPr>
      </w:pPr>
      <w:r w:rsidRPr="001E6036">
        <w:rPr>
          <w:b/>
          <w:i/>
          <w:color w:val="000000" w:themeColor="text1"/>
        </w:rPr>
        <w:t>Relevant Contacts</w:t>
      </w:r>
      <w:r w:rsidRPr="001E6036" w:rsidR="000E53CC">
        <w:rPr>
          <w:color w:val="000000" w:themeColor="text1"/>
        </w:rPr>
        <w:t>:</w:t>
      </w:r>
      <w:r w:rsidRPr="001E6036" w:rsidR="000E53CC">
        <w:rPr>
          <w:b/>
          <w:color w:val="000000" w:themeColor="text1"/>
        </w:rPr>
        <w:t xml:space="preserve"> </w:t>
      </w:r>
      <w:r w:rsidRPr="001E6036" w:rsidR="000E53CC">
        <w:t xml:space="preserve">This evaluation was contracted through a competitive process.  General Dynamics Information Technology (GDIT) was </w:t>
      </w:r>
      <w:r w:rsidRPr="001E6036" w:rsidR="00A63C68">
        <w:t xml:space="preserve">selected to carry out the evaluation. GDIT’s technical evaluation experts (Dr. Marta Muco and Dr. Karen Aschaffenburg) developed the original design in response to the solicitation. </w:t>
      </w:r>
      <w:r w:rsidRPr="001E6036" w:rsidR="000E53CC">
        <w:t xml:space="preserve">A number of ECA staff reviewed and </w:t>
      </w:r>
      <w:r w:rsidRPr="001E6036" w:rsidR="00A63C68">
        <w:t xml:space="preserve">then </w:t>
      </w:r>
      <w:r w:rsidRPr="001E6036" w:rsidR="000E53CC">
        <w:t>approved the proposed methodology: Natalie Donahue, Chief of Evaluation (202-632-6193), Elizabeth Botkin</w:t>
      </w:r>
      <w:r w:rsidRPr="001E6036" w:rsidR="005A3D91">
        <w:t xml:space="preserve"> </w:t>
      </w:r>
      <w:r w:rsidRPr="001E6036" w:rsidR="000E53CC">
        <w:t>(202-632-6423) and Linnéa Allison</w:t>
      </w:r>
      <w:r w:rsidRPr="001E6036" w:rsidR="005A3D91">
        <w:t xml:space="preserve"> </w:t>
      </w:r>
      <w:r w:rsidRPr="001E6036" w:rsidR="000E53CC">
        <w:t>(202-632-</w:t>
      </w:r>
      <w:r w:rsidRPr="001E6036" w:rsidR="00135BBB">
        <w:t>6060</w:t>
      </w:r>
      <w:r w:rsidRPr="001E6036" w:rsidR="00A63C68">
        <w:t xml:space="preserve">). </w:t>
      </w:r>
      <w:r w:rsidRPr="001E6036" w:rsidR="000E53CC">
        <w:t>GDIT’s evaluation team will collect and analyze the data on behalf of ECA.</w:t>
      </w:r>
      <w:bookmarkStart w:name="_GoBack" w:id="0"/>
      <w:bookmarkEnd w:id="0"/>
      <w:r w:rsidR="000E53CC">
        <w:t xml:space="preserve">  </w:t>
      </w:r>
    </w:p>
    <w:p w:rsidR="00C32EFD" w:rsidRDefault="00C32EFD" w14:paraId="38AD8E0F" w14:textId="77777777"/>
    <w:sectPr w:rsidR="00C32EF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26871" w14:textId="77777777" w:rsidR="00166583" w:rsidRDefault="00166583" w:rsidP="00426749">
      <w:pPr>
        <w:spacing w:after="0"/>
      </w:pPr>
      <w:r>
        <w:separator/>
      </w:r>
    </w:p>
  </w:endnote>
  <w:endnote w:type="continuationSeparator" w:id="0">
    <w:p w14:paraId="6D349B3E" w14:textId="77777777" w:rsidR="00166583" w:rsidRDefault="00166583" w:rsidP="00426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5EC8C" w14:textId="42762C1C" w:rsidR="00B354AA" w:rsidRDefault="00B354AA">
    <w:pPr>
      <w:pStyle w:val="Footer"/>
    </w:pPr>
    <w:r>
      <w:rPr>
        <w:noProof/>
      </w:rPr>
      <mc:AlternateContent>
        <mc:Choice Requires="wps">
          <w:drawing>
            <wp:anchor distT="0" distB="0" distL="114300" distR="114300" simplePos="0" relativeHeight="251659264" behindDoc="0" locked="0" layoutInCell="0" allowOverlap="1" wp14:anchorId="4A86FF52" wp14:editId="0F2386B8">
              <wp:simplePos x="0" y="0"/>
              <wp:positionH relativeFrom="page">
                <wp:posOffset>0</wp:posOffset>
              </wp:positionH>
              <wp:positionV relativeFrom="page">
                <wp:posOffset>9601200</wp:posOffset>
              </wp:positionV>
              <wp:extent cx="7772400" cy="266700"/>
              <wp:effectExtent l="0" t="0" r="0" b="0"/>
              <wp:wrapNone/>
              <wp:docPr id="1" name="MSIPCMad694110bcad62d4307c57c3"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C97759" w14:textId="408D8638" w:rsidR="00B354AA" w:rsidRPr="00B354AA" w:rsidRDefault="00B354AA" w:rsidP="00B354AA">
                          <w:pPr>
                            <w:spacing w:after="0"/>
                            <w:jc w:val="center"/>
                            <w:rPr>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A86FF52" id="_x0000_t202" coordsize="21600,21600" o:spt="202" path="m,l,21600r21600,l21600,xe">
              <v:stroke joinstyle="miter"/>
              <v:path gradientshapeok="t" o:connecttype="rect"/>
            </v:shapetype>
            <v:shape id="MSIPCMad694110bcad62d4307c57c3" o:spid="_x0000_s1026" type="#_x0000_t202" alt="{&quot;HashCode&quot;:54922871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" o:allowincell="f" filled="f" stroked="f" strokeweight=".5pt">
              <v:textbox inset=",0,,0">
                <w:txbxContent>
                  <w:p w14:paraId="15C97759" w14:textId="408D8638" w:rsidR="00B354AA" w:rsidRPr="00B354AA" w:rsidRDefault="00B354AA" w:rsidP="00B354AA">
                    <w:pPr>
                      <w:spacing w:after="0"/>
                      <w:jc w:val="center"/>
                      <w:rPr>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273AA" w14:textId="77777777" w:rsidR="00166583" w:rsidRDefault="00166583" w:rsidP="00426749">
      <w:pPr>
        <w:spacing w:after="0"/>
      </w:pPr>
      <w:r>
        <w:separator/>
      </w:r>
    </w:p>
  </w:footnote>
  <w:footnote w:type="continuationSeparator" w:id="0">
    <w:p w14:paraId="64E21B78" w14:textId="77777777" w:rsidR="00166583" w:rsidRDefault="00166583" w:rsidP="00426749">
      <w:pPr>
        <w:spacing w:after="0"/>
      </w:pPr>
      <w:r>
        <w:continuationSeparator/>
      </w:r>
    </w:p>
  </w:footnote>
  <w:footnote w:id="1">
    <w:p w14:paraId="3B31547D" w14:textId="266F7DE5" w:rsidR="00582835" w:rsidRDefault="00582835">
      <w:pPr>
        <w:pStyle w:val="FootnoteText"/>
        <w:rPr>
          <w:color w:val="000000" w:themeColor="text1"/>
          <w:szCs w:val="24"/>
        </w:rPr>
      </w:pPr>
      <w:r>
        <w:rPr>
          <w:rStyle w:val="FootnoteReference"/>
        </w:rPr>
        <w:footnoteRef/>
      </w:r>
      <w:r>
        <w:t xml:space="preserve"> Source: </w:t>
      </w:r>
      <w:r>
        <w:rPr>
          <w:color w:val="000000" w:themeColor="text1"/>
          <w:szCs w:val="24"/>
        </w:rPr>
        <w:t xml:space="preserve">Bureau of Labor Statistics May 2018 National Occupational Employment and Wage Estimates, Management Occupations, Major Group, </w:t>
      </w:r>
      <w:hyperlink r:id="rId1" w:history="1">
        <w:r w:rsidRPr="00BD54A8">
          <w:rPr>
            <w:rStyle w:val="Hyperlink"/>
            <w:szCs w:val="24"/>
          </w:rPr>
          <w:t>https://www.bls.gov/oes/current/oes110000.htm</w:t>
        </w:r>
      </w:hyperlink>
    </w:p>
    <w:p w14:paraId="0A0E6827" w14:textId="77777777" w:rsidR="00582835" w:rsidRDefault="00582835">
      <w:pPr>
        <w:pStyle w:val="FootnoteText"/>
      </w:pPr>
    </w:p>
  </w:footnote>
  <w:footnote w:id="2">
    <w:p w14:paraId="3E6C0C07" w14:textId="77777777" w:rsidR="00A07982" w:rsidRPr="005A1A2A" w:rsidRDefault="00A07982" w:rsidP="00A07982">
      <w:pPr>
        <w:pStyle w:val="FootnoteText"/>
      </w:pPr>
      <w:r w:rsidRPr="005A1A2A">
        <w:rPr>
          <w:rStyle w:val="FootnoteReference"/>
        </w:rPr>
        <w:footnoteRef/>
      </w:r>
      <w:r w:rsidRPr="005A1A2A">
        <w:t xml:space="preserve"> Source: Office of Personnel Management, “2019 General Schedule (GS) Locality Pay Tables,” </w:t>
      </w:r>
      <w:hyperlink r:id="rId2" w:history="1">
        <w:r w:rsidRPr="005A1A2A">
          <w:rPr>
            <w:rStyle w:val="Hyperlink"/>
          </w:rPr>
          <w:t>https://www.opm.gov/policy-data-oversight/pay-leave/salaries-wages/2019/general-schedule/</w:t>
        </w:r>
      </w:hyperlink>
      <w:r w:rsidRPr="005A1A2A">
        <w:t xml:space="preserve"> </w:t>
      </w:r>
    </w:p>
  </w:footnote>
  <w:footnote w:id="3">
    <w:p w14:paraId="52163079" w14:textId="77777777" w:rsidR="00A07982" w:rsidRPr="005A1A2A" w:rsidRDefault="00A07982" w:rsidP="00A07982">
      <w:pPr>
        <w:pStyle w:val="FootnoteText"/>
      </w:pPr>
      <w:r w:rsidRPr="005A1A2A">
        <w:rPr>
          <w:rStyle w:val="FootnoteReference"/>
        </w:rPr>
        <w:footnoteRef/>
      </w:r>
      <w:r w:rsidRPr="005A1A2A">
        <w:t xml:space="preserve"> Source: Congressional Budget Office, “Comparing the Compensation of Federal and Private-Sector Employees, 2011 to 2015” (April 2017), </w:t>
      </w:r>
      <w:hyperlink r:id="rId3" w:history="1">
        <w:r w:rsidRPr="005A1A2A">
          <w:rPr>
            <w:rStyle w:val="Hyperlink"/>
          </w:rPr>
          <w:t>https://www.cbo.gov/publication/52637</w:t>
        </w:r>
      </w:hyperlink>
      <w:r w:rsidRPr="005A1A2A">
        <w:t>. The wages of Federal workers averaged $38.30 per hour over the study period, while the benefits averaged $26.50 per hour, which is a benefits rate of 69 percent.</w:t>
      </w:r>
    </w:p>
  </w:footnote>
  <w:footnote w:id="4">
    <w:p w14:paraId="384E7A2F" w14:textId="77777777" w:rsidR="00A07982" w:rsidRDefault="00A07982" w:rsidP="00A07982">
      <w:pPr>
        <w:pStyle w:val="FootnoteText"/>
      </w:pPr>
      <w:r w:rsidRPr="005A1A2A">
        <w:rPr>
          <w:rStyle w:val="FootnoteReference"/>
        </w:rPr>
        <w:footnoteRef/>
      </w:r>
      <w:r w:rsidRPr="005A1A2A">
        <w:t xml:space="preserve"> Source: U.S. Department of Health and Human Services, “Guidelines for Regulatory Impact Analysis” (2016), </w:t>
      </w:r>
      <w:hyperlink r:id="rId4" w:history="1">
        <w:r w:rsidRPr="005A1A2A">
          <w:rPr>
            <w:rStyle w:val="Hyperlink"/>
          </w:rPr>
          <w:t>https://aspe.hhs.gov/system/files/pdf/242926/HHS_RIAGuidance.pdf</w:t>
        </w:r>
      </w:hyperlink>
      <w:r w:rsidRPr="005A1A2A">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5">
    <w:p w14:paraId="5A8DCB2F" w14:textId="45678014" w:rsidR="001725A1" w:rsidRDefault="001725A1">
      <w:pPr>
        <w:pStyle w:val="FootnoteText"/>
      </w:pPr>
      <w:r>
        <w:rPr>
          <w:rStyle w:val="FootnoteReference"/>
        </w:rPr>
        <w:footnoteRef/>
      </w:r>
      <w:r>
        <w:t xml:space="preserve"> Based on travel to 5 locations, with 4 or 5 days per site, for 2-person evaluation teams.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F1257"/>
    <w:multiLevelType w:val="multilevel"/>
    <w:tmpl w:val="6FFC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2252C"/>
    <w:multiLevelType w:val="hybridMultilevel"/>
    <w:tmpl w:val="81505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1C63B7"/>
    <w:multiLevelType w:val="hybridMultilevel"/>
    <w:tmpl w:val="39A4C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427DA9"/>
    <w:multiLevelType w:val="hybridMultilevel"/>
    <w:tmpl w:val="0F1E6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892D94"/>
    <w:multiLevelType w:val="hybridMultilevel"/>
    <w:tmpl w:val="E45070C2"/>
    <w:lvl w:ilvl="0" w:tplc="3EAA78FC">
      <w:start w:val="1"/>
      <w:numFmt w:val="decimal"/>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E3102"/>
    <w:multiLevelType w:val="hybridMultilevel"/>
    <w:tmpl w:val="BE68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34D1F"/>
    <w:multiLevelType w:val="multilevel"/>
    <w:tmpl w:val="14FC5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10"/>
  </w:num>
  <w:num w:numId="4">
    <w:abstractNumId w:val="6"/>
  </w:num>
  <w:num w:numId="5">
    <w:abstractNumId w:val="1"/>
  </w:num>
  <w:num w:numId="6">
    <w:abstractNumId w:val="12"/>
  </w:num>
  <w:num w:numId="7">
    <w:abstractNumId w:val="7"/>
  </w:num>
  <w:num w:numId="8">
    <w:abstractNumId w:val="5"/>
  </w:num>
  <w:num w:numId="9">
    <w:abstractNumId w:val="3"/>
  </w:num>
  <w:num w:numId="10">
    <w:abstractNumId w:val="4"/>
  </w:num>
  <w:num w:numId="11">
    <w:abstractNumId w:val="9"/>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C6"/>
    <w:rsid w:val="0000539F"/>
    <w:rsid w:val="00043C99"/>
    <w:rsid w:val="000B356F"/>
    <w:rsid w:val="000E056C"/>
    <w:rsid w:val="000E2241"/>
    <w:rsid w:val="000E53CC"/>
    <w:rsid w:val="00132AD0"/>
    <w:rsid w:val="00135BBB"/>
    <w:rsid w:val="001551C6"/>
    <w:rsid w:val="00166583"/>
    <w:rsid w:val="001725A1"/>
    <w:rsid w:val="001820CE"/>
    <w:rsid w:val="0018530E"/>
    <w:rsid w:val="00190238"/>
    <w:rsid w:val="001A1447"/>
    <w:rsid w:val="001A7094"/>
    <w:rsid w:val="001E6036"/>
    <w:rsid w:val="00214E3E"/>
    <w:rsid w:val="00232059"/>
    <w:rsid w:val="002620EB"/>
    <w:rsid w:val="002715DE"/>
    <w:rsid w:val="00305594"/>
    <w:rsid w:val="003B4C45"/>
    <w:rsid w:val="003F333D"/>
    <w:rsid w:val="00416592"/>
    <w:rsid w:val="00426749"/>
    <w:rsid w:val="00524C6A"/>
    <w:rsid w:val="0056517B"/>
    <w:rsid w:val="00582835"/>
    <w:rsid w:val="00591630"/>
    <w:rsid w:val="005A3D91"/>
    <w:rsid w:val="005B57AE"/>
    <w:rsid w:val="005F1F5F"/>
    <w:rsid w:val="00625207"/>
    <w:rsid w:val="00666326"/>
    <w:rsid w:val="006E06F2"/>
    <w:rsid w:val="006E7ABB"/>
    <w:rsid w:val="00710008"/>
    <w:rsid w:val="007256AB"/>
    <w:rsid w:val="0074528F"/>
    <w:rsid w:val="00756CAA"/>
    <w:rsid w:val="00760418"/>
    <w:rsid w:val="00771BEB"/>
    <w:rsid w:val="00777295"/>
    <w:rsid w:val="00777DC7"/>
    <w:rsid w:val="007B153C"/>
    <w:rsid w:val="007B3448"/>
    <w:rsid w:val="00806922"/>
    <w:rsid w:val="008A2BEB"/>
    <w:rsid w:val="008C41DF"/>
    <w:rsid w:val="008E39C7"/>
    <w:rsid w:val="009319A2"/>
    <w:rsid w:val="0093235C"/>
    <w:rsid w:val="009377CD"/>
    <w:rsid w:val="00946A3F"/>
    <w:rsid w:val="009C450F"/>
    <w:rsid w:val="00A07982"/>
    <w:rsid w:val="00A12E12"/>
    <w:rsid w:val="00A63C68"/>
    <w:rsid w:val="00A675B7"/>
    <w:rsid w:val="00AA229E"/>
    <w:rsid w:val="00AA3A6F"/>
    <w:rsid w:val="00AB0537"/>
    <w:rsid w:val="00AD1704"/>
    <w:rsid w:val="00AF4BCF"/>
    <w:rsid w:val="00B168C5"/>
    <w:rsid w:val="00B3500F"/>
    <w:rsid w:val="00B354AA"/>
    <w:rsid w:val="00B41815"/>
    <w:rsid w:val="00B4366E"/>
    <w:rsid w:val="00B45CB0"/>
    <w:rsid w:val="00B8093A"/>
    <w:rsid w:val="00BC5D07"/>
    <w:rsid w:val="00BE5282"/>
    <w:rsid w:val="00BF7E18"/>
    <w:rsid w:val="00C07FE2"/>
    <w:rsid w:val="00C32EFD"/>
    <w:rsid w:val="00C72FDF"/>
    <w:rsid w:val="00C77D5F"/>
    <w:rsid w:val="00D002E1"/>
    <w:rsid w:val="00D129E7"/>
    <w:rsid w:val="00D26094"/>
    <w:rsid w:val="00D836E8"/>
    <w:rsid w:val="00DF56B3"/>
    <w:rsid w:val="00E0147B"/>
    <w:rsid w:val="00E13558"/>
    <w:rsid w:val="00E16FF6"/>
    <w:rsid w:val="00E2137E"/>
    <w:rsid w:val="00E24E94"/>
    <w:rsid w:val="00E31FDB"/>
    <w:rsid w:val="00E5232C"/>
    <w:rsid w:val="00EF060E"/>
    <w:rsid w:val="00EF6BD7"/>
    <w:rsid w:val="00F50A7A"/>
    <w:rsid w:val="00F63479"/>
    <w:rsid w:val="00F70ECC"/>
    <w:rsid w:val="00F75D34"/>
    <w:rsid w:val="00F775D9"/>
    <w:rsid w:val="00FC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DFB65"/>
  <w15:docId w15:val="{F39D787B-8419-4C2A-8E96-E7B14BAE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Header">
    <w:name w:val="header"/>
    <w:basedOn w:val="Normal"/>
    <w:link w:val="HeaderChar"/>
    <w:uiPriority w:val="99"/>
    <w:unhideWhenUsed/>
    <w:rsid w:val="00426749"/>
    <w:pPr>
      <w:tabs>
        <w:tab w:val="center" w:pos="4680"/>
        <w:tab w:val="right" w:pos="9360"/>
      </w:tabs>
      <w:spacing w:after="0"/>
    </w:pPr>
  </w:style>
  <w:style w:type="character" w:customStyle="1" w:styleId="HeaderChar">
    <w:name w:val="Header Char"/>
    <w:basedOn w:val="DefaultParagraphFont"/>
    <w:link w:val="Header"/>
    <w:uiPriority w:val="99"/>
    <w:rsid w:val="0042674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6749"/>
    <w:pPr>
      <w:tabs>
        <w:tab w:val="center" w:pos="4680"/>
        <w:tab w:val="right" w:pos="9360"/>
      </w:tabs>
      <w:spacing w:after="0"/>
    </w:pPr>
  </w:style>
  <w:style w:type="character" w:customStyle="1" w:styleId="FooterChar">
    <w:name w:val="Footer Char"/>
    <w:basedOn w:val="DefaultParagraphFont"/>
    <w:link w:val="Footer"/>
    <w:uiPriority w:val="99"/>
    <w:rsid w:val="00426749"/>
    <w:rPr>
      <w:rFonts w:ascii="Times New Roman" w:eastAsia="Times New Roman" w:hAnsi="Times New Roman" w:cs="Times New Roman"/>
      <w:sz w:val="24"/>
      <w:szCs w:val="20"/>
    </w:rPr>
  </w:style>
  <w:style w:type="table" w:styleId="TableGrid">
    <w:name w:val="Table Grid"/>
    <w:basedOn w:val="TableNormal"/>
    <w:uiPriority w:val="39"/>
    <w:rsid w:val="00777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26094"/>
    <w:pPr>
      <w:spacing w:after="0"/>
    </w:pPr>
    <w:rPr>
      <w:sz w:val="20"/>
    </w:rPr>
  </w:style>
  <w:style w:type="character" w:customStyle="1" w:styleId="EndnoteTextChar">
    <w:name w:val="Endnote Text Char"/>
    <w:basedOn w:val="DefaultParagraphFont"/>
    <w:link w:val="EndnoteText"/>
    <w:uiPriority w:val="99"/>
    <w:semiHidden/>
    <w:rsid w:val="00D2609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6094"/>
    <w:rPr>
      <w:vertAlign w:val="superscript"/>
    </w:rPr>
  </w:style>
  <w:style w:type="character" w:styleId="Hyperlink">
    <w:name w:val="Hyperlink"/>
    <w:basedOn w:val="DefaultParagraphFont"/>
    <w:uiPriority w:val="99"/>
    <w:unhideWhenUsed/>
    <w:rsid w:val="00D26094"/>
    <w:rPr>
      <w:color w:val="0000FF" w:themeColor="hyperlink"/>
      <w:u w:val="single"/>
    </w:rPr>
  </w:style>
  <w:style w:type="paragraph" w:styleId="FootnoteText">
    <w:name w:val="footnote text"/>
    <w:basedOn w:val="Normal"/>
    <w:link w:val="FootnoteTextChar"/>
    <w:uiPriority w:val="99"/>
    <w:unhideWhenUsed/>
    <w:rsid w:val="00D26094"/>
    <w:pPr>
      <w:spacing w:after="0"/>
    </w:pPr>
    <w:rPr>
      <w:sz w:val="20"/>
    </w:rPr>
  </w:style>
  <w:style w:type="character" w:customStyle="1" w:styleId="FootnoteTextChar">
    <w:name w:val="Footnote Text Char"/>
    <w:basedOn w:val="DefaultParagraphFont"/>
    <w:link w:val="FootnoteText"/>
    <w:uiPriority w:val="99"/>
    <w:rsid w:val="00D260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6094"/>
    <w:rPr>
      <w:vertAlign w:val="superscript"/>
    </w:rPr>
  </w:style>
  <w:style w:type="character" w:styleId="CommentReference">
    <w:name w:val="annotation reference"/>
    <w:basedOn w:val="DefaultParagraphFont"/>
    <w:uiPriority w:val="99"/>
    <w:semiHidden/>
    <w:unhideWhenUsed/>
    <w:rsid w:val="00946A3F"/>
    <w:rPr>
      <w:sz w:val="16"/>
      <w:szCs w:val="16"/>
    </w:rPr>
  </w:style>
  <w:style w:type="paragraph" w:styleId="CommentText">
    <w:name w:val="annotation text"/>
    <w:basedOn w:val="Normal"/>
    <w:link w:val="CommentTextChar"/>
    <w:uiPriority w:val="99"/>
    <w:semiHidden/>
    <w:unhideWhenUsed/>
    <w:rsid w:val="00946A3F"/>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946A3F"/>
    <w:rPr>
      <w:sz w:val="20"/>
      <w:szCs w:val="20"/>
    </w:rPr>
  </w:style>
  <w:style w:type="paragraph" w:styleId="BalloonText">
    <w:name w:val="Balloon Text"/>
    <w:basedOn w:val="Normal"/>
    <w:link w:val="BalloonTextChar"/>
    <w:uiPriority w:val="99"/>
    <w:semiHidden/>
    <w:unhideWhenUsed/>
    <w:rsid w:val="00946A3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A3F"/>
    <w:rPr>
      <w:rFonts w:ascii="Segoe UI" w:eastAsia="Times New Roman" w:hAnsi="Segoe UI" w:cs="Segoe UI"/>
      <w:sz w:val="18"/>
      <w:szCs w:val="18"/>
    </w:rPr>
  </w:style>
  <w:style w:type="paragraph" w:customStyle="1" w:styleId="paragraph">
    <w:name w:val="paragraph"/>
    <w:basedOn w:val="Normal"/>
    <w:rsid w:val="00416592"/>
    <w:pPr>
      <w:spacing w:before="100" w:beforeAutospacing="1" w:after="100" w:afterAutospacing="1"/>
    </w:pPr>
    <w:rPr>
      <w:szCs w:val="24"/>
    </w:rPr>
  </w:style>
  <w:style w:type="character" w:customStyle="1" w:styleId="normaltextrun">
    <w:name w:val="normaltextrun"/>
    <w:basedOn w:val="DefaultParagraphFont"/>
    <w:rsid w:val="00416592"/>
  </w:style>
  <w:style w:type="character" w:customStyle="1" w:styleId="eop">
    <w:name w:val="eop"/>
    <w:basedOn w:val="DefaultParagraphFont"/>
    <w:rsid w:val="00416592"/>
  </w:style>
  <w:style w:type="character" w:customStyle="1" w:styleId="advancedproofingissue">
    <w:name w:val="advancedproofingissue"/>
    <w:basedOn w:val="DefaultParagraphFont"/>
    <w:rsid w:val="00416592"/>
  </w:style>
  <w:style w:type="paragraph" w:styleId="CommentSubject">
    <w:name w:val="annotation subject"/>
    <w:basedOn w:val="CommentText"/>
    <w:next w:val="CommentText"/>
    <w:link w:val="CommentSubjectChar"/>
    <w:uiPriority w:val="99"/>
    <w:semiHidden/>
    <w:unhideWhenUsed/>
    <w:rsid w:val="001820CE"/>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820C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828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5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a.state.gov/impact/eca-evaluation-divis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FP@gdi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o.gov/publication/52637" TargetMode="External"/><Relationship Id="rId2" Type="http://schemas.openxmlformats.org/officeDocument/2006/relationships/hyperlink" Target="https://www.opm.gov/policy-data-oversight/pay-leave/salaries-wages/2019/general-schedule/" TargetMode="External"/><Relationship Id="rId1" Type="http://schemas.openxmlformats.org/officeDocument/2006/relationships/hyperlink" Target="https://www.bls.gov/oes/current/oes110000.htm" TargetMode="External"/><Relationship Id="rId4"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D76FE84069FD409AE106881DA89DDD" ma:contentTypeVersion="1" ma:contentTypeDescription="Create a new document." ma:contentTypeScope="" ma:versionID="3720e8fc04a95b3e030b58e4e7d6438b">
  <xsd:schema xmlns:xsd="http://www.w3.org/2001/XMLSchema" xmlns:xs="http://www.w3.org/2001/XMLSchema" xmlns:p="http://schemas.microsoft.com/office/2006/metadata/properties" xmlns:ns1="http://schemas.microsoft.com/sharepoint/v3" xmlns:ns2="def59c51-2e7e-484d-96e9-466884ffc8d0" targetNamespace="http://schemas.microsoft.com/office/2006/metadata/properties" ma:root="true" ma:fieldsID="a08965efd1048b26e046d7bb0c5d2a39" ns1:_="" ns2:_="">
    <xsd:import namespace="http://schemas.microsoft.com/sharepoint/v3"/>
    <xsd:import namespace="def59c51-2e7e-484d-96e9-466884ffc8d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ef59c51-2e7e-484d-96e9-466884ffc8d0">XYDMFH7A65ZD-1398892449-5</_dlc_DocId>
    <_dlc_DocIdUrl xmlns="def59c51-2e7e-484d-96e9-466884ffc8d0">
      <Url>http://a.m.state.sbu/sites/gis/dir/InfoCollection/_layouts/DocIdRedir.aspx?ID=XYDMFH7A65ZD-1398892449-5</Url>
      <Description>XYDMFH7A65ZD-1398892449-5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2.xml><?xml version="1.0" encoding="utf-8"?>
<ds:datastoreItem xmlns:ds="http://schemas.openxmlformats.org/officeDocument/2006/customXml" ds:itemID="{040558F3-3459-4D09-94E5-0134FCE4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166E3-C952-4158-A16C-8799B1EED261}">
  <ds:schemaRefs>
    <ds:schemaRef ds:uri="http://schemas.microsoft.com/sharepoint/events"/>
  </ds:schemaRefs>
</ds:datastoreItem>
</file>

<file path=customXml/itemProps4.xml><?xml version="1.0" encoding="utf-8"?>
<ds:datastoreItem xmlns:ds="http://schemas.openxmlformats.org/officeDocument/2006/customXml" ds:itemID="{3131EE0F-CE06-42F1-81A3-F30A98D4B2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def59c51-2e7e-484d-96e9-466884ffc8d0"/>
    <ds:schemaRef ds:uri="http://www.w3.org/XML/1998/namespace"/>
    <ds:schemaRef ds:uri="http://purl.org/dc/dcmitype/"/>
  </ds:schemaRefs>
</ds:datastoreItem>
</file>

<file path=customXml/itemProps5.xml><?xml version="1.0" encoding="utf-8"?>
<ds:datastoreItem xmlns:ds="http://schemas.openxmlformats.org/officeDocument/2006/customXml" ds:itemID="{9482B643-9A3D-4F6E-8066-9387BDF8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WatkinsPK</dc:creator>
  <cp:lastModifiedBy>Watkins, Pamela K</cp:lastModifiedBy>
  <cp:revision>2</cp:revision>
  <dcterms:created xsi:type="dcterms:W3CDTF">2020-06-22T16:02:00Z</dcterms:created>
  <dcterms:modified xsi:type="dcterms:W3CDTF">2020-06-22T16:02:00Z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0x010100E1D76FE84069FD409AE106881DA89DDD</vt:lpwstr>
  </property>
  <property fmtid="{D5CDD505-2E9C-101B-9397-08002B2CF9AE}" pid="3" name="_dlc_DocIdItemGuid">
    <vt:lpwstr>a89d8601-f103-42f5-bd87-f32a0f44c4f1</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BotkinEA@state.gov</vt:lpwstr>
  </property>
  <property fmtid="{D5CDD505-2E9C-101B-9397-08002B2CF9AE}" pid="7" name="MSIP_Label_1665d9ee-429a-4d5f-97cc-cfb56e044a6e_SetDate">
    <vt:lpwstr>2019-10-09T21:38:15.6245985Z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452ed0cb-a659-4c65-8163-62df2af24c0c</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