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4AB5" w:rsidR="000C1691" w:rsidP="0083246E" w:rsidRDefault="000C1691" w14:paraId="3F3E66EE" w14:textId="00B69AF4">
      <w:pPr>
        <w:spacing w:after="360"/>
        <w:jc w:val="center"/>
        <w:rPr>
          <w:b/>
          <w:i/>
          <w:sz w:val="32"/>
        </w:rPr>
      </w:pPr>
      <w:r w:rsidRPr="009A70F2">
        <w:rPr>
          <w:b/>
          <w:sz w:val="32"/>
        </w:rPr>
        <w:t xml:space="preserve">SUPPORTING STATEMENT FOR </w:t>
      </w:r>
      <w:r w:rsidRPr="009A70F2">
        <w:rPr>
          <w:b/>
          <w:sz w:val="32"/>
        </w:rPr>
        <w:br/>
        <w:t>PAPERWORK REDUCTION ACT SUBMISSION</w:t>
      </w:r>
      <w:r w:rsidRPr="009A70F2" w:rsidR="00D11A71">
        <w:rPr>
          <w:b/>
          <w:sz w:val="32"/>
        </w:rPr>
        <w:br/>
      </w:r>
      <w:r w:rsidRPr="00894AB5" w:rsidR="00D11A71">
        <w:rPr>
          <w:sz w:val="32"/>
        </w:rPr>
        <w:br/>
      </w:r>
      <w:r w:rsidRPr="00894AB5" w:rsidR="00957EDD">
        <w:rPr>
          <w:sz w:val="32"/>
        </w:rPr>
        <w:tab/>
      </w:r>
      <w:r w:rsidRPr="00894AB5" w:rsidR="0083246E">
        <w:rPr>
          <w:sz w:val="32"/>
        </w:rPr>
        <w:t>JADE Act</w:t>
      </w:r>
      <w:r w:rsidRPr="00894AB5" w:rsidR="002327C5">
        <w:rPr>
          <w:sz w:val="32"/>
        </w:rPr>
        <w:t xml:space="preserve"> Questionnaire</w:t>
      </w:r>
      <w:r w:rsidRPr="00894AB5" w:rsidR="00D11A71">
        <w:rPr>
          <w:b/>
          <w:sz w:val="32"/>
        </w:rPr>
        <w:br/>
      </w:r>
      <w:r w:rsidRPr="00894AB5" w:rsidR="00D11A71">
        <w:rPr>
          <w:sz w:val="32"/>
        </w:rPr>
        <w:t xml:space="preserve">OMB Number </w:t>
      </w:r>
      <w:r w:rsidRPr="00894AB5" w:rsidR="00657022">
        <w:rPr>
          <w:sz w:val="32"/>
        </w:rPr>
        <w:t>XXXX</w:t>
      </w:r>
      <w:r w:rsidRPr="00894AB5" w:rsidR="00D11A71">
        <w:rPr>
          <w:sz w:val="32"/>
        </w:rPr>
        <w:t>-</w:t>
      </w:r>
      <w:r w:rsidRPr="00894AB5" w:rsidR="00773981">
        <w:rPr>
          <w:sz w:val="32"/>
        </w:rPr>
        <w:t>XXXX</w:t>
      </w:r>
      <w:r w:rsidRPr="00894AB5" w:rsidR="00D11A71">
        <w:rPr>
          <w:b/>
          <w:i/>
          <w:sz w:val="32"/>
        </w:rPr>
        <w:br/>
      </w:r>
      <w:r w:rsidRPr="00894AB5" w:rsidR="005B08EC">
        <w:rPr>
          <w:sz w:val="32"/>
        </w:rPr>
        <w:t>DS-</w:t>
      </w:r>
      <w:r w:rsidRPr="00894AB5" w:rsidR="00E608D6">
        <w:rPr>
          <w:sz w:val="32"/>
        </w:rPr>
        <w:t>5537</w:t>
      </w:r>
    </w:p>
    <w:p w:rsidRPr="00894AB5" w:rsidR="000C1691" w:rsidP="00773763" w:rsidRDefault="000C1691" w14:paraId="3F3E66EF" w14:textId="77777777">
      <w:pPr>
        <w:pStyle w:val="Heading1"/>
        <w:jc w:val="both"/>
      </w:pPr>
      <w:r w:rsidRPr="00894AB5">
        <w:t>A.</w:t>
      </w:r>
      <w:r w:rsidRPr="00894AB5">
        <w:tab/>
        <w:t>JUSTIFICATION</w:t>
      </w:r>
    </w:p>
    <w:p w:rsidRPr="009A70F2" w:rsidR="00F41021" w:rsidP="003967A4" w:rsidRDefault="00F41021" w14:paraId="3F3E66F0" w14:textId="15FFBBAB">
      <w:pPr>
        <w:ind w:left="360"/>
        <w:jc w:val="both"/>
        <w:rPr>
          <w:szCs w:val="24"/>
        </w:rPr>
      </w:pPr>
      <w:r w:rsidRPr="009A70F2">
        <w:rPr>
          <w:szCs w:val="24"/>
        </w:rPr>
        <w:t>1.</w:t>
      </w:r>
      <w:r w:rsidRPr="009A70F2">
        <w:rPr>
          <w:szCs w:val="24"/>
        </w:rPr>
        <w:tab/>
        <w:t xml:space="preserve">The Immigration and Nationality Act (“INA”), 8 U.S.C. § 1101 </w:t>
      </w:r>
      <w:r w:rsidR="005C734D">
        <w:rPr>
          <w:szCs w:val="24"/>
        </w:rPr>
        <w:t>sets out</w:t>
      </w:r>
      <w:r w:rsidRPr="009A70F2">
        <w:rPr>
          <w:szCs w:val="24"/>
        </w:rPr>
        <w:t xml:space="preserve"> application and eligibility requirements for aliens seeking to obtain nonimmigrant and immigrant visas. </w:t>
      </w:r>
      <w:r w:rsidR="00730624">
        <w:rPr>
          <w:szCs w:val="24"/>
        </w:rPr>
        <w:t xml:space="preserve"> </w:t>
      </w:r>
      <w:r w:rsidRPr="009A70F2">
        <w:rPr>
          <w:szCs w:val="24"/>
        </w:rPr>
        <w:t>Grounds for the ineligibility of certain individuals to receive a visa or to be admitted to the United States are detailed in INA section 212(a)</w:t>
      </w:r>
      <w:r w:rsidR="005C734D">
        <w:rPr>
          <w:szCs w:val="24"/>
        </w:rPr>
        <w:t>,</w:t>
      </w:r>
      <w:r w:rsidR="00107F30">
        <w:rPr>
          <w:szCs w:val="24"/>
        </w:rPr>
        <w:t xml:space="preserve"> </w:t>
      </w:r>
      <w:r w:rsidRPr="009A70F2">
        <w:rPr>
          <w:szCs w:val="24"/>
        </w:rPr>
        <w:t>8 U.S.C. § 1182(a), INA section 208(d)(6)</w:t>
      </w:r>
      <w:r w:rsidR="005C734D">
        <w:rPr>
          <w:szCs w:val="24"/>
        </w:rPr>
        <w:t>,</w:t>
      </w:r>
      <w:r w:rsidR="00107F30">
        <w:rPr>
          <w:szCs w:val="24"/>
        </w:rPr>
        <w:t xml:space="preserve"> </w:t>
      </w:r>
      <w:r w:rsidRPr="009A70F2">
        <w:rPr>
          <w:szCs w:val="24"/>
        </w:rPr>
        <w:t xml:space="preserve">8 U.S.C. § 1158(d)(6), and other statutes.  </w:t>
      </w:r>
    </w:p>
    <w:p w:rsidRPr="009A70F2" w:rsidR="00A360D7" w:rsidP="00281927" w:rsidRDefault="00F41021" w14:paraId="3F3E66F1" w14:textId="26D9B8DB">
      <w:pPr>
        <w:ind w:left="360"/>
        <w:jc w:val="both"/>
        <w:rPr>
          <w:szCs w:val="24"/>
        </w:rPr>
      </w:pPr>
      <w:r w:rsidRPr="009A70F2">
        <w:rPr>
          <w:szCs w:val="24"/>
        </w:rPr>
        <w:t>INA section 221(a)</w:t>
      </w:r>
      <w:r w:rsidR="005C734D">
        <w:rPr>
          <w:szCs w:val="24"/>
        </w:rPr>
        <w:t xml:space="preserve">, </w:t>
      </w:r>
      <w:r w:rsidRPr="009A70F2">
        <w:rPr>
          <w:szCs w:val="24"/>
        </w:rPr>
        <w:t>8 U.S.C. § 1201(a</w:t>
      </w:r>
      <w:r w:rsidRPr="009A70F2" w:rsidR="005C734D">
        <w:rPr>
          <w:szCs w:val="24"/>
        </w:rPr>
        <w:t>)</w:t>
      </w:r>
      <w:r w:rsidR="005C734D">
        <w:rPr>
          <w:szCs w:val="24"/>
        </w:rPr>
        <w:t xml:space="preserve"> </w:t>
      </w:r>
      <w:r w:rsidRPr="009A70F2">
        <w:rPr>
          <w:szCs w:val="24"/>
        </w:rPr>
        <w:t xml:space="preserve">provides that a consular officer may issue an immigrant or nonimmigrant visa to an individual who has made a proper application, subject to applicable conditions and limitations in the INA and related regulations.  Under Section 222(c) of the INA, </w:t>
      </w:r>
      <w:r w:rsidR="005C734D">
        <w:rPr>
          <w:szCs w:val="24"/>
        </w:rPr>
        <w:t xml:space="preserve"> </w:t>
      </w:r>
      <w:r w:rsidRPr="009A70F2">
        <w:rPr>
          <w:szCs w:val="24"/>
        </w:rPr>
        <w:t>8 U.S.C. § 1202(c</w:t>
      </w:r>
      <w:r w:rsidRPr="009A70F2" w:rsidR="005C734D">
        <w:rPr>
          <w:szCs w:val="24"/>
        </w:rPr>
        <w:t>)</w:t>
      </w:r>
      <w:r w:rsidR="005C734D">
        <w:rPr>
          <w:szCs w:val="24"/>
        </w:rPr>
        <w:t xml:space="preserve">, </w:t>
      </w:r>
      <w:r w:rsidRPr="009A70F2">
        <w:rPr>
          <w:szCs w:val="24"/>
        </w:rPr>
        <w:t xml:space="preserve">every alien applying for a nonimmigrant visa must provide certain identifying particulars – name, date of birth and birthplace, nationality, purpose and length of intended stay in the United States, marital status – and “such additional information necessary to the identification of the applicant, the determination of his eligibility for a nonimmigrant visa, and the enforcement of the immigration and nationality laws as may be by regulations prescribed.” Similar requirements apply to applicants for immigrant visas pursuant to INA section 222(a), 8 U.S.C. § 1201(a). </w:t>
      </w:r>
      <w:r w:rsidRPr="009A70F2" w:rsidR="00281927">
        <w:rPr>
          <w:szCs w:val="24"/>
        </w:rPr>
        <w:t xml:space="preserve"> </w:t>
      </w:r>
    </w:p>
    <w:p w:rsidRPr="009A70F2" w:rsidR="00281927" w:rsidP="00281927" w:rsidRDefault="00F41021" w14:paraId="3F3E66F2" w14:textId="77777777">
      <w:pPr>
        <w:ind w:left="360"/>
        <w:jc w:val="both"/>
        <w:rPr>
          <w:szCs w:val="24"/>
        </w:rPr>
      </w:pPr>
      <w:r w:rsidRPr="009A70F2">
        <w:rPr>
          <w:szCs w:val="24"/>
        </w:rPr>
        <w:t>Under regulations set out in Title 22 of the Code of Federal Regulations</w:t>
      </w:r>
      <w:r w:rsidR="00730624">
        <w:rPr>
          <w:szCs w:val="24"/>
        </w:rPr>
        <w:t xml:space="preserve"> (CFR)</w:t>
      </w:r>
      <w:r w:rsidRPr="009A70F2">
        <w:rPr>
          <w:szCs w:val="24"/>
        </w:rPr>
        <w:t xml:space="preserve">, visa applications must be made on a standard form and adjudicating consular officers “may require the submission of additional necessary information or question an alien on any relevant matter whenever the consular officer believes that the information provided in the application is inadequate to permit a determination of the alien’s ineligibility to receive a nonimmigrant visa.” </w:t>
      </w:r>
      <w:r w:rsidR="00730624">
        <w:rPr>
          <w:szCs w:val="24"/>
        </w:rPr>
        <w:t xml:space="preserve"> </w:t>
      </w:r>
      <w:r w:rsidRPr="009A70F2">
        <w:rPr>
          <w:szCs w:val="24"/>
        </w:rPr>
        <w:t xml:space="preserve">22 CFR 41.103; </w:t>
      </w:r>
      <w:r w:rsidRPr="00B97D69">
        <w:rPr>
          <w:i/>
          <w:szCs w:val="24"/>
        </w:rPr>
        <w:t>see also</w:t>
      </w:r>
      <w:r w:rsidRPr="009A70F2">
        <w:rPr>
          <w:szCs w:val="24"/>
        </w:rPr>
        <w:t xml:space="preserve"> 22 CFR 42.63 (immigrant visas).  </w:t>
      </w:r>
    </w:p>
    <w:p w:rsidRPr="009A70F2" w:rsidR="00A360D7" w:rsidP="00A360D7" w:rsidRDefault="00281927" w14:paraId="3F3E66F3" w14:textId="7A93F384">
      <w:pPr>
        <w:ind w:left="360"/>
        <w:jc w:val="both"/>
        <w:rPr>
          <w:szCs w:val="24"/>
        </w:rPr>
      </w:pPr>
      <w:r w:rsidRPr="009A70F2">
        <w:rPr>
          <w:szCs w:val="24"/>
        </w:rPr>
        <w:t>The Tom Lantos Block Burmese Jade Junta’s Anti-Democratic Efforts (JADE) Act of 2008</w:t>
      </w:r>
      <w:r w:rsidRPr="009A70F2" w:rsidR="005E6108">
        <w:rPr>
          <w:szCs w:val="24"/>
        </w:rPr>
        <w:t xml:space="preserve"> </w:t>
      </w:r>
      <w:r w:rsidRPr="009A70F2" w:rsidR="005E6108">
        <w:t>Public Law 110-286</w:t>
      </w:r>
      <w:r w:rsidRPr="009A70F2">
        <w:rPr>
          <w:szCs w:val="24"/>
        </w:rPr>
        <w:t xml:space="preserve">, renders certain </w:t>
      </w:r>
      <w:r w:rsidR="00C2129B">
        <w:rPr>
          <w:szCs w:val="24"/>
        </w:rPr>
        <w:t xml:space="preserve">individuals involved in specified </w:t>
      </w:r>
      <w:r w:rsidRPr="009A70F2">
        <w:rPr>
          <w:szCs w:val="24"/>
        </w:rPr>
        <w:t xml:space="preserve">Burmese </w:t>
      </w:r>
      <w:r w:rsidR="00C2129B">
        <w:rPr>
          <w:szCs w:val="24"/>
        </w:rPr>
        <w:t>organizations or activities</w:t>
      </w:r>
      <w:r w:rsidRPr="009A70F2" w:rsidR="00A360D7">
        <w:rPr>
          <w:szCs w:val="24"/>
        </w:rPr>
        <w:t xml:space="preserve"> ineligible </w:t>
      </w:r>
      <w:r w:rsidR="00C2129B">
        <w:rPr>
          <w:szCs w:val="24"/>
        </w:rPr>
        <w:t xml:space="preserve">for </w:t>
      </w:r>
      <w:r w:rsidR="000231CF">
        <w:rPr>
          <w:szCs w:val="24"/>
        </w:rPr>
        <w:t>U</w:t>
      </w:r>
      <w:r w:rsidR="00107F30">
        <w:rPr>
          <w:szCs w:val="24"/>
        </w:rPr>
        <w:t>.</w:t>
      </w:r>
      <w:r w:rsidR="000231CF">
        <w:rPr>
          <w:szCs w:val="24"/>
        </w:rPr>
        <w:t>S</w:t>
      </w:r>
      <w:r w:rsidR="00107F30">
        <w:rPr>
          <w:szCs w:val="24"/>
        </w:rPr>
        <w:t>.</w:t>
      </w:r>
      <w:r w:rsidR="000231CF">
        <w:rPr>
          <w:szCs w:val="24"/>
        </w:rPr>
        <w:t xml:space="preserve"> </w:t>
      </w:r>
      <w:r w:rsidR="00C2129B">
        <w:rPr>
          <w:szCs w:val="24"/>
        </w:rPr>
        <w:t>visas</w:t>
      </w:r>
      <w:r w:rsidRPr="009A70F2" w:rsidR="00A360D7">
        <w:rPr>
          <w:szCs w:val="24"/>
        </w:rPr>
        <w:t xml:space="preserve">.  </w:t>
      </w:r>
      <w:r w:rsidR="00C2129B">
        <w:rPr>
          <w:szCs w:val="24"/>
        </w:rPr>
        <w:t>Leaders</w:t>
      </w:r>
      <w:r w:rsidRPr="009A70F2">
        <w:rPr>
          <w:szCs w:val="24"/>
        </w:rPr>
        <w:t xml:space="preserve"> of the </w:t>
      </w:r>
      <w:r w:rsidRPr="009A70F2" w:rsidR="005E6108">
        <w:rPr>
          <w:szCs w:val="24"/>
        </w:rPr>
        <w:t>Union Solidarity Development Association (</w:t>
      </w:r>
      <w:r w:rsidRPr="009A70F2">
        <w:rPr>
          <w:szCs w:val="24"/>
        </w:rPr>
        <w:t>SPDC</w:t>
      </w:r>
      <w:r w:rsidRPr="009A70F2" w:rsidR="005E6108">
        <w:rPr>
          <w:szCs w:val="24"/>
        </w:rPr>
        <w:t>)</w:t>
      </w:r>
      <w:r w:rsidRPr="009A70F2">
        <w:rPr>
          <w:szCs w:val="24"/>
        </w:rPr>
        <w:t xml:space="preserve">, the Burmese military, or the Union Solidarity Development Association (USDA), and </w:t>
      </w:r>
      <w:r w:rsidR="00F52C10">
        <w:rPr>
          <w:szCs w:val="24"/>
        </w:rPr>
        <w:t>officials of these groups involved in</w:t>
      </w:r>
      <w:r w:rsidRPr="009A70F2">
        <w:rPr>
          <w:szCs w:val="24"/>
        </w:rPr>
        <w:t xml:space="preserve"> human rights violations and impeding democracy in Burma</w:t>
      </w:r>
      <w:r w:rsidR="00DF57C5">
        <w:rPr>
          <w:szCs w:val="24"/>
        </w:rPr>
        <w:t xml:space="preserve">, and any Burmese persons who provided substantial economic or political support to these groups, </w:t>
      </w:r>
      <w:r w:rsidRPr="009A70F2" w:rsidR="005E6108">
        <w:rPr>
          <w:szCs w:val="24"/>
        </w:rPr>
        <w:t>are</w:t>
      </w:r>
      <w:r w:rsidRPr="009A70F2">
        <w:rPr>
          <w:szCs w:val="24"/>
        </w:rPr>
        <w:t xml:space="preserve"> ineligible for visa</w:t>
      </w:r>
      <w:r w:rsidR="00107F30">
        <w:rPr>
          <w:szCs w:val="24"/>
        </w:rPr>
        <w:t>s</w:t>
      </w:r>
      <w:r w:rsidRPr="009A70F2">
        <w:rPr>
          <w:szCs w:val="24"/>
        </w:rPr>
        <w:t xml:space="preserve"> </w:t>
      </w:r>
      <w:r w:rsidR="00C2129B">
        <w:rPr>
          <w:szCs w:val="24"/>
        </w:rPr>
        <w:t>for travel to</w:t>
      </w:r>
      <w:r w:rsidRPr="009A70F2" w:rsidR="00A360D7">
        <w:rPr>
          <w:szCs w:val="24"/>
        </w:rPr>
        <w:t xml:space="preserve"> the United States. </w:t>
      </w:r>
      <w:r w:rsidR="00DF57C5">
        <w:rPr>
          <w:szCs w:val="24"/>
        </w:rPr>
        <w:t xml:space="preserve"> </w:t>
      </w:r>
      <w:r w:rsidR="00C2129B">
        <w:rPr>
          <w:szCs w:val="24"/>
        </w:rPr>
        <w:t xml:space="preserve">Immediate family members of these individuals are also ineligible for visas.  </w:t>
      </w:r>
      <w:r w:rsidRPr="009A70F2" w:rsidR="00A360D7">
        <w:rPr>
          <w:szCs w:val="24"/>
        </w:rPr>
        <w:t>Section 5(a)(1) of the JADE Act renders the following individuals ineligible for a visa:</w:t>
      </w:r>
    </w:p>
    <w:p w:rsidRPr="009A70F2" w:rsidR="00A360D7" w:rsidP="00A360D7" w:rsidRDefault="00A360D7" w14:paraId="3F3E66F4" w14:textId="77777777">
      <w:pPr>
        <w:pStyle w:val="ListParagraph"/>
        <w:numPr>
          <w:ilvl w:val="0"/>
          <w:numId w:val="9"/>
        </w:numPr>
        <w:jc w:val="both"/>
        <w:rPr>
          <w:szCs w:val="24"/>
        </w:rPr>
      </w:pPr>
      <w:r w:rsidRPr="009A70F2">
        <w:rPr>
          <w:szCs w:val="24"/>
        </w:rPr>
        <w:t>Former and present leaders of the SPDC</w:t>
      </w:r>
    </w:p>
    <w:p w:rsidRPr="009A70F2" w:rsidR="00A360D7" w:rsidP="00A360D7" w:rsidRDefault="00A360D7" w14:paraId="3F3E66F5" w14:textId="77777777">
      <w:pPr>
        <w:pStyle w:val="ListParagraph"/>
        <w:numPr>
          <w:ilvl w:val="0"/>
          <w:numId w:val="9"/>
        </w:numPr>
        <w:jc w:val="both"/>
        <w:rPr>
          <w:szCs w:val="24"/>
        </w:rPr>
      </w:pPr>
      <w:r w:rsidRPr="009A70F2">
        <w:rPr>
          <w:szCs w:val="24"/>
        </w:rPr>
        <w:t>Former and present leaders of the Burmese military</w:t>
      </w:r>
    </w:p>
    <w:p w:rsidRPr="009A70F2" w:rsidR="00A360D7" w:rsidP="00A360D7" w:rsidRDefault="00A360D7" w14:paraId="3F3E66F6" w14:textId="77777777">
      <w:pPr>
        <w:pStyle w:val="ListParagraph"/>
        <w:numPr>
          <w:ilvl w:val="0"/>
          <w:numId w:val="9"/>
        </w:numPr>
        <w:jc w:val="both"/>
        <w:rPr>
          <w:szCs w:val="24"/>
        </w:rPr>
      </w:pPr>
      <w:r w:rsidRPr="009A70F2">
        <w:rPr>
          <w:szCs w:val="24"/>
        </w:rPr>
        <w:t xml:space="preserve">Former and present leaders of the USDA </w:t>
      </w:r>
    </w:p>
    <w:p w:rsidRPr="009A70F2" w:rsidR="00A360D7" w:rsidP="00A360D7" w:rsidRDefault="00A360D7" w14:paraId="3F3E66F7" w14:textId="77777777">
      <w:pPr>
        <w:pStyle w:val="ListParagraph"/>
        <w:numPr>
          <w:ilvl w:val="0"/>
          <w:numId w:val="9"/>
        </w:numPr>
        <w:jc w:val="both"/>
        <w:rPr>
          <w:szCs w:val="24"/>
        </w:rPr>
      </w:pPr>
      <w:r w:rsidRPr="009A70F2">
        <w:rPr>
          <w:szCs w:val="24"/>
        </w:rPr>
        <w:lastRenderedPageBreak/>
        <w:t xml:space="preserve">Officials of the SPDC, the Burmese military, or the USDA involved in the repression of peaceful political activity or in other gross violations of human rights in Burma or in the commission of other human rights abuses, including any current or former officials of the security services and judicial institutions of the SPDC </w:t>
      </w:r>
    </w:p>
    <w:p w:rsidRPr="009A70F2" w:rsidR="00A360D7" w:rsidP="00A360D7" w:rsidRDefault="00A360D7" w14:paraId="3F3E66F8" w14:textId="77777777">
      <w:pPr>
        <w:pStyle w:val="ListParagraph"/>
        <w:numPr>
          <w:ilvl w:val="0"/>
          <w:numId w:val="9"/>
        </w:numPr>
        <w:jc w:val="both"/>
        <w:rPr>
          <w:szCs w:val="24"/>
        </w:rPr>
      </w:pPr>
      <w:r w:rsidRPr="009A70F2">
        <w:rPr>
          <w:szCs w:val="24"/>
        </w:rPr>
        <w:t>Any other Burmese persons who provide substantial economic and political support for the SPDC, the Burmese military, or the USDA</w:t>
      </w:r>
    </w:p>
    <w:p w:rsidRPr="009A70F2" w:rsidR="00281927" w:rsidP="005E6108" w:rsidRDefault="00A360D7" w14:paraId="3F3E66F9" w14:textId="77777777">
      <w:pPr>
        <w:pStyle w:val="ListParagraph"/>
        <w:numPr>
          <w:ilvl w:val="0"/>
          <w:numId w:val="9"/>
        </w:numPr>
        <w:jc w:val="both"/>
        <w:rPr>
          <w:szCs w:val="24"/>
        </w:rPr>
      </w:pPr>
      <w:r w:rsidRPr="009A70F2">
        <w:rPr>
          <w:szCs w:val="24"/>
        </w:rPr>
        <w:t xml:space="preserve">Immediate family members of any persons listed above. </w:t>
      </w:r>
    </w:p>
    <w:p w:rsidRPr="009A70F2" w:rsidR="002B36A3" w:rsidP="00F41021" w:rsidRDefault="00F41021" w14:paraId="3F3E66FA" w14:textId="60DD37EE">
      <w:pPr>
        <w:ind w:left="360"/>
        <w:jc w:val="both"/>
        <w:rPr>
          <w:szCs w:val="24"/>
        </w:rPr>
      </w:pPr>
      <w:r w:rsidRPr="009A70F2">
        <w:rPr>
          <w:szCs w:val="24"/>
        </w:rPr>
        <w:t>2</w:t>
      </w:r>
      <w:r w:rsidRPr="009A70F2" w:rsidR="00864E54">
        <w:rPr>
          <w:szCs w:val="24"/>
        </w:rPr>
        <w:t>.</w:t>
      </w:r>
      <w:r w:rsidRPr="009A70F2">
        <w:rPr>
          <w:szCs w:val="24"/>
        </w:rPr>
        <w:tab/>
      </w:r>
      <w:r w:rsidRPr="009A70F2" w:rsidR="002B36A3">
        <w:rPr>
          <w:szCs w:val="24"/>
        </w:rPr>
        <w:t xml:space="preserve">Department of State consular officers use the information provided to </w:t>
      </w:r>
      <w:r w:rsidR="00E71B7A">
        <w:rPr>
          <w:szCs w:val="24"/>
        </w:rPr>
        <w:t>determine a visa applicant’s eligibility for a visa under the JADE Act</w:t>
      </w:r>
      <w:r w:rsidRPr="009A70F2" w:rsidR="002B36A3">
        <w:rPr>
          <w:szCs w:val="24"/>
        </w:rPr>
        <w:t xml:space="preserve">.  The information requested on the </w:t>
      </w:r>
      <w:r w:rsidRPr="00730624" w:rsidR="00730624">
        <w:rPr>
          <w:szCs w:val="24"/>
        </w:rPr>
        <w:t>JADE Act</w:t>
      </w:r>
      <w:r w:rsidR="000231CF">
        <w:rPr>
          <w:szCs w:val="24"/>
        </w:rPr>
        <w:t xml:space="preserve"> Questionnaire</w:t>
      </w:r>
      <w:r w:rsidR="00730624">
        <w:rPr>
          <w:szCs w:val="24"/>
        </w:rPr>
        <w:t xml:space="preserve"> </w:t>
      </w:r>
      <w:r w:rsidRPr="009A70F2" w:rsidR="002B36A3">
        <w:rPr>
          <w:szCs w:val="24"/>
        </w:rPr>
        <w:t xml:space="preserve">is limited to that which is necessary for consular officers to efficiently determine the </w:t>
      </w:r>
      <w:r w:rsidR="000231CF">
        <w:rPr>
          <w:szCs w:val="24"/>
        </w:rPr>
        <w:t xml:space="preserve">applicant’s </w:t>
      </w:r>
      <w:r w:rsidRPr="009A70F2" w:rsidR="002B36A3">
        <w:rPr>
          <w:szCs w:val="24"/>
        </w:rPr>
        <w:t xml:space="preserve">eligibility.  </w:t>
      </w:r>
      <w:r w:rsidR="00107F30">
        <w:rPr>
          <w:szCs w:val="24"/>
        </w:rPr>
        <w:t>D</w:t>
      </w:r>
      <w:r w:rsidRPr="009A70F2" w:rsidR="002B36A3">
        <w:rPr>
          <w:szCs w:val="24"/>
        </w:rPr>
        <w:t xml:space="preserve">eterminations </w:t>
      </w:r>
      <w:r w:rsidR="00730624">
        <w:rPr>
          <w:szCs w:val="24"/>
        </w:rPr>
        <w:t xml:space="preserve">of visa eligibility </w:t>
      </w:r>
      <w:r w:rsidR="00107F30">
        <w:rPr>
          <w:szCs w:val="24"/>
        </w:rPr>
        <w:t xml:space="preserve">for certain applicants </w:t>
      </w:r>
      <w:r w:rsidRPr="009A70F2" w:rsidR="002B36A3">
        <w:rPr>
          <w:szCs w:val="24"/>
        </w:rPr>
        <w:t xml:space="preserve">would not be possible without collecting this information. </w:t>
      </w:r>
      <w:r w:rsidR="00E71B7A">
        <w:t>This collection</w:t>
      </w:r>
      <w:r w:rsidRPr="009A70F2" w:rsidR="00E71B7A">
        <w:t xml:space="preserve"> will provide consular officers with </w:t>
      </w:r>
      <w:r w:rsidR="00E71B7A">
        <w:t xml:space="preserve">all </w:t>
      </w:r>
      <w:r w:rsidRPr="009A70F2" w:rsidR="00E71B7A">
        <w:t xml:space="preserve">relevant information </w:t>
      </w:r>
      <w:r w:rsidR="00E71B7A">
        <w:t xml:space="preserve">to determine </w:t>
      </w:r>
      <w:r w:rsidR="00107F30">
        <w:t>possible in</w:t>
      </w:r>
      <w:r w:rsidRPr="009A70F2" w:rsidR="00E71B7A">
        <w:t>eligibility of the Burmese applicant under the JADE Act and will significantly reduce the need for additional information collections during the applicant’s interview.</w:t>
      </w:r>
      <w:r w:rsidR="00CB045D">
        <w:t xml:space="preserve"> Respondents are expected to complete the DS-5537 prior to their visa interview and present the form as a part of their application.</w:t>
      </w:r>
    </w:p>
    <w:p w:rsidRPr="009A70F2" w:rsidR="00A360D7" w:rsidP="005E6108" w:rsidRDefault="00F41021" w14:paraId="3F3E66FB" w14:textId="4C7A64A4">
      <w:pPr>
        <w:ind w:left="360"/>
        <w:jc w:val="both"/>
        <w:rPr>
          <w:szCs w:val="24"/>
        </w:rPr>
      </w:pPr>
      <w:r w:rsidRPr="009A70F2">
        <w:rPr>
          <w:szCs w:val="24"/>
        </w:rPr>
        <w:t>3.</w:t>
      </w:r>
      <w:r w:rsidRPr="009A70F2">
        <w:rPr>
          <w:szCs w:val="24"/>
        </w:rPr>
        <w:tab/>
      </w:r>
      <w:r w:rsidR="00ED0843">
        <w:rPr>
          <w:szCs w:val="24"/>
        </w:rPr>
        <w:t xml:space="preserve">All </w:t>
      </w:r>
      <w:r w:rsidR="00CA42C6">
        <w:rPr>
          <w:szCs w:val="24"/>
        </w:rPr>
        <w:t xml:space="preserve">Burmese </w:t>
      </w:r>
      <w:r w:rsidR="005E75D1">
        <w:rPr>
          <w:szCs w:val="24"/>
        </w:rPr>
        <w:t xml:space="preserve">nationals applying for U.S. </w:t>
      </w:r>
      <w:r w:rsidR="00CA42C6">
        <w:rPr>
          <w:szCs w:val="24"/>
        </w:rPr>
        <w:t>visa</w:t>
      </w:r>
      <w:r w:rsidR="005E75D1">
        <w:rPr>
          <w:szCs w:val="24"/>
        </w:rPr>
        <w:t>s</w:t>
      </w:r>
      <w:r w:rsidR="00CA42C6">
        <w:rPr>
          <w:szCs w:val="24"/>
        </w:rPr>
        <w:t xml:space="preserve"> </w:t>
      </w:r>
      <w:r w:rsidRPr="009A70F2" w:rsidR="005E6108">
        <w:rPr>
          <w:szCs w:val="24"/>
        </w:rPr>
        <w:t xml:space="preserve">will </w:t>
      </w:r>
      <w:r w:rsidR="00C2129B">
        <w:rPr>
          <w:szCs w:val="24"/>
        </w:rPr>
        <w:t>be asked to complete</w:t>
      </w:r>
      <w:r w:rsidRPr="009A70F2" w:rsidR="005E6108">
        <w:rPr>
          <w:szCs w:val="24"/>
        </w:rPr>
        <w:t xml:space="preserve"> and submit the </w:t>
      </w:r>
      <w:r w:rsidR="000231CF">
        <w:rPr>
          <w:szCs w:val="24"/>
        </w:rPr>
        <w:t>JADE Act questionnaire</w:t>
      </w:r>
      <w:r w:rsidRPr="009A70F2" w:rsidR="005E6108">
        <w:rPr>
          <w:szCs w:val="24"/>
        </w:rPr>
        <w:t xml:space="preserve">.  </w:t>
      </w:r>
      <w:r w:rsidR="00CB045D">
        <w:rPr>
          <w:szCs w:val="24"/>
        </w:rPr>
        <w:t>The collection is a PDF fillable form that the respondent can complete electronically before printing out. A physical copy of the form is presenting to the consular officer during the visa interview.</w:t>
      </w:r>
      <w:r w:rsidR="000231CF">
        <w:rPr>
          <w:szCs w:val="24"/>
        </w:rPr>
        <w:t xml:space="preserve">  </w:t>
      </w:r>
      <w:r w:rsidRPr="009A70F2" w:rsidR="00A360D7">
        <w:t xml:space="preserve"> </w:t>
      </w:r>
    </w:p>
    <w:p w:rsidRPr="009A70F2" w:rsidR="00F41021" w:rsidP="00F41021" w:rsidRDefault="00F41021" w14:paraId="3F3E66FC" w14:textId="77777777">
      <w:pPr>
        <w:ind w:left="360"/>
        <w:jc w:val="both"/>
        <w:rPr>
          <w:szCs w:val="24"/>
        </w:rPr>
      </w:pPr>
      <w:r w:rsidRPr="009A70F2">
        <w:rPr>
          <w:szCs w:val="24"/>
        </w:rPr>
        <w:t>4.</w:t>
      </w:r>
      <w:r w:rsidRPr="009A70F2">
        <w:rPr>
          <w:szCs w:val="24"/>
        </w:rPr>
        <w:tab/>
      </w:r>
      <w:r w:rsidRPr="009A70F2" w:rsidR="00DA3579">
        <w:rPr>
          <w:szCs w:val="24"/>
        </w:rPr>
        <w:t>To our knowledge, this collection is not duplicative of another existing collection.</w:t>
      </w:r>
      <w:r w:rsidRPr="009A70F2" w:rsidR="00976E67">
        <w:rPr>
          <w:szCs w:val="24"/>
        </w:rPr>
        <w:t xml:space="preserve">  </w:t>
      </w:r>
    </w:p>
    <w:p w:rsidRPr="009A70F2" w:rsidR="00F41021" w:rsidP="00F41021" w:rsidRDefault="00F41021" w14:paraId="3F3E66FD" w14:textId="77777777">
      <w:pPr>
        <w:ind w:left="360"/>
        <w:jc w:val="both"/>
        <w:rPr>
          <w:szCs w:val="24"/>
        </w:rPr>
      </w:pPr>
      <w:r w:rsidRPr="009A70F2">
        <w:rPr>
          <w:szCs w:val="24"/>
        </w:rPr>
        <w:t>5.</w:t>
      </w:r>
      <w:r w:rsidRPr="009A70F2">
        <w:rPr>
          <w:szCs w:val="24"/>
        </w:rPr>
        <w:tab/>
      </w:r>
      <w:r w:rsidRPr="009A70F2" w:rsidR="005B08EC">
        <w:rPr>
          <w:szCs w:val="24"/>
        </w:rPr>
        <w:t xml:space="preserve">This information collection </w:t>
      </w:r>
      <w:r w:rsidRPr="009A70F2" w:rsidR="00667E2C">
        <w:rPr>
          <w:szCs w:val="24"/>
        </w:rPr>
        <w:t>does</w:t>
      </w:r>
      <w:r w:rsidRPr="009A70F2" w:rsidR="005B08EC">
        <w:rPr>
          <w:szCs w:val="24"/>
        </w:rPr>
        <w:t xml:space="preserve"> not involve small businesses or other small entities.</w:t>
      </w:r>
    </w:p>
    <w:p w:rsidRPr="009A70F2" w:rsidR="000B3122" w:rsidP="00F41021" w:rsidRDefault="00F41021" w14:paraId="3F3E66FE" w14:textId="4B5DB8FB">
      <w:pPr>
        <w:ind w:left="360"/>
        <w:jc w:val="both"/>
        <w:rPr>
          <w:szCs w:val="24"/>
        </w:rPr>
      </w:pPr>
      <w:r w:rsidRPr="009A70F2">
        <w:rPr>
          <w:szCs w:val="24"/>
        </w:rPr>
        <w:t>6.</w:t>
      </w:r>
      <w:r w:rsidRPr="009A70F2">
        <w:rPr>
          <w:szCs w:val="24"/>
        </w:rPr>
        <w:tab/>
      </w:r>
      <w:r w:rsidRPr="009A70F2" w:rsidR="000B3122">
        <w:rPr>
          <w:szCs w:val="24"/>
        </w:rPr>
        <w:t xml:space="preserve">This information collection is essential for determining whether </w:t>
      </w:r>
      <w:r w:rsidR="00107F30">
        <w:rPr>
          <w:szCs w:val="24"/>
        </w:rPr>
        <w:t xml:space="preserve">certain </w:t>
      </w:r>
      <w:r w:rsidRPr="009A70F2" w:rsidR="000B3122">
        <w:rPr>
          <w:szCs w:val="24"/>
        </w:rPr>
        <w:t>applicant</w:t>
      </w:r>
      <w:r w:rsidR="00107F30">
        <w:rPr>
          <w:szCs w:val="24"/>
        </w:rPr>
        <w:t>s</w:t>
      </w:r>
      <w:r w:rsidRPr="009A70F2" w:rsidR="000B3122">
        <w:rPr>
          <w:szCs w:val="24"/>
        </w:rPr>
        <w:t xml:space="preserve"> </w:t>
      </w:r>
      <w:r w:rsidR="00107F30">
        <w:rPr>
          <w:szCs w:val="24"/>
        </w:rPr>
        <w:t>are</w:t>
      </w:r>
      <w:r w:rsidRPr="009A70F2" w:rsidR="000B3122">
        <w:rPr>
          <w:szCs w:val="24"/>
        </w:rPr>
        <w:t xml:space="preserve"> eligible for a visa.  An applicant completes the form once per visa application.  It is not possible to collect the information less frequently, as consular officers need up-to-date information to determine efficiently whether an applicant is eligible to receive a visa.</w:t>
      </w:r>
    </w:p>
    <w:p w:rsidRPr="009A70F2" w:rsidR="00F41021" w:rsidP="00F41021" w:rsidRDefault="00F41021" w14:paraId="3F3E66FF" w14:textId="77777777">
      <w:pPr>
        <w:ind w:left="360"/>
        <w:jc w:val="both"/>
        <w:rPr>
          <w:szCs w:val="24"/>
        </w:rPr>
      </w:pPr>
      <w:r w:rsidRPr="009A70F2">
        <w:rPr>
          <w:szCs w:val="24"/>
        </w:rPr>
        <w:t>7.</w:t>
      </w:r>
      <w:r w:rsidRPr="009A70F2">
        <w:rPr>
          <w:szCs w:val="24"/>
        </w:rPr>
        <w:tab/>
        <w:t>No special circumstances exist.</w:t>
      </w:r>
    </w:p>
    <w:p w:rsidRPr="009A70F2" w:rsidR="000B3122" w:rsidP="000B3122" w:rsidRDefault="00F41021" w14:paraId="3F3E6700" w14:textId="6706795A">
      <w:pPr>
        <w:ind w:left="360"/>
        <w:jc w:val="both"/>
      </w:pPr>
      <w:r w:rsidRPr="009A70F2">
        <w:rPr>
          <w:szCs w:val="24"/>
        </w:rPr>
        <w:t>8.</w:t>
      </w:r>
      <w:r w:rsidRPr="009A70F2">
        <w:rPr>
          <w:szCs w:val="24"/>
        </w:rPr>
        <w:tab/>
      </w:r>
      <w:r w:rsidRPr="00B341F9" w:rsidR="00B341F9">
        <w:t xml:space="preserve">The Department of State (Visa Office, Bureau of Consular Affairs) published a 60-day notice in the Federal Register on </w:t>
      </w:r>
      <w:r w:rsidR="00B341F9">
        <w:t>June 8</w:t>
      </w:r>
      <w:r w:rsidRPr="00B341F9" w:rsidR="00B341F9">
        <w:t>, 2018 (</w:t>
      </w:r>
      <w:r w:rsidRPr="00EE37CB" w:rsidR="00B341F9">
        <w:rPr>
          <w:color w:val="333333"/>
        </w:rPr>
        <w:t>83 FR 26740</w:t>
      </w:r>
      <w:r w:rsidRPr="00B341F9" w:rsidR="00B341F9">
        <w:t xml:space="preserve">), soliciting public comment on this collection.  The Department received </w:t>
      </w:r>
      <w:r w:rsidR="00D603A2">
        <w:t xml:space="preserve">one nonresponsive comment on the collection.  </w:t>
      </w:r>
    </w:p>
    <w:p w:rsidRPr="009A70F2" w:rsidR="00F41021" w:rsidP="00F41021" w:rsidRDefault="00F41021" w14:paraId="3F3E6701" w14:textId="77777777">
      <w:pPr>
        <w:ind w:left="360"/>
        <w:jc w:val="both"/>
        <w:rPr>
          <w:szCs w:val="24"/>
        </w:rPr>
      </w:pPr>
      <w:r w:rsidRPr="009A70F2">
        <w:rPr>
          <w:szCs w:val="24"/>
        </w:rPr>
        <w:t>9.</w:t>
      </w:r>
      <w:r w:rsidRPr="009A70F2">
        <w:rPr>
          <w:szCs w:val="24"/>
        </w:rPr>
        <w:tab/>
      </w:r>
      <w:r w:rsidRPr="009A70F2" w:rsidR="005B08EC">
        <w:rPr>
          <w:szCs w:val="24"/>
        </w:rPr>
        <w:t>No payment or gift is provided to respondents.</w:t>
      </w:r>
    </w:p>
    <w:p w:rsidRPr="009A70F2" w:rsidR="00F41021" w:rsidP="00F41021" w:rsidRDefault="00F41021" w14:paraId="3F3E6702" w14:textId="77777777">
      <w:pPr>
        <w:ind w:left="360"/>
        <w:jc w:val="both"/>
        <w:rPr>
          <w:szCs w:val="24"/>
        </w:rPr>
      </w:pPr>
      <w:r w:rsidRPr="009A70F2">
        <w:rPr>
          <w:szCs w:val="24"/>
        </w:rPr>
        <w:t>10.</w:t>
      </w:r>
      <w:r w:rsidRPr="009A70F2">
        <w:rPr>
          <w:szCs w:val="24"/>
        </w:rPr>
        <w:tab/>
      </w:r>
      <w:r w:rsidRPr="009A70F2" w:rsidR="00301D7D">
        <w:rPr>
          <w:szCs w:val="24"/>
        </w:rPr>
        <w:t xml:space="preserve"> </w:t>
      </w:r>
      <w:r w:rsidRPr="009A70F2" w:rsidR="005B08EC">
        <w:rPr>
          <w:szCs w:val="24"/>
        </w:rPr>
        <w:t>In accordance with INA section 222(f)</w:t>
      </w:r>
      <w:r w:rsidR="00A138C9">
        <w:rPr>
          <w:szCs w:val="24"/>
        </w:rPr>
        <w:t>,</w:t>
      </w:r>
      <w:r w:rsidRPr="009A70F2" w:rsidR="005B08EC">
        <w:rPr>
          <w:szCs w:val="24"/>
        </w:rPr>
        <w:t xml:space="preserve"> 8 U.S.C. § 1202(f),</w:t>
      </w:r>
      <w:r w:rsidRPr="009A70F2" w:rsidR="000444A2">
        <w:rPr>
          <w:szCs w:val="24"/>
        </w:rPr>
        <w:t xml:space="preserve"> information obtained from applicants in the nonimmigrant or immigrant visa application process is considered confidential</w:t>
      </w:r>
      <w:r w:rsidRPr="009A70F2" w:rsidR="005B08EC">
        <w:rPr>
          <w:szCs w:val="24"/>
        </w:rPr>
        <w:t xml:space="preserve"> and </w:t>
      </w:r>
      <w:r w:rsidRPr="009A70F2" w:rsidR="000444A2">
        <w:rPr>
          <w:szCs w:val="24"/>
        </w:rPr>
        <w:t xml:space="preserve">is to be used </w:t>
      </w:r>
      <w:r w:rsidRPr="009A70F2" w:rsidR="005B08EC">
        <w:rPr>
          <w:szCs w:val="24"/>
        </w:rPr>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w:t>
      </w:r>
      <w:r w:rsidR="00A138C9">
        <w:rPr>
          <w:szCs w:val="24"/>
        </w:rPr>
        <w:t>, 8 U.S.C. § 1202(f),</w:t>
      </w:r>
      <w:r w:rsidRPr="009A70F2" w:rsidR="005B08EC">
        <w:rPr>
          <w:szCs w:val="24"/>
        </w:rPr>
        <w:t xml:space="preserve"> are satisfied.</w:t>
      </w:r>
      <w:r w:rsidRPr="009A70F2" w:rsidR="00D62873">
        <w:rPr>
          <w:szCs w:val="24"/>
        </w:rPr>
        <w:t xml:space="preserve">  </w:t>
      </w:r>
    </w:p>
    <w:p w:rsidRPr="009A70F2" w:rsidR="00301D7D" w:rsidP="00F06506" w:rsidRDefault="00F41021" w14:paraId="3F3E6703" w14:textId="658E57F0">
      <w:pPr>
        <w:ind w:left="360"/>
        <w:jc w:val="both"/>
      </w:pPr>
      <w:r w:rsidRPr="009A70F2">
        <w:rPr>
          <w:szCs w:val="24"/>
        </w:rPr>
        <w:t>11.</w:t>
      </w:r>
      <w:r w:rsidRPr="009A70F2">
        <w:rPr>
          <w:szCs w:val="24"/>
        </w:rPr>
        <w:tab/>
      </w:r>
      <w:r w:rsidRPr="009A70F2" w:rsidR="00301D7D">
        <w:rPr>
          <w:szCs w:val="24"/>
        </w:rPr>
        <w:t xml:space="preserve"> </w:t>
      </w:r>
      <w:r w:rsidRPr="009A70F2" w:rsidR="00301D7D">
        <w:t>The questions in the collection are designed to solicit the information necessary to determine whether an applicant is eligible for a</w:t>
      </w:r>
      <w:r w:rsidRPr="009A70F2" w:rsidR="00556418">
        <w:t>n</w:t>
      </w:r>
      <w:r w:rsidRPr="009A70F2" w:rsidR="00301D7D">
        <w:t xml:space="preserve"> </w:t>
      </w:r>
      <w:r w:rsidRPr="009A70F2" w:rsidR="00556418">
        <w:t xml:space="preserve">immigrant or </w:t>
      </w:r>
      <w:r w:rsidRPr="009A70F2" w:rsidR="00301D7D">
        <w:t>nonimmigrant visa</w:t>
      </w:r>
      <w:r w:rsidR="00107F30">
        <w:t>, in light of</w:t>
      </w:r>
      <w:r w:rsidRPr="009A70F2" w:rsidR="00301D7D">
        <w:t xml:space="preserve"> </w:t>
      </w:r>
      <w:r w:rsidRPr="009A70F2" w:rsidR="00281927">
        <w:lastRenderedPageBreak/>
        <w:t>the JADE Act</w:t>
      </w:r>
      <w:r w:rsidR="00A138C9">
        <w:t xml:space="preserve">, </w:t>
      </w:r>
      <w:r w:rsidRPr="009A70F2" w:rsidR="00281927">
        <w:t>Public Law 110-286</w:t>
      </w:r>
      <w:r w:rsidR="00A138C9">
        <w:t>,</w:t>
      </w:r>
      <w:r w:rsidRPr="009A70F2" w:rsidR="00281927">
        <w:t xml:space="preserve"> </w:t>
      </w:r>
      <w:r w:rsidRPr="009A70F2" w:rsidR="00F06506">
        <w:t xml:space="preserve">and </w:t>
      </w:r>
      <w:r w:rsidRPr="009A70F2" w:rsidR="00301D7D">
        <w:t xml:space="preserve">section </w:t>
      </w:r>
      <w:r w:rsidRPr="009A70F2" w:rsidR="00483A90">
        <w:t>203 of the INA</w:t>
      </w:r>
      <w:r w:rsidR="00A138C9">
        <w:t>,</w:t>
      </w:r>
      <w:r w:rsidR="00107F30">
        <w:t xml:space="preserve"> </w:t>
      </w:r>
      <w:r w:rsidRPr="009A70F2" w:rsidR="00556418">
        <w:t>8 U.S. Code § 1153</w:t>
      </w:r>
      <w:r w:rsidR="00A138C9">
        <w:t>,</w:t>
      </w:r>
      <w:r w:rsidRPr="009A70F2" w:rsidR="00556418">
        <w:t xml:space="preserve"> and </w:t>
      </w:r>
      <w:r w:rsidRPr="009A70F2" w:rsidR="00483A90">
        <w:t xml:space="preserve">section </w:t>
      </w:r>
      <w:r w:rsidRPr="009A70F2" w:rsidR="00301D7D">
        <w:t>101(a)(15) of the INA</w:t>
      </w:r>
      <w:r w:rsidR="00A138C9">
        <w:t xml:space="preserve">, </w:t>
      </w:r>
      <w:r w:rsidRPr="009A70F2" w:rsidR="00301D7D">
        <w:t xml:space="preserve">8 U.S.C. § 1101(a)(15).  </w:t>
      </w:r>
    </w:p>
    <w:p w:rsidRPr="009A70F2" w:rsidR="00F41021" w:rsidP="00CE12B9" w:rsidRDefault="00210161" w14:paraId="3F3E6704" w14:textId="012E0F55">
      <w:pPr>
        <w:ind w:left="360"/>
        <w:jc w:val="both"/>
        <w:rPr>
          <w:szCs w:val="24"/>
        </w:rPr>
      </w:pPr>
      <w:r>
        <w:rPr>
          <w:szCs w:val="24"/>
        </w:rPr>
        <w:t>The proposed questions</w:t>
      </w:r>
      <w:r w:rsidRPr="009A70F2" w:rsidR="00C06FA7">
        <w:rPr>
          <w:szCs w:val="24"/>
        </w:rPr>
        <w:t xml:space="preserve"> </w:t>
      </w:r>
      <w:r w:rsidRPr="009A70F2" w:rsidR="0019607F">
        <w:rPr>
          <w:szCs w:val="24"/>
        </w:rPr>
        <w:t xml:space="preserve">are similar in nature to questions currently on the </w:t>
      </w:r>
      <w:r w:rsidRPr="009A70F2" w:rsidR="002636E9">
        <w:rPr>
          <w:szCs w:val="24"/>
        </w:rPr>
        <w:t xml:space="preserve">immigrant and nonimmigrant visa </w:t>
      </w:r>
      <w:r w:rsidRPr="009A70F2" w:rsidR="0019607F">
        <w:rPr>
          <w:szCs w:val="24"/>
        </w:rPr>
        <w:t>application form</w:t>
      </w:r>
      <w:r w:rsidRPr="009A70F2" w:rsidR="002636E9">
        <w:rPr>
          <w:szCs w:val="24"/>
        </w:rPr>
        <w:t>s</w:t>
      </w:r>
      <w:r w:rsidRPr="009A70F2" w:rsidR="0019607F">
        <w:rPr>
          <w:szCs w:val="24"/>
        </w:rPr>
        <w:t xml:space="preserve"> and thus do not</w:t>
      </w:r>
      <w:r w:rsidR="00107F30">
        <w:rPr>
          <w:szCs w:val="24"/>
        </w:rPr>
        <w:t>,</w:t>
      </w:r>
      <w:r w:rsidRPr="009A70F2" w:rsidR="0019607F">
        <w:rPr>
          <w:szCs w:val="24"/>
        </w:rPr>
        <w:t xml:space="preserve"> for the most part</w:t>
      </w:r>
      <w:r w:rsidR="00107F30">
        <w:rPr>
          <w:szCs w:val="24"/>
        </w:rPr>
        <w:t>,</w:t>
      </w:r>
      <w:r w:rsidRPr="009A70F2" w:rsidR="0019607F">
        <w:rPr>
          <w:szCs w:val="24"/>
        </w:rPr>
        <w:t xml:space="preserve"> present new or unusual sensitivities; they simply </w:t>
      </w:r>
      <w:r w:rsidR="000231CF">
        <w:rPr>
          <w:szCs w:val="24"/>
        </w:rPr>
        <w:t>request information necessary to determine</w:t>
      </w:r>
      <w:r w:rsidRPr="009A70F2" w:rsidR="000231CF">
        <w:rPr>
          <w:szCs w:val="24"/>
        </w:rPr>
        <w:t xml:space="preserve"> </w:t>
      </w:r>
      <w:r w:rsidRPr="009A70F2" w:rsidR="002B36A3">
        <w:rPr>
          <w:szCs w:val="24"/>
        </w:rPr>
        <w:t xml:space="preserve">whether the applicant </w:t>
      </w:r>
      <w:r w:rsidRPr="009A70F2" w:rsidR="0083246E">
        <w:rPr>
          <w:szCs w:val="24"/>
        </w:rPr>
        <w:t>is ineligible under</w:t>
      </w:r>
      <w:r w:rsidRPr="009A70F2" w:rsidR="002B36A3">
        <w:rPr>
          <w:szCs w:val="24"/>
        </w:rPr>
        <w:t xml:space="preserve"> the JADE Act</w:t>
      </w:r>
    </w:p>
    <w:p w:rsidRPr="009A70F2" w:rsidR="00430420" w:rsidP="00F41021" w:rsidRDefault="00F41021" w14:paraId="3F3E6705" w14:textId="77777777">
      <w:pPr>
        <w:ind w:left="360"/>
        <w:jc w:val="both"/>
        <w:rPr>
          <w:szCs w:val="24"/>
        </w:rPr>
      </w:pPr>
      <w:r w:rsidRPr="009A70F2">
        <w:rPr>
          <w:szCs w:val="24"/>
        </w:rPr>
        <w:t>12.</w:t>
      </w:r>
      <w:r w:rsidRPr="009A70F2">
        <w:rPr>
          <w:szCs w:val="24"/>
        </w:rPr>
        <w:tab/>
      </w:r>
      <w:r w:rsidR="00CE12B9">
        <w:rPr>
          <w:szCs w:val="24"/>
        </w:rPr>
        <w:t>The Department</w:t>
      </w:r>
      <w:r w:rsidRPr="009A70F2" w:rsidR="00672A6D">
        <w:rPr>
          <w:szCs w:val="24"/>
        </w:rPr>
        <w:t xml:space="preserve"> estimate</w:t>
      </w:r>
      <w:r w:rsidR="00CE12B9">
        <w:rPr>
          <w:szCs w:val="24"/>
        </w:rPr>
        <w:t>s</w:t>
      </w:r>
      <w:r w:rsidRPr="009A70F2" w:rsidR="00672A6D">
        <w:rPr>
          <w:szCs w:val="24"/>
        </w:rPr>
        <w:t xml:space="preserve"> that </w:t>
      </w:r>
      <w:r w:rsidR="0005697A">
        <w:rPr>
          <w:szCs w:val="24"/>
        </w:rPr>
        <w:t>20,5</w:t>
      </w:r>
      <w:r w:rsidR="00900BE8">
        <w:rPr>
          <w:szCs w:val="24"/>
        </w:rPr>
        <w:t>00</w:t>
      </w:r>
      <w:r w:rsidRPr="009A70F2" w:rsidR="0005697A">
        <w:rPr>
          <w:szCs w:val="24"/>
        </w:rPr>
        <w:t xml:space="preserve"> </w:t>
      </w:r>
      <w:r w:rsidRPr="009A70F2" w:rsidR="00672A6D">
        <w:rPr>
          <w:szCs w:val="24"/>
        </w:rPr>
        <w:t>individuals per annum, will</w:t>
      </w:r>
      <w:r w:rsidR="00CE12B9">
        <w:rPr>
          <w:szCs w:val="24"/>
        </w:rPr>
        <w:t xml:space="preserve"> be asked this information. </w:t>
      </w:r>
      <w:r w:rsidRPr="009A70F2" w:rsidR="00430420">
        <w:rPr>
          <w:szCs w:val="24"/>
        </w:rPr>
        <w:t xml:space="preserve">  </w:t>
      </w:r>
    </w:p>
    <w:p w:rsidRPr="009A70F2" w:rsidR="003967A4" w:rsidP="003967A4" w:rsidRDefault="007D09CB" w14:paraId="3F3E6706" w14:textId="36D9CCA3">
      <w:pPr>
        <w:ind w:left="360"/>
        <w:jc w:val="both"/>
        <w:rPr>
          <w:color w:val="000000"/>
          <w:szCs w:val="24"/>
        </w:rPr>
      </w:pPr>
      <w:r w:rsidRPr="009A70F2">
        <w:rPr>
          <w:szCs w:val="24"/>
        </w:rPr>
        <w:t xml:space="preserve">Therefore, the </w:t>
      </w:r>
      <w:r w:rsidRPr="009A70F2" w:rsidR="00DF1C6C">
        <w:rPr>
          <w:szCs w:val="24"/>
        </w:rPr>
        <w:t xml:space="preserve">Department of State estimates that the annual hour burden to visa applicants posed by the additional questions is </w:t>
      </w:r>
      <w:r w:rsidR="0005697A">
        <w:rPr>
          <w:szCs w:val="24"/>
        </w:rPr>
        <w:t>10,2</w:t>
      </w:r>
      <w:r w:rsidR="00900BE8">
        <w:rPr>
          <w:szCs w:val="24"/>
        </w:rPr>
        <w:t>50</w:t>
      </w:r>
      <w:r w:rsidRPr="009A70F2" w:rsidR="0005697A">
        <w:rPr>
          <w:szCs w:val="24"/>
        </w:rPr>
        <w:t xml:space="preserve"> </w:t>
      </w:r>
      <w:r w:rsidRPr="009A70F2" w:rsidR="00DF1C6C">
        <w:rPr>
          <w:szCs w:val="24"/>
        </w:rPr>
        <w:t>hours (</w:t>
      </w:r>
      <w:r w:rsidRPr="002327C5" w:rsidR="0005697A">
        <w:rPr>
          <w:szCs w:val="24"/>
        </w:rPr>
        <w:t>20,5</w:t>
      </w:r>
      <w:r w:rsidRPr="002327C5" w:rsidR="00900BE8">
        <w:rPr>
          <w:szCs w:val="24"/>
        </w:rPr>
        <w:t>00</w:t>
      </w:r>
      <w:r w:rsidRPr="002327C5" w:rsidR="0005697A">
        <w:rPr>
          <w:szCs w:val="24"/>
        </w:rPr>
        <w:t xml:space="preserve">  </w:t>
      </w:r>
      <w:r w:rsidRPr="00B97D69" w:rsidR="00DF1C6C">
        <w:rPr>
          <w:szCs w:val="24"/>
        </w:rPr>
        <w:t xml:space="preserve"> applicants</w:t>
      </w:r>
      <w:r w:rsidRPr="009A70F2" w:rsidR="00DF1C6C">
        <w:rPr>
          <w:szCs w:val="24"/>
        </w:rPr>
        <w:t xml:space="preserve"> x </w:t>
      </w:r>
      <w:r w:rsidR="0005697A">
        <w:rPr>
          <w:szCs w:val="24"/>
        </w:rPr>
        <w:t>30 min</w:t>
      </w:r>
      <w:r w:rsidR="003160A4">
        <w:rPr>
          <w:szCs w:val="24"/>
        </w:rPr>
        <w:t>ute</w:t>
      </w:r>
      <w:r w:rsidR="0005697A">
        <w:rPr>
          <w:szCs w:val="24"/>
        </w:rPr>
        <w:t>s</w:t>
      </w:r>
      <w:r w:rsidRPr="009A70F2" w:rsidR="00DF1C6C">
        <w:rPr>
          <w:szCs w:val="24"/>
        </w:rPr>
        <w:t xml:space="preserve">). </w:t>
      </w:r>
      <w:r w:rsidRPr="009A70F2" w:rsidR="00F7484A">
        <w:rPr>
          <w:szCs w:val="24"/>
        </w:rPr>
        <w:t xml:space="preserve"> </w:t>
      </w:r>
      <w:r w:rsidRPr="009A70F2">
        <w:rPr>
          <w:szCs w:val="24"/>
        </w:rPr>
        <w:t>Based on an average</w:t>
      </w:r>
      <w:r w:rsidRPr="009A70F2" w:rsidR="00F129CE">
        <w:rPr>
          <w:szCs w:val="24"/>
        </w:rPr>
        <w:t xml:space="preserve"> monthly net salary in Burma of $</w:t>
      </w:r>
      <w:r w:rsidR="003E2E74">
        <w:rPr>
          <w:szCs w:val="24"/>
        </w:rPr>
        <w:t>75</w:t>
      </w:r>
      <w:r w:rsidR="009A50AF">
        <w:rPr>
          <w:rStyle w:val="FootnoteReference"/>
          <w:szCs w:val="24"/>
        </w:rPr>
        <w:footnoteReference w:id="1"/>
      </w:r>
      <w:r w:rsidRPr="009A70F2" w:rsidR="00F129CE">
        <w:rPr>
          <w:szCs w:val="24"/>
        </w:rPr>
        <w:t>, weekly pay of $</w:t>
      </w:r>
      <w:r w:rsidR="009A50AF">
        <w:rPr>
          <w:szCs w:val="24"/>
        </w:rPr>
        <w:t>18.75</w:t>
      </w:r>
      <w:r w:rsidRPr="009A70F2" w:rsidR="00F129CE">
        <w:rPr>
          <w:szCs w:val="24"/>
        </w:rPr>
        <w:t xml:space="preserve">, and </w:t>
      </w:r>
      <w:r w:rsidRPr="009A70F2">
        <w:rPr>
          <w:szCs w:val="24"/>
        </w:rPr>
        <w:t>hourly wage of $</w:t>
      </w:r>
      <w:r w:rsidR="003E2E74">
        <w:rPr>
          <w:szCs w:val="24"/>
        </w:rPr>
        <w:t>0</w:t>
      </w:r>
      <w:r w:rsidRPr="009A70F2" w:rsidR="00F129CE">
        <w:rPr>
          <w:szCs w:val="24"/>
        </w:rPr>
        <w:t>.</w:t>
      </w:r>
      <w:r w:rsidR="003E2E74">
        <w:rPr>
          <w:szCs w:val="24"/>
        </w:rPr>
        <w:t>46</w:t>
      </w:r>
      <w:r w:rsidRPr="009A70F2">
        <w:rPr>
          <w:szCs w:val="24"/>
        </w:rPr>
        <w:t>, the weighted wage hour cost burden for this collection is $</w:t>
      </w:r>
      <w:r w:rsidR="003160A4">
        <w:rPr>
          <w:szCs w:val="24"/>
        </w:rPr>
        <w:t>6,601</w:t>
      </w:r>
      <w:r w:rsidRPr="009A70F2">
        <w:rPr>
          <w:szCs w:val="24"/>
        </w:rPr>
        <w:t>.  This is based on the calculation of $</w:t>
      </w:r>
      <w:r w:rsidR="003E2E74">
        <w:rPr>
          <w:szCs w:val="24"/>
        </w:rPr>
        <w:t>0</w:t>
      </w:r>
      <w:r w:rsidRPr="009A70F2" w:rsidR="00F129CE">
        <w:rPr>
          <w:szCs w:val="24"/>
        </w:rPr>
        <w:t>.</w:t>
      </w:r>
      <w:r w:rsidR="003E2E74">
        <w:rPr>
          <w:szCs w:val="24"/>
        </w:rPr>
        <w:t>46</w:t>
      </w:r>
      <w:r w:rsidRPr="009A70F2">
        <w:rPr>
          <w:szCs w:val="24"/>
        </w:rPr>
        <w:t xml:space="preserve"> (average hourly wage) x 1.4 (weighted wage multiplier) </w:t>
      </w:r>
      <w:r w:rsidR="002839C6">
        <w:rPr>
          <w:szCs w:val="24"/>
        </w:rPr>
        <w:t>x</w:t>
      </w:r>
      <w:r w:rsidRPr="003E2E74" w:rsidR="003E2E74">
        <w:t xml:space="preserve"> </w:t>
      </w:r>
      <w:r w:rsidRPr="003E2E74" w:rsidR="003E2E74">
        <w:rPr>
          <w:szCs w:val="24"/>
        </w:rPr>
        <w:t>10,250 hours</w:t>
      </w:r>
      <w:r w:rsidRPr="009A70F2">
        <w:rPr>
          <w:szCs w:val="24"/>
        </w:rPr>
        <w:t xml:space="preserve"> =$</w:t>
      </w:r>
      <w:r w:rsidR="003E2E74">
        <w:rPr>
          <w:szCs w:val="24"/>
        </w:rPr>
        <w:t>6</w:t>
      </w:r>
      <w:r w:rsidR="003160A4">
        <w:rPr>
          <w:szCs w:val="24"/>
        </w:rPr>
        <w:t>,</w:t>
      </w:r>
      <w:r w:rsidR="003E2E74">
        <w:rPr>
          <w:szCs w:val="24"/>
        </w:rPr>
        <w:t>601</w:t>
      </w:r>
      <w:r w:rsidRPr="009A70F2">
        <w:rPr>
          <w:szCs w:val="24"/>
        </w:rPr>
        <w:t>.</w:t>
      </w:r>
      <w:bookmarkStart w:name="OLE_LINK1" w:id="0"/>
      <w:bookmarkStart w:name="OLE_LINK2" w:id="1"/>
    </w:p>
    <w:p w:rsidRPr="009A70F2" w:rsidR="003967A4" w:rsidP="003967A4" w:rsidRDefault="003967A4" w14:paraId="3F3E6707" w14:textId="2E866B7D">
      <w:pPr>
        <w:ind w:left="360"/>
        <w:jc w:val="both"/>
        <w:rPr>
          <w:color w:val="000000"/>
          <w:szCs w:val="24"/>
        </w:rPr>
      </w:pPr>
      <w:r w:rsidRPr="009A70F2">
        <w:rPr>
          <w:color w:val="000000"/>
          <w:szCs w:val="24"/>
        </w:rPr>
        <w:t>13.</w:t>
      </w:r>
      <w:r w:rsidRPr="009A70F2">
        <w:rPr>
          <w:color w:val="000000"/>
          <w:szCs w:val="24"/>
        </w:rPr>
        <w:tab/>
      </w:r>
      <w:r w:rsidRPr="009A70F2" w:rsidR="00F147C5">
        <w:rPr>
          <w:szCs w:val="24"/>
        </w:rPr>
        <w:t>There are no anticipated monetary burdens</w:t>
      </w:r>
      <w:r w:rsidRPr="009A70F2" w:rsidR="00624BD7">
        <w:rPr>
          <w:szCs w:val="24"/>
        </w:rPr>
        <w:t xml:space="preserve"> associated with the additional questions posed as part of this information collection</w:t>
      </w:r>
      <w:r w:rsidR="00CB045D">
        <w:rPr>
          <w:szCs w:val="24"/>
        </w:rPr>
        <w:t xml:space="preserve"> as respondents submit the form in conjunction with their normal visa interview</w:t>
      </w:r>
      <w:r w:rsidRPr="009A70F2" w:rsidR="005B08EC">
        <w:rPr>
          <w:szCs w:val="24"/>
        </w:rPr>
        <w:t>.</w:t>
      </w:r>
      <w:r w:rsidRPr="009A70F2" w:rsidR="00624BD7">
        <w:rPr>
          <w:szCs w:val="24"/>
        </w:rPr>
        <w:t xml:space="preserve">  </w:t>
      </w:r>
      <w:bookmarkEnd w:id="0"/>
      <w:bookmarkEnd w:id="1"/>
    </w:p>
    <w:p w:rsidRPr="009A70F2" w:rsidR="003967A4" w:rsidP="003967A4" w:rsidRDefault="003967A4" w14:paraId="3F3E6708" w14:textId="2CD390AA">
      <w:pPr>
        <w:ind w:left="360"/>
        <w:jc w:val="both"/>
        <w:rPr>
          <w:color w:val="000000"/>
          <w:szCs w:val="24"/>
        </w:rPr>
      </w:pPr>
      <w:r w:rsidRPr="009A70F2">
        <w:rPr>
          <w:color w:val="000000"/>
          <w:szCs w:val="24"/>
        </w:rPr>
        <w:t>14.</w:t>
      </w:r>
      <w:r w:rsidRPr="009A70F2">
        <w:rPr>
          <w:b/>
          <w:szCs w:val="24"/>
        </w:rPr>
        <w:tab/>
      </w:r>
      <w:r w:rsidRPr="009A70F2" w:rsidR="00624BD7">
        <w:rPr>
          <w:szCs w:val="24"/>
        </w:rPr>
        <w:t>There are no additional costs to the Federal Government as a result of this information collection.  The costs of adjudicating the underlying visa applications are accounted for in separate information collections</w:t>
      </w:r>
      <w:r w:rsidR="00F02549">
        <w:rPr>
          <w:szCs w:val="24"/>
        </w:rPr>
        <w:t xml:space="preserve">.  </w:t>
      </w:r>
      <w:r w:rsidRPr="00B22901" w:rsidR="00F02549">
        <w:rPr>
          <w:szCs w:val="24"/>
        </w:rPr>
        <w:t>The Department is unable to separate the costs for the DS-</w:t>
      </w:r>
      <w:r w:rsidR="00FF5591">
        <w:rPr>
          <w:szCs w:val="24"/>
        </w:rPr>
        <w:t xml:space="preserve">5537, </w:t>
      </w:r>
      <w:r w:rsidR="00F02549">
        <w:rPr>
          <w:szCs w:val="24"/>
        </w:rPr>
        <w:t xml:space="preserve">because the Department calculates the cost to the government for adjudicating visas on the basis of the service provided and not by the individual forms reviewed.  The DS-5537 is a part of the overall service, and the cost of service model developed by the Department takes the entire visa process into consideration to calculate the fee for service. </w:t>
      </w:r>
    </w:p>
    <w:p w:rsidRPr="009A70F2" w:rsidR="003967A4" w:rsidP="003967A4" w:rsidRDefault="003967A4" w14:paraId="3F3E6709" w14:textId="6A0F2358">
      <w:pPr>
        <w:ind w:left="360"/>
        <w:jc w:val="both"/>
        <w:rPr>
          <w:color w:val="000000"/>
          <w:szCs w:val="24"/>
        </w:rPr>
      </w:pPr>
      <w:r w:rsidRPr="009A70F2">
        <w:rPr>
          <w:color w:val="000000"/>
          <w:szCs w:val="24"/>
        </w:rPr>
        <w:t>15.</w:t>
      </w:r>
      <w:r w:rsidRPr="009A70F2">
        <w:rPr>
          <w:b/>
          <w:szCs w:val="24"/>
        </w:rPr>
        <w:tab/>
      </w:r>
      <w:r w:rsidRPr="009A70F2" w:rsidR="0031380B">
        <w:rPr>
          <w:szCs w:val="24"/>
        </w:rPr>
        <w:t>This is a</w:t>
      </w:r>
      <w:r w:rsidR="00894AB5">
        <w:rPr>
          <w:szCs w:val="24"/>
        </w:rPr>
        <w:t>n existing collection in use without an OMB Control Number.</w:t>
      </w:r>
      <w:bookmarkStart w:name="_GoBack" w:id="2"/>
      <w:bookmarkEnd w:id="2"/>
    </w:p>
    <w:p w:rsidRPr="009A70F2" w:rsidR="00F7484A" w:rsidP="00F7484A" w:rsidRDefault="003967A4" w14:paraId="3F3E670A" w14:textId="072D1980">
      <w:pPr>
        <w:ind w:left="360"/>
        <w:jc w:val="both"/>
      </w:pPr>
      <w:r w:rsidRPr="009A70F2">
        <w:rPr>
          <w:color w:val="000000"/>
          <w:szCs w:val="24"/>
        </w:rPr>
        <w:t>16.</w:t>
      </w:r>
      <w:r w:rsidRPr="009A70F2">
        <w:rPr>
          <w:b/>
          <w:szCs w:val="24"/>
        </w:rPr>
        <w:tab/>
      </w:r>
      <w:r w:rsidRPr="009A70F2">
        <w:rPr>
          <w:szCs w:val="24"/>
        </w:rPr>
        <w:t>Th</w:t>
      </w:r>
      <w:r w:rsidRPr="009A70F2" w:rsidR="00310D31">
        <w:rPr>
          <w:szCs w:val="24"/>
        </w:rPr>
        <w:t xml:space="preserve">e information gathered by this collection will not be published.  </w:t>
      </w:r>
      <w:r w:rsidRPr="009A70F2" w:rsidR="00FB3877">
        <w:t>However, a</w:t>
      </w:r>
      <w:r w:rsidRPr="009A70F2" w:rsidR="00F7484A">
        <w:t xml:space="preserve"> quantitative summary of all Department of State visa activities is published in the annual </w:t>
      </w:r>
      <w:r w:rsidRPr="009A70F2" w:rsidR="00F7484A">
        <w:rPr>
          <w:u w:val="single"/>
        </w:rPr>
        <w:t>Report of the Visa Office</w:t>
      </w:r>
      <w:r w:rsidRPr="009A70F2" w:rsidR="00F7484A">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Pr="009A70F2" w:rsidR="00D64061">
        <w:t>201</w:t>
      </w:r>
      <w:r w:rsidR="00D64061">
        <w:t>8</w:t>
      </w:r>
      <w:r w:rsidRPr="009A70F2" w:rsidR="00F7484A">
        <w:t>.  The link to the site is:</w:t>
      </w:r>
      <w:hyperlink w:history="1" r:id="rId13">
        <w:r w:rsidR="00D64061">
          <w:rPr>
            <w:rStyle w:val="Hyperlink"/>
          </w:rPr>
          <w:t>https://travel.state.gov/content/travel/en/legal/visa-law0/visa-statistics.html</w:t>
        </w:r>
      </w:hyperlink>
      <w:r w:rsidR="00D64061">
        <w:t>.</w:t>
      </w:r>
      <w:r w:rsidRPr="009A70F2" w:rsidR="00F7484A">
        <w:t>.</w:t>
      </w:r>
    </w:p>
    <w:p w:rsidRPr="009A70F2" w:rsidR="003967A4" w:rsidP="003967A4" w:rsidRDefault="003967A4" w14:paraId="3F3E670B" w14:textId="77777777">
      <w:pPr>
        <w:ind w:left="360"/>
        <w:jc w:val="both"/>
        <w:rPr>
          <w:color w:val="000000"/>
          <w:szCs w:val="24"/>
        </w:rPr>
      </w:pPr>
      <w:r w:rsidRPr="009A70F2">
        <w:rPr>
          <w:color w:val="000000"/>
          <w:szCs w:val="24"/>
        </w:rPr>
        <w:t>17.</w:t>
      </w:r>
      <w:r w:rsidRPr="009A70F2">
        <w:rPr>
          <w:b/>
          <w:szCs w:val="24"/>
        </w:rPr>
        <w:tab/>
      </w:r>
      <w:r w:rsidRPr="009A70F2" w:rsidR="00A5467D">
        <w:rPr>
          <w:szCs w:val="24"/>
        </w:rPr>
        <w:t>The Department of State</w:t>
      </w:r>
      <w:r w:rsidRPr="009A70F2" w:rsidR="005B08EC">
        <w:rPr>
          <w:szCs w:val="24"/>
        </w:rPr>
        <w:t xml:space="preserve"> will display the expiration date for OMB approval on the information collection.</w:t>
      </w:r>
    </w:p>
    <w:p w:rsidRPr="009A70F2" w:rsidR="005B08EC" w:rsidP="003967A4" w:rsidRDefault="003967A4" w14:paraId="3F3E670C" w14:textId="77777777">
      <w:pPr>
        <w:ind w:left="360"/>
        <w:jc w:val="both"/>
        <w:rPr>
          <w:color w:val="000000"/>
          <w:szCs w:val="24"/>
        </w:rPr>
      </w:pPr>
      <w:r w:rsidRPr="009A70F2">
        <w:rPr>
          <w:color w:val="000000"/>
          <w:szCs w:val="24"/>
        </w:rPr>
        <w:t>18.</w:t>
      </w:r>
      <w:r w:rsidRPr="009A70F2">
        <w:rPr>
          <w:b/>
          <w:szCs w:val="24"/>
        </w:rPr>
        <w:tab/>
      </w:r>
      <w:r w:rsidRPr="009A70F2" w:rsidR="00A5467D">
        <w:rPr>
          <w:szCs w:val="24"/>
        </w:rPr>
        <w:t>The Department of State</w:t>
      </w:r>
      <w:r w:rsidRPr="009A70F2" w:rsidR="005B08EC">
        <w:rPr>
          <w:szCs w:val="24"/>
        </w:rPr>
        <w:t xml:space="preserve"> is not requesting any exceptions to the certification statement requirements</w:t>
      </w:r>
      <w:r w:rsidRPr="009A70F2" w:rsidR="00DA72B2">
        <w:rPr>
          <w:szCs w:val="24"/>
        </w:rPr>
        <w:t>.</w:t>
      </w:r>
      <w:r w:rsidRPr="009A70F2" w:rsidR="005B08EC">
        <w:rPr>
          <w:szCs w:val="24"/>
        </w:rPr>
        <w:t xml:space="preserve"> </w:t>
      </w:r>
    </w:p>
    <w:p w:rsidRPr="009A70F2" w:rsidR="000C1691" w:rsidP="00773763" w:rsidRDefault="000C1691" w14:paraId="3F3E670D" w14:textId="77777777">
      <w:pPr>
        <w:pStyle w:val="Heading1"/>
        <w:jc w:val="both"/>
        <w:rPr>
          <w:szCs w:val="24"/>
        </w:rPr>
      </w:pPr>
      <w:r w:rsidRPr="009A70F2">
        <w:rPr>
          <w:szCs w:val="24"/>
        </w:rPr>
        <w:lastRenderedPageBreak/>
        <w:t>B.</w:t>
      </w:r>
      <w:r w:rsidRPr="009A70F2">
        <w:rPr>
          <w:szCs w:val="24"/>
        </w:rPr>
        <w:tab/>
        <w:t>COLLECTION OF INFORMATION EMPLOYING STATISTICAL METHODS</w:t>
      </w:r>
    </w:p>
    <w:p w:rsidRPr="00D17A96" w:rsidR="00D17A96" w:rsidP="001F7344" w:rsidRDefault="000C1691" w14:paraId="3F3E670E" w14:textId="77777777">
      <w:pPr>
        <w:jc w:val="both"/>
        <w:rPr>
          <w:b/>
          <w:i/>
        </w:rPr>
      </w:pPr>
      <w:r w:rsidRPr="009A70F2">
        <w:rPr>
          <w:szCs w:val="24"/>
        </w:rPr>
        <w:t>This collection does not emplo</w:t>
      </w:r>
      <w:r w:rsidRPr="009A70F2">
        <w:t>y statistical methods.</w:t>
      </w:r>
      <w:r>
        <w:t xml:space="preserve"> </w:t>
      </w:r>
    </w:p>
    <w:sectPr w:rsidRPr="00D17A96" w:rsidR="00D17A96">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7B84" w14:textId="77777777" w:rsidR="00072CFD" w:rsidRDefault="00072CFD">
      <w:r>
        <w:separator/>
      </w:r>
    </w:p>
  </w:endnote>
  <w:endnote w:type="continuationSeparator" w:id="0">
    <w:p w14:paraId="07475CFF" w14:textId="77777777" w:rsidR="00072CFD" w:rsidRDefault="0007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ABA7B" w14:textId="77777777" w:rsidR="00072CFD" w:rsidRDefault="00072CFD">
      <w:r>
        <w:separator/>
      </w:r>
    </w:p>
  </w:footnote>
  <w:footnote w:type="continuationSeparator" w:id="0">
    <w:p w14:paraId="7FA3CFC2" w14:textId="77777777" w:rsidR="00072CFD" w:rsidRDefault="00072CFD">
      <w:r>
        <w:continuationSeparator/>
      </w:r>
    </w:p>
  </w:footnote>
  <w:footnote w:id="1">
    <w:p w14:paraId="7579166D" w14:textId="43771639" w:rsidR="009A50AF" w:rsidRPr="00E46A4E" w:rsidRDefault="009A50AF">
      <w:pPr>
        <w:pStyle w:val="FootnoteText"/>
      </w:pPr>
      <w:r>
        <w:rPr>
          <w:rStyle w:val="FootnoteReference"/>
        </w:rPr>
        <w:footnoteRef/>
      </w:r>
      <w:r>
        <w:t xml:space="preserve"> This estimate is based upon</w:t>
      </w:r>
      <w:r w:rsidRPr="009A50AF">
        <w:t xml:space="preserve"> a USAID household survey of 12,000 families and a 2015 ILO Labor Survey,</w:t>
      </w:r>
      <w:r>
        <w:t xml:space="preserve"> which estimated</w:t>
      </w:r>
      <w:r w:rsidRPr="009A50AF">
        <w:t xml:space="preserve"> the average monthly net wage in Burma is about 100,000 Myanmar kyat</w:t>
      </w:r>
      <w:r>
        <w:t>, or $75 US dollars based on exchange rates.</w:t>
      </w:r>
      <w:r w:rsidR="00E46A4E">
        <w:t xml:space="preserve"> </w:t>
      </w:r>
      <w:r w:rsidR="00E46A4E">
        <w:rPr>
          <w:i/>
        </w:rPr>
        <w:t xml:space="preserve">See </w:t>
      </w:r>
      <w:hyperlink r:id="rId1" w:history="1">
        <w:r w:rsidR="00E46A4E">
          <w:rPr>
            <w:rStyle w:val="Hyperlink"/>
          </w:rPr>
          <w:t>http://www.ilo.org/surveydata/index.php/catalog/1291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6713" w14:textId="71FAD099" w:rsidR="00086CE4" w:rsidRDefault="00086CE4">
    <w:pPr>
      <w:pStyle w:val="Header"/>
      <w:jc w:val="center"/>
    </w:pPr>
    <w:r>
      <w:rPr>
        <w:rStyle w:val="PageNumber"/>
      </w:rPr>
      <w:fldChar w:fldCharType="begin"/>
    </w:r>
    <w:r>
      <w:rPr>
        <w:rStyle w:val="PageNumber"/>
      </w:rPr>
      <w:instrText xml:space="preserve"> PAGE </w:instrText>
    </w:r>
    <w:r>
      <w:rPr>
        <w:rStyle w:val="PageNumber"/>
      </w:rPr>
      <w:fldChar w:fldCharType="separate"/>
    </w:r>
    <w:r w:rsidR="0070693A">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94E2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14ADA"/>
    <w:multiLevelType w:val="singleLevel"/>
    <w:tmpl w:val="0409000F"/>
    <w:lvl w:ilvl="0">
      <w:start w:val="1"/>
      <w:numFmt w:val="decimal"/>
      <w:lvlText w:val="%1."/>
      <w:lvlJc w:val="left"/>
      <w:pPr>
        <w:ind w:left="720" w:hanging="360"/>
      </w:pPr>
    </w:lvl>
  </w:abstractNum>
  <w:abstractNum w:abstractNumId="2" w15:restartNumberingAfterBreak="0">
    <w:nsid w:val="0FD22AA4"/>
    <w:multiLevelType w:val="hybridMultilevel"/>
    <w:tmpl w:val="FC6A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F77020"/>
    <w:multiLevelType w:val="hybridMultilevel"/>
    <w:tmpl w:val="60483F98"/>
    <w:lvl w:ilvl="0" w:tplc="A5CC23F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985"/>
    <w:multiLevelType w:val="hybridMultilevel"/>
    <w:tmpl w:val="54BE4E7A"/>
    <w:lvl w:ilvl="0" w:tplc="2BA48A9E">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F53BF3"/>
    <w:multiLevelType w:val="hybridMultilevel"/>
    <w:tmpl w:val="17DA7518"/>
    <w:lvl w:ilvl="0" w:tplc="192C2E9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52185"/>
    <w:multiLevelType w:val="hybridMultilevel"/>
    <w:tmpl w:val="414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55FC7"/>
    <w:multiLevelType w:val="hybridMultilevel"/>
    <w:tmpl w:val="5260B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lvlOverride w:ilvl="0">
      <w:startOverride w:val="1"/>
    </w:lvlOverride>
  </w:num>
  <w:num w:numId="3">
    <w:abstractNumId w:val="6"/>
  </w:num>
  <w:num w:numId="4">
    <w:abstractNumId w:val="0"/>
  </w:num>
  <w:num w:numId="5">
    <w:abstractNumId w:val="3"/>
  </w:num>
  <w:num w:numId="6">
    <w:abstractNumId w:val="5"/>
  </w:num>
  <w:num w:numId="7">
    <w:abstractNumId w:val="2"/>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2845"/>
    <w:rsid w:val="00010B84"/>
    <w:rsid w:val="0001372F"/>
    <w:rsid w:val="00013A39"/>
    <w:rsid w:val="00017227"/>
    <w:rsid w:val="00017381"/>
    <w:rsid w:val="00022272"/>
    <w:rsid w:val="000231CF"/>
    <w:rsid w:val="00040DE0"/>
    <w:rsid w:val="000444A2"/>
    <w:rsid w:val="0005697A"/>
    <w:rsid w:val="00060B77"/>
    <w:rsid w:val="000643C1"/>
    <w:rsid w:val="00072CFD"/>
    <w:rsid w:val="00073465"/>
    <w:rsid w:val="000734CF"/>
    <w:rsid w:val="000828C4"/>
    <w:rsid w:val="00082D63"/>
    <w:rsid w:val="00086CE4"/>
    <w:rsid w:val="00087F98"/>
    <w:rsid w:val="000A381B"/>
    <w:rsid w:val="000A4040"/>
    <w:rsid w:val="000A63B2"/>
    <w:rsid w:val="000B27CA"/>
    <w:rsid w:val="000B2851"/>
    <w:rsid w:val="000B3122"/>
    <w:rsid w:val="000B6D4B"/>
    <w:rsid w:val="000C1691"/>
    <w:rsid w:val="000C68B9"/>
    <w:rsid w:val="000E09BC"/>
    <w:rsid w:val="000E185B"/>
    <w:rsid w:val="000E2616"/>
    <w:rsid w:val="000E2E41"/>
    <w:rsid w:val="000E79F2"/>
    <w:rsid w:val="000F5D9A"/>
    <w:rsid w:val="00101C31"/>
    <w:rsid w:val="00107F30"/>
    <w:rsid w:val="001200F5"/>
    <w:rsid w:val="0012144D"/>
    <w:rsid w:val="00122625"/>
    <w:rsid w:val="00126648"/>
    <w:rsid w:val="00130BE5"/>
    <w:rsid w:val="001311EC"/>
    <w:rsid w:val="00137E02"/>
    <w:rsid w:val="001804E7"/>
    <w:rsid w:val="00182A30"/>
    <w:rsid w:val="001833AE"/>
    <w:rsid w:val="00184E05"/>
    <w:rsid w:val="001901A1"/>
    <w:rsid w:val="001944CE"/>
    <w:rsid w:val="0019607F"/>
    <w:rsid w:val="00196FF4"/>
    <w:rsid w:val="001C052B"/>
    <w:rsid w:val="001C4A40"/>
    <w:rsid w:val="001C602C"/>
    <w:rsid w:val="001C7538"/>
    <w:rsid w:val="001D2BA8"/>
    <w:rsid w:val="001D67E6"/>
    <w:rsid w:val="001E267D"/>
    <w:rsid w:val="001F067C"/>
    <w:rsid w:val="001F2008"/>
    <w:rsid w:val="001F7140"/>
    <w:rsid w:val="001F7344"/>
    <w:rsid w:val="001F7779"/>
    <w:rsid w:val="00203395"/>
    <w:rsid w:val="002055CF"/>
    <w:rsid w:val="00210161"/>
    <w:rsid w:val="0021134A"/>
    <w:rsid w:val="002125D9"/>
    <w:rsid w:val="00213C29"/>
    <w:rsid w:val="00214044"/>
    <w:rsid w:val="00215019"/>
    <w:rsid w:val="00221CC7"/>
    <w:rsid w:val="0022634F"/>
    <w:rsid w:val="00227D25"/>
    <w:rsid w:val="0023191B"/>
    <w:rsid w:val="002327C5"/>
    <w:rsid w:val="002437E5"/>
    <w:rsid w:val="00247D64"/>
    <w:rsid w:val="002528D9"/>
    <w:rsid w:val="002636E9"/>
    <w:rsid w:val="00270436"/>
    <w:rsid w:val="0027203F"/>
    <w:rsid w:val="00274DD7"/>
    <w:rsid w:val="00281927"/>
    <w:rsid w:val="002839C6"/>
    <w:rsid w:val="00283B7E"/>
    <w:rsid w:val="00287837"/>
    <w:rsid w:val="002A571F"/>
    <w:rsid w:val="002B0869"/>
    <w:rsid w:val="002B36A3"/>
    <w:rsid w:val="002B72B0"/>
    <w:rsid w:val="002B74A1"/>
    <w:rsid w:val="002B7507"/>
    <w:rsid w:val="002C0DC0"/>
    <w:rsid w:val="002C2E0C"/>
    <w:rsid w:val="002C3A6D"/>
    <w:rsid w:val="002C5049"/>
    <w:rsid w:val="002C7DB0"/>
    <w:rsid w:val="002D044C"/>
    <w:rsid w:val="002D3381"/>
    <w:rsid w:val="002E0C3C"/>
    <w:rsid w:val="002F3A11"/>
    <w:rsid w:val="00301D7D"/>
    <w:rsid w:val="00302CBB"/>
    <w:rsid w:val="00303976"/>
    <w:rsid w:val="00306226"/>
    <w:rsid w:val="00310D31"/>
    <w:rsid w:val="0031380B"/>
    <w:rsid w:val="003142AC"/>
    <w:rsid w:val="003160A4"/>
    <w:rsid w:val="00316F7D"/>
    <w:rsid w:val="00342A09"/>
    <w:rsid w:val="003505F2"/>
    <w:rsid w:val="00351478"/>
    <w:rsid w:val="00351BC2"/>
    <w:rsid w:val="00355345"/>
    <w:rsid w:val="00356650"/>
    <w:rsid w:val="00357281"/>
    <w:rsid w:val="00364EC3"/>
    <w:rsid w:val="00367A4A"/>
    <w:rsid w:val="00376CDD"/>
    <w:rsid w:val="00386F08"/>
    <w:rsid w:val="00393A7C"/>
    <w:rsid w:val="003967A4"/>
    <w:rsid w:val="003A132B"/>
    <w:rsid w:val="003A5B07"/>
    <w:rsid w:val="003A5F0B"/>
    <w:rsid w:val="003C0E05"/>
    <w:rsid w:val="003C36AF"/>
    <w:rsid w:val="003D2D1C"/>
    <w:rsid w:val="003D5739"/>
    <w:rsid w:val="003E2E74"/>
    <w:rsid w:val="003E3D21"/>
    <w:rsid w:val="003F013D"/>
    <w:rsid w:val="00407495"/>
    <w:rsid w:val="004147F1"/>
    <w:rsid w:val="00416F02"/>
    <w:rsid w:val="00430420"/>
    <w:rsid w:val="0044043B"/>
    <w:rsid w:val="00451941"/>
    <w:rsid w:val="00453997"/>
    <w:rsid w:val="004561BF"/>
    <w:rsid w:val="004627B7"/>
    <w:rsid w:val="0046671F"/>
    <w:rsid w:val="00470F50"/>
    <w:rsid w:val="004714F4"/>
    <w:rsid w:val="0047424C"/>
    <w:rsid w:val="00476F40"/>
    <w:rsid w:val="00477D29"/>
    <w:rsid w:val="0048055B"/>
    <w:rsid w:val="00483A90"/>
    <w:rsid w:val="004917B2"/>
    <w:rsid w:val="004A2FE4"/>
    <w:rsid w:val="004A4C7B"/>
    <w:rsid w:val="004B4119"/>
    <w:rsid w:val="004B4807"/>
    <w:rsid w:val="004C0B6D"/>
    <w:rsid w:val="004C1477"/>
    <w:rsid w:val="004C2052"/>
    <w:rsid w:val="004D4414"/>
    <w:rsid w:val="004D56B2"/>
    <w:rsid w:val="004D7D13"/>
    <w:rsid w:val="004E01D9"/>
    <w:rsid w:val="004E4482"/>
    <w:rsid w:val="005039FC"/>
    <w:rsid w:val="00511CAD"/>
    <w:rsid w:val="00514099"/>
    <w:rsid w:val="00522364"/>
    <w:rsid w:val="0052338C"/>
    <w:rsid w:val="00524FE4"/>
    <w:rsid w:val="0052558C"/>
    <w:rsid w:val="00531928"/>
    <w:rsid w:val="00535F25"/>
    <w:rsid w:val="005406C0"/>
    <w:rsid w:val="00544380"/>
    <w:rsid w:val="00551A42"/>
    <w:rsid w:val="00553379"/>
    <w:rsid w:val="00556418"/>
    <w:rsid w:val="00557072"/>
    <w:rsid w:val="00560EA7"/>
    <w:rsid w:val="00561F1F"/>
    <w:rsid w:val="005740F7"/>
    <w:rsid w:val="00576F7A"/>
    <w:rsid w:val="00577EA6"/>
    <w:rsid w:val="00582238"/>
    <w:rsid w:val="005878E9"/>
    <w:rsid w:val="005909F1"/>
    <w:rsid w:val="00591416"/>
    <w:rsid w:val="005A1519"/>
    <w:rsid w:val="005A217B"/>
    <w:rsid w:val="005A2D1A"/>
    <w:rsid w:val="005B08EC"/>
    <w:rsid w:val="005B36DF"/>
    <w:rsid w:val="005B3BF9"/>
    <w:rsid w:val="005B53E9"/>
    <w:rsid w:val="005C20C6"/>
    <w:rsid w:val="005C4E2D"/>
    <w:rsid w:val="005C6F97"/>
    <w:rsid w:val="005C734D"/>
    <w:rsid w:val="005D0A42"/>
    <w:rsid w:val="005D4E90"/>
    <w:rsid w:val="005D5623"/>
    <w:rsid w:val="005E6108"/>
    <w:rsid w:val="005E75D1"/>
    <w:rsid w:val="005F35CD"/>
    <w:rsid w:val="00600664"/>
    <w:rsid w:val="00603708"/>
    <w:rsid w:val="00606E41"/>
    <w:rsid w:val="00607CEC"/>
    <w:rsid w:val="006133ED"/>
    <w:rsid w:val="006158EA"/>
    <w:rsid w:val="006200AB"/>
    <w:rsid w:val="00624BD7"/>
    <w:rsid w:val="00632521"/>
    <w:rsid w:val="00632A0F"/>
    <w:rsid w:val="006403B3"/>
    <w:rsid w:val="00643308"/>
    <w:rsid w:val="00646C80"/>
    <w:rsid w:val="00657022"/>
    <w:rsid w:val="00661970"/>
    <w:rsid w:val="00667E2C"/>
    <w:rsid w:val="00672274"/>
    <w:rsid w:val="00672A6D"/>
    <w:rsid w:val="0068378C"/>
    <w:rsid w:val="006926D9"/>
    <w:rsid w:val="006B571D"/>
    <w:rsid w:val="006C045E"/>
    <w:rsid w:val="006C7F8F"/>
    <w:rsid w:val="006D04D0"/>
    <w:rsid w:val="006D1AF1"/>
    <w:rsid w:val="006D38D9"/>
    <w:rsid w:val="006E0398"/>
    <w:rsid w:val="006E7ABB"/>
    <w:rsid w:val="00703D00"/>
    <w:rsid w:val="007045D0"/>
    <w:rsid w:val="0070693A"/>
    <w:rsid w:val="007141B7"/>
    <w:rsid w:val="00716860"/>
    <w:rsid w:val="00717A5C"/>
    <w:rsid w:val="0073054F"/>
    <w:rsid w:val="00730567"/>
    <w:rsid w:val="00730624"/>
    <w:rsid w:val="00736F33"/>
    <w:rsid w:val="00737803"/>
    <w:rsid w:val="00740A61"/>
    <w:rsid w:val="00741993"/>
    <w:rsid w:val="0076063C"/>
    <w:rsid w:val="00766F64"/>
    <w:rsid w:val="00773763"/>
    <w:rsid w:val="00773981"/>
    <w:rsid w:val="00775230"/>
    <w:rsid w:val="007772A6"/>
    <w:rsid w:val="00781DC1"/>
    <w:rsid w:val="0078509E"/>
    <w:rsid w:val="00787743"/>
    <w:rsid w:val="00790539"/>
    <w:rsid w:val="00797938"/>
    <w:rsid w:val="007A5AF2"/>
    <w:rsid w:val="007C4DEF"/>
    <w:rsid w:val="007D09CB"/>
    <w:rsid w:val="007D7A5B"/>
    <w:rsid w:val="007E7974"/>
    <w:rsid w:val="007F1C69"/>
    <w:rsid w:val="007F3010"/>
    <w:rsid w:val="007F4427"/>
    <w:rsid w:val="007F61D1"/>
    <w:rsid w:val="007F6F82"/>
    <w:rsid w:val="0080063A"/>
    <w:rsid w:val="008042BD"/>
    <w:rsid w:val="00806B0E"/>
    <w:rsid w:val="00807874"/>
    <w:rsid w:val="00811D77"/>
    <w:rsid w:val="0082387E"/>
    <w:rsid w:val="008302D2"/>
    <w:rsid w:val="0083246E"/>
    <w:rsid w:val="00834471"/>
    <w:rsid w:val="00845A3F"/>
    <w:rsid w:val="00864731"/>
    <w:rsid w:val="00864E54"/>
    <w:rsid w:val="0087055D"/>
    <w:rsid w:val="008734D6"/>
    <w:rsid w:val="00873D43"/>
    <w:rsid w:val="00874496"/>
    <w:rsid w:val="00875683"/>
    <w:rsid w:val="00887A62"/>
    <w:rsid w:val="008922F5"/>
    <w:rsid w:val="008930AA"/>
    <w:rsid w:val="00893E4B"/>
    <w:rsid w:val="00894AB5"/>
    <w:rsid w:val="00897010"/>
    <w:rsid w:val="008A3CFC"/>
    <w:rsid w:val="008A55D1"/>
    <w:rsid w:val="008A6160"/>
    <w:rsid w:val="008B0A16"/>
    <w:rsid w:val="008B1B6E"/>
    <w:rsid w:val="008B7B79"/>
    <w:rsid w:val="008C0025"/>
    <w:rsid w:val="008C2426"/>
    <w:rsid w:val="008D17D0"/>
    <w:rsid w:val="008E48BA"/>
    <w:rsid w:val="008E79FD"/>
    <w:rsid w:val="008F2291"/>
    <w:rsid w:val="00900B73"/>
    <w:rsid w:val="00900BE8"/>
    <w:rsid w:val="00906C6F"/>
    <w:rsid w:val="0090780A"/>
    <w:rsid w:val="00911017"/>
    <w:rsid w:val="00913893"/>
    <w:rsid w:val="00917C8F"/>
    <w:rsid w:val="00921311"/>
    <w:rsid w:val="0093552C"/>
    <w:rsid w:val="00937E56"/>
    <w:rsid w:val="009448C5"/>
    <w:rsid w:val="0095191C"/>
    <w:rsid w:val="00952243"/>
    <w:rsid w:val="00952D81"/>
    <w:rsid w:val="009560AF"/>
    <w:rsid w:val="00957EDD"/>
    <w:rsid w:val="009659D4"/>
    <w:rsid w:val="009669A6"/>
    <w:rsid w:val="00970682"/>
    <w:rsid w:val="00971405"/>
    <w:rsid w:val="009719F8"/>
    <w:rsid w:val="00971C7A"/>
    <w:rsid w:val="00974FCD"/>
    <w:rsid w:val="00976E67"/>
    <w:rsid w:val="00980F5A"/>
    <w:rsid w:val="00987C72"/>
    <w:rsid w:val="009940B8"/>
    <w:rsid w:val="009A0826"/>
    <w:rsid w:val="009A0C67"/>
    <w:rsid w:val="009A205D"/>
    <w:rsid w:val="009A50AF"/>
    <w:rsid w:val="009A70F2"/>
    <w:rsid w:val="009C1B1B"/>
    <w:rsid w:val="009C211B"/>
    <w:rsid w:val="009C4BC4"/>
    <w:rsid w:val="009C7403"/>
    <w:rsid w:val="009D73C2"/>
    <w:rsid w:val="009F1F9D"/>
    <w:rsid w:val="00A01570"/>
    <w:rsid w:val="00A0572F"/>
    <w:rsid w:val="00A10561"/>
    <w:rsid w:val="00A10ECE"/>
    <w:rsid w:val="00A1335B"/>
    <w:rsid w:val="00A138C9"/>
    <w:rsid w:val="00A22F48"/>
    <w:rsid w:val="00A360D7"/>
    <w:rsid w:val="00A5467D"/>
    <w:rsid w:val="00A55174"/>
    <w:rsid w:val="00A55727"/>
    <w:rsid w:val="00A62600"/>
    <w:rsid w:val="00A708E9"/>
    <w:rsid w:val="00A75ECE"/>
    <w:rsid w:val="00A83494"/>
    <w:rsid w:val="00AA3BAA"/>
    <w:rsid w:val="00AD6693"/>
    <w:rsid w:val="00AE029C"/>
    <w:rsid w:val="00AE053E"/>
    <w:rsid w:val="00AE2ACD"/>
    <w:rsid w:val="00AF79C1"/>
    <w:rsid w:val="00B04EE2"/>
    <w:rsid w:val="00B06E25"/>
    <w:rsid w:val="00B21052"/>
    <w:rsid w:val="00B335EE"/>
    <w:rsid w:val="00B341F9"/>
    <w:rsid w:val="00B37206"/>
    <w:rsid w:val="00B4119F"/>
    <w:rsid w:val="00B50BD6"/>
    <w:rsid w:val="00B5337A"/>
    <w:rsid w:val="00B543F1"/>
    <w:rsid w:val="00B651FD"/>
    <w:rsid w:val="00B83F32"/>
    <w:rsid w:val="00B86237"/>
    <w:rsid w:val="00B97D3F"/>
    <w:rsid w:val="00B97D69"/>
    <w:rsid w:val="00BA475B"/>
    <w:rsid w:val="00BA7B02"/>
    <w:rsid w:val="00BB2F7A"/>
    <w:rsid w:val="00BB66D2"/>
    <w:rsid w:val="00BC1265"/>
    <w:rsid w:val="00BC2961"/>
    <w:rsid w:val="00BC3369"/>
    <w:rsid w:val="00BC4065"/>
    <w:rsid w:val="00BC577C"/>
    <w:rsid w:val="00BD67FB"/>
    <w:rsid w:val="00BD7C74"/>
    <w:rsid w:val="00BE1E36"/>
    <w:rsid w:val="00BE73D3"/>
    <w:rsid w:val="00BF5F6E"/>
    <w:rsid w:val="00C06FA7"/>
    <w:rsid w:val="00C1262E"/>
    <w:rsid w:val="00C165F6"/>
    <w:rsid w:val="00C16D06"/>
    <w:rsid w:val="00C2129B"/>
    <w:rsid w:val="00C25DFA"/>
    <w:rsid w:val="00C31BBA"/>
    <w:rsid w:val="00C33B1D"/>
    <w:rsid w:val="00C37794"/>
    <w:rsid w:val="00C44DA9"/>
    <w:rsid w:val="00C46AE5"/>
    <w:rsid w:val="00C46DA5"/>
    <w:rsid w:val="00C46E23"/>
    <w:rsid w:val="00C52C86"/>
    <w:rsid w:val="00C53BAE"/>
    <w:rsid w:val="00C548B3"/>
    <w:rsid w:val="00C55FD2"/>
    <w:rsid w:val="00C61DC0"/>
    <w:rsid w:val="00C64CB4"/>
    <w:rsid w:val="00C669D2"/>
    <w:rsid w:val="00C70B49"/>
    <w:rsid w:val="00C7391B"/>
    <w:rsid w:val="00C85F2E"/>
    <w:rsid w:val="00C90FEA"/>
    <w:rsid w:val="00C94C42"/>
    <w:rsid w:val="00C963EE"/>
    <w:rsid w:val="00CA2DDF"/>
    <w:rsid w:val="00CA38F5"/>
    <w:rsid w:val="00CA3A81"/>
    <w:rsid w:val="00CA42C6"/>
    <w:rsid w:val="00CB045D"/>
    <w:rsid w:val="00CB5E2E"/>
    <w:rsid w:val="00CC050D"/>
    <w:rsid w:val="00CC7598"/>
    <w:rsid w:val="00CD1018"/>
    <w:rsid w:val="00CE12B9"/>
    <w:rsid w:val="00CE57E7"/>
    <w:rsid w:val="00D009D5"/>
    <w:rsid w:val="00D05B2C"/>
    <w:rsid w:val="00D07199"/>
    <w:rsid w:val="00D11A71"/>
    <w:rsid w:val="00D17A96"/>
    <w:rsid w:val="00D25F26"/>
    <w:rsid w:val="00D36690"/>
    <w:rsid w:val="00D4056A"/>
    <w:rsid w:val="00D4160E"/>
    <w:rsid w:val="00D42BFD"/>
    <w:rsid w:val="00D4439F"/>
    <w:rsid w:val="00D45C5A"/>
    <w:rsid w:val="00D50140"/>
    <w:rsid w:val="00D514F4"/>
    <w:rsid w:val="00D53CE0"/>
    <w:rsid w:val="00D54FF6"/>
    <w:rsid w:val="00D603A2"/>
    <w:rsid w:val="00D62873"/>
    <w:rsid w:val="00D64061"/>
    <w:rsid w:val="00D75C27"/>
    <w:rsid w:val="00D839B4"/>
    <w:rsid w:val="00D84DB1"/>
    <w:rsid w:val="00D84EB3"/>
    <w:rsid w:val="00DA3579"/>
    <w:rsid w:val="00DA72B2"/>
    <w:rsid w:val="00DA774A"/>
    <w:rsid w:val="00DB0CB7"/>
    <w:rsid w:val="00DB3CF2"/>
    <w:rsid w:val="00DD5238"/>
    <w:rsid w:val="00DD6A2D"/>
    <w:rsid w:val="00DE1098"/>
    <w:rsid w:val="00DF04F8"/>
    <w:rsid w:val="00DF1672"/>
    <w:rsid w:val="00DF1C6C"/>
    <w:rsid w:val="00DF57C5"/>
    <w:rsid w:val="00DF6F7E"/>
    <w:rsid w:val="00E06F49"/>
    <w:rsid w:val="00E105D2"/>
    <w:rsid w:val="00E109F8"/>
    <w:rsid w:val="00E11F8C"/>
    <w:rsid w:val="00E22B7E"/>
    <w:rsid w:val="00E25CF7"/>
    <w:rsid w:val="00E25D9A"/>
    <w:rsid w:val="00E30B39"/>
    <w:rsid w:val="00E30C00"/>
    <w:rsid w:val="00E37F4E"/>
    <w:rsid w:val="00E46A4E"/>
    <w:rsid w:val="00E53564"/>
    <w:rsid w:val="00E5788C"/>
    <w:rsid w:val="00E608D6"/>
    <w:rsid w:val="00E61D37"/>
    <w:rsid w:val="00E67448"/>
    <w:rsid w:val="00E71B7A"/>
    <w:rsid w:val="00E757C0"/>
    <w:rsid w:val="00E82E54"/>
    <w:rsid w:val="00E95B11"/>
    <w:rsid w:val="00E97651"/>
    <w:rsid w:val="00EA317D"/>
    <w:rsid w:val="00EB0572"/>
    <w:rsid w:val="00EB7FAF"/>
    <w:rsid w:val="00EC1297"/>
    <w:rsid w:val="00EC450E"/>
    <w:rsid w:val="00EC4E9E"/>
    <w:rsid w:val="00ED0843"/>
    <w:rsid w:val="00ED299A"/>
    <w:rsid w:val="00ED3E97"/>
    <w:rsid w:val="00ED5F08"/>
    <w:rsid w:val="00EE0B87"/>
    <w:rsid w:val="00EE37CB"/>
    <w:rsid w:val="00EF1C15"/>
    <w:rsid w:val="00F02549"/>
    <w:rsid w:val="00F02E4A"/>
    <w:rsid w:val="00F06506"/>
    <w:rsid w:val="00F129CE"/>
    <w:rsid w:val="00F147C5"/>
    <w:rsid w:val="00F15ED4"/>
    <w:rsid w:val="00F15F65"/>
    <w:rsid w:val="00F35494"/>
    <w:rsid w:val="00F41021"/>
    <w:rsid w:val="00F45961"/>
    <w:rsid w:val="00F51DDE"/>
    <w:rsid w:val="00F52C10"/>
    <w:rsid w:val="00F60588"/>
    <w:rsid w:val="00F60EEF"/>
    <w:rsid w:val="00F61521"/>
    <w:rsid w:val="00F65C5C"/>
    <w:rsid w:val="00F67150"/>
    <w:rsid w:val="00F7484A"/>
    <w:rsid w:val="00F778E4"/>
    <w:rsid w:val="00F8016D"/>
    <w:rsid w:val="00F87FD3"/>
    <w:rsid w:val="00F9258D"/>
    <w:rsid w:val="00F9445F"/>
    <w:rsid w:val="00FA18DF"/>
    <w:rsid w:val="00FA275B"/>
    <w:rsid w:val="00FA4066"/>
    <w:rsid w:val="00FA4F26"/>
    <w:rsid w:val="00FA5756"/>
    <w:rsid w:val="00FB18D2"/>
    <w:rsid w:val="00FB3877"/>
    <w:rsid w:val="00FB7897"/>
    <w:rsid w:val="00FD6DD9"/>
    <w:rsid w:val="00FE0F05"/>
    <w:rsid w:val="00FE3AB7"/>
    <w:rsid w:val="00FE4133"/>
    <w:rsid w:val="00FF1618"/>
    <w:rsid w:val="00FF1F88"/>
    <w:rsid w:val="00FF5591"/>
    <w:rsid w:val="00FF6B4E"/>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3E66EE"/>
  <w15:docId w15:val="{06847930-8003-4845-A20B-190459B2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basedOn w:val="Normal"/>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paragraph" w:styleId="FootnoteText">
    <w:name w:val="footnote text"/>
    <w:basedOn w:val="Normal"/>
    <w:link w:val="FootnoteTextChar"/>
    <w:rsid w:val="009A50AF"/>
    <w:pPr>
      <w:spacing w:after="0"/>
    </w:pPr>
    <w:rPr>
      <w:sz w:val="20"/>
    </w:rPr>
  </w:style>
  <w:style w:type="character" w:customStyle="1" w:styleId="FootnoteTextChar">
    <w:name w:val="Footnote Text Char"/>
    <w:basedOn w:val="DefaultParagraphFont"/>
    <w:link w:val="FootnoteText"/>
    <w:rsid w:val="009A50AF"/>
  </w:style>
  <w:style w:type="character" w:styleId="FootnoteReference">
    <w:name w:val="footnote reference"/>
    <w:basedOn w:val="DefaultParagraphFont"/>
    <w:rsid w:val="009A5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06347">
      <w:bodyDiv w:val="1"/>
      <w:marLeft w:val="0"/>
      <w:marRight w:val="0"/>
      <w:marTop w:val="0"/>
      <w:marBottom w:val="0"/>
      <w:divBdr>
        <w:top w:val="none" w:sz="0" w:space="0" w:color="auto"/>
        <w:left w:val="none" w:sz="0" w:space="0" w:color="auto"/>
        <w:bottom w:val="none" w:sz="0" w:space="0" w:color="auto"/>
        <w:right w:val="none" w:sz="0" w:space="0" w:color="auto"/>
      </w:divBdr>
    </w:div>
    <w:div w:id="421801859">
      <w:bodyDiv w:val="1"/>
      <w:marLeft w:val="0"/>
      <w:marRight w:val="0"/>
      <w:marTop w:val="0"/>
      <w:marBottom w:val="0"/>
      <w:divBdr>
        <w:top w:val="none" w:sz="0" w:space="0" w:color="auto"/>
        <w:left w:val="none" w:sz="0" w:space="0" w:color="auto"/>
        <w:bottom w:val="none" w:sz="0" w:space="0" w:color="auto"/>
        <w:right w:val="none" w:sz="0" w:space="0" w:color="auto"/>
      </w:divBdr>
    </w:div>
    <w:div w:id="473110280">
      <w:bodyDiv w:val="1"/>
      <w:marLeft w:val="0"/>
      <w:marRight w:val="0"/>
      <w:marTop w:val="0"/>
      <w:marBottom w:val="0"/>
      <w:divBdr>
        <w:top w:val="none" w:sz="0" w:space="0" w:color="auto"/>
        <w:left w:val="none" w:sz="0" w:space="0" w:color="auto"/>
        <w:bottom w:val="none" w:sz="0" w:space="0" w:color="auto"/>
        <w:right w:val="none" w:sz="0" w:space="0" w:color="auto"/>
      </w:divBdr>
    </w:div>
    <w:div w:id="843396151">
      <w:bodyDiv w:val="1"/>
      <w:marLeft w:val="0"/>
      <w:marRight w:val="0"/>
      <w:marTop w:val="0"/>
      <w:marBottom w:val="0"/>
      <w:divBdr>
        <w:top w:val="none" w:sz="0" w:space="0" w:color="auto"/>
        <w:left w:val="none" w:sz="0" w:space="0" w:color="auto"/>
        <w:bottom w:val="none" w:sz="0" w:space="0" w:color="auto"/>
        <w:right w:val="none" w:sz="0" w:space="0" w:color="auto"/>
      </w:divBdr>
      <w:divsChild>
        <w:div w:id="307242952">
          <w:marLeft w:val="0"/>
          <w:marRight w:val="0"/>
          <w:marTop w:val="0"/>
          <w:marBottom w:val="0"/>
          <w:divBdr>
            <w:top w:val="none" w:sz="0" w:space="0" w:color="auto"/>
            <w:left w:val="none" w:sz="0" w:space="0" w:color="auto"/>
            <w:bottom w:val="none" w:sz="0" w:space="0" w:color="auto"/>
            <w:right w:val="none" w:sz="0" w:space="0" w:color="auto"/>
          </w:divBdr>
        </w:div>
      </w:divsChild>
    </w:div>
    <w:div w:id="999500906">
      <w:bodyDiv w:val="1"/>
      <w:marLeft w:val="0"/>
      <w:marRight w:val="0"/>
      <w:marTop w:val="0"/>
      <w:marBottom w:val="0"/>
      <w:divBdr>
        <w:top w:val="none" w:sz="0" w:space="0" w:color="auto"/>
        <w:left w:val="none" w:sz="0" w:space="0" w:color="auto"/>
        <w:bottom w:val="none" w:sz="0" w:space="0" w:color="auto"/>
        <w:right w:val="none" w:sz="0" w:space="0" w:color="auto"/>
      </w:divBdr>
    </w:div>
    <w:div w:id="1403603210">
      <w:bodyDiv w:val="1"/>
      <w:marLeft w:val="0"/>
      <w:marRight w:val="0"/>
      <w:marTop w:val="0"/>
      <w:marBottom w:val="0"/>
      <w:divBdr>
        <w:top w:val="none" w:sz="0" w:space="0" w:color="auto"/>
        <w:left w:val="none" w:sz="0" w:space="0" w:color="auto"/>
        <w:bottom w:val="none" w:sz="0" w:space="0" w:color="auto"/>
        <w:right w:val="none" w:sz="0" w:space="0" w:color="auto"/>
      </w:divBdr>
    </w:div>
    <w:div w:id="1411848121">
      <w:bodyDiv w:val="1"/>
      <w:marLeft w:val="0"/>
      <w:marRight w:val="0"/>
      <w:marTop w:val="0"/>
      <w:marBottom w:val="0"/>
      <w:divBdr>
        <w:top w:val="none" w:sz="0" w:space="0" w:color="auto"/>
        <w:left w:val="none" w:sz="0" w:space="0" w:color="auto"/>
        <w:bottom w:val="none" w:sz="0" w:space="0" w:color="auto"/>
        <w:right w:val="none" w:sz="0" w:space="0" w:color="auto"/>
      </w:divBdr>
    </w:div>
    <w:div w:id="1665547963">
      <w:bodyDiv w:val="1"/>
      <w:marLeft w:val="0"/>
      <w:marRight w:val="0"/>
      <w:marTop w:val="0"/>
      <w:marBottom w:val="0"/>
      <w:divBdr>
        <w:top w:val="none" w:sz="0" w:space="0" w:color="auto"/>
        <w:left w:val="none" w:sz="0" w:space="0" w:color="auto"/>
        <w:bottom w:val="none" w:sz="0" w:space="0" w:color="auto"/>
        <w:right w:val="none" w:sz="0" w:space="0" w:color="auto"/>
      </w:divBdr>
    </w:div>
    <w:div w:id="1964533773">
      <w:bodyDiv w:val="1"/>
      <w:marLeft w:val="0"/>
      <w:marRight w:val="0"/>
      <w:marTop w:val="0"/>
      <w:marBottom w:val="0"/>
      <w:divBdr>
        <w:top w:val="none" w:sz="0" w:space="0" w:color="auto"/>
        <w:left w:val="none" w:sz="0" w:space="0" w:color="auto"/>
        <w:bottom w:val="none" w:sz="0" w:space="0" w:color="auto"/>
        <w:right w:val="none" w:sz="0" w:space="0" w:color="auto"/>
      </w:divBdr>
    </w:div>
    <w:div w:id="1996058758">
      <w:bodyDiv w:val="1"/>
      <w:marLeft w:val="0"/>
      <w:marRight w:val="0"/>
      <w:marTop w:val="0"/>
      <w:marBottom w:val="0"/>
      <w:divBdr>
        <w:top w:val="none" w:sz="0" w:space="0" w:color="auto"/>
        <w:left w:val="none" w:sz="0" w:space="0" w:color="auto"/>
        <w:bottom w:val="none" w:sz="0" w:space="0" w:color="auto"/>
        <w:right w:val="none" w:sz="0" w:space="0" w:color="auto"/>
      </w:divBdr>
    </w:div>
    <w:div w:id="20054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avel.state.gov/content/travel/en/legal/visa-law0/visa-statistics.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lo.org/surveydata/index.php/catalog/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30CF3-E645-4670-9BD7-CDE0EF07D9D5}">
  <ds:schemaRefs>
    <ds:schemaRef ds:uri="http://schemas.microsoft.com/sharepoint/events"/>
  </ds:schemaRefs>
</ds:datastoreItem>
</file>

<file path=customXml/itemProps2.xml><?xml version="1.0" encoding="utf-8"?>
<ds:datastoreItem xmlns:ds="http://schemas.openxmlformats.org/officeDocument/2006/customXml" ds:itemID="{64EB63B8-8A8A-4A85-81A0-D521C5231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BE01F-287B-49F3-BA5E-1370C850A89B}">
  <ds:schemaRefs>
    <ds:schemaRef ds:uri="http://schemas.microsoft.com/office/2006/metadata/longProperties"/>
  </ds:schemaRefs>
</ds:datastoreItem>
</file>

<file path=customXml/itemProps4.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5.xml><?xml version="1.0" encoding="utf-8"?>
<ds:datastoreItem xmlns:ds="http://schemas.openxmlformats.org/officeDocument/2006/customXml" ds:itemID="{1817455C-880B-4788-AA8E-EA62D5CE526E}">
  <ds:schemaRefs>
    <ds:schemaRef ds:uri="d12f4795-8311-4122-bb29-020dccd42ea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D24BA356-4A16-40F6-968C-BF8678DB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1382</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Watkins, Pamela K</cp:lastModifiedBy>
  <cp:revision>3</cp:revision>
  <cp:lastPrinted>2017-04-26T22:13:00Z</cp:lastPrinted>
  <dcterms:created xsi:type="dcterms:W3CDTF">2019-11-21T20:01:00Z</dcterms:created>
  <dcterms:modified xsi:type="dcterms:W3CDTF">2020-03-12T11:55:00Z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QF4QKZM235UP-1442912103-236</vt:lpwstr>
  </property>
  <property fmtid="{D5CDD505-2E9C-101B-9397-08002B2CF9AE}" pid="3" name="_dlc_DocIdItemGuid">
    <vt:lpwstr>74b71e4f-3b05-45f3-99c4-71fdf31cc33c</vt:lpwstr>
  </property>
  <property fmtid="{D5CDD505-2E9C-101B-9397-08002B2CF9AE}" pid="4" name="_dlc_DocIdUrl">
    <vt:lpwstr>http://ca.m.state.sbu/sites/VO/L/R/_layouts/DocIdRedir.aspx?ID=QF4QKZM235UP-1442912103-236, QF4QKZM235UP-1442912103-236</vt:lpwstr>
  </property>
  <property fmtid="{D5CDD505-2E9C-101B-9397-08002B2CF9AE}" pid="5" name="_NewReviewCycle">
    <vt:lpwstr/>
  </property>
  <property fmtid="{D5CDD505-2E9C-101B-9397-08002B2CF9AE}" pid="6" name="MSIP_Label_1665d9ee-429a-4d5f-97cc-cfb56e044a6e_Enabled">
    <vt:lpwstr>True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Owner">
    <vt:lpwstr>AttarA@state.gov</vt:lpwstr>
  </property>
  <property fmtid="{D5CDD505-2E9C-101B-9397-08002B2CF9AE}" pid="9" name="MSIP_Label_1665d9ee-429a-4d5f-97cc-cfb56e044a6e_SetDate">
    <vt:lpwstr>2019-11-19T13:44:02.0404006Z</vt:lpwstr>
  </property>
  <property fmtid="{D5CDD505-2E9C-101B-9397-08002B2CF9AE}" pid="10" name="MSIP_Label_1665d9ee-429a-4d5f-97cc-cfb56e044a6e_Name">
    <vt:lpwstr>Unclassified</vt:lpwstr>
  </property>
  <property fmtid="{D5CDD505-2E9C-101B-9397-08002B2CF9AE}" pid="11" name="MSIP_Label_1665d9ee-429a-4d5f-97cc-cfb56e044a6e_Application">
    <vt:lpwstr>Microsoft Azure Information Protection</vt:lpwstr>
  </property>
  <property fmtid="{D5CDD505-2E9C-101B-9397-08002B2CF9AE}" pid="12" name="MSIP_Label_1665d9ee-429a-4d5f-97cc-cfb56e044a6e_ActionId">
    <vt:lpwstr>2d9a5020-cda8-42d2-a7fe-c4e6a5765b17</vt:lpwstr>
  </property>
  <property fmtid="{D5CDD505-2E9C-101B-9397-08002B2CF9AE}" pid="13" name="MSIP_Label_1665d9ee-429a-4d5f-97cc-cfb56e044a6e_Extended_MSFT_Method">
    <vt:lpwstr>Manual</vt:lpwstr>
  </property>
  <property fmtid="{D5CDD505-2E9C-101B-9397-08002B2CF9AE}" pid="14" name="Sensitivity">
    <vt:lpwstr>Unclassified</vt:lpwstr>
  </property>
</Properties>
</file>