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45" w:rsidRDefault="0029607B" w:rsidP="004B7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445">
        <w:rPr>
          <w:rFonts w:ascii="Times New Roman" w:hAnsi="Times New Roman" w:cs="Times New Roman"/>
          <w:b/>
          <w:bCs/>
          <w:sz w:val="24"/>
          <w:szCs w:val="24"/>
        </w:rPr>
        <w:t xml:space="preserve">Summary of </w:t>
      </w:r>
      <w:r w:rsidR="002D2B99" w:rsidRPr="004B7445">
        <w:rPr>
          <w:rFonts w:ascii="Times New Roman" w:hAnsi="Times New Roman" w:cs="Times New Roman"/>
          <w:b/>
          <w:bCs/>
          <w:sz w:val="24"/>
          <w:szCs w:val="24"/>
        </w:rPr>
        <w:t>Public Comments</w:t>
      </w:r>
      <w:r w:rsidR="004B74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B7445">
        <w:rPr>
          <w:rFonts w:ascii="Times New Roman" w:hAnsi="Times New Roman" w:cs="Times New Roman"/>
          <w:b/>
          <w:bCs/>
          <w:sz w:val="24"/>
          <w:szCs w:val="24"/>
        </w:rPr>
        <w:t>Major Provisions of the CDD Rule</w:t>
      </w:r>
      <w:r w:rsidR="004B7445">
        <w:rPr>
          <w:rFonts w:ascii="Times New Roman" w:hAnsi="Times New Roman" w:cs="Times New Roman"/>
          <w:b/>
          <w:bCs/>
          <w:sz w:val="24"/>
          <w:szCs w:val="24"/>
        </w:rPr>
        <w:t>, and R</w:t>
      </w:r>
      <w:r w:rsidR="004B7445">
        <w:rPr>
          <w:rFonts w:ascii="Times New Roman" w:hAnsi="Times New Roman" w:cs="Times New Roman"/>
          <w:b/>
          <w:bCs/>
          <w:sz w:val="24"/>
          <w:szCs w:val="24"/>
        </w:rPr>
        <w:t>esponse</w:t>
      </w:r>
    </w:p>
    <w:p w:rsidR="00611C23" w:rsidRPr="004B7445" w:rsidRDefault="000075C4" w:rsidP="00611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11C23" w:rsidRPr="004B744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609F5" w:rsidRPr="004B7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B99" w:rsidRPr="004B7445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6609F5" w:rsidRPr="004B744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11C23" w:rsidRPr="004B7445">
        <w:rPr>
          <w:rFonts w:ascii="Times New Roman" w:hAnsi="Times New Roman" w:cs="Times New Roman"/>
          <w:b/>
          <w:bCs/>
          <w:sz w:val="24"/>
          <w:szCs w:val="24"/>
        </w:rPr>
        <w:t xml:space="preserve">ublic </w:t>
      </w:r>
      <w:r w:rsidR="006609F5" w:rsidRPr="004B744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11C23" w:rsidRPr="004B7445">
        <w:rPr>
          <w:rFonts w:ascii="Times New Roman" w:hAnsi="Times New Roman" w:cs="Times New Roman"/>
          <w:b/>
          <w:bCs/>
          <w:sz w:val="24"/>
          <w:szCs w:val="24"/>
        </w:rPr>
        <w:t xml:space="preserve">omments </w:t>
      </w:r>
    </w:p>
    <w:p w:rsidR="00611C23" w:rsidRPr="004B7445" w:rsidRDefault="00611C23" w:rsidP="00296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72" w:rsidRPr="004B7445" w:rsidRDefault="00B80A72" w:rsidP="00296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72" w:rsidRPr="004B7445" w:rsidRDefault="00B80A72" w:rsidP="00296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0A72" w:rsidRPr="004B7445" w:rsidRDefault="00B80A72" w:rsidP="00296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B7445">
        <w:rPr>
          <w:rFonts w:ascii="Times New Roman" w:hAnsi="Times New Roman" w:cs="Times New Roman"/>
          <w:b/>
          <w:bCs/>
        </w:rPr>
        <w:t xml:space="preserve">Summary of </w:t>
      </w:r>
      <w:r w:rsidR="008859BF" w:rsidRPr="004B7445">
        <w:rPr>
          <w:rFonts w:ascii="Times New Roman" w:hAnsi="Times New Roman" w:cs="Times New Roman"/>
          <w:b/>
          <w:bCs/>
        </w:rPr>
        <w:t xml:space="preserve">Specific </w:t>
      </w:r>
      <w:r w:rsidRPr="004B7445">
        <w:rPr>
          <w:rFonts w:ascii="Times New Roman" w:hAnsi="Times New Roman" w:cs="Times New Roman"/>
          <w:b/>
          <w:bCs/>
        </w:rPr>
        <w:t>Comments</w:t>
      </w:r>
    </w:p>
    <w:p w:rsidR="00B80A72" w:rsidRPr="004B7445" w:rsidRDefault="00B80A72" w:rsidP="00296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80A72" w:rsidRPr="004B7445" w:rsidRDefault="00B80A72" w:rsidP="00E23A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In response to the N</w:t>
      </w:r>
      <w:r w:rsidR="002D2B99" w:rsidRPr="004B7445">
        <w:rPr>
          <w:rFonts w:ascii="Times New Roman" w:hAnsi="Times New Roman" w:cs="Times New Roman"/>
          <w:sz w:val="24"/>
          <w:szCs w:val="24"/>
        </w:rPr>
        <w:t>otice of Proposed Public Rulemaking (“N</w:t>
      </w:r>
      <w:r w:rsidRPr="004B7445">
        <w:rPr>
          <w:rFonts w:ascii="Times New Roman" w:hAnsi="Times New Roman" w:cs="Times New Roman"/>
          <w:sz w:val="24"/>
          <w:szCs w:val="24"/>
        </w:rPr>
        <w:t>PRM</w:t>
      </w:r>
      <w:r w:rsidR="002D2B99" w:rsidRPr="004B7445">
        <w:rPr>
          <w:rFonts w:ascii="Times New Roman" w:hAnsi="Times New Roman" w:cs="Times New Roman"/>
          <w:sz w:val="24"/>
          <w:szCs w:val="24"/>
        </w:rPr>
        <w:t>”) FinCEN issued on August</w:t>
      </w:r>
      <w:r w:rsidR="008859BF" w:rsidRPr="004B7445">
        <w:rPr>
          <w:rFonts w:ascii="Times New Roman" w:hAnsi="Times New Roman" w:cs="Times New Roman"/>
          <w:sz w:val="24"/>
          <w:szCs w:val="24"/>
        </w:rPr>
        <w:t xml:space="preserve"> 4, 2014</w:t>
      </w:r>
      <w:r w:rsidRPr="004B7445">
        <w:rPr>
          <w:rFonts w:ascii="Times New Roman" w:hAnsi="Times New Roman" w:cs="Times New Roman"/>
          <w:sz w:val="24"/>
          <w:szCs w:val="24"/>
        </w:rPr>
        <w:t>, FinCEN recei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ved 141 comments from financial </w:t>
      </w:r>
      <w:r w:rsidRPr="004B7445">
        <w:rPr>
          <w:rFonts w:ascii="Times New Roman" w:hAnsi="Times New Roman" w:cs="Times New Roman"/>
          <w:sz w:val="24"/>
          <w:szCs w:val="24"/>
        </w:rPr>
        <w:t>institutions, trade associations, Federal and S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tate agencies, non-governmental </w:t>
      </w:r>
      <w:r w:rsidRPr="004B7445">
        <w:rPr>
          <w:rFonts w:ascii="Times New Roman" w:hAnsi="Times New Roman" w:cs="Times New Roman"/>
          <w:sz w:val="24"/>
          <w:szCs w:val="24"/>
        </w:rPr>
        <w:t>organizations, members of Congress, and other individ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uals. The great majority of the </w:t>
      </w:r>
      <w:r w:rsidRPr="004B7445">
        <w:rPr>
          <w:rFonts w:ascii="Times New Roman" w:hAnsi="Times New Roman" w:cs="Times New Roman"/>
          <w:sz w:val="24"/>
          <w:szCs w:val="24"/>
        </w:rPr>
        <w:t>private sector commenters, which were primarily banks,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 credit unions, and their trade </w:t>
      </w:r>
      <w:r w:rsidRPr="004B7445">
        <w:rPr>
          <w:rFonts w:ascii="Times New Roman" w:hAnsi="Times New Roman" w:cs="Times New Roman"/>
          <w:sz w:val="24"/>
          <w:szCs w:val="24"/>
        </w:rPr>
        <w:t>associations, asserted that the proposed beneficial owne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rship requirement would be very </w:t>
      </w:r>
      <w:r w:rsidRPr="004B7445">
        <w:rPr>
          <w:rFonts w:ascii="Times New Roman" w:hAnsi="Times New Roman" w:cs="Times New Roman"/>
          <w:sz w:val="24"/>
          <w:szCs w:val="24"/>
        </w:rPr>
        <w:t>burdensome to implement and require more than the proposed 12 months, would be far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 </w:t>
      </w:r>
      <w:r w:rsidRPr="004B7445">
        <w:rPr>
          <w:rFonts w:ascii="Times New Roman" w:hAnsi="Times New Roman" w:cs="Times New Roman"/>
          <w:sz w:val="24"/>
          <w:szCs w:val="24"/>
        </w:rPr>
        <w:t>more expensive than estimated by FinCEN, and would not achieve the proposal’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s </w:t>
      </w:r>
      <w:r w:rsidRPr="004B7445">
        <w:rPr>
          <w:rFonts w:ascii="Times New Roman" w:hAnsi="Times New Roman" w:cs="Times New Roman"/>
          <w:sz w:val="24"/>
          <w:szCs w:val="24"/>
        </w:rPr>
        <w:t>expressed goals.</w:t>
      </w: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72" w:rsidRPr="004B7445" w:rsidRDefault="00B80A72" w:rsidP="00E23A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The commenters addressed many aspects of the proposed beneficial ownership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requirement, including the use of the proposed certification form; the extent to which a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covered financial institution may rely on the information provided by the customer; the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meaning of verification and the extent to which it would be required; the application of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the requirement to existing customers; the extent to which the information would need to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be updated; and the definitions of beneficial ownership and legal entity customer and the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proposed exclusions from those definitions.</w:t>
      </w: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72" w:rsidRPr="004B7445" w:rsidRDefault="00B80A72" w:rsidP="00E23A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Commenters raised a number of questions regarding the proposed certification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form, including whether beneficial owner information must be obtained through the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certification form or could be obtained by other means; whether the certification form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should be an official government form; and who is authorized to sign the certification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form on behalf of the customer. Many urged FinCEN to treat the receipt of the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certification form as a “safe harbor,” similar to the treatment of the certification used for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compliance with the foreign shell bank regulation.</w:t>
      </w:r>
      <w:r w:rsidR="00041F45" w:rsidRPr="004B744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B7445">
        <w:rPr>
          <w:rFonts w:ascii="Times New Roman" w:hAnsi="Times New Roman" w:cs="Times New Roman"/>
          <w:sz w:val="16"/>
          <w:szCs w:val="16"/>
        </w:rPr>
        <w:t xml:space="preserve"> </w:t>
      </w:r>
      <w:r w:rsidRPr="004B7445">
        <w:rPr>
          <w:rFonts w:ascii="Times New Roman" w:hAnsi="Times New Roman" w:cs="Times New Roman"/>
          <w:sz w:val="24"/>
          <w:szCs w:val="24"/>
        </w:rPr>
        <w:t>Commenters submitted several other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comments and suggestions regarding the information to be included in the certification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form.</w:t>
      </w: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72" w:rsidRPr="004B7445" w:rsidRDefault="00B80A72" w:rsidP="00E23A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Many commenters sought clarification regarding the verification requirement and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the extent to which a financial institution may rely on the information submitted by its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customer. Financial institutions also pointed out that there would be difficulties with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adopting “identical” procedures to those used for verifying the identity of individual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customers as done for CIP. Moreover, many commenters noted the practical difficulties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resulting from the fact that there is no authoritative source for beneficial ownership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information of legal entities, as there is no requirement for U.S. States to collect this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information at the time a company is formed. Commenters also sought guidance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regarding how they should utilize the beneficial ownership information once collected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and how its availability would impact compliance with other obligations.</w:t>
      </w: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72" w:rsidRPr="004B7445" w:rsidRDefault="00B80A72" w:rsidP="00E23A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lastRenderedPageBreak/>
        <w:t>While many private sector commenters noted that the proposed definition of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beneficial owner was an improvement over the definition discussed in the ANPRM, some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sought greater clarity about the meaning of “indirect” ownership and guidance regarding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how the percentage of ownership held indirectly should be measured in specific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situations, as well as clarification of the meaning of “equity interest.” They also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suggested eliminating any reference to using a 10 percent threshold on a risk basis, so as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to reduce the likelihood of examiners requiring a threshold lower than the 25 percent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specified in the proposed rule. On the other hand, non-governmental organizations and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many individuals asserted that the proposed 25 percent ownership threshold is too high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and that it should be lowered to 10 percent (or eliminated entirely) in the final rule.</w:t>
      </w: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72" w:rsidRPr="004B7445" w:rsidRDefault="00B80A72" w:rsidP="00E23A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A number of commenters urged clarification of the proposed definition of “legal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entity customer,” and many urged expansion of the proposed exclusions from the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definition to include, for example, accounts opened to participate in employee benefit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plans subject to the Employee Retirement Income Security Act of 1974 (ERISA) and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accounts for foreign publicly traded companies, regulated financial institutions, and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governmental entities. Many commenters also noted difficulties in applying the proposed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exclusion for nonprofits and urged FinCEN to simplify it. Commenters also sought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clarification regarding whether beneficial ownership would need to be obtained each time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a legal entity customer opens a new account after the rule’s compliance deadline, and to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what extent the information would need to be updated. Some commenters also sought to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exempt from the beneficial ownership requirement certain categories of financial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 </w:t>
      </w:r>
      <w:r w:rsidRPr="004B7445">
        <w:rPr>
          <w:rFonts w:ascii="Times New Roman" w:hAnsi="Times New Roman" w:cs="Times New Roman"/>
          <w:sz w:val="24"/>
          <w:szCs w:val="24"/>
        </w:rPr>
        <w:t>products that they contended presented a low risk of money laundering.</w:t>
      </w: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72" w:rsidRPr="004B7445" w:rsidRDefault="00B80A72" w:rsidP="00E23A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Many comments also addressed the proposed amendments to the AML program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rules, including urging FinCEN to clarify the proposed requirement to understand the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nature and purpose of the customer relationship and the meaning of “customer risk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profile” and of the proposed requirement to conduct ongoing monitoring to update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customer information, separate from monitoring to detect and report suspicious activity.</w:t>
      </w: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72" w:rsidRPr="004B7445" w:rsidRDefault="00B80A72" w:rsidP="00E23A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Some commenters representing the securities and futures industries asserted that,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contrary to assumptions in the NPRM, these are not in fact existing requirements in those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industries, and that such requirements would be burdensome and of little utility. Some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commenters also questioned statements in the preamble that the proposed requirements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would not reduce or limit the due diligence expectations of the Federal functional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regulators or their regulatory discretion, asserting that such an approach would undermine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the clarity and consistency that FinCEN is seeking to provide by the proposed rules.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Finally, a great majority of the comments stated that the proposed 12-month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implementation period following issuance of a final rule would not be adequate to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implement the necessary modifications to their data systems, customer on-boarding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procedures, employee training, and other requirements, and sought a period of at least 18-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24 months.</w:t>
      </w: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72" w:rsidRPr="004B7445" w:rsidRDefault="00B80A72" w:rsidP="00E23A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Based on the comments addressing the potential cost of implementing the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requirement, FinCEN conducted outreach to a number of the financial institution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commenters to obtain additional information regarding the anticipated costs of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lastRenderedPageBreak/>
        <w:t>implementing the proposed requirements. As a result of the limited information received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from these discussions, Treasury prepared a preliminary Regulatory Impact Assessment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(RIA) that was made available for comment on December 24, 2015 (80 FR 80308).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FinCEN received 38 comments on this preliminary assessment; a summary of the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comments we received and the final RIA is included in the Regulatory Analysis section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th</w:t>
      </w:r>
      <w:r w:rsidR="00483609" w:rsidRPr="004B7445">
        <w:rPr>
          <w:rFonts w:ascii="Times New Roman" w:hAnsi="Times New Roman" w:cs="Times New Roman"/>
          <w:sz w:val="24"/>
          <w:szCs w:val="24"/>
        </w:rPr>
        <w:t>e</w:t>
      </w:r>
      <w:r w:rsidRPr="004B7445">
        <w:rPr>
          <w:rFonts w:ascii="Times New Roman" w:hAnsi="Times New Roman" w:cs="Times New Roman"/>
          <w:sz w:val="24"/>
          <w:szCs w:val="24"/>
        </w:rPr>
        <w:t xml:space="preserve"> preamble.</w:t>
      </w: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72" w:rsidRPr="004B7445" w:rsidRDefault="00B80A72" w:rsidP="00E23A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All of the substantive comments received on the NPRM, FinCEN’s response, and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resulting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modifications to the final rule are discussed in detail in the Section- by-Section Analysis. 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B7445">
        <w:rPr>
          <w:rFonts w:ascii="Times New Roman" w:hAnsi="Times New Roman" w:cs="Times New Roman"/>
          <w:b/>
          <w:bCs/>
        </w:rPr>
        <w:t>General Comments</w:t>
      </w:r>
      <w:r w:rsidR="008859BF" w:rsidRPr="004B744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="008859BF" w:rsidRPr="004B7445">
        <w:rPr>
          <w:rFonts w:ascii="Times New Roman" w:hAnsi="Times New Roman" w:cs="Times New Roman"/>
          <w:b/>
          <w:bCs/>
        </w:rPr>
        <w:t>FinCEN’s</w:t>
      </w:r>
      <w:proofErr w:type="spellEnd"/>
      <w:r w:rsidR="008859BF" w:rsidRPr="004B7445">
        <w:rPr>
          <w:rFonts w:ascii="Times New Roman" w:hAnsi="Times New Roman" w:cs="Times New Roman"/>
          <w:b/>
          <w:bCs/>
        </w:rPr>
        <w:t xml:space="preserve"> Response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i/>
          <w:iCs/>
          <w:sz w:val="24"/>
          <w:szCs w:val="24"/>
        </w:rPr>
        <w:t xml:space="preserve">Regulatory deference. </w:t>
      </w:r>
      <w:r w:rsidRPr="004B7445">
        <w:rPr>
          <w:rFonts w:ascii="Times New Roman" w:hAnsi="Times New Roman" w:cs="Times New Roman"/>
          <w:sz w:val="24"/>
          <w:szCs w:val="24"/>
        </w:rPr>
        <w:t>Commenters rais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ed a number of general comments </w:t>
      </w:r>
      <w:r w:rsidRPr="004B7445">
        <w:rPr>
          <w:rFonts w:ascii="Times New Roman" w:hAnsi="Times New Roman" w:cs="Times New Roman"/>
          <w:sz w:val="24"/>
          <w:szCs w:val="24"/>
        </w:rPr>
        <w:t>regarding this rulemaking. Several commenters took iss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ue with the following statement </w:t>
      </w:r>
      <w:r w:rsidRPr="004B7445">
        <w:rPr>
          <w:rFonts w:ascii="Times New Roman" w:hAnsi="Times New Roman" w:cs="Times New Roman"/>
          <w:sz w:val="24"/>
          <w:szCs w:val="24"/>
        </w:rPr>
        <w:t>in the NPRM (which we reiterate here as modified for this final rule).</w:t>
      </w:r>
      <w:r w:rsidR="003715CB" w:rsidRPr="004B744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72" w:rsidRPr="004B7445" w:rsidRDefault="00B80A72" w:rsidP="00E23A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Nothing in this final rule is intended to lower, reduce, or limit the due diligence</w:t>
      </w: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expectations of the Federal functional regulators or in any way limit their existing</w:t>
      </w: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regulatory discretion. To clarify this point, the final rule incorporates the CDD</w:t>
      </w: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elements on nature and purpose and ongoing monitoring into FinCEN’s existing</w:t>
      </w: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AML program requirements, which generally provide that an AML program is</w:t>
      </w: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adequate if, among other things, the program complies with the regulation of its</w:t>
      </w: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Federal functional regulator (or, where applicable, self-regulatory organization</w:t>
      </w: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(SRO)) governing such programs.</w:t>
      </w:r>
      <w:r w:rsidR="003715CB" w:rsidRPr="004B7445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4B7445">
        <w:rPr>
          <w:rFonts w:ascii="Times New Roman" w:hAnsi="Times New Roman" w:cs="Times New Roman"/>
          <w:sz w:val="16"/>
          <w:szCs w:val="16"/>
        </w:rPr>
        <w:t xml:space="preserve"> </w:t>
      </w:r>
      <w:r w:rsidRPr="004B7445">
        <w:rPr>
          <w:rFonts w:ascii="Times New Roman" w:hAnsi="Times New Roman" w:cs="Times New Roman"/>
          <w:sz w:val="24"/>
          <w:szCs w:val="24"/>
        </w:rPr>
        <w:t>In addition, the Treasury Department intends</w:t>
      </w: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for the requirements contained in the customer due diligence and beneficial</w:t>
      </w: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ownership final rules to be consistent with, and not to supersede, any regulations,</w:t>
      </w: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guidance or authority of any Federal banking agency, the Securities and Exchange</w:t>
      </w: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Commission (SEC), the Commodity Futures Trading Commission (CFTC), or of</w:t>
      </w: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any SRO relating to customer identification, including with respect to the</w:t>
      </w:r>
    </w:p>
    <w:p w:rsidR="00B80A72" w:rsidRPr="004B7445" w:rsidRDefault="00B80A72" w:rsidP="004B74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verification of the identities of legal entity customers.</w:t>
      </w: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72" w:rsidRPr="004B7445" w:rsidRDefault="00B80A72" w:rsidP="00E23A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These commenters contended, among other things, that these statements were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unduly deferential to the Federal functional regulators, and would serve to undermine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rather than promote clear and consistent CDD standards across financial sectors. They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accordingly urged FinCEN to strike this language from the final rulemaking.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FinCEN appreciates the concerns about uneven and inconsistent application of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CDD standards that underlie these comments, but nevertheless believes that these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statements are an important articulation of FinCEN’s understanding of what it is—and is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not—accomplishing by this rulemaking. At their core, these statements in the NPRM and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lastRenderedPageBreak/>
        <w:t>this final rule preamble articulate the nature of the relationship of FinCEN’s rulemaking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authority with that of the Federal functional regulators</w:t>
      </w:r>
      <w:r w:rsidR="003715CB" w:rsidRPr="004B7445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4B7445">
        <w:rPr>
          <w:rFonts w:ascii="Times New Roman" w:hAnsi="Times New Roman" w:cs="Times New Roman"/>
          <w:sz w:val="24"/>
          <w:szCs w:val="24"/>
        </w:rPr>
        <w:t>—that is, as with all BSA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rulemakings, FinCEN determines the appropriate minimum regulatory standards that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should apply across an industry. From that baseline, the Federal functional regulators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have authority to establish AML program requirements in addition to those established by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FinCEN that they determine are necessary and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 appropriate to address risk or </w:t>
      </w:r>
      <w:r w:rsidRPr="004B7445">
        <w:rPr>
          <w:rFonts w:ascii="Times New Roman" w:hAnsi="Times New Roman" w:cs="Times New Roman"/>
          <w:sz w:val="24"/>
          <w:szCs w:val="24"/>
        </w:rPr>
        <w:t>vulnerabilities specific to the financial institutions they regulate. This is particularly true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within the context of separate but related concerns that exist for these institutions beyond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the strict scope of AML, such as in the area of safety and soundness. These statements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simply reflect this basic reality of the existing regulatory framework. Furthermore, as we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have maintained throughout this rulemaking process, one of our overarching goals was to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clarify and harmonize expectations while at the same time minimizing disruption to the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greatest extent possible. Accordingly, we believe that it is critical to make clear—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especially with respect to the changes to the AML program rules—that these standards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simply articulate current practices pursuant to existing standards and expectations, in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order to facilitate implementation and minimize the burden on financial institutions. We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believe that leveraging the experience accrued from interpretation of and compliance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with prior regulations and guidance that have already been issued in this space will be a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net benefit to financial institutions. As FinCEN explained in the proposal, these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requirements represent a floor, not a ceiling, and, consistent with the risk-based approach,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financial institutions may do more in circumstances of heightened risk, as well as to</w:t>
      </w: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mitigate risks generally.</w:t>
      </w: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80A72" w:rsidRPr="004B7445" w:rsidRDefault="00B80A72" w:rsidP="008859B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i/>
          <w:iCs/>
          <w:sz w:val="24"/>
          <w:szCs w:val="24"/>
        </w:rPr>
        <w:t xml:space="preserve">Compliance Deadline. </w:t>
      </w:r>
      <w:r w:rsidRPr="004B7445">
        <w:rPr>
          <w:rFonts w:ascii="Times New Roman" w:hAnsi="Times New Roman" w:cs="Times New Roman"/>
          <w:sz w:val="24"/>
          <w:szCs w:val="24"/>
        </w:rPr>
        <w:t>Most commenters strongly opposed FinCEN’s proposal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 </w:t>
      </w:r>
      <w:r w:rsidRPr="004B7445">
        <w:rPr>
          <w:rFonts w:ascii="Times New Roman" w:hAnsi="Times New Roman" w:cs="Times New Roman"/>
          <w:sz w:val="24"/>
          <w:szCs w:val="24"/>
        </w:rPr>
        <w:t>for a compliance deadline of one year from the date the fina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l rule is issued, identifying a </w:t>
      </w:r>
      <w:r w:rsidRPr="004B7445">
        <w:rPr>
          <w:rFonts w:ascii="Times New Roman" w:hAnsi="Times New Roman" w:cs="Times New Roman"/>
          <w:sz w:val="24"/>
          <w:szCs w:val="24"/>
        </w:rPr>
        <w:t>wide range of changes to systems and processes that would be required in order to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 </w:t>
      </w:r>
      <w:r w:rsidRPr="004B7445">
        <w:rPr>
          <w:rFonts w:ascii="Times New Roman" w:hAnsi="Times New Roman" w:cs="Times New Roman"/>
          <w:sz w:val="24"/>
          <w:szCs w:val="24"/>
        </w:rPr>
        <w:t>implement the rule. Many of these commenters requeste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d that FinCEN provide financial </w:t>
      </w:r>
      <w:r w:rsidRPr="004B7445">
        <w:rPr>
          <w:rFonts w:ascii="Times New Roman" w:hAnsi="Times New Roman" w:cs="Times New Roman"/>
          <w:sz w:val="24"/>
          <w:szCs w:val="24"/>
        </w:rPr>
        <w:t>institutions two years to implement the final rule. Base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d on the well-founded, detailed </w:t>
      </w:r>
      <w:r w:rsidRPr="004B7445">
        <w:rPr>
          <w:rFonts w:ascii="Times New Roman" w:hAnsi="Times New Roman" w:cs="Times New Roman"/>
          <w:sz w:val="24"/>
          <w:szCs w:val="24"/>
        </w:rPr>
        <w:t>explanations put forth by these commenters of the diffi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culties that would arise from a </w:t>
      </w:r>
      <w:r w:rsidRPr="004B7445">
        <w:rPr>
          <w:rFonts w:ascii="Times New Roman" w:hAnsi="Times New Roman" w:cs="Times New Roman"/>
          <w:sz w:val="24"/>
          <w:szCs w:val="24"/>
        </w:rPr>
        <w:t>one-year implementation period, FinCEN is extending the period for implementation t</w:t>
      </w:r>
      <w:r w:rsidR="00E23A48" w:rsidRPr="004B7445">
        <w:rPr>
          <w:rFonts w:ascii="Times New Roman" w:hAnsi="Times New Roman" w:cs="Times New Roman"/>
          <w:sz w:val="24"/>
          <w:szCs w:val="24"/>
        </w:rPr>
        <w:t xml:space="preserve">o </w:t>
      </w:r>
      <w:r w:rsidRPr="004B7445">
        <w:rPr>
          <w:rFonts w:ascii="Times New Roman" w:hAnsi="Times New Roman" w:cs="Times New Roman"/>
          <w:sz w:val="24"/>
          <w:szCs w:val="24"/>
        </w:rPr>
        <w:t>two years from the date this final rule is issued (the Applicability Date).</w:t>
      </w: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E23A48" w:rsidRPr="004B7445" w:rsidRDefault="00E23A48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483609" w:rsidRPr="004B7445" w:rsidRDefault="00483609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483609" w:rsidRPr="004B7445" w:rsidRDefault="00483609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4B7445">
        <w:rPr>
          <w:rFonts w:ascii="Times New Roman" w:hAnsi="Times New Roman" w:cs="Times New Roman"/>
          <w:b/>
          <w:bCs/>
          <w:sz w:val="24"/>
          <w:szCs w:val="24"/>
        </w:rPr>
        <w:t xml:space="preserve">Summary of </w:t>
      </w:r>
      <w:r w:rsidR="006832AA" w:rsidRPr="004B7445">
        <w:rPr>
          <w:rFonts w:ascii="Times New Roman" w:hAnsi="Times New Roman" w:cs="Times New Roman"/>
          <w:b/>
          <w:bCs/>
          <w:sz w:val="24"/>
          <w:szCs w:val="24"/>
        </w:rPr>
        <w:t xml:space="preserve">the Response and </w:t>
      </w:r>
      <w:r w:rsidRPr="004B7445">
        <w:rPr>
          <w:rFonts w:ascii="Times New Roman" w:hAnsi="Times New Roman" w:cs="Times New Roman"/>
          <w:b/>
          <w:bCs/>
          <w:sz w:val="24"/>
          <w:szCs w:val="24"/>
        </w:rPr>
        <w:t>Major Provisions of the CDD Final Rule</w:t>
      </w:r>
    </w:p>
    <w:p w:rsidR="00483609" w:rsidRPr="004B7445" w:rsidRDefault="00483609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7445">
        <w:rPr>
          <w:rFonts w:ascii="Times New Roman" w:hAnsi="Times New Roman" w:cs="Times New Roman"/>
          <w:i/>
          <w:iCs/>
          <w:sz w:val="24"/>
          <w:szCs w:val="24"/>
        </w:rPr>
        <w:t>1. Beneficial Ownership</w:t>
      </w:r>
    </w:p>
    <w:p w:rsidR="002D2B99" w:rsidRPr="004B7445" w:rsidRDefault="002D2B99" w:rsidP="004B7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Beginning on the Applicability Date, covered financial institutions</w:t>
      </w:r>
      <w:r w:rsidRPr="004B7445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4B7445">
        <w:rPr>
          <w:rFonts w:ascii="Times New Roman" w:hAnsi="Times New Roman" w:cs="Times New Roman"/>
          <w:sz w:val="16"/>
          <w:szCs w:val="16"/>
        </w:rPr>
        <w:t xml:space="preserve"> </w:t>
      </w:r>
      <w:r w:rsidRPr="004B7445">
        <w:rPr>
          <w:rFonts w:ascii="Times New Roman" w:hAnsi="Times New Roman" w:cs="Times New Roman"/>
          <w:sz w:val="24"/>
          <w:szCs w:val="24"/>
        </w:rPr>
        <w:t>must identify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verify the identity of the beneficial owners of all legal entity customers (other than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those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that are excluded) at the time a new account is opened (other than accounts that are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exempted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>). The financial institution may comply either by obtaining the required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on a standard certification form (Certification Form (Appendix A)) or by any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lastRenderedPageBreak/>
        <w:t>other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means that comply with the substantive requirements of this obligation. The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institution may rely on the beneficial ownership information supplied by the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customer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>, provided that it has no knowledge of facts that would reasonably call into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question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the reliability of the information. The identification and verification procedures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beneficial owners are very similar to those for individual customers under a financial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institution’s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customer identification program (CIP),</w:t>
      </w:r>
      <w:r w:rsidRPr="004B7445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4B7445">
        <w:rPr>
          <w:rFonts w:ascii="Times New Roman" w:hAnsi="Times New Roman" w:cs="Times New Roman"/>
          <w:sz w:val="16"/>
          <w:szCs w:val="16"/>
        </w:rPr>
        <w:t xml:space="preserve"> </w:t>
      </w:r>
      <w:r w:rsidRPr="004B7445">
        <w:rPr>
          <w:rFonts w:ascii="Times New Roman" w:hAnsi="Times New Roman" w:cs="Times New Roman"/>
          <w:sz w:val="24"/>
          <w:szCs w:val="24"/>
        </w:rPr>
        <w:t>except that for beneficial owners,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institution may rely on copies of identity documents. Financial institutions are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required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to maintain records of the beneficial ownership information they obtain, and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rely on another financial institution for the performance of these requirements, in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each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case to the same extent as under their CIP rule.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The terms used for the purposes of this final rule, including account, beneficial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ownership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>, legal entity customer, excluded legal entities, new account, and covered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institution, are set forth in the final rule.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Financial institutions should use beneficial ownership information as they use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information they gather regarding customers (</w:t>
      </w:r>
      <w:r w:rsidRPr="004B7445">
        <w:rPr>
          <w:rFonts w:ascii="Times New Roman" w:hAnsi="Times New Roman" w:cs="Times New Roman"/>
          <w:i/>
          <w:iCs/>
          <w:sz w:val="24"/>
          <w:szCs w:val="24"/>
        </w:rPr>
        <w:t>e.g.</w:t>
      </w:r>
      <w:r w:rsidRPr="004B7445">
        <w:rPr>
          <w:rFonts w:ascii="Times New Roman" w:hAnsi="Times New Roman" w:cs="Times New Roman"/>
          <w:sz w:val="24"/>
          <w:szCs w:val="24"/>
        </w:rPr>
        <w:t>, through compliance with CIP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requirements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>), including for compliance with the Office of Foreign Assets Control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(OFAC) regulations, and the currency transaction reporting (CTR) aggregation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requirements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>.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7445">
        <w:rPr>
          <w:rFonts w:ascii="Times New Roman" w:hAnsi="Times New Roman" w:cs="Times New Roman"/>
          <w:i/>
          <w:iCs/>
          <w:sz w:val="24"/>
          <w:szCs w:val="24"/>
        </w:rPr>
        <w:t>2. Anti-Money Laundering Program Rule Amendments.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The AML program requirement for each category of covered financial institutions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being amended to explicitly include risk-based procedures for conducting ongoing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customer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due diligence, to include understanding the nature and purpose of customer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relationships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for the purpose of developing a customer risk profile.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A customer risk profile refers to the information gathered about a customer at account opening used to develop a baseline against which customer activity is assessed for suspicious activity reporting. This may include self-evident information such as the type of customer or type of account, service, or product. The profile may, but need not,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include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a system of risk ratings or categories of customers.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In addition, customer due diligence also includes conducting ongoing monitoring to identify and report suspicious transactions and, on a risk basis, to maintain and update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customer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information. For these purposes, customer information shall include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regarding the beneficial owners of legal entity customers (as defined in §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 xml:space="preserve">1010.230). </w:t>
      </w:r>
      <w:proofErr w:type="gramStart"/>
      <w:r w:rsidRPr="004B744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first clause of paragraph (ii) sets forth the requirement that financial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institutions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conduct monitoring to identify and report suspicious transactions. Because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includes transactions that are not of the sort the customer would be normally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expected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to engage, the customer risk profile information is used (among other sources)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identify such transactions. This information may be integrated into the financial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lastRenderedPageBreak/>
        <w:t>institution’s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automated monitoring system, and may be used after a potentially suspicious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transaction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has been identified, as one means of determining whether or not the identified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activity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is suspicious.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When a financial institution detects information (including a change in beneficial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ownership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information) about the customer in the course of its normal monitoring that is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relevant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to assessing or reevaluating the risk posed by the customer, it must update the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customer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information, including beneficial ownership information. Such information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could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include, </w:t>
      </w:r>
      <w:r w:rsidRPr="004B7445">
        <w:rPr>
          <w:rFonts w:ascii="Times New Roman" w:hAnsi="Times New Roman" w:cs="Times New Roman"/>
          <w:i/>
          <w:iCs/>
          <w:sz w:val="24"/>
          <w:szCs w:val="24"/>
        </w:rPr>
        <w:t>e.g.</w:t>
      </w:r>
      <w:r w:rsidRPr="004B7445">
        <w:rPr>
          <w:rFonts w:ascii="Times New Roman" w:hAnsi="Times New Roman" w:cs="Times New Roman"/>
          <w:sz w:val="24"/>
          <w:szCs w:val="24"/>
        </w:rPr>
        <w:t>, a significant and unexplained change in the customer’s activity, such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executing cross-border wire transfers for no apparent reason or a significant change in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volume of activity without explanation. It could also include information indicating a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possible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change in the customer’s beneficial ownership, because such information could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be relevant to assessing the risk posed by the customer. This applies to all legal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entity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 xml:space="preserve"> customers, including those existing on the Applicability Date.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7445">
        <w:rPr>
          <w:rFonts w:ascii="Times New Roman" w:hAnsi="Times New Roman" w:cs="Times New Roman"/>
          <w:sz w:val="24"/>
          <w:szCs w:val="24"/>
        </w:rPr>
        <w:t>This provision does not impose a categorical requirement that financial institutions must update customer information, including beneficial ownership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>, on a continuous or periodic basis. Rather, the updating requirement is</w:t>
      </w:r>
    </w:p>
    <w:p w:rsidR="006609F5" w:rsidRPr="004B744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5">
        <w:rPr>
          <w:rFonts w:ascii="Times New Roman" w:hAnsi="Times New Roman" w:cs="Times New Roman"/>
          <w:sz w:val="24"/>
          <w:szCs w:val="24"/>
        </w:rPr>
        <w:t>event-driven</w:t>
      </w:r>
      <w:proofErr w:type="gramEnd"/>
      <w:r w:rsidRPr="004B7445">
        <w:rPr>
          <w:rFonts w:ascii="Times New Roman" w:hAnsi="Times New Roman" w:cs="Times New Roman"/>
          <w:sz w:val="24"/>
          <w:szCs w:val="24"/>
        </w:rPr>
        <w:t>, and occurs as a result of normal monitoring.</w:t>
      </w:r>
    </w:p>
    <w:p w:rsidR="00B80A72" w:rsidRPr="004B7445" w:rsidRDefault="00B80A72" w:rsidP="0037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0A72" w:rsidRPr="004B7445" w:rsidRDefault="00B80A72" w:rsidP="00B80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607B" w:rsidRPr="004B7445" w:rsidRDefault="0029607B" w:rsidP="00296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9607B" w:rsidRPr="004B7445" w:rsidSect="0031528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41" w:rsidRDefault="00304941" w:rsidP="002F0A1C">
      <w:pPr>
        <w:spacing w:after="0" w:line="240" w:lineRule="auto"/>
      </w:pPr>
      <w:r>
        <w:separator/>
      </w:r>
    </w:p>
  </w:endnote>
  <w:endnote w:type="continuationSeparator" w:id="0">
    <w:p w:rsidR="00304941" w:rsidRDefault="00304941" w:rsidP="002F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41" w:rsidRDefault="00304941" w:rsidP="002F0A1C">
      <w:pPr>
        <w:spacing w:after="0" w:line="240" w:lineRule="auto"/>
      </w:pPr>
      <w:r>
        <w:separator/>
      </w:r>
    </w:p>
  </w:footnote>
  <w:footnote w:type="continuationSeparator" w:id="0">
    <w:p w:rsidR="00304941" w:rsidRDefault="00304941" w:rsidP="002F0A1C">
      <w:pPr>
        <w:spacing w:after="0" w:line="240" w:lineRule="auto"/>
      </w:pPr>
      <w:r>
        <w:continuationSeparator/>
      </w:r>
    </w:p>
  </w:footnote>
  <w:footnote w:id="1">
    <w:p w:rsidR="00041F45" w:rsidRDefault="00041F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715CB">
        <w:rPr>
          <w:rFonts w:ascii="Times New Roman" w:hAnsi="Times New Roman" w:cs="Times New Roman"/>
        </w:rPr>
        <w:t>31 CFR 1010.630(b).</w:t>
      </w:r>
    </w:p>
  </w:footnote>
  <w:footnote w:id="2">
    <w:p w:rsidR="003715CB" w:rsidRDefault="003715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The original statement can be found at 79 FR 45152 (Aug. 4, 2014).</w:t>
      </w:r>
    </w:p>
  </w:footnote>
  <w:footnote w:id="3">
    <w:p w:rsidR="003715CB" w:rsidRDefault="003715CB" w:rsidP="0037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See, e.g., </w:t>
      </w:r>
      <w:r>
        <w:rPr>
          <w:rFonts w:ascii="Times New Roman" w:hAnsi="Times New Roman" w:cs="Times New Roman"/>
          <w:sz w:val="20"/>
          <w:szCs w:val="20"/>
        </w:rPr>
        <w:t>31 CFR 1020.210, which currently provides that a financial institution regulated by a Federal</w:t>
      </w:r>
    </w:p>
    <w:p w:rsidR="003715CB" w:rsidRDefault="003715CB" w:rsidP="0037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functional regulator that is not subject to the regulations of a self-regulatory organization shall be deemed</w:t>
      </w:r>
    </w:p>
    <w:p w:rsidR="003715CB" w:rsidRDefault="003715CB" w:rsidP="003715C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satisfy the requirements of 31 U.S.C. 5318(h)(1) if it implements and maintains an anti-money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715CB" w:rsidRDefault="003715CB" w:rsidP="0037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laundering program that complies with </w:t>
      </w:r>
      <w:r>
        <w:rPr>
          <w:rFonts w:ascii="Times New Roman" w:hAnsi="Times New Roman" w:cs="Times New Roman"/>
          <w:i/>
          <w:iCs/>
          <w:sz w:val="20"/>
          <w:szCs w:val="20"/>
        </w:rPr>
        <w:t>the regulation of its Federal functional regulator governing such</w:t>
      </w:r>
    </w:p>
    <w:p w:rsidR="003715CB" w:rsidRPr="00B80A72" w:rsidRDefault="003715CB" w:rsidP="0037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programs</w:t>
      </w:r>
      <w:r>
        <w:rPr>
          <w:rFonts w:ascii="Times New Roman" w:hAnsi="Times New Roman" w:cs="Times New Roman"/>
          <w:sz w:val="20"/>
          <w:szCs w:val="20"/>
        </w:rPr>
        <w:t>. (emphasis added).</w:t>
      </w:r>
    </w:p>
    <w:p w:rsidR="003715CB" w:rsidRDefault="003715CB">
      <w:pPr>
        <w:pStyle w:val="FootnoteText"/>
      </w:pPr>
    </w:p>
  </w:footnote>
  <w:footnote w:id="4">
    <w:p w:rsidR="003715CB" w:rsidRDefault="003715CB" w:rsidP="0037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Where appropriate, working closely with Federal functional regulators may involve consulting with the</w:t>
      </w:r>
    </w:p>
    <w:p w:rsidR="003715CB" w:rsidRPr="00B80A72" w:rsidRDefault="003715CB" w:rsidP="0037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applicable SROs in the securities and futures/commodities industries.</w:t>
      </w:r>
    </w:p>
    <w:p w:rsidR="003715CB" w:rsidRDefault="003715CB">
      <w:pPr>
        <w:pStyle w:val="FootnoteText"/>
      </w:pPr>
    </w:p>
  </w:footnote>
  <w:footnote w:id="5">
    <w:p w:rsidR="006609F5" w:rsidRDefault="006609F5" w:rsidP="0066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The term “covered financial institution” refers to: (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) banks; (ii) brokers or dealers in securities; (iii)</w:t>
      </w:r>
    </w:p>
    <w:p w:rsidR="006609F5" w:rsidRDefault="006609F5" w:rsidP="006609F5">
      <w:pPr>
        <w:pStyle w:val="FootnoteText"/>
      </w:pPr>
      <w:proofErr w:type="gramStart"/>
      <w:r>
        <w:rPr>
          <w:rFonts w:ascii="Times New Roman" w:hAnsi="Times New Roman" w:cs="Times New Roman"/>
        </w:rPr>
        <w:t>mutual</w:t>
      </w:r>
      <w:proofErr w:type="gramEnd"/>
      <w:r>
        <w:rPr>
          <w:rFonts w:ascii="Times New Roman" w:hAnsi="Times New Roman" w:cs="Times New Roman"/>
        </w:rPr>
        <w:t xml:space="preserve"> funds; and (iv) futures commission merchants and introducing brokers in commodities.</w:t>
      </w:r>
    </w:p>
  </w:footnote>
  <w:footnote w:id="6">
    <w:p w:rsidR="006609F5" w:rsidRPr="0029607B" w:rsidRDefault="006609F5" w:rsidP="006609F5">
      <w:pPr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31 CFR 1020.220, 1023.220, 1024.220, 1026.220.</w:t>
      </w:r>
    </w:p>
    <w:p w:rsidR="006609F5" w:rsidRDefault="006609F5" w:rsidP="006609F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7B"/>
    <w:rsid w:val="000075C4"/>
    <w:rsid w:val="00041F45"/>
    <w:rsid w:val="0029607B"/>
    <w:rsid w:val="002D2B99"/>
    <w:rsid w:val="002F0A1C"/>
    <w:rsid w:val="00304941"/>
    <w:rsid w:val="00315286"/>
    <w:rsid w:val="003715CB"/>
    <w:rsid w:val="003C43EE"/>
    <w:rsid w:val="00483609"/>
    <w:rsid w:val="004B7445"/>
    <w:rsid w:val="00611C23"/>
    <w:rsid w:val="006609F5"/>
    <w:rsid w:val="006832AA"/>
    <w:rsid w:val="008216DA"/>
    <w:rsid w:val="008859BF"/>
    <w:rsid w:val="00B80A72"/>
    <w:rsid w:val="00E2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6ECBA-D541-492F-A880-8053FC35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0A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A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0A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DBCA-E557-4BCC-A6A2-77810743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FinCEN</Company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Russell</dc:creator>
  <cp:keywords/>
  <dc:description/>
  <cp:lastModifiedBy>Sojka, Sandra</cp:lastModifiedBy>
  <cp:revision>2</cp:revision>
  <cp:lastPrinted>2016-05-10T13:58:00Z</cp:lastPrinted>
  <dcterms:created xsi:type="dcterms:W3CDTF">2016-05-10T14:58:00Z</dcterms:created>
  <dcterms:modified xsi:type="dcterms:W3CDTF">2016-05-10T14:58:00Z</dcterms:modified>
</cp:coreProperties>
</file>