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6B09" w:rsidR="00562915" w:rsidP="005D1DD4" w:rsidRDefault="00886B09" w14:paraId="6342B7AA" w14:textId="746D4635">
      <w:pPr>
        <w:pStyle w:val="Title"/>
        <w:jc w:val="right"/>
        <w:rPr>
          <w:sz w:val="28"/>
        </w:rPr>
      </w:pPr>
      <w:r>
        <w:rPr>
          <w:sz w:val="28"/>
        </w:rPr>
        <w:t xml:space="preserve">December </w:t>
      </w:r>
      <w:r w:rsidR="00D41A2F">
        <w:rPr>
          <w:sz w:val="28"/>
        </w:rPr>
        <w:t>13</w:t>
      </w:r>
      <w:r w:rsidRPr="00886B09" w:rsidR="005D1DD4">
        <w:rPr>
          <w:sz w:val="28"/>
        </w:rPr>
        <w:t>, 201</w:t>
      </w:r>
      <w:r>
        <w:rPr>
          <w:sz w:val="28"/>
        </w:rPr>
        <w:t>9</w:t>
      </w:r>
    </w:p>
    <w:p w:rsidR="00611B09" w:rsidP="005D1DD4" w:rsidRDefault="00611B09" w14:paraId="118CDCFC" w14:textId="77777777">
      <w:pPr>
        <w:pStyle w:val="Title"/>
        <w:jc w:val="right"/>
      </w:pPr>
    </w:p>
    <w:p w:rsidR="00562915" w:rsidP="00562915" w:rsidRDefault="00562915" w14:paraId="64067C6C" w14:textId="77777777">
      <w:pPr>
        <w:pStyle w:val="Title"/>
        <w:rPr>
          <w:rFonts w:ascii="Arial" w:hAnsi="Arial" w:cs="Arial"/>
        </w:rPr>
      </w:pPr>
      <w:r w:rsidRPr="007263B4">
        <w:rPr>
          <w:rFonts w:ascii="Arial" w:hAnsi="Arial" w:cs="Arial"/>
        </w:rPr>
        <w:t xml:space="preserve">Supporting Statement for </w:t>
      </w:r>
    </w:p>
    <w:p w:rsidRPr="00FE49A3" w:rsidR="00562915" w:rsidP="00562915" w:rsidRDefault="00562915" w14:paraId="67E02302" w14:textId="77777777">
      <w:pPr>
        <w:pStyle w:val="Title"/>
        <w:rPr>
          <w:rFonts w:ascii="Arial" w:hAnsi="Arial" w:cs="Arial"/>
          <w:sz w:val="28"/>
        </w:rPr>
      </w:pPr>
      <w:r w:rsidRPr="007263B4">
        <w:rPr>
          <w:rFonts w:ascii="Arial" w:hAnsi="Arial" w:cs="Arial"/>
        </w:rPr>
        <w:t>Paperwork Reduction Act Submissions</w:t>
      </w:r>
    </w:p>
    <w:p w:rsidRPr="006625E7" w:rsidR="00562915" w:rsidP="00562915" w:rsidRDefault="00562915" w14:paraId="1CABF386" w14:textId="77777777">
      <w:pPr>
        <w:tabs>
          <w:tab w:val="left" w:pos="-720"/>
        </w:tabs>
        <w:suppressAutoHyphens/>
        <w:rPr>
          <w:rFonts w:ascii="Times New Roman" w:hAnsi="Times New Roman" w:cs="Times New Roman"/>
          <w:b/>
          <w:sz w:val="24"/>
          <w:szCs w:val="24"/>
        </w:rPr>
      </w:pPr>
    </w:p>
    <w:p w:rsidRPr="00B92B09" w:rsidR="00562915" w:rsidP="00562915" w:rsidRDefault="00562915" w14:paraId="0BAA0F75"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886B09">
        <w:rPr>
          <w:rFonts w:ascii="Times New Roman" w:hAnsi="Times New Roman" w:cs="Times New Roman"/>
          <w:b/>
          <w:sz w:val="28"/>
          <w:szCs w:val="28"/>
        </w:rPr>
        <w:t>0080</w:t>
      </w:r>
    </w:p>
    <w:p w:rsidRPr="00886B09" w:rsidR="00562915" w:rsidP="00562915" w:rsidRDefault="00562915" w14:paraId="161FC2B0" w14:textId="77777777">
      <w:pPr>
        <w:tabs>
          <w:tab w:val="left" w:pos="-720"/>
        </w:tabs>
        <w:suppressAutoHyphens/>
        <w:rPr>
          <w:rFonts w:ascii="Times New Roman" w:hAnsi="Times New Roman" w:cs="Times New Roman"/>
          <w:b/>
        </w:rPr>
      </w:pPr>
      <w:r w:rsidRPr="00B92B09">
        <w:rPr>
          <w:rFonts w:ascii="Times New Roman" w:hAnsi="Times New Roman" w:cs="Times New Roman"/>
          <w:b/>
          <w:sz w:val="28"/>
          <w:szCs w:val="28"/>
        </w:rPr>
        <w:t xml:space="preserve">Title:  </w:t>
      </w:r>
      <w:r w:rsidRPr="00886B09" w:rsidR="00886B09">
        <w:rPr>
          <w:rFonts w:ascii="Times New Roman" w:hAnsi="Times New Roman" w:cs="Times New Roman"/>
          <w:b/>
          <w:sz w:val="28"/>
          <w:szCs w:val="28"/>
        </w:rPr>
        <w:t>Application for Surplus Federal Real Property Public Benefit Conveyance and BRAC Program for Emergency Management Use</w:t>
      </w:r>
    </w:p>
    <w:p w:rsidRPr="003027F2" w:rsidR="00B92B09" w:rsidP="003027F2" w:rsidRDefault="00562915" w14:paraId="5B7CA2D7"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886B09">
        <w:rPr>
          <w:rFonts w:ascii="Times New Roman" w:hAnsi="Times New Roman" w:cs="Times New Roman"/>
          <w:b/>
          <w:sz w:val="28"/>
          <w:szCs w:val="28"/>
        </w:rPr>
        <w:t>119-0-1</w:t>
      </w:r>
    </w:p>
    <w:p w:rsidR="00562915" w:rsidP="00B92B09" w:rsidRDefault="00562915" w14:paraId="57800831" w14:textId="77777777">
      <w:pPr>
        <w:pStyle w:val="Heading1"/>
        <w:rPr>
          <w:szCs w:val="28"/>
        </w:rPr>
      </w:pPr>
      <w:r w:rsidRPr="00B92B09">
        <w:rPr>
          <w:szCs w:val="28"/>
        </w:rPr>
        <w:t>General Instructions</w:t>
      </w:r>
    </w:p>
    <w:p w:rsidRPr="00B92B09" w:rsidR="00B92B09" w:rsidP="00B92B09" w:rsidRDefault="00B92B09" w14:paraId="65C723D4" w14:textId="77777777">
      <w:pPr>
        <w:spacing w:after="0" w:line="240" w:lineRule="auto"/>
      </w:pPr>
    </w:p>
    <w:p w:rsidRPr="006625E7" w:rsidR="00562915" w:rsidP="00B92B09" w:rsidRDefault="00562915" w14:paraId="23B668AA" w14:textId="5CCC0AE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spellStart"/>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w:t>
      </w:r>
      <w:r w:rsidR="00AF50C8">
        <w:rPr>
          <w:rFonts w:ascii="Times New Roman" w:hAnsi="Times New Roman" w:cs="Times New Roman"/>
          <w:sz w:val="24"/>
          <w:szCs w:val="24"/>
        </w:rPr>
        <w:t xml:space="preserve"> </w:t>
      </w:r>
      <w:r w:rsidRPr="006625E7">
        <w:rPr>
          <w:rFonts w:ascii="Times New Roman" w:hAnsi="Times New Roman" w:cs="Times New Roman"/>
          <w:sz w:val="24"/>
          <w:szCs w:val="24"/>
        </w:rPr>
        <w:t>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27DA03C5" w14:textId="77777777">
      <w:pPr>
        <w:pStyle w:val="Heading1"/>
        <w:rPr>
          <w:szCs w:val="28"/>
        </w:rPr>
      </w:pPr>
    </w:p>
    <w:p w:rsidRPr="00B92B09" w:rsidR="00562915" w:rsidP="00B92B09" w:rsidRDefault="00562915" w14:paraId="71CF7760" w14:textId="77777777">
      <w:pPr>
        <w:pStyle w:val="Heading1"/>
        <w:rPr>
          <w:szCs w:val="28"/>
        </w:rPr>
      </w:pPr>
      <w:r w:rsidRPr="00B92B09">
        <w:rPr>
          <w:szCs w:val="28"/>
        </w:rPr>
        <w:t>Specific Instructions</w:t>
      </w:r>
    </w:p>
    <w:p w:rsidRPr="00B92B09" w:rsidR="00562915" w:rsidP="00B92B09" w:rsidRDefault="00562915" w14:paraId="3F23A3C6"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554EAD2F" w14:textId="77777777">
      <w:pPr>
        <w:pStyle w:val="Heading1"/>
        <w:rPr>
          <w:szCs w:val="28"/>
        </w:rPr>
      </w:pPr>
      <w:r w:rsidRPr="00B92B09">
        <w:rPr>
          <w:szCs w:val="28"/>
        </w:rPr>
        <w:t>A.  Justification</w:t>
      </w:r>
    </w:p>
    <w:p w:rsidRPr="00B92B09" w:rsidR="00562915" w:rsidP="00B92B09" w:rsidRDefault="00562915" w14:paraId="4656BE23" w14:textId="77777777">
      <w:pPr>
        <w:spacing w:after="0" w:line="240" w:lineRule="auto"/>
        <w:rPr>
          <w:rFonts w:ascii="Times New Roman" w:hAnsi="Times New Roman" w:cs="Times New Roman"/>
          <w:sz w:val="28"/>
          <w:szCs w:val="28"/>
        </w:rPr>
      </w:pPr>
    </w:p>
    <w:p w:rsidRPr="006625E7" w:rsidR="00562915" w:rsidP="00562915" w:rsidRDefault="00562915" w14:paraId="08C92B4C"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288EA946"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886B09" w:rsidR="00886B09" w:rsidP="00886B09" w:rsidRDefault="00886B09" w14:paraId="0400B1C8" w14:textId="77777777">
      <w:pPr>
        <w:rPr>
          <w:rFonts w:ascii="Times New Roman" w:hAnsi="Times New Roman" w:cs="Times New Roman"/>
          <w:sz w:val="24"/>
          <w:szCs w:val="24"/>
        </w:rPr>
      </w:pPr>
      <w:r w:rsidRPr="00886B09">
        <w:rPr>
          <w:rFonts w:ascii="Times New Roman" w:hAnsi="Times New Roman" w:cs="Times New Roman"/>
          <w:sz w:val="24"/>
          <w:szCs w:val="24"/>
        </w:rPr>
        <w:t xml:space="preserve">Excess Federal real property is defined as property that is no longer mission critical to the needs of the Federal government. The conveyance and disposal of </w:t>
      </w:r>
      <w:r w:rsidRPr="00886B09">
        <w:rPr>
          <w:rFonts w:ascii="Times New Roman" w:hAnsi="Times New Roman" w:cs="Times New Roman"/>
          <w:i/>
          <w:sz w:val="24"/>
          <w:szCs w:val="24"/>
        </w:rPr>
        <w:t>excess</w:t>
      </w:r>
      <w:r w:rsidRPr="00886B09">
        <w:rPr>
          <w:rFonts w:ascii="Times New Roman" w:hAnsi="Times New Roman" w:cs="Times New Roman"/>
          <w:sz w:val="24"/>
          <w:szCs w:val="24"/>
        </w:rPr>
        <w:t xml:space="preserve"> real property is governed by the Federal Property and Administrative Services Act of 1949 (Property Act) as amended, 40 U.S.C. 541, et.seq, and applicable regulations (40 U.S.C. § 553 and 41 CFR Parts 102-75.750 through 102-75.815).  Under the sponsorship of Federal Emergency Management Agency (FEMA) the Act gives the Administrator of the General Services Administration (GSA) authority to convey Federal real and related surplus </w:t>
      </w:r>
      <w:r w:rsidRPr="00886B09">
        <w:rPr>
          <w:rFonts w:ascii="Times New Roman" w:hAnsi="Times New Roman" w:cs="Times New Roman"/>
          <w:sz w:val="24"/>
          <w:szCs w:val="24"/>
        </w:rPr>
        <w:lastRenderedPageBreak/>
        <w:t xml:space="preserve">property (without monetary consideration) to units of State and local government for emergency management response purposes, including fire rescue services.  </w:t>
      </w:r>
    </w:p>
    <w:p w:rsidRPr="00886B09" w:rsidR="00886B09" w:rsidP="00886B09" w:rsidRDefault="00886B09" w14:paraId="29B106D8" w14:textId="77777777">
      <w:pPr>
        <w:rPr>
          <w:rFonts w:ascii="Times New Roman" w:hAnsi="Times New Roman" w:eastAsia="Calibri" w:cs="Times New Roman"/>
          <w:sz w:val="24"/>
          <w:szCs w:val="24"/>
        </w:rPr>
      </w:pPr>
      <w:r w:rsidRPr="00886B09">
        <w:rPr>
          <w:rFonts w:ascii="Times New Roman" w:hAnsi="Times New Roman" w:cs="Times New Roman"/>
          <w:sz w:val="24"/>
          <w:szCs w:val="24"/>
        </w:rPr>
        <w:t>The scope and philosophy of GSA’s real property policies are contained in 41 CFR Part 102-71.</w:t>
      </w:r>
    </w:p>
    <w:p w:rsidRPr="00886B09" w:rsidR="00886B09" w:rsidP="00886B09" w:rsidRDefault="00886B09" w14:paraId="0760675C" w14:textId="77777777">
      <w:pPr>
        <w:rPr>
          <w:rFonts w:ascii="Times New Roman" w:hAnsi="Times New Roman" w:cs="Times New Roman"/>
          <w:bCs/>
          <w:sz w:val="24"/>
          <w:szCs w:val="24"/>
        </w:rPr>
      </w:pPr>
      <w:r w:rsidRPr="00886B09">
        <w:rPr>
          <w:rFonts w:ascii="Times New Roman" w:hAnsi="Times New Roman" w:cs="Times New Roman"/>
          <w:sz w:val="24"/>
          <w:szCs w:val="24"/>
        </w:rPr>
        <w:t>§ 102-75.350 of the CFR Regulations states that based on a highest and best use analysis, disposal agencies may make surplus real property available to State and local governments and certain non-profit institutions or organizations at up to 100 percent discount for public benefit purposes. Some examples of such purposes are education, health, parks and recreation, the homeless, historic monuments, public airports, highways, correctional facilities, ports, and wildlife conservation, and emergency management.</w:t>
      </w:r>
    </w:p>
    <w:p w:rsidRPr="00886B09" w:rsidR="00886B09" w:rsidP="00886B09" w:rsidRDefault="00886B09" w14:paraId="1869F490" w14:textId="77777777">
      <w:pPr>
        <w:pStyle w:val="NormalWeb"/>
        <w:spacing w:before="0" w:beforeAutospacing="0" w:after="0" w:afterAutospacing="0"/>
      </w:pPr>
      <w:r w:rsidRPr="00886B09">
        <w:t>§ 102-75.760 of the CFR Regulations stipulates that: FEMA must send notices of availability to the appropriate State and local public agencies. The notices must state that FEMA must coordinate and approve any planning involved in developing a comprehensive and coordinated plan of use and procurement for the property for emergency management response use. The notice must also state that public agencies may obtain application forms and preparation instructions from FEMA.</w:t>
      </w:r>
    </w:p>
    <w:p w:rsidRPr="00886B09" w:rsidR="00886B09" w:rsidP="003027F2" w:rsidRDefault="00886B09" w14:paraId="33D7FE5F" w14:textId="77777777">
      <w:pPr>
        <w:pStyle w:val="NoSpacing"/>
      </w:pPr>
    </w:p>
    <w:p w:rsidRPr="003027F2" w:rsidR="00886B09" w:rsidP="00886B09" w:rsidRDefault="00886B09" w14:paraId="004655FC" w14:textId="77777777">
      <w:pPr>
        <w:rPr>
          <w:rFonts w:ascii="Times New Roman" w:hAnsi="Times New Roman" w:cs="Times New Roman"/>
          <w:sz w:val="24"/>
          <w:szCs w:val="24"/>
        </w:rPr>
      </w:pPr>
      <w:r w:rsidRPr="00886B09">
        <w:rPr>
          <w:rFonts w:ascii="Times New Roman" w:hAnsi="Times New Roman" w:cs="Times New Roman"/>
          <w:sz w:val="24"/>
          <w:szCs w:val="24"/>
        </w:rPr>
        <w:t>According to § 102-75.780 of the CFR Regulations, FEMA must notify the disposal agency within 30 calendar days after the date of the surplus notice, if there is an eligible applicant interested in acquiring the property. After that 30–calendar day period expires, FEMA then, has another 30 days to review and approve an appropriate program and notify the disposal agency of the need for the property. If no application is approved, then FEMA must notify the disposal agency that there is no requirement for the property within the 30–calendar day period allotted for review and approval.</w:t>
      </w:r>
    </w:p>
    <w:p w:rsidRPr="00716D88" w:rsidR="00886B09" w:rsidP="00886B09" w:rsidRDefault="00886B09" w14:paraId="255D655D" w14:textId="77777777">
      <w:pPr>
        <w:pStyle w:val="NormalWeb"/>
        <w:spacing w:before="0" w:beforeAutospacing="0" w:after="0" w:afterAutospacing="0"/>
      </w:pPr>
      <w:r w:rsidRPr="00716D88">
        <w:t>In addition, CFR Regulations § 102-75.785 provides that any determination that FEMA submits to the disposal agency must provide complete information concerning the emergency management response use, including—</w:t>
      </w:r>
    </w:p>
    <w:p w:rsidRPr="00716D88" w:rsidR="00886B09" w:rsidP="00886B09" w:rsidRDefault="00886B09" w14:paraId="0B0658D6" w14:textId="77777777">
      <w:pPr>
        <w:pStyle w:val="NormalWeb"/>
        <w:spacing w:before="0" w:beforeAutospacing="0" w:after="0" w:afterAutospacing="0"/>
      </w:pPr>
      <w:r w:rsidRPr="00716D88">
        <w:t>(a) Identification of the property;</w:t>
      </w:r>
    </w:p>
    <w:p w:rsidRPr="00716D88" w:rsidR="00886B09" w:rsidP="00886B09" w:rsidRDefault="00886B09" w14:paraId="0D8AC683" w14:textId="77777777">
      <w:pPr>
        <w:pStyle w:val="NormalWeb"/>
        <w:spacing w:before="0" w:beforeAutospacing="0" w:after="0" w:afterAutospacing="0"/>
      </w:pPr>
      <w:r w:rsidRPr="00716D88">
        <w:t>(b) Certification that the property is required for emergency management response use;</w:t>
      </w:r>
    </w:p>
    <w:p w:rsidRPr="00716D88" w:rsidR="00886B09" w:rsidP="00886B09" w:rsidRDefault="00886B09" w14:paraId="1FEE4EFB" w14:textId="77777777">
      <w:pPr>
        <w:pStyle w:val="NormalWeb"/>
        <w:spacing w:before="0" w:beforeAutospacing="0" w:after="0" w:afterAutospacing="0"/>
      </w:pPr>
      <w:r w:rsidRPr="00716D88">
        <w:t>(c) A copy of the approved application that defines the proposed plan of use; and</w:t>
      </w:r>
    </w:p>
    <w:p w:rsidRPr="00716D88" w:rsidR="00886B09" w:rsidP="00886B09" w:rsidRDefault="00886B09" w14:paraId="1458C04A" w14:textId="77777777">
      <w:pPr>
        <w:pStyle w:val="NormalWeb"/>
        <w:spacing w:before="0" w:beforeAutospacing="0" w:after="0" w:afterAutospacing="0"/>
      </w:pPr>
      <w:r w:rsidRPr="00716D88">
        <w:t>(d) The environmental impact of the proposed emergency management response use.</w:t>
      </w:r>
    </w:p>
    <w:p w:rsidRPr="00716D88" w:rsidR="00886B09" w:rsidP="003027F2" w:rsidRDefault="00886B09" w14:paraId="2BD586D7" w14:textId="77777777">
      <w:pPr>
        <w:pStyle w:val="NoSpacing"/>
      </w:pPr>
    </w:p>
    <w:p w:rsidRPr="00886B09" w:rsidR="00886B09" w:rsidP="00886B09" w:rsidRDefault="00886B09" w14:paraId="39A2A32C" w14:textId="77777777">
      <w:pPr>
        <w:tabs>
          <w:tab w:val="left" w:pos="-720"/>
        </w:tabs>
        <w:suppressAutoHyphens/>
        <w:rPr>
          <w:rFonts w:ascii="Times New Roman" w:hAnsi="Times New Roman" w:cs="Times New Roman"/>
          <w:sz w:val="24"/>
          <w:szCs w:val="24"/>
        </w:rPr>
      </w:pPr>
      <w:r w:rsidRPr="00886B09">
        <w:rPr>
          <w:rFonts w:ascii="Times New Roman" w:hAnsi="Times New Roman" w:cs="Times New Roman"/>
          <w:sz w:val="24"/>
          <w:szCs w:val="24"/>
        </w:rPr>
        <w:t xml:space="preserve">According to § 102-75.810 of the CFR Regulations, when information is presented that indicates a change in the use of the property has occurred, the recipient must provide information regarding the change in use so that a determination of continued appropriateness of use can be made. </w:t>
      </w:r>
    </w:p>
    <w:p w:rsidRPr="006625E7" w:rsidR="00562915" w:rsidP="00562915" w:rsidRDefault="00562915" w14:paraId="2F5AAA40" w14:textId="77777777">
      <w:pPr>
        <w:rPr>
          <w:rFonts w:ascii="Times New Roman" w:hAnsi="Times New Roman" w:cs="Times New Roman"/>
          <w:spacing w:val="-3"/>
          <w:sz w:val="24"/>
          <w:szCs w:val="24"/>
          <w:u w:val="single"/>
        </w:rPr>
      </w:pPr>
    </w:p>
    <w:p w:rsidRPr="006625E7" w:rsidR="00562915" w:rsidP="00562915" w:rsidRDefault="00562915" w14:paraId="444215DE"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886B09" w:rsidR="00886B09" w:rsidP="00886B09" w:rsidRDefault="00886B09" w14:paraId="364DBD77" w14:textId="77777777">
      <w:pPr>
        <w:rPr>
          <w:rFonts w:ascii="Times New Roman" w:hAnsi="Times New Roman" w:cs="Times New Roman"/>
          <w:bCs/>
          <w:sz w:val="24"/>
          <w:szCs w:val="24"/>
        </w:rPr>
      </w:pPr>
      <w:r w:rsidRPr="00886B09">
        <w:rPr>
          <w:rFonts w:ascii="Times New Roman" w:hAnsi="Times New Roman" w:cs="Times New Roman"/>
          <w:b/>
          <w:bCs/>
          <w:sz w:val="24"/>
          <w:szCs w:val="24"/>
        </w:rPr>
        <w:t xml:space="preserve">FEMA Form 119-0-1 </w:t>
      </w:r>
      <w:r w:rsidRPr="00886B09">
        <w:rPr>
          <w:rFonts w:ascii="Times New Roman" w:hAnsi="Times New Roman" w:cs="Times New Roman"/>
          <w:bCs/>
          <w:sz w:val="24"/>
          <w:szCs w:val="24"/>
        </w:rPr>
        <w:t xml:space="preserve">– The information obtained on the forms will be used to determine eligibility and need.  Moreover, the information will certify a unit’s financial capability to improve, restore, and/or maintain the properties.  </w:t>
      </w:r>
      <w:r w:rsidRPr="00886B09">
        <w:rPr>
          <w:rFonts w:ascii="Times New Roman" w:hAnsi="Times New Roman" w:cs="Times New Roman"/>
          <w:sz w:val="24"/>
          <w:szCs w:val="24"/>
        </w:rPr>
        <w:t>Use of the Surplus Federal Real Property Application for Public Benefit Conveyances is necessary to implement the processes and procedures for the successful, lawful, and expeditious conveyance of real property from the Federal Government to public entities such as state, local, county, city, town, or other like government bodies, as it relates to Emergency Management Response and Fire and Rescue use.  Utilization of this application will ensure that properties will be fully positioned for use at their highest and best potentials as required by Federal Law, Executive Orders (E.O.), and the Code of Federal Regulations (CFRs).</w:t>
      </w:r>
    </w:p>
    <w:p w:rsidRPr="003027F2" w:rsidR="00886B09" w:rsidP="003027F2" w:rsidRDefault="00886B09" w14:paraId="5F6A5392" w14:textId="77777777">
      <w:pPr>
        <w:rPr>
          <w:rFonts w:ascii="Times New Roman" w:hAnsi="Times New Roman" w:cs="Times New Roman"/>
          <w:bCs/>
          <w:sz w:val="24"/>
          <w:szCs w:val="24"/>
        </w:rPr>
      </w:pPr>
      <w:r w:rsidRPr="00886B09">
        <w:rPr>
          <w:rFonts w:ascii="Times New Roman" w:hAnsi="Times New Roman" w:cs="Times New Roman"/>
          <w:bCs/>
          <w:sz w:val="24"/>
          <w:szCs w:val="24"/>
        </w:rPr>
        <w:t xml:space="preserve">The information will be used by General Services Administration (GSA) (disposal agency), FEMA (sponsoring agency), and Department of Defense (DOD) and Office of Economic Adjustment (OEA) (BRAC properties) to fulfill their obligations under the law to fully utilize designated surplus properties for emergency management purposes. </w:t>
      </w:r>
    </w:p>
    <w:p w:rsidRPr="00886B09" w:rsidR="00886B09" w:rsidP="003027F2" w:rsidRDefault="00886B09" w14:paraId="0D1503F9" w14:textId="77777777">
      <w:pPr>
        <w:tabs>
          <w:tab w:val="left" w:pos="-720"/>
        </w:tabs>
        <w:suppressAutoHyphens/>
        <w:rPr>
          <w:rFonts w:ascii="Times New Roman" w:hAnsi="Times New Roman" w:cs="Times New Roman"/>
          <w:sz w:val="24"/>
          <w:szCs w:val="24"/>
        </w:rPr>
      </w:pPr>
      <w:r w:rsidRPr="00886B09">
        <w:rPr>
          <w:rFonts w:ascii="Times New Roman" w:hAnsi="Times New Roman" w:cs="Times New Roman"/>
          <w:sz w:val="24"/>
          <w:szCs w:val="24"/>
        </w:rPr>
        <w:t>In accomplishing these tasks, the collection of the appropriate data from the applicants cited above is essential.  Such data will be used to answer the following questions used in the review process.  Did the applicant –</w:t>
      </w:r>
    </w:p>
    <w:p w:rsidRPr="00886B09" w:rsidR="00886B09" w:rsidP="00886B09" w:rsidRDefault="00886B09" w14:paraId="7A462B90"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Provide a completed copy of the FEMA 119-0-1 application form with appropriate signatures, titles, and date</w:t>
      </w:r>
      <w:r w:rsidR="003027F2">
        <w:rPr>
          <w:rFonts w:ascii="Times New Roman" w:hAnsi="Times New Roman" w:cs="Times New Roman"/>
          <w:sz w:val="24"/>
          <w:szCs w:val="24"/>
        </w:rPr>
        <w:t>?</w:t>
      </w:r>
      <w:r w:rsidRPr="00886B09">
        <w:rPr>
          <w:rFonts w:ascii="Times New Roman" w:hAnsi="Times New Roman" w:cs="Times New Roman"/>
          <w:sz w:val="24"/>
          <w:szCs w:val="24"/>
        </w:rPr>
        <w:t xml:space="preserve"> </w:t>
      </w:r>
    </w:p>
    <w:p w:rsidRPr="00886B09" w:rsidR="00886B09" w:rsidP="00886B09" w:rsidRDefault="00886B09" w14:paraId="710237C8"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Send a complete copy of the PBC (Public Benefit Conveyance)/BRAC announcement including the announcement number and date of the announcement?</w:t>
      </w:r>
    </w:p>
    <w:p w:rsidRPr="00886B09" w:rsidR="00886B09" w:rsidP="00886B09" w:rsidRDefault="00886B09" w14:paraId="7D22F940"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Forward the completed application within 30 days of the announcement notice?</w:t>
      </w:r>
    </w:p>
    <w:p w:rsidRPr="00886B09" w:rsidR="00886B09" w:rsidP="00886B09" w:rsidRDefault="00886B09" w14:paraId="41C1075B"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Identify the property including address, city, state, (town or county) and zip code?</w:t>
      </w:r>
    </w:p>
    <w:p w:rsidRPr="00886B09" w:rsidR="00886B09" w:rsidP="00886B09" w:rsidRDefault="00886B09" w14:paraId="254418AF"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Provide substanti</w:t>
      </w:r>
      <w:r w:rsidR="003027F2">
        <w:rPr>
          <w:rFonts w:ascii="Times New Roman" w:hAnsi="Times New Roman" w:cs="Times New Roman"/>
          <w:sz w:val="24"/>
          <w:szCs w:val="24"/>
        </w:rPr>
        <w:t>al evidence</w:t>
      </w:r>
      <w:r w:rsidRPr="00886B09">
        <w:rPr>
          <w:rFonts w:ascii="Times New Roman" w:hAnsi="Times New Roman" w:cs="Times New Roman"/>
          <w:sz w:val="24"/>
          <w:szCs w:val="24"/>
        </w:rPr>
        <w:t xml:space="preserve"> they have the financial means to complete the project and the financial means to maintain the property? </w:t>
      </w:r>
    </w:p>
    <w:p w:rsidRPr="00886B09" w:rsidR="00886B09" w:rsidP="00886B09" w:rsidRDefault="00886B09" w14:paraId="4073B742"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Certify that the property is required for emergency management use</w:t>
      </w:r>
      <w:r w:rsidR="003027F2">
        <w:rPr>
          <w:rFonts w:ascii="Times New Roman" w:hAnsi="Times New Roman" w:cs="Times New Roman"/>
          <w:sz w:val="24"/>
          <w:szCs w:val="24"/>
        </w:rPr>
        <w:t xml:space="preserve"> only</w:t>
      </w:r>
      <w:r w:rsidRPr="00886B09">
        <w:rPr>
          <w:rFonts w:ascii="Times New Roman" w:hAnsi="Times New Roman" w:cs="Times New Roman"/>
          <w:sz w:val="24"/>
          <w:szCs w:val="24"/>
        </w:rPr>
        <w:t xml:space="preserve">? </w:t>
      </w:r>
    </w:p>
    <w:p w:rsidRPr="00886B09" w:rsidR="00886B09" w:rsidP="00886B09" w:rsidRDefault="00886B09" w14:paraId="324A35F8"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 xml:space="preserve">Clearly define </w:t>
      </w:r>
      <w:r w:rsidR="003027F2">
        <w:rPr>
          <w:rFonts w:ascii="Times New Roman" w:hAnsi="Times New Roman" w:cs="Times New Roman"/>
          <w:sz w:val="24"/>
          <w:szCs w:val="24"/>
        </w:rPr>
        <w:t>the</w:t>
      </w:r>
      <w:r w:rsidRPr="00886B09">
        <w:rPr>
          <w:rFonts w:ascii="Times New Roman" w:hAnsi="Times New Roman" w:cs="Times New Roman"/>
          <w:sz w:val="24"/>
          <w:szCs w:val="24"/>
        </w:rPr>
        <w:t xml:space="preserve"> proposed plan of use?</w:t>
      </w:r>
    </w:p>
    <w:p w:rsidRPr="00886B09" w:rsidR="00886B09" w:rsidP="00886B09" w:rsidRDefault="00886B09" w14:paraId="64054083"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Note that the property WILL be used and maintained in its entirety (100%) for emergency management response purposes in perpetuity?</w:t>
      </w:r>
    </w:p>
    <w:p w:rsidRPr="00886B09" w:rsidR="00886B09" w:rsidP="00886B09" w:rsidRDefault="00886B09" w14:paraId="3888BE21"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 xml:space="preserve">Attest that the environmental impact of the identified use will be none to minimal? </w:t>
      </w:r>
    </w:p>
    <w:p w:rsidRPr="00886B09" w:rsidR="00886B09" w:rsidP="00886B09" w:rsidRDefault="00886B09" w14:paraId="70F2B7F9" w14:textId="77777777">
      <w:pPr>
        <w:numPr>
          <w:ilvl w:val="0"/>
          <w:numId w:val="5"/>
        </w:numPr>
        <w:spacing w:after="0" w:line="240" w:lineRule="auto"/>
        <w:rPr>
          <w:rFonts w:ascii="Times New Roman" w:hAnsi="Times New Roman" w:cs="Times New Roman"/>
          <w:sz w:val="24"/>
          <w:szCs w:val="24"/>
        </w:rPr>
      </w:pPr>
      <w:r w:rsidRPr="00886B09">
        <w:rPr>
          <w:rFonts w:ascii="Times New Roman" w:hAnsi="Times New Roman" w:cs="Times New Roman"/>
          <w:sz w:val="24"/>
          <w:szCs w:val="24"/>
        </w:rPr>
        <w:t xml:space="preserve">Provide all </w:t>
      </w:r>
      <w:r w:rsidR="003027F2">
        <w:rPr>
          <w:rFonts w:ascii="Times New Roman" w:hAnsi="Times New Roman" w:cs="Times New Roman"/>
          <w:sz w:val="24"/>
          <w:szCs w:val="24"/>
        </w:rPr>
        <w:t xml:space="preserve">locality </w:t>
      </w:r>
      <w:r w:rsidRPr="00886B09">
        <w:rPr>
          <w:rFonts w:ascii="Times New Roman" w:hAnsi="Times New Roman" w:cs="Times New Roman"/>
          <w:sz w:val="24"/>
          <w:szCs w:val="24"/>
        </w:rPr>
        <w:t>contact information including e-mail address?</w:t>
      </w:r>
    </w:p>
    <w:p w:rsidRPr="006625E7" w:rsidR="00562915" w:rsidP="00562915" w:rsidRDefault="00562915" w14:paraId="2A88D04E" w14:textId="77777777">
      <w:pPr>
        <w:rPr>
          <w:rFonts w:ascii="Times New Roman" w:hAnsi="Times New Roman" w:cs="Times New Roman"/>
          <w:sz w:val="24"/>
          <w:szCs w:val="24"/>
        </w:rPr>
      </w:pPr>
    </w:p>
    <w:p w:rsidRPr="006625E7" w:rsidR="00562915" w:rsidP="00562915" w:rsidRDefault="00562915" w14:paraId="5DAC1C1F" w14:textId="7777777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62915" w:rsidP="00562915" w:rsidRDefault="00886B09" w14:paraId="2EBFBEA9" w14:textId="0FEEE356">
      <w:pPr>
        <w:rPr>
          <w:rFonts w:ascii="Times New Roman" w:hAnsi="Times New Roman" w:cs="Times New Roman"/>
          <w:sz w:val="24"/>
          <w:szCs w:val="24"/>
        </w:rPr>
      </w:pPr>
      <w:r w:rsidRPr="00886B09">
        <w:rPr>
          <w:rFonts w:ascii="Times New Roman" w:hAnsi="Times New Roman" w:cs="Times New Roman"/>
          <w:sz w:val="24"/>
          <w:szCs w:val="24"/>
        </w:rPr>
        <w:t xml:space="preserve">FEMA sends by mail notification to states of surplus properties that </w:t>
      </w:r>
      <w:proofErr w:type="gramStart"/>
      <w:r w:rsidRPr="00886B09">
        <w:rPr>
          <w:rFonts w:ascii="Times New Roman" w:hAnsi="Times New Roman" w:cs="Times New Roman"/>
          <w:sz w:val="24"/>
          <w:szCs w:val="24"/>
        </w:rPr>
        <w:t>are located in</w:t>
      </w:r>
      <w:proofErr w:type="gramEnd"/>
      <w:r w:rsidRPr="00886B09">
        <w:rPr>
          <w:rFonts w:ascii="Times New Roman" w:hAnsi="Times New Roman" w:cs="Times New Roman"/>
          <w:sz w:val="24"/>
          <w:szCs w:val="24"/>
        </w:rPr>
        <w:t xml:space="preserve"> that state.  The notices also contain FEMA contact information to respondents to address question</w:t>
      </w:r>
      <w:r w:rsidR="00CF4041">
        <w:rPr>
          <w:rFonts w:ascii="Times New Roman" w:hAnsi="Times New Roman" w:cs="Times New Roman"/>
          <w:sz w:val="24"/>
          <w:szCs w:val="24"/>
        </w:rPr>
        <w:t>s</w:t>
      </w:r>
      <w:r w:rsidRPr="00886B09">
        <w:rPr>
          <w:rFonts w:ascii="Times New Roman" w:hAnsi="Times New Roman" w:cs="Times New Roman"/>
          <w:sz w:val="24"/>
          <w:szCs w:val="24"/>
        </w:rPr>
        <w:t xml:space="preserve"> pertaining to surplus properties.  Once determined that states are interested in properties, States are provided with FEMA Form 119-0-1 via an e-mail attachment which is completed and returned via attachment to an e-mail to </w:t>
      </w:r>
      <w:hyperlink w:history="1" r:id="rId8">
        <w:r w:rsidRPr="00886B09">
          <w:rPr>
            <w:rStyle w:val="Hyperlink"/>
            <w:rFonts w:ascii="Times New Roman" w:hAnsi="Times New Roman" w:cs="Times New Roman"/>
            <w:sz w:val="24"/>
            <w:szCs w:val="24"/>
          </w:rPr>
          <w:t>PBC-BRAC-Coordinator@fema.dhs.gov</w:t>
        </w:r>
      </w:hyperlink>
      <w:r w:rsidRPr="00886B09">
        <w:rPr>
          <w:rFonts w:ascii="Times New Roman" w:hAnsi="Times New Roman" w:cs="Times New Roman"/>
          <w:sz w:val="24"/>
          <w:szCs w:val="24"/>
        </w:rPr>
        <w:t>. This form can be retrieved from FEMA.gov.</w:t>
      </w:r>
    </w:p>
    <w:p w:rsidRPr="006625E7" w:rsidR="00562915" w:rsidP="00562915" w:rsidRDefault="00562915" w14:paraId="23D40BC1" w14:textId="1ACB31F6">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3027F2" w:rsidR="002B2B7C" w:rsidP="00562915" w:rsidRDefault="00886B09" w14:paraId="18D3A808" w14:textId="36BAAF6F">
      <w:pPr>
        <w:rPr>
          <w:rFonts w:ascii="Times New Roman" w:hAnsi="Times New Roman" w:cs="Times New Roman"/>
          <w:bCs/>
          <w:sz w:val="24"/>
          <w:szCs w:val="24"/>
        </w:rPr>
      </w:pPr>
      <w:r w:rsidRPr="00886B09">
        <w:rPr>
          <w:rFonts w:ascii="Times New Roman" w:hAnsi="Times New Roman" w:cs="Times New Roman"/>
          <w:sz w:val="24"/>
          <w:szCs w:val="24"/>
        </w:rPr>
        <w:t xml:space="preserve">This information is not collected in any </w:t>
      </w:r>
      <w:r w:rsidR="00AC3400">
        <w:rPr>
          <w:rFonts w:ascii="Times New Roman" w:hAnsi="Times New Roman" w:cs="Times New Roman"/>
          <w:sz w:val="24"/>
          <w:szCs w:val="24"/>
        </w:rPr>
        <w:t xml:space="preserve">other </w:t>
      </w:r>
      <w:r w:rsidRPr="00886B09">
        <w:rPr>
          <w:rFonts w:ascii="Times New Roman" w:hAnsi="Times New Roman" w:cs="Times New Roman"/>
          <w:sz w:val="24"/>
          <w:szCs w:val="24"/>
        </w:rPr>
        <w:t>form, and therefore is not duplicated elsewhere.</w:t>
      </w:r>
    </w:p>
    <w:p w:rsidRPr="006625E7" w:rsidR="00562915" w:rsidP="002B2B7C" w:rsidRDefault="00562915" w14:paraId="0AE2083C" w14:textId="00486F61">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5.  If the collection of information impacts small businesses or other small entities (Item 5 of OMB Form 83-I), describe any methods used to minimize.</w:t>
      </w:r>
    </w:p>
    <w:p w:rsidRPr="006625E7" w:rsidR="002B2B7C" w:rsidP="001B7DDE" w:rsidRDefault="00CF6CEF" w14:paraId="1C62AAA9" w14:textId="75E59AE0">
      <w:pPr>
        <w:rPr>
          <w:rFonts w:ascii="Times New Roman" w:hAnsi="Times New Roman" w:cs="Times New Roman"/>
          <w:spacing w:val="-3"/>
          <w:sz w:val="24"/>
          <w:szCs w:val="24"/>
        </w:rPr>
      </w:pPr>
      <w:r w:rsidRPr="001B7DDE">
        <w:rPr>
          <w:rFonts w:ascii="Times New Roman" w:hAnsi="Times New Roman" w:cs="Times New Roman"/>
          <w:sz w:val="24"/>
          <w:szCs w:val="24"/>
        </w:rPr>
        <w:t xml:space="preserve"> No methods are used to minimize the impact on small businesses or entities because the entirety of the collection meets legislative or regulatory requirements previously noted. </w:t>
      </w:r>
      <w:r w:rsidRPr="001B7DDE">
        <w:rPr>
          <w:rStyle w:val="CommentReference"/>
          <w:rFonts w:ascii="Times New Roman" w:hAnsi="Times New Roman" w:cs="Times New Roman"/>
          <w:sz w:val="24"/>
          <w:szCs w:val="24"/>
        </w:rPr>
        <w:t xml:space="preserve"> </w:t>
      </w:r>
      <w:r w:rsidRPr="001B7DDE">
        <w:rPr>
          <w:rFonts w:ascii="Times New Roman" w:hAnsi="Times New Roman" w:cs="Times New Roman"/>
          <w:sz w:val="24"/>
          <w:szCs w:val="24"/>
        </w:rPr>
        <w:t>Additionally, th</w:t>
      </w:r>
      <w:r w:rsidR="001B7DDE">
        <w:rPr>
          <w:rFonts w:ascii="Times New Roman" w:hAnsi="Times New Roman" w:cs="Times New Roman"/>
          <w:sz w:val="24"/>
          <w:szCs w:val="24"/>
        </w:rPr>
        <w:t>is grant program</w:t>
      </w:r>
      <w:r w:rsidRPr="001B7DDE">
        <w:rPr>
          <w:rFonts w:ascii="Times New Roman" w:hAnsi="Times New Roman" w:cs="Times New Roman"/>
          <w:sz w:val="24"/>
          <w:szCs w:val="24"/>
        </w:rPr>
        <w:t xml:space="preserve"> is a competitively administered discretionary grant.  Due to the competitive nature of the program, consistent application requirements are necessary to ensure fair and reasonable administration of awards.</w:t>
      </w:r>
    </w:p>
    <w:p w:rsidR="00562915" w:rsidP="00562915" w:rsidRDefault="00562915" w14:paraId="1039C61A"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r w:rsidRPr="006625E7" w:rsidR="003027F2">
        <w:rPr>
          <w:rFonts w:ascii="Times New Roman" w:hAnsi="Times New Roman" w:cs="Times New Roman"/>
          <w:b/>
          <w:bCs/>
          <w:sz w:val="24"/>
          <w:szCs w:val="24"/>
        </w:rPr>
        <w:t>conducted or</w:t>
      </w:r>
      <w:r w:rsidRPr="006625E7">
        <w:rPr>
          <w:rFonts w:ascii="Times New Roman" w:hAnsi="Times New Roman" w:cs="Times New Roman"/>
          <w:b/>
          <w:bCs/>
          <w:sz w:val="24"/>
          <w:szCs w:val="24"/>
        </w:rPr>
        <w:t xml:space="preserve"> is conducted less frequently</w:t>
      </w:r>
      <w:r w:rsidR="007223C8">
        <w:rPr>
          <w:rFonts w:ascii="Times New Roman" w:hAnsi="Times New Roman" w:cs="Times New Roman"/>
          <w:b/>
          <w:bCs/>
          <w:sz w:val="24"/>
          <w:szCs w:val="24"/>
        </w:rPr>
        <w:t>,</w:t>
      </w:r>
      <w:r w:rsidRPr="006625E7">
        <w:rPr>
          <w:rFonts w:ascii="Times New Roman" w:hAnsi="Times New Roman" w:cs="Times New Roman"/>
          <w:b/>
          <w:bCs/>
          <w:sz w:val="24"/>
          <w:szCs w:val="24"/>
        </w:rPr>
        <w:t xml:space="preserve"> as well as any technical or legal obstacles to reducing burden.  </w:t>
      </w:r>
    </w:p>
    <w:p w:rsidRPr="00AF50C8" w:rsidR="002B2B7C" w:rsidP="00562915" w:rsidRDefault="00D41A2F" w14:paraId="13718979" w14:textId="5DB12EBA">
      <w:pPr>
        <w:rPr>
          <w:rFonts w:ascii="Times New Roman" w:hAnsi="Times New Roman" w:cs="Times New Roman"/>
          <w:bCs/>
          <w:spacing w:val="-3"/>
          <w:sz w:val="24"/>
          <w:szCs w:val="24"/>
        </w:rPr>
      </w:pPr>
      <w:r>
        <w:rPr>
          <w:rFonts w:ascii="Times New Roman" w:hAnsi="Times New Roman" w:cs="Times New Roman"/>
          <w:spacing w:val="-3"/>
          <w:sz w:val="24"/>
          <w:szCs w:val="24"/>
        </w:rPr>
        <w:t xml:space="preserve"> </w:t>
      </w:r>
      <w:r w:rsidRPr="00443525" w:rsidR="00443525">
        <w:rPr>
          <w:rFonts w:ascii="Times New Roman" w:hAnsi="Times New Roman" w:cs="Times New Roman"/>
          <w:bCs/>
          <w:spacing w:val="-3"/>
          <w:sz w:val="24"/>
          <w:szCs w:val="24"/>
        </w:rPr>
        <w:t xml:space="preserve">If this information is not collected, the potential life preserving benefits are not realized and properties left to languish in an unattended and unmaintained state would also lose value and the Federal government incurs the burden.  Also, FEMA would lose an opportunity to assist States in their preparedness efforts.  Properties approved for use for emergency management purposes fulfill an essential need that could have life-threatening implications and devastating consequences if they are not made available for fire and rescues use (for example) to the citizens of those respective local government entities.  </w:t>
      </w:r>
    </w:p>
    <w:p w:rsidRPr="006625E7" w:rsidR="00562915" w:rsidP="00562915" w:rsidRDefault="00562915" w14:paraId="05B39903" w14:textId="7777777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P="00562915" w:rsidRDefault="00562915" w14:paraId="5601C874"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886B09" w:rsidP="00886B09" w:rsidRDefault="00886B09" w14:paraId="1D73E51B" w14:textId="77777777">
      <w:pPr>
        <w:spacing w:after="0" w:line="240" w:lineRule="auto"/>
        <w:ind w:left="1080"/>
        <w:rPr>
          <w:rFonts w:ascii="Times New Roman" w:hAnsi="Times New Roman" w:cs="Times New Roman"/>
          <w:b/>
          <w:bCs/>
          <w:sz w:val="24"/>
          <w:szCs w:val="24"/>
        </w:rPr>
      </w:pPr>
    </w:p>
    <w:p w:rsidRPr="00886B09" w:rsidR="00886B09" w:rsidP="00886B09" w:rsidRDefault="00886B09" w14:paraId="022903EB" w14:textId="77777777">
      <w:pPr>
        <w:rPr>
          <w:rFonts w:ascii="Times New Roman" w:hAnsi="Times New Roman" w:cs="Times New Roman"/>
          <w:sz w:val="24"/>
          <w:szCs w:val="24"/>
        </w:rPr>
      </w:pPr>
      <w:r w:rsidRPr="00886B09">
        <w:rPr>
          <w:rFonts w:ascii="Times New Roman" w:hAnsi="Times New Roman" w:cs="Times New Roman"/>
          <w:sz w:val="24"/>
          <w:szCs w:val="24"/>
        </w:rPr>
        <w:t>There is no requirement requiring reporting more often than quarterly.</w:t>
      </w:r>
    </w:p>
    <w:p w:rsidRPr="006625E7" w:rsidR="002B2B7C" w:rsidP="002B2B7C" w:rsidRDefault="002B2B7C" w14:paraId="7A88104E" w14:textId="77777777">
      <w:pPr>
        <w:spacing w:after="0" w:line="240" w:lineRule="auto"/>
        <w:ind w:left="1080"/>
        <w:rPr>
          <w:rFonts w:ascii="Times New Roman" w:hAnsi="Times New Roman" w:cs="Times New Roman"/>
          <w:b/>
          <w:bCs/>
          <w:sz w:val="24"/>
          <w:szCs w:val="24"/>
        </w:rPr>
      </w:pPr>
    </w:p>
    <w:p w:rsidRPr="00886B09" w:rsidR="00562915" w:rsidP="00886B09" w:rsidRDefault="00562915" w14:paraId="50E67A8C" w14:textId="77777777">
      <w:pPr>
        <w:pStyle w:val="ListParagraph"/>
        <w:numPr>
          <w:ilvl w:val="0"/>
          <w:numId w:val="3"/>
        </w:numPr>
        <w:rPr>
          <w:rFonts w:ascii="Times New Roman" w:hAnsi="Times New Roman" w:cs="Times New Roman"/>
          <w:sz w:val="24"/>
          <w:szCs w:val="24"/>
        </w:rPr>
      </w:pPr>
      <w:r w:rsidRPr="00886B09">
        <w:rPr>
          <w:rFonts w:ascii="Times New Roman" w:hAnsi="Times New Roman" w:cs="Times New Roman"/>
          <w:sz w:val="24"/>
          <w:szCs w:val="24"/>
        </w:rPr>
        <w:fldChar w:fldCharType="begin"/>
      </w:r>
      <w:r w:rsidRPr="00886B09">
        <w:rPr>
          <w:rFonts w:ascii="Times New Roman" w:hAnsi="Times New Roman" w:cs="Times New Roman"/>
          <w:sz w:val="24"/>
          <w:szCs w:val="24"/>
        </w:rPr>
        <w:instrText>ADVANCE \R 0.95</w:instrText>
      </w:r>
      <w:r w:rsidRPr="00886B09">
        <w:rPr>
          <w:rFonts w:ascii="Times New Roman" w:hAnsi="Times New Roman" w:cs="Times New Roman"/>
          <w:sz w:val="24"/>
          <w:szCs w:val="24"/>
        </w:rPr>
        <w:fldChar w:fldCharType="end"/>
      </w:r>
      <w:r w:rsidRPr="00886B09">
        <w:rPr>
          <w:rFonts w:ascii="Times New Roman" w:hAnsi="Times New Roman" w:cs="Times New Roman"/>
          <w:sz w:val="24"/>
          <w:szCs w:val="24"/>
        </w:rPr>
        <w:fldChar w:fldCharType="begin"/>
      </w:r>
      <w:r w:rsidRPr="00886B09">
        <w:rPr>
          <w:rFonts w:ascii="Times New Roman" w:hAnsi="Times New Roman" w:cs="Times New Roman"/>
          <w:sz w:val="24"/>
          <w:szCs w:val="24"/>
        </w:rPr>
        <w:instrText>ADVANCE \R 0.95</w:instrText>
      </w:r>
      <w:r w:rsidRPr="00886B09">
        <w:rPr>
          <w:rFonts w:ascii="Times New Roman" w:hAnsi="Times New Roman" w:cs="Times New Roman"/>
          <w:sz w:val="24"/>
          <w:szCs w:val="24"/>
        </w:rPr>
        <w:fldChar w:fldCharType="end"/>
      </w:r>
      <w:r w:rsidRPr="00886B09">
        <w:rPr>
          <w:rFonts w:ascii="Times New Roman" w:hAnsi="Times New Roman" w:cs="Times New Roman"/>
          <w:b/>
          <w:bCs/>
          <w:sz w:val="24"/>
          <w:szCs w:val="24"/>
        </w:rPr>
        <w:t>Requiring respondents to prepare a written response to a</w:t>
      </w:r>
      <w:r w:rsidRPr="00886B09" w:rsidR="002B2B7C">
        <w:rPr>
          <w:rFonts w:ascii="Times New Roman" w:hAnsi="Times New Roman" w:cs="Times New Roman"/>
          <w:b/>
          <w:bCs/>
          <w:sz w:val="24"/>
          <w:szCs w:val="24"/>
        </w:rPr>
        <w:t xml:space="preserve"> </w:t>
      </w:r>
      <w:r w:rsidRPr="00886B09">
        <w:rPr>
          <w:rFonts w:ascii="Times New Roman" w:hAnsi="Times New Roman" w:cs="Times New Roman"/>
          <w:b/>
          <w:bCs/>
          <w:sz w:val="24"/>
          <w:szCs w:val="24"/>
        </w:rPr>
        <w:t>collection of information in fewer than 30 days after receipt of it.</w:t>
      </w:r>
      <w:r w:rsidRPr="00886B09">
        <w:rPr>
          <w:rFonts w:ascii="Times New Roman" w:hAnsi="Times New Roman" w:cs="Times New Roman"/>
          <w:sz w:val="24"/>
          <w:szCs w:val="24"/>
        </w:rPr>
        <w:fldChar w:fldCharType="begin"/>
      </w:r>
      <w:r w:rsidRPr="00886B09">
        <w:rPr>
          <w:rFonts w:ascii="Times New Roman" w:hAnsi="Times New Roman" w:cs="Times New Roman"/>
          <w:sz w:val="24"/>
          <w:szCs w:val="24"/>
        </w:rPr>
        <w:instrText>ADVANCE \R 0.95</w:instrText>
      </w:r>
      <w:r w:rsidRPr="00886B09">
        <w:rPr>
          <w:rFonts w:ascii="Times New Roman" w:hAnsi="Times New Roman" w:cs="Times New Roman"/>
          <w:sz w:val="24"/>
          <w:szCs w:val="24"/>
        </w:rPr>
        <w:fldChar w:fldCharType="end"/>
      </w:r>
    </w:p>
    <w:p w:rsidRPr="00886B09" w:rsidR="00886B09" w:rsidP="00886B09" w:rsidRDefault="00886B09" w14:paraId="34F82128" w14:textId="77777777">
      <w:pPr>
        <w:rPr>
          <w:rFonts w:ascii="Times New Roman" w:hAnsi="Times New Roman" w:cs="Times New Roman"/>
          <w:sz w:val="24"/>
          <w:szCs w:val="24"/>
        </w:rPr>
      </w:pPr>
      <w:r w:rsidRPr="00886B09">
        <w:rPr>
          <w:rFonts w:ascii="Times New Roman" w:hAnsi="Times New Roman" w:cs="Times New Roman"/>
          <w:sz w:val="24"/>
          <w:szCs w:val="24"/>
        </w:rPr>
        <w:t>There is no requirement to prepare a response in less than 30 days.</w:t>
      </w:r>
    </w:p>
    <w:p w:rsidRPr="006625E7" w:rsidR="00562915" w:rsidP="00562915" w:rsidRDefault="00562915" w14:paraId="2E1CBC45"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P="00562915" w:rsidRDefault="00562915" w14:paraId="1F6F7A83" w14:textId="77777777">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886B09" w:rsidP="00562915" w:rsidRDefault="00886B09" w14:paraId="12BBA618" w14:textId="77777777">
      <w:pPr>
        <w:rPr>
          <w:rFonts w:ascii="Times New Roman" w:hAnsi="Times New Roman" w:cs="Times New Roman"/>
          <w:sz w:val="24"/>
          <w:szCs w:val="24"/>
        </w:rPr>
      </w:pPr>
      <w:r w:rsidRPr="00886B09">
        <w:rPr>
          <w:rFonts w:ascii="Times New Roman" w:hAnsi="Times New Roman" w:cs="Times New Roman"/>
          <w:sz w:val="24"/>
          <w:szCs w:val="24"/>
        </w:rPr>
        <w:t>There is no requirement to submit more than an original and two copies of any document.</w:t>
      </w:r>
    </w:p>
    <w:p w:rsidRPr="006625E7" w:rsidR="00562915" w:rsidP="00562915" w:rsidRDefault="00562915" w14:paraId="43DFAA87"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P="00562915" w:rsidRDefault="00562915" w14:paraId="769DE5A4"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C92E4C" w:rsidP="00562915" w:rsidRDefault="00C92E4C" w14:paraId="227FB44C" w14:textId="77777777">
      <w:pPr>
        <w:rPr>
          <w:rFonts w:ascii="Times New Roman" w:hAnsi="Times New Roman" w:cs="Times New Roman"/>
          <w:sz w:val="24"/>
          <w:szCs w:val="24"/>
        </w:rPr>
      </w:pPr>
      <w:r w:rsidRPr="00C92E4C">
        <w:rPr>
          <w:rFonts w:ascii="Times New Roman" w:hAnsi="Times New Roman" w:cs="Times New Roman"/>
          <w:sz w:val="24"/>
          <w:szCs w:val="24"/>
        </w:rPr>
        <w:t>Respondents will be required to maintain records regarding the use, status, and condition of the properties in order to substantiate compliance for as long as they retain possession/ownership of the properties for the designated purpose.</w:t>
      </w:r>
    </w:p>
    <w:p w:rsidRPr="006625E7" w:rsidR="00562915" w:rsidP="00562915" w:rsidRDefault="00562915" w14:paraId="18349ADC"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P="00562915" w:rsidRDefault="00562915" w14:paraId="352595D5"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C92E4C" w:rsidP="00562915" w:rsidRDefault="00C92E4C" w14:paraId="7DF1D0C9" w14:textId="77777777">
      <w:pPr>
        <w:rPr>
          <w:rFonts w:ascii="Times New Roman" w:hAnsi="Times New Roman" w:cs="Times New Roman"/>
          <w:sz w:val="24"/>
          <w:szCs w:val="24"/>
        </w:rPr>
      </w:pPr>
      <w:r w:rsidRPr="00C92E4C">
        <w:rPr>
          <w:rFonts w:ascii="Times New Roman" w:hAnsi="Times New Roman" w:cs="Times New Roman"/>
          <w:sz w:val="24"/>
          <w:szCs w:val="24"/>
        </w:rPr>
        <w:t>There is no statistical survey for this collection.</w:t>
      </w:r>
    </w:p>
    <w:p w:rsidRPr="006625E7" w:rsidR="00562915" w:rsidP="002B2B7C" w:rsidRDefault="00562915" w14:paraId="40E3A901"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P="002B2B7C" w:rsidRDefault="00562915" w14:paraId="78D75A1C"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C92E4C" w:rsidP="002B2B7C" w:rsidRDefault="00C92E4C" w14:paraId="78A8E0B3" w14:textId="77777777">
      <w:pPr>
        <w:spacing w:after="0" w:line="240" w:lineRule="auto"/>
        <w:rPr>
          <w:rFonts w:ascii="Times New Roman" w:hAnsi="Times New Roman" w:cs="Times New Roman"/>
          <w:b/>
          <w:bCs/>
          <w:sz w:val="24"/>
          <w:szCs w:val="24"/>
        </w:rPr>
      </w:pPr>
    </w:p>
    <w:p w:rsidRPr="00C92E4C" w:rsidR="002B2B7C" w:rsidP="00C92E4C" w:rsidRDefault="00C92E4C" w14:paraId="01C12F0A" w14:textId="77777777">
      <w:pPr>
        <w:rPr>
          <w:rFonts w:ascii="Times New Roman" w:hAnsi="Times New Roman" w:cs="Times New Roman"/>
          <w:sz w:val="24"/>
          <w:szCs w:val="24"/>
        </w:rPr>
      </w:pPr>
      <w:r w:rsidRPr="00C92E4C">
        <w:rPr>
          <w:rFonts w:ascii="Times New Roman" w:hAnsi="Times New Roman" w:cs="Times New Roman"/>
          <w:sz w:val="24"/>
          <w:szCs w:val="24"/>
        </w:rPr>
        <w:t>There is no use of statistical data classification.</w:t>
      </w:r>
    </w:p>
    <w:p w:rsidR="00562915" w:rsidP="00562915" w:rsidRDefault="00562915" w14:paraId="6B36376C"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C92E4C" w:rsidP="00562915" w:rsidRDefault="00C92E4C" w14:paraId="19F90B32" w14:textId="77777777">
      <w:pPr>
        <w:rPr>
          <w:rFonts w:ascii="Times New Roman" w:hAnsi="Times New Roman" w:cs="Times New Roman"/>
          <w:sz w:val="24"/>
          <w:szCs w:val="24"/>
        </w:rPr>
      </w:pPr>
      <w:r w:rsidRPr="00C92E4C">
        <w:rPr>
          <w:rFonts w:ascii="Times New Roman" w:hAnsi="Times New Roman" w:cs="Times New Roman"/>
          <w:sz w:val="24"/>
          <w:szCs w:val="24"/>
        </w:rPr>
        <w:t>There is no pledge of confidentiality that is not supported by authority.</w:t>
      </w:r>
    </w:p>
    <w:p w:rsidR="00562915" w:rsidP="00562915" w:rsidRDefault="00562915" w14:paraId="022F495F"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(h) Requiring respondents to submit proprietary trade secret, or other confidential information unless the agency can demonstrate that it has instituted </w:t>
      </w:r>
      <w:r w:rsidRPr="006625E7">
        <w:rPr>
          <w:rFonts w:ascii="Times New Roman" w:hAnsi="Times New Roman" w:cs="Times New Roman"/>
          <w:b/>
          <w:bCs/>
          <w:sz w:val="24"/>
          <w:szCs w:val="24"/>
        </w:rPr>
        <w:lastRenderedPageBreak/>
        <w:t>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C92E4C" w:rsidR="00C92E4C" w:rsidP="00562915" w:rsidRDefault="00C92E4C" w14:paraId="6B1E6A92" w14:textId="77777777">
      <w:pPr>
        <w:rPr>
          <w:rFonts w:ascii="Times New Roman" w:hAnsi="Times New Roman" w:cs="Times New Roman"/>
          <w:sz w:val="24"/>
          <w:szCs w:val="24"/>
        </w:rPr>
      </w:pPr>
      <w:r w:rsidRPr="00C92E4C">
        <w:rPr>
          <w:rFonts w:ascii="Times New Roman" w:hAnsi="Times New Roman" w:cs="Times New Roman"/>
          <w:sz w:val="24"/>
          <w:szCs w:val="24"/>
        </w:rPr>
        <w:t>There is no requirement to submit proprietary trade secrets or other confidential information.</w:t>
      </w:r>
    </w:p>
    <w:p w:rsidRPr="006625E7" w:rsidR="00562915" w:rsidP="00562915" w:rsidRDefault="00562915" w14:paraId="08EB519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46A4C8B8"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w:t>
      </w:r>
      <w:r w:rsidRPr="006625E7" w:rsidR="00807F98">
        <w:rPr>
          <w:rFonts w:ascii="Times New Roman" w:hAnsi="Times New Roman" w:cs="Times New Roman"/>
          <w:b/>
          <w:bCs/>
          <w:sz w:val="24"/>
          <w:szCs w:val="24"/>
        </w:rPr>
        <w:t>publication</w:t>
      </w:r>
      <w:r w:rsidRPr="006625E7">
        <w:rPr>
          <w:rFonts w:ascii="Times New Roman" w:hAnsi="Times New Roman" w:cs="Times New Roman"/>
          <w:b/>
          <w:bCs/>
          <w:sz w:val="24"/>
          <w:szCs w:val="24"/>
        </w:rPr>
        <w:t xml:space="preserve">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3AB518A8" w14:textId="5EAC728D">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Pr="00BE6732" w:rsidR="00BE6732">
        <w:rPr>
          <w:rFonts w:ascii="Times New Roman" w:hAnsi="Times New Roman" w:eastAsia="Times New Roman" w:cs="Times New Roman"/>
          <w:bCs/>
          <w:sz w:val="24"/>
          <w:szCs w:val="24"/>
        </w:rPr>
        <w:t xml:space="preserve">December 19, 2019 at 84 FR </w:t>
      </w:r>
      <w:r w:rsidR="00C04C0E">
        <w:rPr>
          <w:rFonts w:ascii="Times New Roman" w:hAnsi="Times New Roman" w:eastAsia="Times New Roman" w:cs="Times New Roman"/>
          <w:bCs/>
          <w:sz w:val="24"/>
          <w:szCs w:val="24"/>
        </w:rPr>
        <w:t>69758</w:t>
      </w:r>
      <w:r w:rsidRPr="006625E7">
        <w:rPr>
          <w:rFonts w:ascii="Times New Roman" w:hAnsi="Times New Roman" w:cs="Times New Roman"/>
          <w:color w:val="0000FF"/>
          <w:sz w:val="24"/>
          <w:szCs w:val="24"/>
        </w:rPr>
        <w:t xml:space="preserve">.  </w:t>
      </w:r>
      <w:r w:rsidRPr="00BE6732">
        <w:rPr>
          <w:rFonts w:ascii="Times New Roman" w:hAnsi="Times New Roman" w:cs="Times New Roman"/>
          <w:b/>
          <w:bCs/>
          <w:sz w:val="24"/>
          <w:szCs w:val="24"/>
        </w:rPr>
        <w:t xml:space="preserve">No comments were received.  </w:t>
      </w:r>
    </w:p>
    <w:p w:rsidRPr="006625E7" w:rsidR="002431B9" w:rsidP="002431B9" w:rsidRDefault="002431B9" w14:paraId="072F4C6F" w14:textId="3E6BF41C">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6625E7">
        <w:rPr>
          <w:rFonts w:ascii="Times New Roman" w:hAnsi="Times New Roman" w:cs="Times New Roman"/>
          <w:color w:val="000000"/>
          <w:sz w:val="24"/>
          <w:szCs w:val="24"/>
        </w:rPr>
        <w:t>0-day Federal Register Notice inviting public comments was published on</w:t>
      </w:r>
      <w:r w:rsidRPr="006625E7">
        <w:rPr>
          <w:rFonts w:ascii="Times New Roman" w:hAnsi="Times New Roman" w:cs="Times New Roman"/>
          <w:color w:val="FF0000"/>
          <w:sz w:val="24"/>
          <w:szCs w:val="24"/>
        </w:rPr>
        <w:t xml:space="preserve"> </w:t>
      </w:r>
      <w:r>
        <w:rPr>
          <w:rFonts w:ascii="Times New Roman" w:hAnsi="Times New Roman" w:eastAsia="Times New Roman" w:cs="Times New Roman"/>
          <w:bCs/>
          <w:sz w:val="24"/>
          <w:szCs w:val="24"/>
        </w:rPr>
        <w:t>March</w:t>
      </w:r>
      <w:r w:rsidRPr="00BE6732">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20</w:t>
      </w:r>
      <w:r w:rsidRPr="00BE6732">
        <w:rPr>
          <w:rFonts w:ascii="Times New Roman" w:hAnsi="Times New Roman" w:eastAsia="Times New Roman" w:cs="Times New Roman"/>
          <w:bCs/>
          <w:sz w:val="24"/>
          <w:szCs w:val="24"/>
        </w:rPr>
        <w:t>, 20</w:t>
      </w:r>
      <w:r>
        <w:rPr>
          <w:rFonts w:ascii="Times New Roman" w:hAnsi="Times New Roman" w:eastAsia="Times New Roman" w:cs="Times New Roman"/>
          <w:bCs/>
          <w:sz w:val="24"/>
          <w:szCs w:val="24"/>
        </w:rPr>
        <w:t>20</w:t>
      </w:r>
      <w:r w:rsidRPr="00BE6732">
        <w:rPr>
          <w:rFonts w:ascii="Times New Roman" w:hAnsi="Times New Roman" w:eastAsia="Times New Roman" w:cs="Times New Roman"/>
          <w:bCs/>
          <w:sz w:val="24"/>
          <w:szCs w:val="24"/>
        </w:rPr>
        <w:t xml:space="preserve"> at 8</w:t>
      </w:r>
      <w:r>
        <w:rPr>
          <w:rFonts w:ascii="Times New Roman" w:hAnsi="Times New Roman" w:eastAsia="Times New Roman" w:cs="Times New Roman"/>
          <w:bCs/>
          <w:sz w:val="24"/>
          <w:szCs w:val="24"/>
        </w:rPr>
        <w:t>5</w:t>
      </w:r>
      <w:r w:rsidRPr="00BE6732">
        <w:rPr>
          <w:rFonts w:ascii="Times New Roman" w:hAnsi="Times New Roman" w:eastAsia="Times New Roman" w:cs="Times New Roman"/>
          <w:bCs/>
          <w:sz w:val="24"/>
          <w:szCs w:val="24"/>
        </w:rPr>
        <w:t xml:space="preserve"> FR </w:t>
      </w:r>
      <w:r>
        <w:rPr>
          <w:rFonts w:ascii="Times New Roman" w:hAnsi="Times New Roman" w:eastAsia="Times New Roman" w:cs="Times New Roman"/>
          <w:bCs/>
          <w:sz w:val="24"/>
          <w:szCs w:val="24"/>
        </w:rPr>
        <w:t>16115</w:t>
      </w:r>
      <w:r w:rsidRPr="006625E7">
        <w:rPr>
          <w:rFonts w:ascii="Times New Roman" w:hAnsi="Times New Roman" w:cs="Times New Roman"/>
          <w:color w:val="0000FF"/>
          <w:sz w:val="24"/>
          <w:szCs w:val="24"/>
        </w:rPr>
        <w:t xml:space="preserve">.  </w:t>
      </w:r>
      <w:r w:rsidRPr="00BE6732">
        <w:rPr>
          <w:rFonts w:ascii="Times New Roman" w:hAnsi="Times New Roman" w:cs="Times New Roman"/>
          <w:b/>
          <w:bCs/>
          <w:sz w:val="24"/>
          <w:szCs w:val="24"/>
        </w:rPr>
        <w:t xml:space="preserve">No comments were received.  </w:t>
      </w:r>
    </w:p>
    <w:p w:rsidR="00562915" w:rsidP="002B2B7C" w:rsidRDefault="00562915" w14:paraId="4C6BE97B"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21617" w:rsidR="00721617" w:rsidP="00721617" w:rsidRDefault="00721617" w14:paraId="62E8F5C3" w14:textId="77777777">
      <w:pPr>
        <w:rPr>
          <w:rFonts w:ascii="Times New Roman" w:hAnsi="Times New Roman" w:cs="Times New Roman"/>
          <w:sz w:val="24"/>
          <w:szCs w:val="24"/>
        </w:rPr>
      </w:pPr>
      <w:r w:rsidRPr="00721617">
        <w:rPr>
          <w:rFonts w:ascii="Times New Roman" w:hAnsi="Times New Roman" w:cs="Times New Roman"/>
          <w:sz w:val="24"/>
          <w:szCs w:val="24"/>
        </w:rPr>
        <w:t>FEMA continuously consults with GSA to efficiently convey property to qualified applicants.  GSA is the government’s manager of property and an expert in the field of property acquisition, conveyance, sale, etc.  Their expertise has provided FEMA with the most efficient method o</w:t>
      </w:r>
      <w:r w:rsidR="00807F98">
        <w:rPr>
          <w:rFonts w:ascii="Times New Roman" w:hAnsi="Times New Roman" w:cs="Times New Roman"/>
          <w:sz w:val="24"/>
          <w:szCs w:val="24"/>
        </w:rPr>
        <w:t>f</w:t>
      </w:r>
      <w:r w:rsidRPr="00721617">
        <w:rPr>
          <w:rFonts w:ascii="Times New Roman" w:hAnsi="Times New Roman" w:cs="Times New Roman"/>
          <w:sz w:val="24"/>
          <w:szCs w:val="24"/>
        </w:rPr>
        <w:t xml:space="preserve"> provid</w:t>
      </w:r>
      <w:r w:rsidR="00807F98">
        <w:rPr>
          <w:rFonts w:ascii="Times New Roman" w:hAnsi="Times New Roman" w:cs="Times New Roman"/>
          <w:sz w:val="24"/>
          <w:szCs w:val="24"/>
        </w:rPr>
        <w:t>ing</w:t>
      </w:r>
      <w:r w:rsidRPr="00721617">
        <w:rPr>
          <w:rFonts w:ascii="Times New Roman" w:hAnsi="Times New Roman" w:cs="Times New Roman"/>
          <w:sz w:val="24"/>
          <w:szCs w:val="24"/>
        </w:rPr>
        <w:t xml:space="preserve"> instructions to applicants, obtain</w:t>
      </w:r>
      <w:r w:rsidR="00807F98">
        <w:rPr>
          <w:rFonts w:ascii="Times New Roman" w:hAnsi="Times New Roman" w:cs="Times New Roman"/>
          <w:sz w:val="24"/>
          <w:szCs w:val="24"/>
        </w:rPr>
        <w:t>ing</w:t>
      </w:r>
      <w:r w:rsidRPr="00721617">
        <w:rPr>
          <w:rFonts w:ascii="Times New Roman" w:hAnsi="Times New Roman" w:cs="Times New Roman"/>
          <w:sz w:val="24"/>
          <w:szCs w:val="24"/>
        </w:rPr>
        <w:t xml:space="preserve"> the required information and how to properly act upon information provided. </w:t>
      </w:r>
    </w:p>
    <w:p w:rsidRPr="006625E7" w:rsidR="00721617" w:rsidP="00562915" w:rsidRDefault="00611B09" w14:paraId="1E293121" w14:textId="77777777">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Pr="006625E7" w:rsidR="00562915">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721617" w:rsidR="00562915" w:rsidP="00721617" w:rsidRDefault="00721617" w14:paraId="2D4E790F" w14:textId="5E31EEA6">
      <w:pPr>
        <w:tabs>
          <w:tab w:val="left" w:pos="360"/>
        </w:tabs>
        <w:rPr>
          <w:rFonts w:ascii="Times New Roman" w:hAnsi="Times New Roman" w:cs="Times New Roman"/>
          <w:bCs/>
          <w:sz w:val="24"/>
          <w:szCs w:val="24"/>
        </w:rPr>
      </w:pPr>
      <w:r w:rsidRPr="00721617">
        <w:rPr>
          <w:rFonts w:ascii="Times New Roman" w:hAnsi="Times New Roman" w:cs="Times New Roman"/>
          <w:bCs/>
          <w:sz w:val="24"/>
          <w:szCs w:val="24"/>
        </w:rPr>
        <w:t xml:space="preserve">Respondents have, via e-mail, telephone calls and occasionally via </w:t>
      </w:r>
      <w:r w:rsidR="00807F98">
        <w:rPr>
          <w:rFonts w:ascii="Times New Roman" w:hAnsi="Times New Roman" w:cs="Times New Roman"/>
          <w:bCs/>
          <w:sz w:val="24"/>
          <w:szCs w:val="24"/>
        </w:rPr>
        <w:t>USPS</w:t>
      </w:r>
      <w:r w:rsidRPr="00721617">
        <w:rPr>
          <w:rFonts w:ascii="Times New Roman" w:hAnsi="Times New Roman" w:cs="Times New Roman"/>
          <w:bCs/>
          <w:sz w:val="24"/>
          <w:szCs w:val="24"/>
        </w:rPr>
        <w:t xml:space="preserve"> provided feedback on the requirements for FEMA Form 119-0-1.  </w:t>
      </w:r>
      <w:r w:rsidRPr="00CE4C36" w:rsidR="00CE4C36">
        <w:rPr>
          <w:rFonts w:ascii="Times New Roman" w:hAnsi="Times New Roman" w:cs="Times New Roman"/>
          <w:bCs/>
          <w:sz w:val="24"/>
          <w:szCs w:val="24"/>
        </w:rPr>
        <w:t>Based on their responses, FEMA is enhancing the form by requiring additional information which would allow applicants to make more informed decisions</w:t>
      </w:r>
      <w:r w:rsidRPr="00721617">
        <w:rPr>
          <w:rFonts w:ascii="Times New Roman" w:hAnsi="Times New Roman" w:cs="Times New Roman"/>
          <w:bCs/>
          <w:sz w:val="24"/>
          <w:szCs w:val="24"/>
        </w:rPr>
        <w:t xml:space="preserve">.  </w:t>
      </w:r>
      <w:r w:rsidRPr="006625E7" w:rsidR="00562915">
        <w:rPr>
          <w:rFonts w:ascii="Times New Roman" w:hAnsi="Times New Roman" w:cs="Times New Roman"/>
          <w:sz w:val="24"/>
          <w:szCs w:val="24"/>
        </w:rPr>
        <w:t xml:space="preserve">    </w:t>
      </w:r>
    </w:p>
    <w:p w:rsidR="00562915" w:rsidP="00562915" w:rsidRDefault="00562915" w14:paraId="36870586" w14:textId="7777777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721617" w:rsidP="00721617" w:rsidRDefault="00721617" w14:paraId="74EBADAF" w14:textId="77777777">
      <w:pPr>
        <w:spacing w:after="0" w:line="240" w:lineRule="auto"/>
        <w:rPr>
          <w:rFonts w:ascii="Times New Roman" w:hAnsi="Times New Roman" w:eastAsia="Times New Roman" w:cs="Times New Roman"/>
          <w:sz w:val="24"/>
          <w:szCs w:val="24"/>
        </w:rPr>
      </w:pPr>
      <w:r w:rsidRPr="00721617">
        <w:rPr>
          <w:rFonts w:ascii="Times New Roman" w:hAnsi="Times New Roman" w:eastAsia="Times New Roman" w:cs="Times New Roman"/>
          <w:sz w:val="24"/>
          <w:szCs w:val="24"/>
        </w:rPr>
        <w:t>FEMA does not provide payments or gifts to respondents in exchange for a benefit sought</w:t>
      </w:r>
      <w:r>
        <w:rPr>
          <w:rFonts w:ascii="Times New Roman" w:hAnsi="Times New Roman" w:eastAsia="Times New Roman" w:cs="Times New Roman"/>
          <w:sz w:val="24"/>
          <w:szCs w:val="24"/>
        </w:rPr>
        <w:t>.</w:t>
      </w:r>
    </w:p>
    <w:p w:rsidRPr="00721617" w:rsidR="00721617" w:rsidP="00721617" w:rsidRDefault="00721617" w14:paraId="107301C5" w14:textId="77777777">
      <w:pPr>
        <w:spacing w:after="0" w:line="240" w:lineRule="auto"/>
        <w:rPr>
          <w:rFonts w:ascii="Times New Roman" w:hAnsi="Times New Roman" w:eastAsia="Times New Roman" w:cs="Times New Roman"/>
          <w:sz w:val="24"/>
          <w:szCs w:val="24"/>
        </w:rPr>
      </w:pPr>
    </w:p>
    <w:p w:rsidRPr="006625E7" w:rsidR="00562915" w:rsidP="00562915" w:rsidRDefault="00562915" w14:paraId="2717AB53"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721617" w:rsidR="00721617" w:rsidP="00721617" w:rsidRDefault="00562915" w14:paraId="521450F0" w14:textId="5E732034">
      <w:pPr>
        <w:tabs>
          <w:tab w:val="left" w:pos="360"/>
        </w:tabs>
        <w:rPr>
          <w:rFonts w:ascii="Times New Roman" w:hAnsi="Times New Roman" w:cs="Times New Roman"/>
          <w:sz w:val="24"/>
          <w:szCs w:val="24"/>
        </w:rPr>
      </w:pPr>
      <w:r w:rsidRPr="008646FC">
        <w:rPr>
          <w:rFonts w:ascii="Times New Roman" w:hAnsi="Times New Roman" w:cs="Times New Roman"/>
          <w:sz w:val="24"/>
          <w:szCs w:val="24"/>
        </w:rPr>
        <w:t xml:space="preserve">A Privacy Threshold Analysis (PTA) was </w:t>
      </w:r>
      <w:r w:rsidRPr="008646FC" w:rsidR="008646FC">
        <w:rPr>
          <w:rFonts w:ascii="Times New Roman" w:hAnsi="Times New Roman" w:cs="Times New Roman"/>
          <w:sz w:val="24"/>
          <w:szCs w:val="24"/>
        </w:rPr>
        <w:t xml:space="preserve">submitted to the FEMA Privacy Branch on </w:t>
      </w:r>
      <w:r w:rsidR="004B2851">
        <w:rPr>
          <w:rFonts w:ascii="Times New Roman" w:hAnsi="Times New Roman" w:cs="Times New Roman"/>
          <w:sz w:val="24"/>
          <w:szCs w:val="24"/>
        </w:rPr>
        <w:t>11 March 2020 and is pending approval</w:t>
      </w:r>
      <w:r w:rsidRPr="008646FC">
        <w:rPr>
          <w:rFonts w:ascii="Times New Roman" w:hAnsi="Times New Roman" w:cs="Times New Roman"/>
          <w:bCs/>
          <w:sz w:val="24"/>
          <w:szCs w:val="24"/>
        </w:rPr>
        <w:t>.</w:t>
      </w:r>
      <w:r w:rsidR="008646FC">
        <w:rPr>
          <w:rFonts w:ascii="Times New Roman" w:hAnsi="Times New Roman" w:cs="Times New Roman"/>
          <w:sz w:val="24"/>
          <w:szCs w:val="24"/>
        </w:rPr>
        <w:t xml:space="preserve"> </w:t>
      </w:r>
      <w:r w:rsidRPr="008646FC" w:rsidR="00721617">
        <w:rPr>
          <w:rFonts w:ascii="Times New Roman" w:hAnsi="Times New Roman" w:cs="Times New Roman"/>
          <w:sz w:val="24"/>
          <w:szCs w:val="24"/>
        </w:rPr>
        <w:t xml:space="preserve">The </w:t>
      </w:r>
      <w:r w:rsidRPr="00721617" w:rsidR="00721617">
        <w:rPr>
          <w:rFonts w:ascii="Times New Roman" w:hAnsi="Times New Roman" w:cs="Times New Roman"/>
          <w:sz w:val="24"/>
          <w:szCs w:val="24"/>
        </w:rPr>
        <w:t>Privacy Impact Assessment (PIA) is covered under the Department of Homeland Security General Contact Lists, DHS/All/PIA-006, approved by DHS on June 15, 2007 and the existing System of Records Notice (SORN), is DHS/All-002 Department of Homeland Security Mailing and Other Lists System of Records, 73 FR 71659 approved by DHS on November 25, 2008.</w:t>
      </w:r>
    </w:p>
    <w:p w:rsidRPr="00721617" w:rsidR="00721617" w:rsidP="00721617" w:rsidRDefault="00721617" w14:paraId="7071F375" w14:textId="77777777">
      <w:pPr>
        <w:tabs>
          <w:tab w:val="left" w:pos="360"/>
        </w:tabs>
        <w:rPr>
          <w:rFonts w:ascii="Times New Roman" w:hAnsi="Times New Roman" w:cs="Times New Roman"/>
          <w:sz w:val="24"/>
          <w:szCs w:val="24"/>
        </w:rPr>
      </w:pPr>
      <w:r w:rsidRPr="00721617">
        <w:rPr>
          <w:rFonts w:ascii="Times New Roman" w:hAnsi="Times New Roman" w:cs="Times New Roman"/>
          <w:sz w:val="24"/>
          <w:szCs w:val="24"/>
        </w:rPr>
        <w:t>There are no assurances of confidentiality provided to the respondents for this information collection.</w:t>
      </w:r>
    </w:p>
    <w:p w:rsidR="00721617" w:rsidP="00562915" w:rsidRDefault="00721617" w14:paraId="5E95BB66" w14:textId="77777777">
      <w:pPr>
        <w:tabs>
          <w:tab w:val="left" w:pos="360"/>
        </w:tabs>
        <w:rPr>
          <w:rFonts w:ascii="Times New Roman" w:hAnsi="Times New Roman" w:cs="Times New Roman"/>
          <w:color w:val="0000FF"/>
          <w:sz w:val="24"/>
          <w:szCs w:val="24"/>
        </w:rPr>
      </w:pPr>
    </w:p>
    <w:p w:rsidR="00562915" w:rsidP="00562915" w:rsidRDefault="00562915" w14:paraId="3143277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21617" w:rsidR="00721617" w:rsidP="00721617" w:rsidRDefault="00721617" w14:paraId="784E2A9D" w14:textId="77777777">
      <w:pPr>
        <w:rPr>
          <w:rFonts w:ascii="Times New Roman" w:hAnsi="Times New Roman" w:cs="Times New Roman"/>
          <w:sz w:val="24"/>
          <w:szCs w:val="24"/>
        </w:rPr>
      </w:pPr>
      <w:r w:rsidRPr="00721617">
        <w:rPr>
          <w:rFonts w:ascii="Times New Roman" w:hAnsi="Times New Roman" w:cs="Times New Roman"/>
          <w:sz w:val="24"/>
          <w:szCs w:val="24"/>
        </w:rPr>
        <w:t>There are no questions of sensitive nature.</w:t>
      </w:r>
    </w:p>
    <w:p w:rsidRPr="006625E7" w:rsidR="00562915" w:rsidP="00562915" w:rsidRDefault="00562915" w14:paraId="69C5CB2F" w14:textId="77777777">
      <w:pPr>
        <w:rPr>
          <w:rFonts w:ascii="Times New Roman" w:hAnsi="Times New Roman" w:cs="Times New Roman"/>
          <w:sz w:val="24"/>
          <w:szCs w:val="24"/>
        </w:rPr>
      </w:pPr>
    </w:p>
    <w:p w:rsidRPr="006625E7" w:rsidR="00562915" w:rsidP="00562915" w:rsidRDefault="00562915" w14:paraId="6410B78B"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705E37C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respondents is expected to vary widely because of differences in activity, size, or complexity, show the range of estimated hour burden, and explain the reasons for </w:t>
      </w:r>
      <w:r w:rsidRPr="006625E7">
        <w:rPr>
          <w:rFonts w:ascii="Times New Roman" w:hAnsi="Times New Roman" w:cs="Times New Roman"/>
          <w:b/>
          <w:bCs/>
          <w:sz w:val="24"/>
          <w:szCs w:val="24"/>
        </w:rPr>
        <w:lastRenderedPageBreak/>
        <w:t>the variance.  Generally, estimates should not include burden hours for customary and usual business practices.</w:t>
      </w:r>
    </w:p>
    <w:p w:rsidRPr="00721617" w:rsidR="00721617" w:rsidP="00562915" w:rsidRDefault="00721617" w14:paraId="698F60F4" w14:textId="77777777">
      <w:pPr>
        <w:rPr>
          <w:rFonts w:ascii="Times New Roman" w:hAnsi="Times New Roman" w:cs="Times New Roman"/>
          <w:bCs/>
          <w:sz w:val="24"/>
          <w:szCs w:val="24"/>
        </w:rPr>
      </w:pPr>
      <w:r w:rsidRPr="00721617">
        <w:rPr>
          <w:rFonts w:ascii="Times New Roman" w:hAnsi="Times New Roman" w:cs="Times New Roman"/>
          <w:bCs/>
          <w:sz w:val="24"/>
          <w:szCs w:val="24"/>
        </w:rPr>
        <w:t xml:space="preserve">It is estimated that </w:t>
      </w:r>
      <w:r>
        <w:rPr>
          <w:rFonts w:ascii="Times New Roman" w:hAnsi="Times New Roman" w:cs="Times New Roman"/>
          <w:bCs/>
          <w:sz w:val="24"/>
          <w:szCs w:val="24"/>
        </w:rPr>
        <w:t>15</w:t>
      </w:r>
      <w:r w:rsidRPr="00721617">
        <w:rPr>
          <w:rFonts w:ascii="Times New Roman" w:hAnsi="Times New Roman" w:cs="Times New Roman"/>
          <w:bCs/>
          <w:sz w:val="24"/>
          <w:szCs w:val="24"/>
        </w:rPr>
        <w:t xml:space="preserve"> respondents will complete FEMA Form 119-0-1 once annually and that it will take average of 5 hours to complete the form.  The total annual hour burden is </w:t>
      </w:r>
      <w:r>
        <w:rPr>
          <w:rFonts w:ascii="Times New Roman" w:hAnsi="Times New Roman" w:cs="Times New Roman"/>
          <w:bCs/>
          <w:sz w:val="24"/>
          <w:szCs w:val="24"/>
        </w:rPr>
        <w:t>15</w:t>
      </w:r>
      <w:r w:rsidRPr="00721617">
        <w:rPr>
          <w:rFonts w:ascii="Times New Roman" w:hAnsi="Times New Roman" w:cs="Times New Roman"/>
          <w:bCs/>
          <w:sz w:val="24"/>
          <w:szCs w:val="24"/>
        </w:rPr>
        <w:t xml:space="preserve"> respondents responding once x 5 hours per response = </w:t>
      </w:r>
      <w:r w:rsidR="008B52BD">
        <w:rPr>
          <w:rFonts w:ascii="Times New Roman" w:hAnsi="Times New Roman" w:cs="Times New Roman"/>
          <w:bCs/>
          <w:sz w:val="24"/>
          <w:szCs w:val="24"/>
        </w:rPr>
        <w:t>75</w:t>
      </w:r>
      <w:r w:rsidRPr="00721617">
        <w:rPr>
          <w:rFonts w:ascii="Times New Roman" w:hAnsi="Times New Roman" w:cs="Times New Roman"/>
          <w:bCs/>
          <w:sz w:val="24"/>
          <w:szCs w:val="24"/>
        </w:rPr>
        <w:t xml:space="preserve"> hours.</w:t>
      </w:r>
    </w:p>
    <w:p w:rsidR="00562915" w:rsidP="00562915" w:rsidRDefault="00562915" w14:paraId="3C87545F"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8B52BD" w:rsidR="008B52BD" w:rsidP="00562915" w:rsidRDefault="008B52BD" w14:paraId="2EBC9149" w14:textId="77777777">
      <w:pPr>
        <w:rPr>
          <w:rFonts w:ascii="Times New Roman" w:hAnsi="Times New Roman" w:cs="Times New Roman"/>
          <w:bCs/>
          <w:sz w:val="24"/>
          <w:szCs w:val="24"/>
        </w:rPr>
      </w:pPr>
      <w:r w:rsidRPr="008B52BD">
        <w:rPr>
          <w:rFonts w:ascii="Times New Roman" w:hAnsi="Times New Roman" w:cs="Times New Roman"/>
          <w:bCs/>
          <w:sz w:val="24"/>
          <w:szCs w:val="24"/>
        </w:rPr>
        <w:t>Not Applicable.</w:t>
      </w:r>
    </w:p>
    <w:p w:rsidR="005D1DD4" w:rsidP="00562915" w:rsidRDefault="00611B09" w14:paraId="131E7005" w14:textId="77777777">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Pr="006625E7" w:rsidR="00562915">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Pr>
          <w:rFonts w:ascii="Times New Roman" w:hAnsi="Times New Roman" w:cs="Times New Roman"/>
          <w:b/>
          <w:bCs/>
          <w:sz w:val="24"/>
          <w:szCs w:val="24"/>
        </w:rPr>
        <w:t>6</w:t>
      </w:r>
      <w:r w:rsidRPr="006625E7" w:rsidR="00562915">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9995" w:type="dxa"/>
        <w:jc w:val="center"/>
        <w:tblLayout w:type="fixed"/>
        <w:tblLook w:val="04A0" w:firstRow="1" w:lastRow="0" w:firstColumn="1" w:lastColumn="0" w:noHBand="0" w:noVBand="1"/>
      </w:tblPr>
      <w:tblGrid>
        <w:gridCol w:w="1350"/>
        <w:gridCol w:w="1970"/>
        <w:gridCol w:w="990"/>
        <w:gridCol w:w="1070"/>
        <w:gridCol w:w="995"/>
        <w:gridCol w:w="927"/>
        <w:gridCol w:w="788"/>
        <w:gridCol w:w="759"/>
        <w:gridCol w:w="1114"/>
        <w:gridCol w:w="32"/>
      </w:tblGrid>
      <w:tr w:rsidRPr="001B7DDE" w:rsidR="00DE2CDC" w:rsidTr="00DF7C2F" w14:paraId="798EA6D2" w14:textId="77777777">
        <w:trPr>
          <w:trHeight w:val="315"/>
          <w:jc w:val="center"/>
        </w:trPr>
        <w:tc>
          <w:tcPr>
            <w:tcW w:w="9995" w:type="dxa"/>
            <w:gridSpan w:val="10"/>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1B7DDE" w:rsidR="00DE2CDC" w:rsidP="001B7DDE" w:rsidRDefault="00DE2CDC" w14:paraId="11BC22C5" w14:textId="77777777">
            <w:pPr>
              <w:spacing w:after="0" w:line="240" w:lineRule="auto"/>
              <w:jc w:val="center"/>
              <w:rPr>
                <w:rFonts w:ascii="Times New Roman" w:hAnsi="Times New Roman" w:cs="Times New Roman"/>
                <w:b/>
                <w:sz w:val="20"/>
                <w:szCs w:val="20"/>
              </w:rPr>
            </w:pPr>
            <w:r w:rsidRPr="001B7DDE">
              <w:rPr>
                <w:rFonts w:ascii="Times New Roman" w:hAnsi="Times New Roman" w:cs="Times New Roman"/>
                <w:b/>
                <w:sz w:val="20"/>
                <w:szCs w:val="20"/>
              </w:rPr>
              <w:t>Estimated Annualized Burden Hours and Costs</w:t>
            </w:r>
          </w:p>
        </w:tc>
      </w:tr>
      <w:tr w:rsidRPr="001B7DDE" w:rsidR="001B7DDE" w:rsidTr="00DF7C2F" w14:paraId="21F64D91" w14:textId="77777777">
        <w:trPr>
          <w:gridAfter w:val="1"/>
          <w:wAfter w:w="32" w:type="dxa"/>
          <w:trHeight w:val="1230"/>
          <w:jc w:val="center"/>
        </w:trPr>
        <w:tc>
          <w:tcPr>
            <w:tcW w:w="1350" w:type="dxa"/>
            <w:tcBorders>
              <w:top w:val="nil"/>
              <w:left w:val="single" w:color="auto" w:sz="8" w:space="0"/>
              <w:bottom w:val="single" w:color="auto" w:sz="8" w:space="0"/>
              <w:right w:val="single" w:color="auto" w:sz="8" w:space="0"/>
            </w:tcBorders>
            <w:shd w:val="clear" w:color="auto" w:fill="95B3D7" w:themeFill="accent1" w:themeFillTint="99"/>
            <w:vAlign w:val="center"/>
            <w:hideMark/>
          </w:tcPr>
          <w:p w:rsidRPr="001B7DDE" w:rsidR="00DE2CDC" w:rsidP="001B7DDE" w:rsidRDefault="00DE2CDC" w14:paraId="70A2BC86" w14:textId="77777777">
            <w:pPr>
              <w:spacing w:after="0" w:line="240" w:lineRule="auto"/>
              <w:ind w:left="-30"/>
              <w:rPr>
                <w:rFonts w:ascii="Times New Roman" w:hAnsi="Times New Roman" w:cs="Times New Roman"/>
                <w:b/>
                <w:bCs/>
                <w:sz w:val="20"/>
                <w:szCs w:val="20"/>
              </w:rPr>
            </w:pPr>
            <w:r w:rsidRPr="001B7DDE">
              <w:rPr>
                <w:rFonts w:ascii="Times New Roman" w:hAnsi="Times New Roman" w:cs="Times New Roman"/>
                <w:b/>
                <w:bCs/>
                <w:sz w:val="20"/>
                <w:szCs w:val="20"/>
              </w:rPr>
              <w:t>Type of Respondent</w:t>
            </w:r>
          </w:p>
        </w:tc>
        <w:tc>
          <w:tcPr>
            <w:tcW w:w="1970" w:type="dxa"/>
            <w:tcBorders>
              <w:top w:val="nil"/>
              <w:left w:val="nil"/>
              <w:bottom w:val="single" w:color="auto" w:sz="8" w:space="0"/>
              <w:right w:val="single" w:color="auto" w:sz="8" w:space="0"/>
            </w:tcBorders>
            <w:shd w:val="clear" w:color="auto" w:fill="95B3D7" w:themeFill="accent1" w:themeFillTint="99"/>
            <w:vAlign w:val="center"/>
            <w:hideMark/>
          </w:tcPr>
          <w:p w:rsidRPr="001B7DDE" w:rsidR="00DE2CDC" w:rsidP="001B7DDE" w:rsidRDefault="00DE2CDC" w14:paraId="2E2752CC" w14:textId="77777777">
            <w:pPr>
              <w:spacing w:after="0" w:line="240" w:lineRule="auto"/>
              <w:ind w:left="-72"/>
              <w:rPr>
                <w:rFonts w:ascii="Times New Roman" w:hAnsi="Times New Roman" w:cs="Times New Roman"/>
                <w:b/>
                <w:bCs/>
                <w:sz w:val="20"/>
                <w:szCs w:val="20"/>
              </w:rPr>
            </w:pPr>
            <w:r w:rsidRPr="001B7DDE">
              <w:rPr>
                <w:rFonts w:ascii="Times New Roman" w:hAnsi="Times New Roman" w:cs="Times New Roman"/>
                <w:b/>
                <w:bCs/>
                <w:sz w:val="20"/>
                <w:szCs w:val="20"/>
              </w:rPr>
              <w:t>Form Name / Form Number</w:t>
            </w:r>
          </w:p>
        </w:tc>
        <w:tc>
          <w:tcPr>
            <w:tcW w:w="990" w:type="dxa"/>
            <w:tcBorders>
              <w:top w:val="nil"/>
              <w:left w:val="nil"/>
              <w:bottom w:val="single" w:color="auto" w:sz="8" w:space="0"/>
              <w:right w:val="single" w:color="auto" w:sz="8" w:space="0"/>
            </w:tcBorders>
            <w:shd w:val="clear" w:color="auto" w:fill="95B3D7" w:themeFill="accent1" w:themeFillTint="99"/>
            <w:vAlign w:val="center"/>
            <w:hideMark/>
          </w:tcPr>
          <w:p w:rsidRPr="001B7DDE" w:rsidR="00DE2CDC" w:rsidP="001B7DDE" w:rsidRDefault="00DE2CDC" w14:paraId="35A0282A" w14:textId="77777777">
            <w:pPr>
              <w:spacing w:after="0" w:line="240" w:lineRule="auto"/>
              <w:ind w:left="-60" w:right="-144"/>
              <w:rPr>
                <w:rFonts w:ascii="Times New Roman" w:hAnsi="Times New Roman" w:cs="Times New Roman"/>
                <w:b/>
                <w:bCs/>
                <w:sz w:val="20"/>
                <w:szCs w:val="20"/>
              </w:rPr>
            </w:pPr>
            <w:r w:rsidRPr="001B7DDE">
              <w:rPr>
                <w:rFonts w:ascii="Times New Roman" w:hAnsi="Times New Roman" w:cs="Times New Roman"/>
                <w:b/>
                <w:bCs/>
                <w:sz w:val="20"/>
                <w:szCs w:val="20"/>
              </w:rPr>
              <w:t xml:space="preserve">No. of </w:t>
            </w:r>
            <w:proofErr w:type="spellStart"/>
            <w:r w:rsidRPr="001B7DDE">
              <w:rPr>
                <w:rFonts w:ascii="Times New Roman" w:hAnsi="Times New Roman" w:cs="Times New Roman"/>
                <w:b/>
                <w:bCs/>
                <w:sz w:val="20"/>
                <w:szCs w:val="20"/>
              </w:rPr>
              <w:t>Respon</w:t>
            </w:r>
            <w:proofErr w:type="spellEnd"/>
            <w:r w:rsidRPr="001B7DDE">
              <w:rPr>
                <w:rFonts w:ascii="Times New Roman" w:hAnsi="Times New Roman" w:cs="Times New Roman"/>
                <w:b/>
                <w:bCs/>
                <w:sz w:val="20"/>
                <w:szCs w:val="20"/>
              </w:rPr>
              <w:t>-dents</w:t>
            </w:r>
          </w:p>
        </w:tc>
        <w:tc>
          <w:tcPr>
            <w:tcW w:w="1070" w:type="dxa"/>
            <w:tcBorders>
              <w:top w:val="nil"/>
              <w:left w:val="nil"/>
              <w:bottom w:val="single" w:color="auto" w:sz="8" w:space="0"/>
              <w:right w:val="single" w:color="auto" w:sz="8" w:space="0"/>
            </w:tcBorders>
            <w:shd w:val="clear" w:color="auto" w:fill="95B3D7" w:themeFill="accent1" w:themeFillTint="99"/>
            <w:vAlign w:val="center"/>
            <w:hideMark/>
          </w:tcPr>
          <w:p w:rsidRPr="001B7DDE" w:rsidR="00DE2CDC" w:rsidP="001B7DDE" w:rsidRDefault="00DE2CDC" w14:paraId="5C3194BE" w14:textId="40504A3E">
            <w:pPr>
              <w:spacing w:after="0" w:line="240" w:lineRule="auto"/>
              <w:ind w:left="-72" w:right="-114"/>
              <w:rPr>
                <w:rFonts w:ascii="Times New Roman" w:hAnsi="Times New Roman" w:cs="Times New Roman"/>
                <w:b/>
                <w:bCs/>
                <w:sz w:val="20"/>
                <w:szCs w:val="20"/>
              </w:rPr>
            </w:pPr>
            <w:r w:rsidRPr="001B7DDE">
              <w:rPr>
                <w:rFonts w:ascii="Times New Roman" w:hAnsi="Times New Roman" w:cs="Times New Roman"/>
                <w:b/>
                <w:bCs/>
                <w:sz w:val="20"/>
                <w:szCs w:val="20"/>
              </w:rPr>
              <w:t xml:space="preserve">No. of Responses per </w:t>
            </w:r>
            <w:proofErr w:type="spellStart"/>
            <w:r w:rsidRPr="001B7DDE">
              <w:rPr>
                <w:rFonts w:ascii="Times New Roman" w:hAnsi="Times New Roman" w:cs="Times New Roman"/>
                <w:b/>
                <w:bCs/>
                <w:sz w:val="20"/>
                <w:szCs w:val="20"/>
              </w:rPr>
              <w:t>Respon</w:t>
            </w:r>
            <w:proofErr w:type="spellEnd"/>
            <w:r w:rsidRPr="001B7DDE">
              <w:rPr>
                <w:rFonts w:ascii="Times New Roman" w:hAnsi="Times New Roman" w:cs="Times New Roman"/>
                <w:b/>
                <w:bCs/>
                <w:sz w:val="20"/>
                <w:szCs w:val="20"/>
              </w:rPr>
              <w:t>-dent</w:t>
            </w:r>
          </w:p>
        </w:tc>
        <w:tc>
          <w:tcPr>
            <w:tcW w:w="995" w:type="dxa"/>
            <w:tcBorders>
              <w:top w:val="nil"/>
              <w:left w:val="nil"/>
              <w:bottom w:val="single" w:color="auto" w:sz="8" w:space="0"/>
              <w:right w:val="single" w:color="auto" w:sz="8" w:space="0"/>
            </w:tcBorders>
            <w:shd w:val="clear" w:color="auto" w:fill="95B3D7" w:themeFill="accent1" w:themeFillTint="99"/>
            <w:vAlign w:val="center"/>
            <w:hideMark/>
          </w:tcPr>
          <w:p w:rsidRPr="001B7DDE" w:rsidR="00DE2CDC" w:rsidP="001B7DDE" w:rsidRDefault="00DE2CDC" w14:paraId="752433C8" w14:textId="77777777">
            <w:pPr>
              <w:spacing w:after="0" w:line="240" w:lineRule="auto"/>
              <w:ind w:left="-102"/>
              <w:rPr>
                <w:rFonts w:ascii="Times New Roman" w:hAnsi="Times New Roman" w:cs="Times New Roman"/>
                <w:b/>
                <w:bCs/>
                <w:sz w:val="20"/>
                <w:szCs w:val="20"/>
              </w:rPr>
            </w:pPr>
            <w:r w:rsidRPr="001B7DDE">
              <w:rPr>
                <w:rFonts w:ascii="Times New Roman" w:hAnsi="Times New Roman" w:cs="Times New Roman"/>
                <w:b/>
                <w:bCs/>
                <w:sz w:val="20"/>
                <w:szCs w:val="20"/>
              </w:rPr>
              <w:t>Total No. of Responses</w:t>
            </w:r>
          </w:p>
        </w:tc>
        <w:tc>
          <w:tcPr>
            <w:tcW w:w="927" w:type="dxa"/>
            <w:tcBorders>
              <w:top w:val="nil"/>
              <w:left w:val="nil"/>
              <w:bottom w:val="single" w:color="auto" w:sz="8" w:space="0"/>
              <w:right w:val="single" w:color="auto" w:sz="8" w:space="0"/>
            </w:tcBorders>
            <w:shd w:val="clear" w:color="auto" w:fill="95B3D7" w:themeFill="accent1" w:themeFillTint="99"/>
            <w:vAlign w:val="center"/>
            <w:hideMark/>
          </w:tcPr>
          <w:p w:rsidRPr="001B7DDE" w:rsidR="00DE2CDC" w:rsidP="001B7DDE" w:rsidRDefault="00DE2CDC" w14:paraId="08E37C0A" w14:textId="77777777">
            <w:pPr>
              <w:spacing w:after="0" w:line="240" w:lineRule="auto"/>
              <w:ind w:left="-18" w:right="-84"/>
              <w:rPr>
                <w:rFonts w:ascii="Times New Roman" w:hAnsi="Times New Roman" w:cs="Times New Roman"/>
                <w:b/>
                <w:bCs/>
                <w:sz w:val="20"/>
                <w:szCs w:val="20"/>
              </w:rPr>
            </w:pPr>
            <w:r w:rsidRPr="001B7DDE">
              <w:rPr>
                <w:rFonts w:ascii="Times New Roman" w:hAnsi="Times New Roman" w:cs="Times New Roman"/>
                <w:b/>
                <w:bCs/>
                <w:sz w:val="20"/>
                <w:szCs w:val="20"/>
              </w:rPr>
              <w:t>Avg. Burden per Response (in hours)</w:t>
            </w:r>
          </w:p>
        </w:tc>
        <w:tc>
          <w:tcPr>
            <w:tcW w:w="788" w:type="dxa"/>
            <w:tcBorders>
              <w:top w:val="nil"/>
              <w:left w:val="nil"/>
              <w:bottom w:val="single" w:color="auto" w:sz="8" w:space="0"/>
              <w:right w:val="single" w:color="auto" w:sz="8" w:space="0"/>
            </w:tcBorders>
            <w:shd w:val="clear" w:color="auto" w:fill="95B3D7" w:themeFill="accent1" w:themeFillTint="99"/>
            <w:vAlign w:val="center"/>
            <w:hideMark/>
          </w:tcPr>
          <w:p w:rsidRPr="001B7DDE" w:rsidR="00DE2CDC" w:rsidP="001B7DDE" w:rsidRDefault="00DE2CDC" w14:paraId="1A1A5331" w14:textId="77777777">
            <w:pPr>
              <w:spacing w:after="0" w:line="240" w:lineRule="auto"/>
              <w:ind w:left="-42" w:right="-102"/>
              <w:rPr>
                <w:rFonts w:ascii="Times New Roman" w:hAnsi="Times New Roman" w:cs="Times New Roman"/>
                <w:b/>
                <w:bCs/>
                <w:sz w:val="20"/>
                <w:szCs w:val="20"/>
              </w:rPr>
            </w:pPr>
            <w:r w:rsidRPr="001B7DDE">
              <w:rPr>
                <w:rFonts w:ascii="Times New Roman" w:hAnsi="Times New Roman" w:cs="Times New Roman"/>
                <w:b/>
                <w:bCs/>
                <w:sz w:val="20"/>
                <w:szCs w:val="20"/>
              </w:rPr>
              <w:t>Total Annual Burden (in hours)</w:t>
            </w:r>
          </w:p>
        </w:tc>
        <w:tc>
          <w:tcPr>
            <w:tcW w:w="759" w:type="dxa"/>
            <w:tcBorders>
              <w:top w:val="nil"/>
              <w:left w:val="nil"/>
              <w:bottom w:val="single" w:color="auto" w:sz="8" w:space="0"/>
              <w:right w:val="single" w:color="auto" w:sz="8" w:space="0"/>
            </w:tcBorders>
            <w:shd w:val="clear" w:color="auto" w:fill="95B3D7" w:themeFill="accent1" w:themeFillTint="99"/>
            <w:vAlign w:val="center"/>
            <w:hideMark/>
          </w:tcPr>
          <w:p w:rsidRPr="001B7DDE" w:rsidR="00DE2CDC" w:rsidP="001B7DDE" w:rsidRDefault="00DE2CDC" w14:paraId="7EF6442E" w14:textId="77777777">
            <w:pPr>
              <w:spacing w:after="0" w:line="240" w:lineRule="auto"/>
              <w:ind w:left="-24" w:right="-66"/>
              <w:rPr>
                <w:rFonts w:ascii="Times New Roman" w:hAnsi="Times New Roman" w:cs="Times New Roman"/>
                <w:b/>
                <w:bCs/>
                <w:sz w:val="20"/>
                <w:szCs w:val="20"/>
              </w:rPr>
            </w:pPr>
            <w:r w:rsidRPr="001B7DDE">
              <w:rPr>
                <w:rFonts w:ascii="Times New Roman" w:hAnsi="Times New Roman" w:cs="Times New Roman"/>
                <w:b/>
                <w:bCs/>
                <w:sz w:val="20"/>
                <w:szCs w:val="20"/>
              </w:rPr>
              <w:t>Avg. Hourly Wage Rate</w:t>
            </w:r>
          </w:p>
        </w:tc>
        <w:tc>
          <w:tcPr>
            <w:tcW w:w="1114" w:type="dxa"/>
            <w:tcBorders>
              <w:top w:val="nil"/>
              <w:left w:val="nil"/>
              <w:bottom w:val="single" w:color="auto" w:sz="8" w:space="0"/>
              <w:right w:val="single" w:color="auto" w:sz="8" w:space="0"/>
            </w:tcBorders>
            <w:shd w:val="clear" w:color="auto" w:fill="95B3D7" w:themeFill="accent1" w:themeFillTint="99"/>
            <w:vAlign w:val="center"/>
            <w:hideMark/>
          </w:tcPr>
          <w:p w:rsidRPr="001B7DDE" w:rsidR="00DE2CDC" w:rsidP="001B7DDE" w:rsidRDefault="00DE2CDC" w14:paraId="48A2A08E" w14:textId="77777777">
            <w:pPr>
              <w:spacing w:after="0" w:line="240" w:lineRule="auto"/>
              <w:ind w:left="-60" w:right="-120"/>
              <w:rPr>
                <w:rFonts w:ascii="Times New Roman" w:hAnsi="Times New Roman" w:cs="Times New Roman"/>
                <w:b/>
                <w:bCs/>
                <w:sz w:val="20"/>
                <w:szCs w:val="20"/>
              </w:rPr>
            </w:pPr>
            <w:r w:rsidRPr="001B7DDE">
              <w:rPr>
                <w:rFonts w:ascii="Times New Roman" w:hAnsi="Times New Roman" w:cs="Times New Roman"/>
                <w:b/>
                <w:bCs/>
                <w:sz w:val="20"/>
                <w:szCs w:val="20"/>
              </w:rPr>
              <w:t>Total Annual Respondent Cost</w:t>
            </w:r>
          </w:p>
        </w:tc>
      </w:tr>
      <w:tr w:rsidRPr="001B7DDE" w:rsidR="00DE2CDC" w:rsidTr="00DF7C2F" w14:paraId="3604D0C7" w14:textId="77777777">
        <w:trPr>
          <w:gridAfter w:val="1"/>
          <w:wAfter w:w="32" w:type="dxa"/>
          <w:trHeight w:val="315"/>
          <w:jc w:val="center"/>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1B7DDE" w:rsidR="00DE2CDC" w:rsidP="001B7DDE" w:rsidRDefault="00DE2CDC" w14:paraId="010A6F53" w14:textId="32514975">
            <w:pPr>
              <w:spacing w:after="0" w:line="240" w:lineRule="auto"/>
              <w:ind w:left="-30"/>
              <w:rPr>
                <w:rFonts w:ascii="Times New Roman" w:hAnsi="Times New Roman" w:cs="Times New Roman"/>
                <w:sz w:val="20"/>
                <w:szCs w:val="20"/>
              </w:rPr>
            </w:pPr>
            <w:r w:rsidRPr="001B7DDE">
              <w:rPr>
                <w:rFonts w:ascii="Times New Roman" w:hAnsi="Times New Roman" w:cs="Times New Roman"/>
                <w:sz w:val="20"/>
                <w:szCs w:val="20"/>
              </w:rPr>
              <w:t>State, local and Tribal</w:t>
            </w:r>
            <w:r w:rsidR="001B7DDE">
              <w:rPr>
                <w:rFonts w:ascii="Times New Roman" w:hAnsi="Times New Roman" w:cs="Times New Roman"/>
                <w:sz w:val="20"/>
                <w:szCs w:val="20"/>
              </w:rPr>
              <w:t xml:space="preserve"> Governments</w:t>
            </w:r>
            <w:r w:rsidRPr="001B7DDE">
              <w:rPr>
                <w:rFonts w:ascii="Times New Roman" w:hAnsi="Times New Roman" w:cs="Times New Roman"/>
                <w:sz w:val="20"/>
                <w:szCs w:val="20"/>
              </w:rPr>
              <w:t> </w:t>
            </w:r>
          </w:p>
        </w:tc>
        <w:tc>
          <w:tcPr>
            <w:tcW w:w="1970" w:type="dxa"/>
            <w:tcBorders>
              <w:top w:val="nil"/>
              <w:left w:val="nil"/>
              <w:bottom w:val="single" w:color="auto" w:sz="8" w:space="0"/>
              <w:right w:val="single" w:color="auto" w:sz="8" w:space="0"/>
            </w:tcBorders>
            <w:shd w:val="clear" w:color="auto" w:fill="auto"/>
            <w:vAlign w:val="center"/>
            <w:hideMark/>
          </w:tcPr>
          <w:p w:rsidRPr="001B7DDE" w:rsidR="00DE2CDC" w:rsidP="001B7DDE" w:rsidRDefault="00DE2CDC" w14:paraId="085D66BF" w14:textId="77777777">
            <w:pPr>
              <w:spacing w:after="0" w:line="240" w:lineRule="auto"/>
              <w:ind w:left="-72"/>
              <w:rPr>
                <w:rFonts w:ascii="Times New Roman" w:hAnsi="Times New Roman" w:cs="Times New Roman"/>
                <w:sz w:val="20"/>
                <w:szCs w:val="20"/>
              </w:rPr>
            </w:pPr>
            <w:r w:rsidRPr="001B7DDE">
              <w:rPr>
                <w:rFonts w:ascii="Times New Roman" w:hAnsi="Times New Roman" w:cs="Times New Roman"/>
                <w:sz w:val="20"/>
                <w:szCs w:val="20"/>
              </w:rPr>
              <w:t>Application for Surplus Federal Real Property Public Benefit Conveyance and BRAC Program for Emergency Management Use / FEMA Form 119-0-1 </w:t>
            </w:r>
          </w:p>
        </w:tc>
        <w:tc>
          <w:tcPr>
            <w:tcW w:w="990" w:type="dxa"/>
            <w:tcBorders>
              <w:top w:val="nil"/>
              <w:left w:val="nil"/>
              <w:bottom w:val="single" w:color="auto" w:sz="8" w:space="0"/>
              <w:right w:val="single" w:color="auto" w:sz="8" w:space="0"/>
            </w:tcBorders>
            <w:shd w:val="clear" w:color="auto" w:fill="auto"/>
            <w:vAlign w:val="center"/>
            <w:hideMark/>
          </w:tcPr>
          <w:p w:rsidRPr="001B7DDE" w:rsidR="00DE2CDC" w:rsidP="001B7DDE" w:rsidRDefault="00DE2CDC" w14:paraId="023B6B95" w14:textId="77777777">
            <w:pPr>
              <w:spacing w:after="0" w:line="240" w:lineRule="auto"/>
              <w:jc w:val="center"/>
              <w:rPr>
                <w:rFonts w:ascii="Times New Roman" w:hAnsi="Times New Roman" w:cs="Times New Roman"/>
                <w:sz w:val="20"/>
                <w:szCs w:val="20"/>
              </w:rPr>
            </w:pPr>
            <w:r w:rsidRPr="001B7DDE">
              <w:rPr>
                <w:rFonts w:ascii="Times New Roman" w:hAnsi="Times New Roman" w:cs="Times New Roman"/>
                <w:sz w:val="20"/>
                <w:szCs w:val="20"/>
              </w:rPr>
              <w:t>15</w:t>
            </w:r>
          </w:p>
        </w:tc>
        <w:tc>
          <w:tcPr>
            <w:tcW w:w="1070" w:type="dxa"/>
            <w:tcBorders>
              <w:top w:val="nil"/>
              <w:left w:val="nil"/>
              <w:bottom w:val="single" w:color="auto" w:sz="8" w:space="0"/>
              <w:right w:val="single" w:color="auto" w:sz="8" w:space="0"/>
            </w:tcBorders>
            <w:shd w:val="clear" w:color="auto" w:fill="auto"/>
            <w:vAlign w:val="center"/>
            <w:hideMark/>
          </w:tcPr>
          <w:p w:rsidRPr="001B7DDE" w:rsidR="00DE2CDC" w:rsidP="001B7DDE" w:rsidRDefault="00DE2CDC" w14:paraId="3C9AE8F7" w14:textId="77777777">
            <w:pPr>
              <w:spacing w:after="0" w:line="240" w:lineRule="auto"/>
              <w:jc w:val="center"/>
              <w:rPr>
                <w:rFonts w:ascii="Times New Roman" w:hAnsi="Times New Roman" w:cs="Times New Roman"/>
                <w:sz w:val="20"/>
                <w:szCs w:val="20"/>
              </w:rPr>
            </w:pPr>
            <w:r w:rsidRPr="001B7DDE">
              <w:rPr>
                <w:rFonts w:ascii="Times New Roman" w:hAnsi="Times New Roman" w:cs="Times New Roman"/>
                <w:sz w:val="20"/>
                <w:szCs w:val="20"/>
              </w:rPr>
              <w:t>1</w:t>
            </w:r>
          </w:p>
        </w:tc>
        <w:tc>
          <w:tcPr>
            <w:tcW w:w="995" w:type="dxa"/>
            <w:tcBorders>
              <w:top w:val="nil"/>
              <w:left w:val="nil"/>
              <w:bottom w:val="single" w:color="auto" w:sz="8" w:space="0"/>
              <w:right w:val="single" w:color="auto" w:sz="8" w:space="0"/>
            </w:tcBorders>
            <w:shd w:val="clear" w:color="auto" w:fill="auto"/>
            <w:vAlign w:val="center"/>
            <w:hideMark/>
          </w:tcPr>
          <w:p w:rsidRPr="001B7DDE" w:rsidR="00DE2CDC" w:rsidP="001B7DDE" w:rsidRDefault="00DE2CDC" w14:paraId="1DE825E9" w14:textId="77777777">
            <w:pPr>
              <w:spacing w:after="0" w:line="240" w:lineRule="auto"/>
              <w:jc w:val="center"/>
              <w:rPr>
                <w:rFonts w:ascii="Times New Roman" w:hAnsi="Times New Roman" w:cs="Times New Roman"/>
                <w:sz w:val="20"/>
                <w:szCs w:val="20"/>
              </w:rPr>
            </w:pPr>
            <w:r w:rsidRPr="001B7DDE">
              <w:rPr>
                <w:rFonts w:ascii="Times New Roman" w:hAnsi="Times New Roman" w:cs="Times New Roman"/>
                <w:sz w:val="20"/>
                <w:szCs w:val="20"/>
              </w:rPr>
              <w:t>15</w:t>
            </w:r>
          </w:p>
        </w:tc>
        <w:tc>
          <w:tcPr>
            <w:tcW w:w="927" w:type="dxa"/>
            <w:tcBorders>
              <w:top w:val="nil"/>
              <w:left w:val="nil"/>
              <w:bottom w:val="single" w:color="auto" w:sz="8" w:space="0"/>
              <w:right w:val="single" w:color="auto" w:sz="8" w:space="0"/>
            </w:tcBorders>
            <w:shd w:val="clear" w:color="auto" w:fill="auto"/>
            <w:vAlign w:val="center"/>
            <w:hideMark/>
          </w:tcPr>
          <w:p w:rsidRPr="001B7DDE" w:rsidR="00DE2CDC" w:rsidP="001B7DDE" w:rsidRDefault="00DE2CDC" w14:paraId="6E032A18" w14:textId="77777777">
            <w:pPr>
              <w:spacing w:after="0" w:line="240" w:lineRule="auto"/>
              <w:jc w:val="center"/>
              <w:rPr>
                <w:rFonts w:ascii="Times New Roman" w:hAnsi="Times New Roman" w:cs="Times New Roman"/>
                <w:sz w:val="20"/>
                <w:szCs w:val="20"/>
              </w:rPr>
            </w:pPr>
            <w:r w:rsidRPr="001B7DDE">
              <w:rPr>
                <w:rFonts w:ascii="Times New Roman" w:hAnsi="Times New Roman" w:cs="Times New Roman"/>
                <w:sz w:val="20"/>
                <w:szCs w:val="20"/>
              </w:rPr>
              <w:t>5 hrs.</w:t>
            </w:r>
          </w:p>
        </w:tc>
        <w:tc>
          <w:tcPr>
            <w:tcW w:w="788" w:type="dxa"/>
            <w:tcBorders>
              <w:top w:val="nil"/>
              <w:left w:val="nil"/>
              <w:bottom w:val="single" w:color="auto" w:sz="8" w:space="0"/>
              <w:right w:val="single" w:color="auto" w:sz="8" w:space="0"/>
            </w:tcBorders>
            <w:shd w:val="clear" w:color="auto" w:fill="auto"/>
            <w:vAlign w:val="center"/>
            <w:hideMark/>
          </w:tcPr>
          <w:p w:rsidRPr="001B7DDE" w:rsidR="00DE2CDC" w:rsidP="001B7DDE" w:rsidRDefault="00DE2CDC" w14:paraId="0A72BB61" w14:textId="77777777">
            <w:pPr>
              <w:spacing w:after="0" w:line="240" w:lineRule="auto"/>
              <w:jc w:val="center"/>
              <w:rPr>
                <w:rFonts w:ascii="Times New Roman" w:hAnsi="Times New Roman" w:cs="Times New Roman"/>
                <w:sz w:val="20"/>
                <w:szCs w:val="20"/>
              </w:rPr>
            </w:pPr>
            <w:r w:rsidRPr="001B7DDE">
              <w:rPr>
                <w:rFonts w:ascii="Times New Roman" w:hAnsi="Times New Roman" w:cs="Times New Roman"/>
                <w:sz w:val="20"/>
                <w:szCs w:val="20"/>
              </w:rPr>
              <w:t>75</w:t>
            </w:r>
          </w:p>
        </w:tc>
        <w:tc>
          <w:tcPr>
            <w:tcW w:w="759" w:type="dxa"/>
            <w:tcBorders>
              <w:top w:val="nil"/>
              <w:left w:val="nil"/>
              <w:bottom w:val="single" w:color="auto" w:sz="8" w:space="0"/>
              <w:right w:val="single" w:color="auto" w:sz="8" w:space="0"/>
            </w:tcBorders>
            <w:shd w:val="clear" w:color="auto" w:fill="auto"/>
            <w:vAlign w:val="center"/>
            <w:hideMark/>
          </w:tcPr>
          <w:p w:rsidRPr="001B7DDE" w:rsidR="00DE2CDC" w:rsidP="008243F6" w:rsidRDefault="002B3FD7" w14:paraId="6E8B3800" w14:textId="01A75824">
            <w:pPr>
              <w:spacing w:after="0" w:line="240" w:lineRule="auto"/>
              <w:ind w:left="-114" w:right="-66"/>
              <w:jc w:val="center"/>
              <w:rPr>
                <w:rFonts w:ascii="Times New Roman" w:hAnsi="Times New Roman" w:cs="Times New Roman"/>
                <w:sz w:val="20"/>
                <w:szCs w:val="20"/>
              </w:rPr>
            </w:pPr>
            <w:r>
              <w:rPr>
                <w:rFonts w:ascii="Times New Roman" w:hAnsi="Times New Roman" w:cs="Times New Roman"/>
                <w:sz w:val="20"/>
                <w:szCs w:val="20"/>
              </w:rPr>
              <w:t>$</w:t>
            </w:r>
            <w:r w:rsidR="00DF7C2F">
              <w:rPr>
                <w:rFonts w:ascii="Times New Roman" w:hAnsi="Times New Roman" w:cs="Times New Roman"/>
                <w:sz w:val="20"/>
                <w:szCs w:val="20"/>
              </w:rPr>
              <w:t>62.50</w:t>
            </w:r>
          </w:p>
        </w:tc>
        <w:tc>
          <w:tcPr>
            <w:tcW w:w="1114" w:type="dxa"/>
            <w:tcBorders>
              <w:top w:val="nil"/>
              <w:left w:val="nil"/>
              <w:bottom w:val="single" w:color="auto" w:sz="8" w:space="0"/>
              <w:right w:val="single" w:color="auto" w:sz="8" w:space="0"/>
            </w:tcBorders>
            <w:shd w:val="clear" w:color="auto" w:fill="auto"/>
            <w:vAlign w:val="center"/>
            <w:hideMark/>
          </w:tcPr>
          <w:p w:rsidRPr="001B7DDE" w:rsidR="00DE2CDC" w:rsidP="001B7DDE" w:rsidRDefault="002B3FD7" w14:paraId="6DF047F1" w14:textId="0BED0A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00DF7C2F">
              <w:rPr>
                <w:rFonts w:ascii="Times New Roman" w:hAnsi="Times New Roman" w:cs="Times New Roman"/>
                <w:sz w:val="20"/>
                <w:szCs w:val="20"/>
              </w:rPr>
              <w:t>868</w:t>
            </w:r>
          </w:p>
        </w:tc>
      </w:tr>
      <w:tr w:rsidRPr="001B7DDE" w:rsidR="001B7DDE" w:rsidTr="00DF7C2F" w14:paraId="5B15B3C8" w14:textId="77777777">
        <w:trPr>
          <w:gridAfter w:val="1"/>
          <w:wAfter w:w="32" w:type="dxa"/>
          <w:trHeight w:val="315"/>
          <w:jc w:val="center"/>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1B7DDE" w:rsidR="00DE2CDC" w:rsidP="001B7DDE" w:rsidRDefault="00DE2CDC" w14:paraId="71CA2F3E" w14:textId="77777777">
            <w:pPr>
              <w:spacing w:after="0" w:line="240" w:lineRule="auto"/>
              <w:ind w:left="-30"/>
              <w:rPr>
                <w:rFonts w:ascii="Times New Roman" w:hAnsi="Times New Roman" w:cs="Times New Roman"/>
                <w:sz w:val="20"/>
                <w:szCs w:val="20"/>
              </w:rPr>
            </w:pPr>
            <w:r w:rsidRPr="001B7DDE">
              <w:rPr>
                <w:rFonts w:ascii="Times New Roman" w:hAnsi="Times New Roman" w:cs="Times New Roman"/>
                <w:b/>
                <w:bCs/>
                <w:sz w:val="20"/>
                <w:szCs w:val="20"/>
              </w:rPr>
              <w:t>Total</w:t>
            </w:r>
          </w:p>
        </w:tc>
        <w:tc>
          <w:tcPr>
            <w:tcW w:w="1970" w:type="dxa"/>
            <w:tcBorders>
              <w:top w:val="nil"/>
              <w:left w:val="nil"/>
              <w:bottom w:val="single" w:color="auto" w:sz="8" w:space="0"/>
              <w:right w:val="single" w:color="auto" w:sz="8" w:space="0"/>
            </w:tcBorders>
            <w:shd w:val="clear" w:color="000000" w:fill="000000"/>
            <w:vAlign w:val="center"/>
            <w:hideMark/>
          </w:tcPr>
          <w:p w:rsidRPr="001B7DDE" w:rsidR="00DE2CDC" w:rsidP="001B7DDE" w:rsidRDefault="00DE2CDC" w14:paraId="74834C44" w14:textId="77777777">
            <w:pPr>
              <w:spacing w:after="0" w:line="240" w:lineRule="auto"/>
              <w:rPr>
                <w:rFonts w:ascii="Times New Roman" w:hAnsi="Times New Roman" w:cs="Times New Roman"/>
                <w:sz w:val="20"/>
                <w:szCs w:val="20"/>
              </w:rPr>
            </w:pPr>
            <w:r w:rsidRPr="001B7DDE">
              <w:rPr>
                <w:rFonts w:ascii="Times New Roman" w:hAnsi="Times New Roman" w:cs="Times New Roman"/>
                <w:sz w:val="20"/>
                <w:szCs w:val="20"/>
              </w:rPr>
              <w:t> </w:t>
            </w:r>
          </w:p>
        </w:tc>
        <w:tc>
          <w:tcPr>
            <w:tcW w:w="990" w:type="dxa"/>
            <w:tcBorders>
              <w:top w:val="nil"/>
              <w:left w:val="nil"/>
              <w:bottom w:val="single" w:color="auto" w:sz="8" w:space="0"/>
              <w:right w:val="single" w:color="auto" w:sz="8" w:space="0"/>
            </w:tcBorders>
            <w:shd w:val="clear" w:color="auto" w:fill="auto"/>
            <w:vAlign w:val="center"/>
            <w:hideMark/>
          </w:tcPr>
          <w:p w:rsidRPr="001B7DDE" w:rsidR="00DE2CDC" w:rsidP="002B3FD7" w:rsidRDefault="00DE2CDC" w14:paraId="6C11B886" w14:textId="77777777">
            <w:pPr>
              <w:spacing w:after="0" w:line="240" w:lineRule="auto"/>
              <w:jc w:val="center"/>
              <w:rPr>
                <w:rFonts w:ascii="Times New Roman" w:hAnsi="Times New Roman" w:cs="Times New Roman"/>
                <w:b/>
                <w:sz w:val="20"/>
                <w:szCs w:val="20"/>
              </w:rPr>
            </w:pPr>
            <w:r w:rsidRPr="001B7DDE">
              <w:rPr>
                <w:rFonts w:ascii="Times New Roman" w:hAnsi="Times New Roman" w:cs="Times New Roman"/>
                <w:b/>
                <w:sz w:val="20"/>
                <w:szCs w:val="20"/>
              </w:rPr>
              <w:t>15</w:t>
            </w:r>
          </w:p>
        </w:tc>
        <w:tc>
          <w:tcPr>
            <w:tcW w:w="1070" w:type="dxa"/>
            <w:tcBorders>
              <w:top w:val="nil"/>
              <w:left w:val="nil"/>
              <w:bottom w:val="single" w:color="auto" w:sz="8" w:space="0"/>
              <w:right w:val="single" w:color="auto" w:sz="8" w:space="0"/>
            </w:tcBorders>
            <w:shd w:val="clear" w:color="000000" w:fill="000000"/>
            <w:vAlign w:val="center"/>
            <w:hideMark/>
          </w:tcPr>
          <w:p w:rsidRPr="001B7DDE" w:rsidR="00DE2CDC" w:rsidP="002B3FD7" w:rsidRDefault="00DE2CDC" w14:paraId="7EE0D533" w14:textId="77777777">
            <w:pPr>
              <w:spacing w:after="0" w:line="240" w:lineRule="auto"/>
              <w:jc w:val="center"/>
              <w:rPr>
                <w:rFonts w:ascii="Times New Roman" w:hAnsi="Times New Roman" w:cs="Times New Roman"/>
                <w:b/>
                <w:sz w:val="20"/>
                <w:szCs w:val="20"/>
              </w:rPr>
            </w:pPr>
          </w:p>
        </w:tc>
        <w:tc>
          <w:tcPr>
            <w:tcW w:w="995" w:type="dxa"/>
            <w:tcBorders>
              <w:top w:val="nil"/>
              <w:left w:val="nil"/>
              <w:bottom w:val="single" w:color="auto" w:sz="8" w:space="0"/>
              <w:right w:val="single" w:color="auto" w:sz="8" w:space="0"/>
            </w:tcBorders>
            <w:shd w:val="clear" w:color="000000" w:fill="FFFFFF"/>
            <w:vAlign w:val="center"/>
            <w:hideMark/>
          </w:tcPr>
          <w:p w:rsidRPr="001B7DDE" w:rsidR="00DE2CDC" w:rsidP="002B3FD7" w:rsidRDefault="00DE2CDC" w14:paraId="126014B8" w14:textId="77777777">
            <w:pPr>
              <w:spacing w:after="0" w:line="240" w:lineRule="auto"/>
              <w:jc w:val="center"/>
              <w:rPr>
                <w:rFonts w:ascii="Times New Roman" w:hAnsi="Times New Roman" w:cs="Times New Roman"/>
                <w:b/>
                <w:sz w:val="20"/>
                <w:szCs w:val="20"/>
              </w:rPr>
            </w:pPr>
            <w:r w:rsidRPr="001B7DDE">
              <w:rPr>
                <w:rFonts w:ascii="Times New Roman" w:hAnsi="Times New Roman" w:cs="Times New Roman"/>
                <w:b/>
                <w:sz w:val="20"/>
                <w:szCs w:val="20"/>
              </w:rPr>
              <w:t>15</w:t>
            </w:r>
          </w:p>
        </w:tc>
        <w:tc>
          <w:tcPr>
            <w:tcW w:w="927" w:type="dxa"/>
            <w:tcBorders>
              <w:top w:val="nil"/>
              <w:left w:val="nil"/>
              <w:bottom w:val="single" w:color="auto" w:sz="8" w:space="0"/>
              <w:right w:val="single" w:color="auto" w:sz="8" w:space="0"/>
            </w:tcBorders>
            <w:shd w:val="clear" w:color="000000" w:fill="000000"/>
            <w:vAlign w:val="center"/>
            <w:hideMark/>
          </w:tcPr>
          <w:p w:rsidRPr="001B7DDE" w:rsidR="00DE2CDC" w:rsidP="002B3FD7" w:rsidRDefault="00DE2CDC" w14:paraId="0B078ED2" w14:textId="77777777">
            <w:pPr>
              <w:spacing w:after="0" w:line="240" w:lineRule="auto"/>
              <w:jc w:val="center"/>
              <w:rPr>
                <w:rFonts w:ascii="Times New Roman" w:hAnsi="Times New Roman" w:cs="Times New Roman"/>
                <w:sz w:val="20"/>
                <w:szCs w:val="20"/>
              </w:rPr>
            </w:pPr>
          </w:p>
        </w:tc>
        <w:tc>
          <w:tcPr>
            <w:tcW w:w="788" w:type="dxa"/>
            <w:tcBorders>
              <w:top w:val="nil"/>
              <w:left w:val="nil"/>
              <w:bottom w:val="single" w:color="auto" w:sz="8" w:space="0"/>
              <w:right w:val="single" w:color="auto" w:sz="8" w:space="0"/>
            </w:tcBorders>
            <w:shd w:val="clear" w:color="auto" w:fill="auto"/>
            <w:vAlign w:val="center"/>
            <w:hideMark/>
          </w:tcPr>
          <w:p w:rsidRPr="001B7DDE" w:rsidR="00DE2CDC" w:rsidP="002B3FD7" w:rsidRDefault="00DE2CDC" w14:paraId="3BFEB5B4" w14:textId="77777777">
            <w:pPr>
              <w:spacing w:after="0" w:line="240" w:lineRule="auto"/>
              <w:jc w:val="center"/>
              <w:rPr>
                <w:rFonts w:ascii="Times New Roman" w:hAnsi="Times New Roman" w:cs="Times New Roman"/>
                <w:sz w:val="20"/>
                <w:szCs w:val="20"/>
              </w:rPr>
            </w:pPr>
            <w:r w:rsidRPr="001B7DDE">
              <w:rPr>
                <w:rFonts w:ascii="Times New Roman" w:hAnsi="Times New Roman" w:cs="Times New Roman"/>
                <w:b/>
                <w:bCs/>
                <w:sz w:val="20"/>
                <w:szCs w:val="20"/>
              </w:rPr>
              <w:t>75</w:t>
            </w:r>
          </w:p>
        </w:tc>
        <w:tc>
          <w:tcPr>
            <w:tcW w:w="759" w:type="dxa"/>
            <w:tcBorders>
              <w:top w:val="nil"/>
              <w:left w:val="nil"/>
              <w:bottom w:val="single" w:color="auto" w:sz="8" w:space="0"/>
              <w:right w:val="single" w:color="auto" w:sz="8" w:space="0"/>
            </w:tcBorders>
            <w:shd w:val="clear" w:color="000000" w:fill="000000"/>
            <w:vAlign w:val="center"/>
            <w:hideMark/>
          </w:tcPr>
          <w:p w:rsidRPr="001B7DDE" w:rsidR="00DE2CDC" w:rsidP="002B3FD7" w:rsidRDefault="00DE2CDC" w14:paraId="358D82B3" w14:textId="77777777">
            <w:pPr>
              <w:spacing w:after="0" w:line="240" w:lineRule="auto"/>
              <w:jc w:val="center"/>
              <w:rPr>
                <w:rFonts w:ascii="Times New Roman" w:hAnsi="Times New Roman" w:cs="Times New Roman"/>
                <w:sz w:val="20"/>
                <w:szCs w:val="20"/>
              </w:rPr>
            </w:pPr>
          </w:p>
        </w:tc>
        <w:tc>
          <w:tcPr>
            <w:tcW w:w="1114" w:type="dxa"/>
            <w:tcBorders>
              <w:top w:val="nil"/>
              <w:left w:val="nil"/>
              <w:bottom w:val="single" w:color="auto" w:sz="8" w:space="0"/>
              <w:right w:val="single" w:color="auto" w:sz="8" w:space="0"/>
            </w:tcBorders>
            <w:shd w:val="clear" w:color="auto" w:fill="auto"/>
            <w:vAlign w:val="center"/>
            <w:hideMark/>
          </w:tcPr>
          <w:p w:rsidRPr="001B7DDE" w:rsidR="00DE2CDC" w:rsidP="002B3FD7" w:rsidRDefault="002B3FD7" w14:paraId="10DBCB5F" w14:textId="1FA9B462">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$4,</w:t>
            </w:r>
            <w:r w:rsidR="00DF7C2F">
              <w:rPr>
                <w:rFonts w:ascii="Times New Roman" w:hAnsi="Times New Roman" w:cs="Times New Roman"/>
                <w:b/>
                <w:bCs/>
                <w:sz w:val="20"/>
                <w:szCs w:val="20"/>
              </w:rPr>
              <w:t>868</w:t>
            </w:r>
          </w:p>
        </w:tc>
      </w:tr>
    </w:tbl>
    <w:p w:rsidR="00611B09" w:rsidP="00611B09" w:rsidRDefault="00611B09" w14:paraId="77EA5B84" w14:textId="29FD9BA6">
      <w:pPr>
        <w:tabs>
          <w:tab w:val="left" w:pos="-720"/>
        </w:tabs>
        <w:suppressAutoHyphens/>
        <w:spacing w:after="0" w:line="240" w:lineRule="auto"/>
        <w:rPr>
          <w:rFonts w:ascii="Times New Roman" w:hAnsi="Times New Roman" w:cs="Times New Roman"/>
          <w:b/>
          <w:sz w:val="24"/>
          <w:szCs w:val="24"/>
        </w:rPr>
      </w:pPr>
    </w:p>
    <w:p w:rsidRPr="00AD6EF4" w:rsidR="001B7DDE" w:rsidP="001B7DDE" w:rsidRDefault="001B7DDE" w14:paraId="247533D4" w14:textId="042EE482">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1.6</w:t>
      </w:r>
      <w:r w:rsidRPr="00AD6EF4">
        <w:rPr>
          <w:rStyle w:val="FootnoteReference"/>
          <w:rFonts w:ascii="Times New Roman" w:hAnsi="Times New Roman"/>
          <w:b/>
          <w:sz w:val="24"/>
          <w:szCs w:val="24"/>
        </w:rPr>
        <w:footnoteReference w:id="1"/>
      </w:r>
      <w:r w:rsidRPr="00AD6EF4">
        <w:rPr>
          <w:rFonts w:ascii="Times New Roman" w:hAnsi="Times New Roman"/>
          <w:b/>
          <w:sz w:val="24"/>
          <w:szCs w:val="24"/>
        </w:rPr>
        <w:t xml:space="preserve">.  For </w:t>
      </w:r>
      <w:r w:rsidRPr="00AD6EF4">
        <w:rPr>
          <w:rFonts w:ascii="Times New Roman" w:hAnsi="Times New Roman"/>
          <w:b/>
          <w:sz w:val="24"/>
          <w:szCs w:val="24"/>
        </w:rPr>
        <w:lastRenderedPageBreak/>
        <w:t>example, a non-loaded BLS table wage rate of $42.51 would be multiplied by 1.6, and the entry for the “Avg. Hourly Wage Rate” would be $</w:t>
      </w:r>
      <w:r w:rsidR="00DF7C2F">
        <w:rPr>
          <w:rFonts w:ascii="Times New Roman" w:hAnsi="Times New Roman"/>
          <w:b/>
          <w:sz w:val="24"/>
          <w:szCs w:val="24"/>
        </w:rPr>
        <w:t>68.02</w:t>
      </w:r>
      <w:r w:rsidRPr="00AD6EF4">
        <w:rPr>
          <w:rFonts w:ascii="Times New Roman" w:hAnsi="Times New Roman"/>
          <w:b/>
          <w:sz w:val="24"/>
          <w:szCs w:val="24"/>
        </w:rPr>
        <w:t>.</w:t>
      </w:r>
    </w:p>
    <w:p w:rsidRPr="00DC4287" w:rsidR="001B7DDE" w:rsidP="001B7DDE" w:rsidRDefault="001B7DDE" w14:paraId="3F520868" w14:textId="506720C1">
      <w:pPr>
        <w:tabs>
          <w:tab w:val="left" w:pos="-720"/>
        </w:tabs>
        <w:suppressAutoHyphens/>
        <w:rPr>
          <w:rFonts w:ascii="Times New Roman" w:hAnsi="Times New Roman"/>
          <w:sz w:val="24"/>
          <w:szCs w:val="24"/>
        </w:rPr>
      </w:pPr>
      <w:r w:rsidRPr="00DC4287">
        <w:rPr>
          <w:rFonts w:ascii="Times New Roman" w:hAnsi="Times New Roman"/>
          <w:sz w:val="24"/>
          <w:szCs w:val="24"/>
        </w:rPr>
        <w:t>According to the U.S. Department of Labor, Bureau of Labor Statistics</w:t>
      </w:r>
      <w:r w:rsidR="00425E89">
        <w:rPr>
          <w:rFonts w:ascii="Times New Roman" w:hAnsi="Times New Roman"/>
          <w:sz w:val="24"/>
          <w:szCs w:val="24"/>
        </w:rPr>
        <w:t>,</w:t>
      </w:r>
      <w:r w:rsidRPr="00DC4287">
        <w:rPr>
          <w:rStyle w:val="FootnoteReference"/>
          <w:rFonts w:ascii="Times New Roman" w:hAnsi="Times New Roman"/>
          <w:sz w:val="24"/>
          <w:szCs w:val="24"/>
        </w:rPr>
        <w:footnoteReference w:id="2"/>
      </w:r>
      <w:r w:rsidRPr="00DC4287">
        <w:rPr>
          <w:rFonts w:ascii="Times New Roman" w:hAnsi="Times New Roman"/>
          <w:sz w:val="24"/>
          <w:szCs w:val="24"/>
        </w:rPr>
        <w:t xml:space="preserve"> the May 2018 Occupational Employment and Wage Estimates wage rate for </w:t>
      </w:r>
      <w:r w:rsidR="00DC4287">
        <w:rPr>
          <w:rFonts w:ascii="Times New Roman" w:hAnsi="Times New Roman"/>
          <w:sz w:val="24"/>
          <w:szCs w:val="24"/>
        </w:rPr>
        <w:t>Federal, State, and Local Government Management Analyst</w:t>
      </w:r>
      <w:r w:rsidRPr="00DC4287">
        <w:rPr>
          <w:rFonts w:ascii="Times New Roman" w:hAnsi="Times New Roman"/>
          <w:sz w:val="24"/>
          <w:szCs w:val="24"/>
        </w:rPr>
        <w:t xml:space="preserve"> (Standard Occupational Classification </w:t>
      </w:r>
      <w:r w:rsidR="00DC4287">
        <w:rPr>
          <w:rFonts w:ascii="Times New Roman" w:hAnsi="Times New Roman"/>
          <w:sz w:val="24"/>
          <w:szCs w:val="24"/>
        </w:rPr>
        <w:t>13-1110</w:t>
      </w:r>
      <w:r w:rsidRPr="00DC4287">
        <w:rPr>
          <w:rFonts w:ascii="Times New Roman" w:hAnsi="Times New Roman"/>
          <w:sz w:val="24"/>
          <w:szCs w:val="24"/>
        </w:rPr>
        <w:t>) is $</w:t>
      </w:r>
      <w:r w:rsidR="00DC4287">
        <w:rPr>
          <w:rFonts w:ascii="Times New Roman" w:hAnsi="Times New Roman"/>
          <w:sz w:val="24"/>
          <w:szCs w:val="24"/>
        </w:rPr>
        <w:t>39.06</w:t>
      </w:r>
      <w:r w:rsidRPr="00DC4287">
        <w:rPr>
          <w:rFonts w:ascii="Times New Roman" w:hAnsi="Times New Roman"/>
          <w:sz w:val="24"/>
          <w:szCs w:val="24"/>
        </w:rPr>
        <w:t xml:space="preserve">.  Including the wage rate multiplier of 1.6, the </w:t>
      </w:r>
      <w:proofErr w:type="gramStart"/>
      <w:r w:rsidRPr="00DC4287">
        <w:rPr>
          <w:rFonts w:ascii="Times New Roman" w:hAnsi="Times New Roman"/>
          <w:sz w:val="24"/>
          <w:szCs w:val="24"/>
        </w:rPr>
        <w:t>fully-loaded</w:t>
      </w:r>
      <w:proofErr w:type="gramEnd"/>
      <w:r w:rsidRPr="00DC4287">
        <w:rPr>
          <w:rFonts w:ascii="Times New Roman" w:hAnsi="Times New Roman"/>
          <w:sz w:val="24"/>
          <w:szCs w:val="24"/>
        </w:rPr>
        <w:t xml:space="preserve"> wage rate is estimated at $</w:t>
      </w:r>
      <w:r w:rsidR="00DF7C2F">
        <w:rPr>
          <w:rFonts w:ascii="Times New Roman" w:hAnsi="Times New Roman"/>
          <w:sz w:val="24"/>
          <w:szCs w:val="24"/>
        </w:rPr>
        <w:t>62.50</w:t>
      </w:r>
      <w:r w:rsidRPr="00DC4287">
        <w:rPr>
          <w:rFonts w:ascii="Times New Roman" w:hAnsi="Times New Roman"/>
          <w:sz w:val="24"/>
          <w:szCs w:val="24"/>
        </w:rPr>
        <w:t xml:space="preserve"> per hour.  Therefore, the estimated annual burden hour cost is estimated to be $</w:t>
      </w:r>
      <w:r w:rsidR="002B3FD7">
        <w:rPr>
          <w:rFonts w:ascii="Times New Roman" w:hAnsi="Times New Roman"/>
          <w:sz w:val="24"/>
          <w:szCs w:val="24"/>
        </w:rPr>
        <w:t>4,</w:t>
      </w:r>
      <w:r w:rsidR="00DF7C2F">
        <w:rPr>
          <w:rFonts w:ascii="Times New Roman" w:hAnsi="Times New Roman"/>
          <w:sz w:val="24"/>
          <w:szCs w:val="24"/>
        </w:rPr>
        <w:t>868</w:t>
      </w:r>
      <w:r w:rsidR="002B3FD7">
        <w:rPr>
          <w:rFonts w:ascii="Times New Roman" w:hAnsi="Times New Roman"/>
          <w:sz w:val="24"/>
          <w:szCs w:val="24"/>
        </w:rPr>
        <w:t>.</w:t>
      </w:r>
      <w:r w:rsidRPr="00DC4287">
        <w:rPr>
          <w:rFonts w:ascii="Times New Roman" w:hAnsi="Times New Roman"/>
          <w:sz w:val="24"/>
          <w:szCs w:val="24"/>
        </w:rPr>
        <w:t xml:space="preserve"> ($</w:t>
      </w:r>
      <w:r w:rsidR="00DF7C2F">
        <w:rPr>
          <w:rFonts w:ascii="Times New Roman" w:hAnsi="Times New Roman"/>
          <w:sz w:val="24"/>
          <w:szCs w:val="24"/>
        </w:rPr>
        <w:t>62.50</w:t>
      </w:r>
      <w:r w:rsidRPr="00DC4287">
        <w:rPr>
          <w:rFonts w:ascii="Times New Roman" w:hAnsi="Times New Roman"/>
          <w:sz w:val="24"/>
          <w:szCs w:val="24"/>
        </w:rPr>
        <w:t xml:space="preserve"> x </w:t>
      </w:r>
      <w:r w:rsidR="002B3FD7">
        <w:rPr>
          <w:rFonts w:ascii="Times New Roman" w:hAnsi="Times New Roman"/>
          <w:sz w:val="24"/>
          <w:szCs w:val="24"/>
        </w:rPr>
        <w:t>75</w:t>
      </w:r>
      <w:r w:rsidRPr="00DC4287">
        <w:rPr>
          <w:rFonts w:ascii="Times New Roman" w:hAnsi="Times New Roman"/>
          <w:sz w:val="24"/>
          <w:szCs w:val="24"/>
        </w:rPr>
        <w:t xml:space="preserve"> hours</w:t>
      </w:r>
      <w:r w:rsidR="002B3FD7">
        <w:rPr>
          <w:rFonts w:ascii="Times New Roman" w:hAnsi="Times New Roman"/>
          <w:sz w:val="24"/>
          <w:szCs w:val="24"/>
        </w:rPr>
        <w:t xml:space="preserve"> = $4,</w:t>
      </w:r>
      <w:r w:rsidR="00DF7C2F">
        <w:rPr>
          <w:rFonts w:ascii="Times New Roman" w:hAnsi="Times New Roman"/>
          <w:sz w:val="24"/>
          <w:szCs w:val="24"/>
        </w:rPr>
        <w:t>687.50</w:t>
      </w:r>
      <w:r w:rsidRPr="00DC4287">
        <w:rPr>
          <w:rFonts w:ascii="Times New Roman" w:hAnsi="Times New Roman"/>
          <w:sz w:val="24"/>
          <w:szCs w:val="24"/>
        </w:rPr>
        <w:t>)</w:t>
      </w:r>
    </w:p>
    <w:p w:rsidRPr="006625E7" w:rsidR="00562915" w:rsidP="00562915" w:rsidRDefault="00562915" w14:paraId="63777B50"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79C298C8"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D540A9" w:rsidRDefault="00611B09" w14:paraId="396C2000" w14:textId="77777777">
      <w:pPr>
        <w:ind w:left="720"/>
        <w:rPr>
          <w:rFonts w:ascii="Times New Roman" w:hAnsi="Times New Roman" w:cs="Times New Roman"/>
          <w:b/>
          <w:bCs/>
          <w:color w:val="FF0000"/>
          <w:sz w:val="24"/>
          <w:szCs w:val="24"/>
        </w:rPr>
      </w:pPr>
      <w:r>
        <w:rPr>
          <w:rFonts w:ascii="Times New Roman" w:hAnsi="Times New Roman" w:cs="Times New Roman"/>
          <w:b/>
          <w:bCs/>
          <w:sz w:val="24"/>
          <w:szCs w:val="24"/>
        </w:rPr>
        <w:t xml:space="preserve">a. </w:t>
      </w:r>
      <w:r w:rsidRPr="006625E7" w:rsidR="00562915">
        <w:rPr>
          <w:rFonts w:ascii="Times New Roman" w:hAnsi="Times New Roman" w:cs="Times New Roman"/>
          <w:b/>
          <w:bCs/>
          <w:sz w:val="24"/>
          <w:szCs w:val="24"/>
        </w:rPr>
        <w:t xml:space="preserve">Operation and Maintenance and purchase of services component.  These estimates should </w:t>
      </w:r>
      <w:r w:rsidRPr="006625E7" w:rsidR="00D540A9">
        <w:rPr>
          <w:rFonts w:ascii="Times New Roman" w:hAnsi="Times New Roman" w:cs="Times New Roman"/>
          <w:b/>
          <w:bCs/>
          <w:sz w:val="24"/>
          <w:szCs w:val="24"/>
        </w:rPr>
        <w:t>consider</w:t>
      </w:r>
      <w:r w:rsidRPr="006625E7" w:rsidR="00562915">
        <w:rPr>
          <w:rFonts w:ascii="Times New Roman" w:hAnsi="Times New Roman" w:cs="Times New Roman"/>
          <w:b/>
          <w:bCs/>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r w:rsidR="008B52BD">
        <w:rPr>
          <w:rFonts w:ascii="Times New Roman" w:hAnsi="Times New Roman" w:cs="Times New Roman"/>
          <w:b/>
          <w:bCs/>
          <w:sz w:val="24"/>
          <w:szCs w:val="24"/>
        </w:rPr>
        <w:t xml:space="preserve">  </w:t>
      </w:r>
      <w:r w:rsidRPr="008B52BD" w:rsidR="008B52BD">
        <w:rPr>
          <w:rFonts w:ascii="Times New Roman" w:hAnsi="Times New Roman" w:cs="Times New Roman"/>
          <w:bCs/>
          <w:sz w:val="24"/>
          <w:szCs w:val="24"/>
        </w:rPr>
        <w:t>N/A.</w:t>
      </w:r>
    </w:p>
    <w:p w:rsidR="008B52BD" w:rsidP="00D540A9" w:rsidRDefault="00611B09" w14:paraId="041476D9" w14:textId="77777777">
      <w:pPr>
        <w:ind w:left="720"/>
        <w:rPr>
          <w:rFonts w:ascii="Times New Roman" w:hAnsi="Times New Roman" w:cs="Times New Roman"/>
          <w:b/>
          <w:bCs/>
          <w:sz w:val="24"/>
          <w:szCs w:val="24"/>
        </w:rPr>
      </w:pPr>
      <w:r>
        <w:rPr>
          <w:rFonts w:ascii="Times New Roman" w:hAnsi="Times New Roman" w:cs="Times New Roman"/>
          <w:b/>
          <w:bCs/>
          <w:sz w:val="24"/>
          <w:szCs w:val="24"/>
        </w:rPr>
        <w:t xml:space="preserve">b. </w:t>
      </w:r>
      <w:r w:rsidRPr="006625E7" w:rsidR="00562915">
        <w:rPr>
          <w:rFonts w:ascii="Times New Roman" w:hAnsi="Times New Roman" w:cs="Times New Roman"/>
          <w:b/>
          <w:bCs/>
          <w:sz w:val="24"/>
          <w:szCs w:val="24"/>
        </w:rPr>
        <w:t>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sidR="00562915">
        <w:rPr>
          <w:rFonts w:ascii="Times New Roman" w:hAnsi="Times New Roman" w:cs="Times New Roman"/>
          <w:b/>
          <w:bCs/>
          <w:sz w:val="24"/>
          <w:szCs w:val="24"/>
        </w:rPr>
        <w:t xml:space="preserve">software, monitoring sampling, drilling and testing equipment, and record storage facilities. </w:t>
      </w:r>
    </w:p>
    <w:tbl>
      <w:tblPr>
        <w:tblStyle w:val="TableGrid1"/>
        <w:tblW w:w="0" w:type="auto"/>
        <w:tblLook w:val="04A0" w:firstRow="1" w:lastRow="0" w:firstColumn="1" w:lastColumn="0" w:noHBand="0" w:noVBand="1"/>
      </w:tblPr>
      <w:tblGrid>
        <w:gridCol w:w="1837"/>
        <w:gridCol w:w="1598"/>
        <w:gridCol w:w="1971"/>
        <w:gridCol w:w="1626"/>
        <w:gridCol w:w="1598"/>
      </w:tblGrid>
      <w:tr w:rsidRPr="00DD5952" w:rsidR="002B3FD7" w:rsidTr="0097491F" w14:paraId="33BE24E9" w14:textId="77777777">
        <w:tc>
          <w:tcPr>
            <w:tcW w:w="9350" w:type="dxa"/>
            <w:gridSpan w:val="5"/>
          </w:tcPr>
          <w:p w:rsidRPr="00DD5952" w:rsidR="002B3FD7" w:rsidP="0097491F" w:rsidRDefault="002B3FD7" w14:paraId="1DADE886" w14:textId="77777777">
            <w:pPr>
              <w:jc w:val="center"/>
              <w:rPr>
                <w:rFonts w:ascii="Times New Roman" w:hAnsi="Times New Roman" w:eastAsia="Calibri" w:cs="Times New Roman"/>
                <w:b/>
                <w:sz w:val="20"/>
                <w:szCs w:val="20"/>
              </w:rPr>
            </w:pPr>
            <w:r w:rsidRPr="00DD5952">
              <w:rPr>
                <w:rFonts w:ascii="Times New Roman" w:hAnsi="Times New Roman" w:eastAsia="Calibri" w:cs="Times New Roman"/>
                <w:b/>
                <w:sz w:val="20"/>
                <w:szCs w:val="20"/>
              </w:rPr>
              <w:t>Annual Cost Burden to Respondents or Recordkeepers</w:t>
            </w:r>
          </w:p>
        </w:tc>
      </w:tr>
      <w:tr w:rsidRPr="00DD5952" w:rsidR="002B3FD7" w:rsidTr="0097491F" w14:paraId="070570D5" w14:textId="77777777">
        <w:tc>
          <w:tcPr>
            <w:tcW w:w="1870" w:type="dxa"/>
            <w:shd w:val="clear" w:color="auto" w:fill="8EAADB"/>
          </w:tcPr>
          <w:p w:rsidRPr="00DD5952" w:rsidR="002B3FD7" w:rsidP="0097491F" w:rsidRDefault="002B3FD7" w14:paraId="209ADC62"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Data Collection Activity/Instrument</w:t>
            </w:r>
          </w:p>
        </w:tc>
        <w:tc>
          <w:tcPr>
            <w:tcW w:w="1870" w:type="dxa"/>
            <w:shd w:val="clear" w:color="auto" w:fill="8EAADB"/>
          </w:tcPr>
          <w:p w:rsidRPr="00DD5952" w:rsidR="002B3FD7" w:rsidP="0097491F" w:rsidRDefault="002B3FD7" w14:paraId="700557FE"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DD5952" w:rsidR="002B3FD7" w:rsidP="0097491F" w:rsidRDefault="002B3FD7" w14:paraId="180D948D"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DD5952" w:rsidR="002B3FD7" w:rsidP="0097491F" w:rsidRDefault="002B3FD7" w14:paraId="5C08A0A4"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DD5952" w:rsidR="002B3FD7" w:rsidP="0097491F" w:rsidRDefault="002B3FD7" w14:paraId="52078EFD" w14:textId="77777777">
            <w:pPr>
              <w:rPr>
                <w:rFonts w:ascii="Times New Roman" w:hAnsi="Times New Roman" w:eastAsia="Calibri" w:cs="Times New Roman"/>
                <w:sz w:val="20"/>
                <w:szCs w:val="20"/>
              </w:rPr>
            </w:pPr>
            <w:r w:rsidRPr="00DD5952">
              <w:rPr>
                <w:rFonts w:ascii="Times New Roman" w:hAnsi="Times New Roman" w:eastAsia="Calibri" w:cs="Times New Roman"/>
                <w:sz w:val="20"/>
                <w:szCs w:val="20"/>
              </w:rPr>
              <w:t>Total Annual Cost to Respondents</w:t>
            </w:r>
          </w:p>
        </w:tc>
      </w:tr>
      <w:tr w:rsidRPr="00DD5952" w:rsidR="002B3FD7" w:rsidTr="0097491F" w14:paraId="6D484BC5" w14:textId="77777777">
        <w:tc>
          <w:tcPr>
            <w:tcW w:w="1870" w:type="dxa"/>
          </w:tcPr>
          <w:p w:rsidRPr="00DD5952" w:rsidR="002B3FD7" w:rsidP="0097491F" w:rsidRDefault="002B3FD7" w14:paraId="76C64496" w14:textId="60908ABE">
            <w:pPr>
              <w:rPr>
                <w:rFonts w:ascii="Times New Roman" w:hAnsi="Times New Roman" w:eastAsia="Calibri" w:cs="Times New Roman"/>
                <w:sz w:val="20"/>
                <w:szCs w:val="20"/>
              </w:rPr>
            </w:pPr>
            <w:r w:rsidRPr="001B7DDE">
              <w:rPr>
                <w:rFonts w:ascii="Times New Roman" w:hAnsi="Times New Roman" w:cs="Times New Roman"/>
                <w:sz w:val="20"/>
                <w:szCs w:val="20"/>
              </w:rPr>
              <w:t xml:space="preserve">Application for Surplus Federal Real Property Public Benefit Conveyance and </w:t>
            </w:r>
            <w:r w:rsidRPr="001B7DDE">
              <w:rPr>
                <w:rFonts w:ascii="Times New Roman" w:hAnsi="Times New Roman" w:cs="Times New Roman"/>
                <w:sz w:val="20"/>
                <w:szCs w:val="20"/>
              </w:rPr>
              <w:lastRenderedPageBreak/>
              <w:t>BRAC Program for Emergency Management Use / FEMA Form 119-0-1 </w:t>
            </w:r>
          </w:p>
        </w:tc>
        <w:tc>
          <w:tcPr>
            <w:tcW w:w="1870" w:type="dxa"/>
          </w:tcPr>
          <w:p w:rsidRPr="00DD5952" w:rsidR="002B3FD7" w:rsidP="0097491F" w:rsidRDefault="002B3FD7" w14:paraId="2F422AF3"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lastRenderedPageBreak/>
              <w:t>$0</w:t>
            </w:r>
          </w:p>
        </w:tc>
        <w:tc>
          <w:tcPr>
            <w:tcW w:w="1870" w:type="dxa"/>
          </w:tcPr>
          <w:p w:rsidRPr="00DD5952" w:rsidR="002B3FD7" w:rsidP="0097491F" w:rsidRDefault="002B3FD7" w14:paraId="18767AE1"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2B3FD7" w:rsidP="0097491F" w:rsidRDefault="002B3FD7" w14:paraId="1454D1F9"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2B3FD7" w:rsidP="0097491F" w:rsidRDefault="002B3FD7" w14:paraId="1507F4D5"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r>
      <w:tr w:rsidRPr="00DD5952" w:rsidR="002B3FD7" w:rsidTr="0097491F" w14:paraId="0B40A963" w14:textId="77777777">
        <w:tc>
          <w:tcPr>
            <w:tcW w:w="1870" w:type="dxa"/>
          </w:tcPr>
          <w:p w:rsidRPr="00DD5952" w:rsidR="002B3FD7" w:rsidP="0097491F" w:rsidRDefault="002B3FD7" w14:paraId="098FADD8" w14:textId="77777777">
            <w:pPr>
              <w:rPr>
                <w:rFonts w:ascii="Times New Roman" w:hAnsi="Times New Roman" w:eastAsia="Calibri" w:cs="Times New Roman"/>
                <w:b/>
                <w:sz w:val="20"/>
                <w:szCs w:val="20"/>
              </w:rPr>
            </w:pPr>
            <w:r w:rsidRPr="00DD5952">
              <w:rPr>
                <w:rFonts w:ascii="Times New Roman" w:hAnsi="Times New Roman" w:eastAsia="Calibri" w:cs="Times New Roman"/>
                <w:b/>
                <w:sz w:val="20"/>
                <w:szCs w:val="20"/>
              </w:rPr>
              <w:t>Total</w:t>
            </w:r>
          </w:p>
        </w:tc>
        <w:tc>
          <w:tcPr>
            <w:tcW w:w="1870" w:type="dxa"/>
          </w:tcPr>
          <w:p w:rsidRPr="00DD5952" w:rsidR="002B3FD7" w:rsidP="0097491F" w:rsidRDefault="002B3FD7" w14:paraId="680CF2E3"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2B3FD7" w:rsidP="0097491F" w:rsidRDefault="002B3FD7" w14:paraId="53CEC9E0"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2B3FD7" w:rsidP="0097491F" w:rsidRDefault="002B3FD7" w14:paraId="3F23874B"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c>
          <w:tcPr>
            <w:tcW w:w="1870" w:type="dxa"/>
          </w:tcPr>
          <w:p w:rsidRPr="00DD5952" w:rsidR="002B3FD7" w:rsidP="0097491F" w:rsidRDefault="002B3FD7" w14:paraId="510A17D2" w14:textId="77777777">
            <w:pPr>
              <w:jc w:val="right"/>
              <w:rPr>
                <w:rFonts w:ascii="Times New Roman" w:hAnsi="Times New Roman" w:eastAsia="Calibri" w:cs="Times New Roman"/>
                <w:sz w:val="20"/>
                <w:szCs w:val="20"/>
              </w:rPr>
            </w:pPr>
            <w:r w:rsidRPr="00DD5952">
              <w:rPr>
                <w:rFonts w:ascii="Times New Roman" w:hAnsi="Times New Roman" w:eastAsia="Calibri" w:cs="Times New Roman"/>
                <w:sz w:val="20"/>
                <w:szCs w:val="20"/>
              </w:rPr>
              <w:t>$0</w:t>
            </w:r>
          </w:p>
        </w:tc>
      </w:tr>
    </w:tbl>
    <w:p w:rsidRPr="006625E7" w:rsidR="00562915" w:rsidP="00562915" w:rsidRDefault="008B52BD" w14:paraId="202003F4" w14:textId="77777777">
      <w:pPr>
        <w:rPr>
          <w:rFonts w:ascii="Times New Roman" w:hAnsi="Times New Roman" w:cs="Times New Roman"/>
          <w:sz w:val="24"/>
          <w:szCs w:val="24"/>
        </w:rPr>
      </w:pPr>
      <w:r w:rsidRPr="008B52BD">
        <w:rPr>
          <w:rFonts w:ascii="Times New Roman" w:hAnsi="Times New Roman" w:cs="Times New Roman"/>
          <w:sz w:val="24"/>
          <w:szCs w:val="24"/>
        </w:rPr>
        <w:t>There are no record keeping, capital, start-up or maintenance costs associated with this information collection.</w:t>
      </w:r>
    </w:p>
    <w:p w:rsidR="00562915" w:rsidP="006625E7" w:rsidRDefault="00562915" w14:paraId="0744660F" w14:textId="7777777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W w:w="8809" w:type="dxa"/>
        <w:tblLook w:val="04A0" w:firstRow="1" w:lastRow="0" w:firstColumn="1" w:lastColumn="0" w:noHBand="0" w:noVBand="1"/>
      </w:tblPr>
      <w:tblGrid>
        <w:gridCol w:w="7370"/>
        <w:gridCol w:w="1439"/>
      </w:tblGrid>
      <w:tr w:rsidRPr="009E092B" w:rsidR="009E092B" w:rsidTr="00E92CA9" w14:paraId="774FA176" w14:textId="77777777">
        <w:trPr>
          <w:trHeight w:val="263"/>
        </w:trPr>
        <w:tc>
          <w:tcPr>
            <w:tcW w:w="8809" w:type="dxa"/>
            <w:gridSpan w:val="2"/>
            <w:tcBorders>
              <w:top w:val="single" w:color="auto" w:sz="8" w:space="0"/>
              <w:left w:val="single" w:color="auto" w:sz="8" w:space="0"/>
              <w:bottom w:val="single" w:color="auto" w:sz="4" w:space="0"/>
              <w:right w:val="single" w:color="000000" w:sz="8" w:space="0"/>
            </w:tcBorders>
            <w:shd w:val="clear" w:color="auto" w:fill="auto"/>
            <w:vAlign w:val="bottom"/>
            <w:hideMark/>
          </w:tcPr>
          <w:p w:rsidRPr="009E092B" w:rsidR="009E092B" w:rsidP="009E092B" w:rsidRDefault="009E092B" w14:paraId="660C0CB0" w14:textId="77777777">
            <w:pPr>
              <w:spacing w:after="0" w:line="240" w:lineRule="auto"/>
              <w:jc w:val="center"/>
              <w:rPr>
                <w:rFonts w:ascii="Times New Roman" w:hAnsi="Times New Roman" w:eastAsia="Times New Roman" w:cs="Times New Roman"/>
                <w:b/>
                <w:bCs/>
                <w:color w:val="000000"/>
                <w:sz w:val="20"/>
                <w:szCs w:val="20"/>
              </w:rPr>
            </w:pPr>
            <w:r w:rsidRPr="009E092B">
              <w:rPr>
                <w:rFonts w:ascii="Times New Roman" w:hAnsi="Times New Roman" w:eastAsia="Times New Roman" w:cs="Times New Roman"/>
                <w:b/>
                <w:bCs/>
                <w:color w:val="000000"/>
                <w:sz w:val="20"/>
                <w:szCs w:val="20"/>
              </w:rPr>
              <w:t>Annual Cost to the Federal Government</w:t>
            </w:r>
          </w:p>
        </w:tc>
      </w:tr>
      <w:tr w:rsidRPr="009E092B" w:rsidR="009E092B" w:rsidTr="00E92CA9" w14:paraId="214A3FDD" w14:textId="77777777">
        <w:trPr>
          <w:trHeight w:val="263"/>
        </w:trPr>
        <w:tc>
          <w:tcPr>
            <w:tcW w:w="7370" w:type="dxa"/>
            <w:tcBorders>
              <w:top w:val="nil"/>
              <w:left w:val="single" w:color="auto" w:sz="8" w:space="0"/>
              <w:bottom w:val="single" w:color="auto" w:sz="4" w:space="0"/>
              <w:right w:val="single" w:color="auto" w:sz="4" w:space="0"/>
            </w:tcBorders>
            <w:shd w:val="clear" w:color="000000" w:fill="8DB4E2"/>
            <w:vAlign w:val="bottom"/>
            <w:hideMark/>
          </w:tcPr>
          <w:p w:rsidRPr="009E092B" w:rsidR="009E092B" w:rsidP="00E961D5" w:rsidRDefault="009E092B" w14:paraId="44F230CA" w14:textId="77777777">
            <w:pPr>
              <w:spacing w:after="0" w:line="240" w:lineRule="auto"/>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Item</w:t>
            </w:r>
          </w:p>
        </w:tc>
        <w:tc>
          <w:tcPr>
            <w:tcW w:w="1439" w:type="dxa"/>
            <w:tcBorders>
              <w:top w:val="nil"/>
              <w:left w:val="nil"/>
              <w:bottom w:val="single" w:color="auto" w:sz="4" w:space="0"/>
              <w:right w:val="single" w:color="auto" w:sz="8" w:space="0"/>
            </w:tcBorders>
            <w:shd w:val="clear" w:color="000000" w:fill="8DB4E2"/>
            <w:noWrap/>
            <w:vAlign w:val="bottom"/>
            <w:hideMark/>
          </w:tcPr>
          <w:p w:rsidRPr="009E092B" w:rsidR="009E092B" w:rsidP="009E092B" w:rsidRDefault="009E092B" w14:paraId="1A469837" w14:textId="77777777">
            <w:pPr>
              <w:spacing w:after="0" w:line="240" w:lineRule="auto"/>
              <w:jc w:val="center"/>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Cost ($)</w:t>
            </w:r>
          </w:p>
        </w:tc>
      </w:tr>
      <w:tr w:rsidRPr="009E092B" w:rsidR="009E092B" w:rsidTr="00E92CA9" w14:paraId="6E941F83" w14:textId="77777777">
        <w:trPr>
          <w:trHeight w:val="263"/>
        </w:trPr>
        <w:tc>
          <w:tcPr>
            <w:tcW w:w="7370" w:type="dxa"/>
            <w:tcBorders>
              <w:top w:val="nil"/>
              <w:left w:val="single" w:color="auto" w:sz="8" w:space="0"/>
              <w:bottom w:val="single" w:color="auto" w:sz="4" w:space="0"/>
              <w:right w:val="single" w:color="auto" w:sz="4" w:space="0"/>
            </w:tcBorders>
            <w:shd w:val="clear" w:color="auto" w:fill="auto"/>
            <w:vAlign w:val="bottom"/>
            <w:hideMark/>
          </w:tcPr>
          <w:p w:rsidRPr="009E092B" w:rsidR="009E092B" w:rsidP="009E092B" w:rsidRDefault="009E092B" w14:paraId="3880B882" w14:textId="77777777">
            <w:pPr>
              <w:spacing w:after="0" w:line="240" w:lineRule="auto"/>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Contract Costs</w:t>
            </w:r>
          </w:p>
        </w:tc>
        <w:tc>
          <w:tcPr>
            <w:tcW w:w="1439" w:type="dxa"/>
            <w:tcBorders>
              <w:top w:val="nil"/>
              <w:left w:val="nil"/>
              <w:bottom w:val="single" w:color="auto" w:sz="4" w:space="0"/>
              <w:right w:val="single" w:color="auto" w:sz="8" w:space="0"/>
            </w:tcBorders>
            <w:shd w:val="clear" w:color="auto" w:fill="auto"/>
            <w:noWrap/>
            <w:vAlign w:val="bottom"/>
            <w:hideMark/>
          </w:tcPr>
          <w:p w:rsidRPr="009E092B" w:rsidR="009E092B" w:rsidP="009E092B" w:rsidRDefault="009E092B" w14:paraId="3D33280C" w14:textId="77777777">
            <w:pPr>
              <w:spacing w:after="0" w:line="240" w:lineRule="auto"/>
              <w:jc w:val="center"/>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 </w:t>
            </w:r>
          </w:p>
        </w:tc>
      </w:tr>
      <w:tr w:rsidRPr="009E092B" w:rsidR="009E092B" w:rsidTr="00E92CA9" w14:paraId="34CB5299" w14:textId="77777777">
        <w:trPr>
          <w:trHeight w:val="789"/>
        </w:trPr>
        <w:tc>
          <w:tcPr>
            <w:tcW w:w="7370" w:type="dxa"/>
            <w:tcBorders>
              <w:top w:val="nil"/>
              <w:left w:val="single" w:color="auto" w:sz="8" w:space="0"/>
              <w:bottom w:val="single" w:color="auto" w:sz="4" w:space="0"/>
              <w:right w:val="single" w:color="auto" w:sz="4" w:space="0"/>
            </w:tcBorders>
            <w:shd w:val="clear" w:color="auto" w:fill="auto"/>
            <w:vAlign w:val="bottom"/>
            <w:hideMark/>
          </w:tcPr>
          <w:p w:rsidRPr="009E092B" w:rsidR="009E092B" w:rsidP="009E092B" w:rsidRDefault="009E092B" w14:paraId="4389C58C" w14:textId="282EB67C">
            <w:pPr>
              <w:spacing w:after="0" w:line="240" w:lineRule="auto"/>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 xml:space="preserve">Staff Salaries* [ 1 of GS 12, step 4 employee spending approximately 2% of time annually for all applications received to review, to perform associated research on each application and cross reference for the data </w:t>
            </w:r>
            <w:r w:rsidRPr="009E092B" w:rsidR="00274106">
              <w:rPr>
                <w:rFonts w:ascii="Times New Roman" w:hAnsi="Times New Roman" w:eastAsia="Times New Roman" w:cs="Times New Roman"/>
                <w:color w:val="000000"/>
                <w:sz w:val="20"/>
                <w:szCs w:val="20"/>
              </w:rPr>
              <w:t>collection] [</w:t>
            </w:r>
            <w:r w:rsidR="007C27A0">
              <w:rPr>
                <w:rFonts w:ascii="Times New Roman" w:hAnsi="Times New Roman" w:eastAsia="Times New Roman" w:cs="Times New Roman"/>
                <w:color w:val="000000"/>
                <w:sz w:val="20"/>
                <w:szCs w:val="20"/>
              </w:rPr>
              <w:t>(</w:t>
            </w:r>
            <w:r w:rsidRPr="009E092B">
              <w:rPr>
                <w:rFonts w:ascii="Times New Roman" w:hAnsi="Times New Roman" w:eastAsia="Times New Roman" w:cs="Times New Roman"/>
                <w:color w:val="000000"/>
                <w:sz w:val="20"/>
                <w:szCs w:val="20"/>
              </w:rPr>
              <w:t>$</w:t>
            </w:r>
            <w:r w:rsidR="00DF7C2F">
              <w:rPr>
                <w:rFonts w:ascii="Times New Roman" w:hAnsi="Times New Roman" w:eastAsia="Times New Roman" w:cs="Times New Roman"/>
                <w:color w:val="000000"/>
                <w:sz w:val="20"/>
                <w:szCs w:val="20"/>
              </w:rPr>
              <w:t>94,970</w:t>
            </w:r>
            <w:r w:rsidRPr="009E092B">
              <w:rPr>
                <w:rFonts w:ascii="Times New Roman" w:hAnsi="Times New Roman" w:eastAsia="Times New Roman" w:cs="Times New Roman"/>
                <w:color w:val="000000"/>
                <w:sz w:val="20"/>
                <w:szCs w:val="20"/>
              </w:rPr>
              <w:t xml:space="preserve"> x .02) x 1.46 = $2,</w:t>
            </w:r>
            <w:r w:rsidR="00DF7C2F">
              <w:rPr>
                <w:rFonts w:ascii="Times New Roman" w:hAnsi="Times New Roman" w:eastAsia="Times New Roman" w:cs="Times New Roman"/>
                <w:color w:val="000000"/>
                <w:sz w:val="20"/>
                <w:szCs w:val="20"/>
              </w:rPr>
              <w:t>773.12</w:t>
            </w:r>
            <w:r w:rsidRPr="009E092B">
              <w:rPr>
                <w:rFonts w:ascii="Times New Roman" w:hAnsi="Times New Roman" w:eastAsia="Times New Roman" w:cs="Times New Roman"/>
                <w:color w:val="000000"/>
                <w:sz w:val="20"/>
                <w:szCs w:val="20"/>
              </w:rPr>
              <w:t>]</w:t>
            </w:r>
          </w:p>
        </w:tc>
        <w:tc>
          <w:tcPr>
            <w:tcW w:w="1439" w:type="dxa"/>
            <w:tcBorders>
              <w:top w:val="nil"/>
              <w:left w:val="nil"/>
              <w:bottom w:val="single" w:color="auto" w:sz="4" w:space="0"/>
              <w:right w:val="single" w:color="auto" w:sz="8" w:space="0"/>
            </w:tcBorders>
            <w:shd w:val="clear" w:color="auto" w:fill="auto"/>
            <w:noWrap/>
            <w:vAlign w:val="bottom"/>
            <w:hideMark/>
          </w:tcPr>
          <w:p w:rsidRPr="009E092B" w:rsidR="009E092B" w:rsidP="009E092B" w:rsidRDefault="009E092B" w14:paraId="176C6780" w14:textId="6EA603ED">
            <w:pPr>
              <w:spacing w:after="0" w:line="240" w:lineRule="auto"/>
              <w:jc w:val="center"/>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$2,</w:t>
            </w:r>
            <w:r w:rsidR="00DF7C2F">
              <w:rPr>
                <w:rFonts w:ascii="Times New Roman" w:hAnsi="Times New Roman" w:eastAsia="Times New Roman" w:cs="Times New Roman"/>
                <w:color w:val="000000"/>
                <w:sz w:val="20"/>
                <w:szCs w:val="20"/>
              </w:rPr>
              <w:t>773</w:t>
            </w:r>
          </w:p>
        </w:tc>
      </w:tr>
      <w:tr w:rsidRPr="009E092B" w:rsidR="009E092B" w:rsidTr="00E92CA9" w14:paraId="53B28BB1" w14:textId="77777777">
        <w:trPr>
          <w:trHeight w:val="254"/>
        </w:trPr>
        <w:tc>
          <w:tcPr>
            <w:tcW w:w="7370" w:type="dxa"/>
            <w:tcBorders>
              <w:top w:val="nil"/>
              <w:left w:val="single" w:color="auto" w:sz="8" w:space="0"/>
              <w:bottom w:val="single" w:color="auto" w:sz="4" w:space="0"/>
              <w:right w:val="single" w:color="auto" w:sz="4" w:space="0"/>
            </w:tcBorders>
            <w:shd w:val="clear" w:color="auto" w:fill="auto"/>
            <w:vAlign w:val="bottom"/>
            <w:hideMark/>
          </w:tcPr>
          <w:p w:rsidRPr="009E092B" w:rsidR="009E092B" w:rsidP="009E092B" w:rsidRDefault="009E092B" w14:paraId="772C7ACA" w14:textId="77777777">
            <w:pPr>
              <w:spacing w:after="0" w:line="240" w:lineRule="auto"/>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 xml:space="preserve">Facilities </w:t>
            </w:r>
          </w:p>
        </w:tc>
        <w:tc>
          <w:tcPr>
            <w:tcW w:w="1439" w:type="dxa"/>
            <w:tcBorders>
              <w:top w:val="nil"/>
              <w:left w:val="nil"/>
              <w:bottom w:val="single" w:color="auto" w:sz="4" w:space="0"/>
              <w:right w:val="single" w:color="auto" w:sz="8" w:space="0"/>
            </w:tcBorders>
            <w:shd w:val="clear" w:color="auto" w:fill="auto"/>
            <w:noWrap/>
            <w:vAlign w:val="bottom"/>
            <w:hideMark/>
          </w:tcPr>
          <w:p w:rsidRPr="009E092B" w:rsidR="009E092B" w:rsidP="009E092B" w:rsidRDefault="009E092B" w14:paraId="006F94F8" w14:textId="77777777">
            <w:pPr>
              <w:spacing w:after="0" w:line="240" w:lineRule="auto"/>
              <w:jc w:val="center"/>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 </w:t>
            </w:r>
          </w:p>
        </w:tc>
      </w:tr>
      <w:tr w:rsidRPr="009E092B" w:rsidR="009E092B" w:rsidTr="00E92CA9" w14:paraId="48E6C475" w14:textId="77777777">
        <w:trPr>
          <w:trHeight w:val="263"/>
        </w:trPr>
        <w:tc>
          <w:tcPr>
            <w:tcW w:w="7370" w:type="dxa"/>
            <w:tcBorders>
              <w:top w:val="nil"/>
              <w:left w:val="single" w:color="auto" w:sz="8" w:space="0"/>
              <w:bottom w:val="single" w:color="auto" w:sz="4" w:space="0"/>
              <w:right w:val="single" w:color="auto" w:sz="4" w:space="0"/>
            </w:tcBorders>
            <w:shd w:val="clear" w:color="auto" w:fill="auto"/>
            <w:vAlign w:val="bottom"/>
            <w:hideMark/>
          </w:tcPr>
          <w:p w:rsidRPr="009E092B" w:rsidR="009E092B" w:rsidP="009E092B" w:rsidRDefault="009E092B" w14:paraId="03A5D57B" w14:textId="77777777">
            <w:pPr>
              <w:spacing w:after="0" w:line="240" w:lineRule="auto"/>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Computer Hardware and Software</w:t>
            </w:r>
          </w:p>
        </w:tc>
        <w:tc>
          <w:tcPr>
            <w:tcW w:w="1439" w:type="dxa"/>
            <w:tcBorders>
              <w:top w:val="nil"/>
              <w:left w:val="nil"/>
              <w:bottom w:val="single" w:color="auto" w:sz="4" w:space="0"/>
              <w:right w:val="single" w:color="auto" w:sz="8" w:space="0"/>
            </w:tcBorders>
            <w:shd w:val="clear" w:color="auto" w:fill="auto"/>
            <w:noWrap/>
            <w:vAlign w:val="bottom"/>
            <w:hideMark/>
          </w:tcPr>
          <w:p w:rsidRPr="009E092B" w:rsidR="009E092B" w:rsidP="009E092B" w:rsidRDefault="009E092B" w14:paraId="0BFB75E7" w14:textId="77777777">
            <w:pPr>
              <w:spacing w:after="0" w:line="240" w:lineRule="auto"/>
              <w:jc w:val="center"/>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 </w:t>
            </w:r>
          </w:p>
        </w:tc>
      </w:tr>
      <w:tr w:rsidRPr="009E092B" w:rsidR="009E092B" w:rsidTr="00E92CA9" w14:paraId="56DAF9DB" w14:textId="77777777">
        <w:trPr>
          <w:trHeight w:val="263"/>
        </w:trPr>
        <w:tc>
          <w:tcPr>
            <w:tcW w:w="7370" w:type="dxa"/>
            <w:tcBorders>
              <w:top w:val="nil"/>
              <w:left w:val="single" w:color="auto" w:sz="8" w:space="0"/>
              <w:bottom w:val="single" w:color="auto" w:sz="4" w:space="0"/>
              <w:right w:val="single" w:color="auto" w:sz="4" w:space="0"/>
            </w:tcBorders>
            <w:shd w:val="clear" w:color="auto" w:fill="auto"/>
            <w:vAlign w:val="bottom"/>
            <w:hideMark/>
          </w:tcPr>
          <w:p w:rsidRPr="009E092B" w:rsidR="009E092B" w:rsidP="009E092B" w:rsidRDefault="009E092B" w14:paraId="580B966B" w14:textId="77777777">
            <w:pPr>
              <w:spacing w:after="0" w:line="240" w:lineRule="auto"/>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Equipment Maintenance</w:t>
            </w:r>
          </w:p>
        </w:tc>
        <w:tc>
          <w:tcPr>
            <w:tcW w:w="1439" w:type="dxa"/>
            <w:tcBorders>
              <w:top w:val="nil"/>
              <w:left w:val="nil"/>
              <w:bottom w:val="single" w:color="auto" w:sz="4" w:space="0"/>
              <w:right w:val="single" w:color="auto" w:sz="8" w:space="0"/>
            </w:tcBorders>
            <w:shd w:val="clear" w:color="auto" w:fill="auto"/>
            <w:noWrap/>
            <w:vAlign w:val="bottom"/>
            <w:hideMark/>
          </w:tcPr>
          <w:p w:rsidRPr="009E092B" w:rsidR="009E092B" w:rsidP="009E092B" w:rsidRDefault="009E092B" w14:paraId="4F965F83" w14:textId="77777777">
            <w:pPr>
              <w:spacing w:after="0" w:line="240" w:lineRule="auto"/>
              <w:jc w:val="center"/>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 </w:t>
            </w:r>
          </w:p>
        </w:tc>
      </w:tr>
      <w:tr w:rsidRPr="009E092B" w:rsidR="009E092B" w:rsidTr="00E92CA9" w14:paraId="32B50762" w14:textId="77777777">
        <w:trPr>
          <w:trHeight w:val="263"/>
        </w:trPr>
        <w:tc>
          <w:tcPr>
            <w:tcW w:w="7370" w:type="dxa"/>
            <w:tcBorders>
              <w:top w:val="nil"/>
              <w:left w:val="single" w:color="auto" w:sz="8" w:space="0"/>
              <w:bottom w:val="single" w:color="auto" w:sz="4" w:space="0"/>
              <w:right w:val="single" w:color="auto" w:sz="4" w:space="0"/>
            </w:tcBorders>
            <w:shd w:val="clear" w:color="auto" w:fill="auto"/>
            <w:vAlign w:val="bottom"/>
            <w:hideMark/>
          </w:tcPr>
          <w:p w:rsidRPr="009E092B" w:rsidR="009E092B" w:rsidP="009E092B" w:rsidRDefault="009E092B" w14:paraId="29B03B86" w14:textId="0CA8FFBB">
            <w:pPr>
              <w:spacing w:after="0" w:line="240" w:lineRule="auto"/>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 xml:space="preserve">Postage (25 documents x </w:t>
            </w:r>
            <w:r w:rsidR="00524F78">
              <w:rPr>
                <w:rFonts w:ascii="Times New Roman" w:hAnsi="Times New Roman" w:eastAsia="Times New Roman" w:cs="Times New Roman"/>
                <w:color w:val="000000"/>
                <w:sz w:val="20"/>
                <w:szCs w:val="20"/>
              </w:rPr>
              <w:t>$0</w:t>
            </w:r>
            <w:r w:rsidRPr="009E092B">
              <w:rPr>
                <w:rFonts w:ascii="Times New Roman" w:hAnsi="Times New Roman" w:eastAsia="Times New Roman" w:cs="Times New Roman"/>
                <w:color w:val="000000"/>
                <w:sz w:val="20"/>
                <w:szCs w:val="20"/>
              </w:rPr>
              <w:t>.55 per mailed item</w:t>
            </w:r>
            <w:r w:rsidR="00524F78">
              <w:rPr>
                <w:rFonts w:ascii="Times New Roman" w:hAnsi="Times New Roman" w:eastAsia="Times New Roman" w:cs="Times New Roman"/>
                <w:color w:val="000000"/>
                <w:sz w:val="20"/>
                <w:szCs w:val="20"/>
              </w:rPr>
              <w:t xml:space="preserve"> x 15 items</w:t>
            </w:r>
            <w:r w:rsidRPr="009E092B">
              <w:rPr>
                <w:rFonts w:ascii="Times New Roman" w:hAnsi="Times New Roman" w:eastAsia="Times New Roman" w:cs="Times New Roman"/>
                <w:color w:val="000000"/>
                <w:sz w:val="20"/>
                <w:szCs w:val="20"/>
              </w:rPr>
              <w:t xml:space="preserve">:  25 x </w:t>
            </w:r>
            <w:r w:rsidR="00524F78">
              <w:rPr>
                <w:rFonts w:ascii="Times New Roman" w:hAnsi="Times New Roman" w:eastAsia="Times New Roman" w:cs="Times New Roman"/>
                <w:color w:val="000000"/>
                <w:sz w:val="20"/>
                <w:szCs w:val="20"/>
              </w:rPr>
              <w:t>0</w:t>
            </w:r>
            <w:r w:rsidRPr="009E092B">
              <w:rPr>
                <w:rFonts w:ascii="Times New Roman" w:hAnsi="Times New Roman" w:eastAsia="Times New Roman" w:cs="Times New Roman"/>
                <w:color w:val="000000"/>
                <w:sz w:val="20"/>
                <w:szCs w:val="20"/>
              </w:rPr>
              <w:t>.55</w:t>
            </w:r>
            <w:r w:rsidR="00524F78">
              <w:rPr>
                <w:rFonts w:ascii="Times New Roman" w:hAnsi="Times New Roman" w:eastAsia="Times New Roman" w:cs="Times New Roman"/>
                <w:color w:val="000000"/>
                <w:sz w:val="20"/>
                <w:szCs w:val="20"/>
              </w:rPr>
              <w:t xml:space="preserve"> x 15</w:t>
            </w:r>
            <w:r w:rsidRPr="009E092B">
              <w:rPr>
                <w:rFonts w:ascii="Times New Roman" w:hAnsi="Times New Roman" w:eastAsia="Times New Roman" w:cs="Times New Roman"/>
                <w:color w:val="000000"/>
                <w:sz w:val="20"/>
                <w:szCs w:val="20"/>
              </w:rPr>
              <w:t xml:space="preserve"> = $</w:t>
            </w:r>
            <w:r w:rsidR="00524F78">
              <w:rPr>
                <w:rFonts w:ascii="Times New Roman" w:hAnsi="Times New Roman" w:eastAsia="Times New Roman" w:cs="Times New Roman"/>
                <w:color w:val="000000"/>
                <w:sz w:val="20"/>
                <w:szCs w:val="20"/>
              </w:rPr>
              <w:t>206.25</w:t>
            </w:r>
          </w:p>
        </w:tc>
        <w:tc>
          <w:tcPr>
            <w:tcW w:w="1439" w:type="dxa"/>
            <w:tcBorders>
              <w:top w:val="nil"/>
              <w:left w:val="nil"/>
              <w:bottom w:val="single" w:color="auto" w:sz="4" w:space="0"/>
              <w:right w:val="single" w:color="auto" w:sz="8" w:space="0"/>
            </w:tcBorders>
            <w:shd w:val="clear" w:color="auto" w:fill="auto"/>
            <w:noWrap/>
            <w:vAlign w:val="bottom"/>
            <w:hideMark/>
          </w:tcPr>
          <w:p w:rsidRPr="009E092B" w:rsidR="009E092B" w:rsidP="009E092B" w:rsidRDefault="009E092B" w14:paraId="68E84BE9" w14:textId="4A676121">
            <w:pPr>
              <w:spacing w:after="0" w:line="240" w:lineRule="auto"/>
              <w:jc w:val="center"/>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w:t>
            </w:r>
            <w:r w:rsidR="00524F78">
              <w:rPr>
                <w:rFonts w:ascii="Times New Roman" w:hAnsi="Times New Roman" w:eastAsia="Times New Roman" w:cs="Times New Roman"/>
                <w:color w:val="000000"/>
                <w:sz w:val="20"/>
                <w:szCs w:val="20"/>
              </w:rPr>
              <w:t>206</w:t>
            </w:r>
          </w:p>
        </w:tc>
      </w:tr>
      <w:tr w:rsidRPr="009E092B" w:rsidR="009E092B" w:rsidTr="00AF50C8" w14:paraId="19237792" w14:textId="77777777">
        <w:trPr>
          <w:trHeight w:val="263"/>
        </w:trPr>
        <w:tc>
          <w:tcPr>
            <w:tcW w:w="7370" w:type="dxa"/>
            <w:tcBorders>
              <w:top w:val="nil"/>
              <w:left w:val="single" w:color="auto" w:sz="8" w:space="0"/>
              <w:bottom w:val="single" w:color="auto" w:sz="4" w:space="0"/>
              <w:right w:val="single" w:color="auto" w:sz="4" w:space="0"/>
            </w:tcBorders>
            <w:shd w:val="clear" w:color="auto" w:fill="auto"/>
            <w:vAlign w:val="bottom"/>
            <w:hideMark/>
          </w:tcPr>
          <w:p w:rsidRPr="009E092B" w:rsidR="009E092B" w:rsidP="009E092B" w:rsidRDefault="009E092B" w14:paraId="65E8F6FE" w14:textId="77777777">
            <w:pPr>
              <w:spacing w:after="0" w:line="240" w:lineRule="auto"/>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Travel</w:t>
            </w:r>
          </w:p>
        </w:tc>
        <w:tc>
          <w:tcPr>
            <w:tcW w:w="1439" w:type="dxa"/>
            <w:tcBorders>
              <w:top w:val="nil"/>
              <w:left w:val="nil"/>
              <w:bottom w:val="single" w:color="auto" w:sz="4" w:space="0"/>
              <w:right w:val="single" w:color="auto" w:sz="8" w:space="0"/>
            </w:tcBorders>
            <w:shd w:val="clear" w:color="auto" w:fill="auto"/>
            <w:noWrap/>
            <w:vAlign w:val="bottom"/>
            <w:hideMark/>
          </w:tcPr>
          <w:p w:rsidRPr="009E092B" w:rsidR="009E092B" w:rsidP="009E092B" w:rsidRDefault="009E092B" w14:paraId="3558578C" w14:textId="77777777">
            <w:pPr>
              <w:spacing w:after="0" w:line="240" w:lineRule="auto"/>
              <w:jc w:val="center"/>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 </w:t>
            </w:r>
          </w:p>
        </w:tc>
      </w:tr>
      <w:tr w:rsidRPr="009E092B" w:rsidR="009E092B" w:rsidTr="00AF50C8" w14:paraId="51F82763" w14:textId="77777777">
        <w:trPr>
          <w:trHeight w:val="275"/>
        </w:trPr>
        <w:tc>
          <w:tcPr>
            <w:tcW w:w="737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9E092B" w:rsidR="009E092B" w:rsidP="009E092B" w:rsidRDefault="009E092B" w14:paraId="00AECA20" w14:textId="77777777">
            <w:pPr>
              <w:spacing w:after="0" w:line="240" w:lineRule="auto"/>
              <w:rPr>
                <w:rFonts w:ascii="Times New Roman" w:hAnsi="Times New Roman" w:eastAsia="Times New Roman" w:cs="Times New Roman"/>
                <w:b/>
                <w:bCs/>
                <w:color w:val="000000"/>
                <w:sz w:val="20"/>
                <w:szCs w:val="20"/>
              </w:rPr>
            </w:pPr>
            <w:r w:rsidRPr="009E092B">
              <w:rPr>
                <w:rFonts w:ascii="Times New Roman" w:hAnsi="Times New Roman" w:eastAsia="Times New Roman" w:cs="Times New Roman"/>
                <w:b/>
                <w:bCs/>
                <w:color w:val="000000"/>
                <w:sz w:val="20"/>
                <w:szCs w:val="20"/>
              </w:rPr>
              <w:t>Total</w:t>
            </w:r>
          </w:p>
        </w:tc>
        <w:tc>
          <w:tcPr>
            <w:tcW w:w="1439" w:type="dxa"/>
            <w:tcBorders>
              <w:top w:val="single" w:color="auto" w:sz="4" w:space="0"/>
              <w:left w:val="nil"/>
              <w:bottom w:val="single" w:color="auto" w:sz="4" w:space="0"/>
              <w:right w:val="single" w:color="auto" w:sz="8" w:space="0"/>
            </w:tcBorders>
            <w:shd w:val="clear" w:color="auto" w:fill="auto"/>
            <w:noWrap/>
            <w:vAlign w:val="bottom"/>
            <w:hideMark/>
          </w:tcPr>
          <w:p w:rsidRPr="009E092B" w:rsidR="009E092B" w:rsidP="009E092B" w:rsidRDefault="009E092B" w14:paraId="4C8CD5F0" w14:textId="3D7DC409">
            <w:pPr>
              <w:spacing w:after="0" w:line="240" w:lineRule="auto"/>
              <w:jc w:val="center"/>
              <w:rPr>
                <w:rFonts w:ascii="Times New Roman" w:hAnsi="Times New Roman" w:eastAsia="Times New Roman" w:cs="Times New Roman"/>
                <w:color w:val="000000"/>
                <w:sz w:val="20"/>
                <w:szCs w:val="20"/>
              </w:rPr>
            </w:pPr>
            <w:r w:rsidRPr="009E092B">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w:t>
            </w:r>
            <w:r w:rsidR="00524F78">
              <w:rPr>
                <w:rFonts w:ascii="Times New Roman" w:hAnsi="Times New Roman" w:eastAsia="Times New Roman" w:cs="Times New Roman"/>
                <w:color w:val="000000"/>
                <w:sz w:val="20"/>
                <w:szCs w:val="20"/>
              </w:rPr>
              <w:t>2,</w:t>
            </w:r>
            <w:r w:rsidR="00DF7C2F">
              <w:rPr>
                <w:rFonts w:ascii="Times New Roman" w:hAnsi="Times New Roman" w:eastAsia="Times New Roman" w:cs="Times New Roman"/>
                <w:color w:val="000000"/>
                <w:sz w:val="20"/>
                <w:szCs w:val="20"/>
              </w:rPr>
              <w:t>979</w:t>
            </w:r>
            <w:r w:rsidRPr="009E092B" w:rsidR="00DF7C2F">
              <w:rPr>
                <w:rFonts w:ascii="Times New Roman" w:hAnsi="Times New Roman" w:eastAsia="Times New Roman" w:cs="Times New Roman"/>
                <w:color w:val="000000"/>
                <w:sz w:val="20"/>
                <w:szCs w:val="20"/>
              </w:rPr>
              <w:t xml:space="preserve"> </w:t>
            </w:r>
          </w:p>
        </w:tc>
      </w:tr>
      <w:tr w:rsidRPr="009E092B" w:rsidR="002B3FD7" w:rsidTr="00AF50C8" w14:paraId="13CF4C5D" w14:textId="77777777">
        <w:trPr>
          <w:trHeight w:val="275"/>
        </w:trPr>
        <w:tc>
          <w:tcPr>
            <w:tcW w:w="8809" w:type="dxa"/>
            <w:gridSpan w:val="2"/>
            <w:tcBorders>
              <w:top w:val="single" w:color="auto" w:sz="4" w:space="0"/>
              <w:left w:val="single" w:color="auto" w:sz="8" w:space="0"/>
              <w:bottom w:val="single" w:color="auto" w:sz="8" w:space="0"/>
              <w:right w:val="single" w:color="auto" w:sz="8" w:space="0"/>
            </w:tcBorders>
            <w:shd w:val="clear" w:color="auto" w:fill="auto"/>
          </w:tcPr>
          <w:p w:rsidR="002B3FD7" w:rsidP="002B3FD7" w:rsidRDefault="002B3FD7" w14:paraId="0B5EF240" w14:textId="1C142665">
            <w:pPr>
              <w:spacing w:after="0" w:line="259" w:lineRule="auto"/>
              <w:rPr>
                <w:rFonts w:ascii="Times New Roman" w:hAnsi="Times New Roman" w:eastAsia="Calibri" w:cs="Times New Roman"/>
                <w:sz w:val="18"/>
                <w:szCs w:val="18"/>
              </w:rPr>
            </w:pPr>
            <w:r w:rsidRPr="005C3310">
              <w:rPr>
                <w:rFonts w:ascii="Times New Roman" w:hAnsi="Times New Roman" w:eastAsia="Calibri" w:cs="Times New Roman"/>
                <w:sz w:val="18"/>
                <w:szCs w:val="18"/>
                <w:vertAlign w:val="superscript"/>
              </w:rPr>
              <w:t>1</w:t>
            </w:r>
            <w:r w:rsidRPr="005C3310">
              <w:rPr>
                <w:rFonts w:ascii="Times New Roman" w:hAnsi="Times New Roman" w:eastAsia="Calibri" w:cs="Times New Roman"/>
                <w:sz w:val="18"/>
                <w:szCs w:val="18"/>
              </w:rPr>
              <w:t xml:space="preserve"> Office of Personnel Management 20</w:t>
            </w:r>
            <w:r w:rsidR="00DF7C2F">
              <w:rPr>
                <w:rFonts w:ascii="Times New Roman" w:hAnsi="Times New Roman" w:eastAsia="Calibri" w:cs="Times New Roman"/>
                <w:sz w:val="18"/>
                <w:szCs w:val="18"/>
              </w:rPr>
              <w:t>20</w:t>
            </w:r>
            <w:r w:rsidRPr="005C3310">
              <w:rPr>
                <w:rFonts w:ascii="Times New Roman" w:hAnsi="Times New Roman" w:eastAsia="Calibri" w:cs="Times New Roman"/>
                <w:sz w:val="18"/>
                <w:szCs w:val="18"/>
              </w:rPr>
              <w:t xml:space="preserve"> Pay and Leave Tables for the Washington-Baltimore-Arlington, DC-MD-VA-WV-PA locality. Available online at </w:t>
            </w:r>
            <w:hyperlink w:history="1" r:id="rId9">
              <w:r w:rsidRPr="00764A5A" w:rsidR="00DF7C2F">
                <w:rPr>
                  <w:rStyle w:val="Hyperlink"/>
                  <w:rFonts w:ascii="Times New Roman" w:hAnsi="Times New Roman" w:eastAsia="Calibri" w:cs="Times New Roman"/>
                  <w:sz w:val="18"/>
                  <w:szCs w:val="18"/>
                </w:rPr>
                <w:t>https://www.opm.gov/policy-data-oversight/pay-leave/salaries-wages/salary-tables/20Tables/html/DCB.aspx</w:t>
              </w:r>
            </w:hyperlink>
            <w:r w:rsidRPr="005C3310">
              <w:rPr>
                <w:rFonts w:ascii="Times New Roman" w:hAnsi="Times New Roman" w:eastAsia="Calibri" w:cs="Times New Roman"/>
                <w:sz w:val="18"/>
                <w:szCs w:val="18"/>
              </w:rPr>
              <w:t xml:space="preserve">. Accessed </w:t>
            </w:r>
            <w:r w:rsidR="00DF7C2F">
              <w:rPr>
                <w:rFonts w:ascii="Times New Roman" w:hAnsi="Times New Roman" w:eastAsia="Calibri" w:cs="Times New Roman"/>
                <w:sz w:val="18"/>
                <w:szCs w:val="18"/>
              </w:rPr>
              <w:t>March 10, 2020</w:t>
            </w:r>
            <w:r w:rsidRPr="005C3310">
              <w:rPr>
                <w:rFonts w:ascii="Times New Roman" w:hAnsi="Times New Roman" w:eastAsia="Calibri" w:cs="Times New Roman"/>
                <w:sz w:val="18"/>
                <w:szCs w:val="18"/>
              </w:rPr>
              <w:t>.</w:t>
            </w:r>
          </w:p>
          <w:p w:rsidRPr="009E092B" w:rsidR="002B3FD7" w:rsidP="002B3FD7" w:rsidRDefault="002B3FD7" w14:paraId="0BFD69C4" w14:textId="54803E51">
            <w:pPr>
              <w:spacing w:after="0" w:line="240" w:lineRule="auto"/>
              <w:rPr>
                <w:rFonts w:ascii="Times New Roman" w:hAnsi="Times New Roman" w:eastAsia="Times New Roman" w:cs="Times New Roman"/>
                <w:color w:val="000000"/>
                <w:sz w:val="20"/>
                <w:szCs w:val="20"/>
              </w:rPr>
            </w:pPr>
            <w:r w:rsidRPr="005C3310">
              <w:rPr>
                <w:rFonts w:ascii="Times New Roman" w:hAnsi="Times New Roman" w:eastAsia="Calibri" w:cs="Times New Roman"/>
                <w:sz w:val="18"/>
                <w:szCs w:val="18"/>
                <w:vertAlign w:val="superscript"/>
              </w:rPr>
              <w:t>2</w:t>
            </w:r>
            <w:r w:rsidRPr="005C3310">
              <w:rPr>
                <w:rFonts w:ascii="Times New Roman" w:hAnsi="Times New Roman" w:eastAsia="Calibri" w:cs="Times New Roman"/>
                <w:sz w:val="18"/>
                <w:szCs w:val="18"/>
              </w:rPr>
              <w:t xml:space="preserve"> </w:t>
            </w:r>
            <w:r>
              <w:rPr>
                <w:rFonts w:ascii="Times New Roman" w:hAnsi="Times New Roman" w:eastAsia="Calibri" w:cs="Times New Roman"/>
                <w:sz w:val="18"/>
                <w:szCs w:val="18"/>
              </w:rPr>
              <w:t>Wage</w:t>
            </w:r>
            <w:r w:rsidRPr="005C3310">
              <w:rPr>
                <w:rFonts w:ascii="Times New Roman" w:hAnsi="Times New Roman" w:eastAsia="Calibri" w:cs="Times New Roman"/>
                <w:sz w:val="18"/>
                <w:szCs w:val="18"/>
              </w:rPr>
              <w:t xml:space="preserve"> </w:t>
            </w:r>
            <w:r>
              <w:rPr>
                <w:rFonts w:ascii="Times New Roman" w:hAnsi="Times New Roman" w:eastAsia="Calibri" w:cs="Times New Roman"/>
                <w:sz w:val="18"/>
                <w:szCs w:val="18"/>
              </w:rPr>
              <w:t>r</w:t>
            </w:r>
            <w:r w:rsidRPr="005C3310">
              <w:rPr>
                <w:rFonts w:ascii="Times New Roman" w:hAnsi="Times New Roman" w:eastAsia="Calibri" w:cs="Times New Roman"/>
                <w:sz w:val="18"/>
                <w:szCs w:val="18"/>
              </w:rPr>
              <w:t xml:space="preserve">ate includes a 1.46 multiplier to reflect </w:t>
            </w:r>
            <w:r>
              <w:rPr>
                <w:rFonts w:ascii="Times New Roman" w:hAnsi="Times New Roman" w:eastAsia="Calibri" w:cs="Times New Roman"/>
                <w:sz w:val="18"/>
                <w:szCs w:val="18"/>
              </w:rPr>
              <w:t>the</w:t>
            </w:r>
            <w:r w:rsidRPr="005C3310">
              <w:rPr>
                <w:rFonts w:ascii="Times New Roman" w:hAnsi="Times New Roman" w:eastAsia="Calibri" w:cs="Times New Roman"/>
                <w:sz w:val="18"/>
                <w:szCs w:val="18"/>
              </w:rPr>
              <w:t xml:space="preserve"> fully-loaded wage rate.</w:t>
            </w:r>
          </w:p>
        </w:tc>
      </w:tr>
    </w:tbl>
    <w:p w:rsidRPr="002B3FD7" w:rsidR="00B936B1" w:rsidP="002B3FD7" w:rsidRDefault="00B936B1" w14:paraId="3B850F1C" w14:textId="77777777">
      <w:pPr>
        <w:spacing w:after="0" w:line="480" w:lineRule="auto"/>
        <w:rPr>
          <w:rFonts w:ascii="Times New Roman" w:hAnsi="Times New Roman" w:cs="Times New Roman"/>
          <w:sz w:val="24"/>
          <w:szCs w:val="24"/>
        </w:rPr>
      </w:pPr>
    </w:p>
    <w:p w:rsidRPr="006625E7" w:rsidR="00562915" w:rsidP="00562915" w:rsidRDefault="00562915" w14:paraId="7AA17A36"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B936B1" w:rsidRDefault="00562915" w14:paraId="1FDA700A"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1A090461" w14:textId="77777777">
      <w:pPr>
        <w:pStyle w:val="NormalWeb"/>
        <w:rPr>
          <w:i/>
          <w:sz w:val="20"/>
          <w:szCs w:val="20"/>
        </w:rPr>
      </w:pPr>
      <w:r w:rsidRPr="00106954">
        <w:rPr>
          <w:i/>
          <w:sz w:val="20"/>
          <w:szCs w:val="20"/>
        </w:rPr>
        <w:lastRenderedPageBreak/>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7103E9" w:rsidRDefault="00562915" w14:paraId="66F9C16C"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9379" w:type="dxa"/>
        <w:jc w:val="center"/>
        <w:tblLayout w:type="fixed"/>
        <w:tblLook w:val="0000" w:firstRow="0" w:lastRow="0" w:firstColumn="0" w:lastColumn="0" w:noHBand="0" w:noVBand="0"/>
      </w:tblPr>
      <w:tblGrid>
        <w:gridCol w:w="2430"/>
        <w:gridCol w:w="1021"/>
        <w:gridCol w:w="858"/>
        <w:gridCol w:w="1171"/>
        <w:gridCol w:w="1260"/>
        <w:gridCol w:w="1171"/>
        <w:gridCol w:w="1441"/>
        <w:gridCol w:w="27"/>
      </w:tblGrid>
      <w:tr w:rsidRPr="002B3FD7" w:rsidR="007103E9" w:rsidTr="004B2851" w14:paraId="0236A52E" w14:textId="77777777">
        <w:trPr>
          <w:trHeight w:val="367"/>
          <w:jc w:val="center"/>
        </w:trPr>
        <w:tc>
          <w:tcPr>
            <w:tcW w:w="9379" w:type="dxa"/>
            <w:gridSpan w:val="8"/>
            <w:tcBorders>
              <w:top w:val="single" w:color="auto" w:sz="8" w:space="0"/>
              <w:left w:val="single" w:color="auto" w:sz="8" w:space="0"/>
              <w:bottom w:val="single" w:color="auto" w:sz="8" w:space="0"/>
              <w:right w:val="single" w:color="000000" w:sz="8" w:space="0"/>
            </w:tcBorders>
            <w:shd w:val="clear" w:color="auto" w:fill="auto"/>
            <w:noWrap/>
            <w:vAlign w:val="center"/>
          </w:tcPr>
          <w:p w:rsidRPr="002B3FD7" w:rsidR="007103E9" w:rsidP="002B3FD7" w:rsidRDefault="007103E9" w14:paraId="167E3151"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Itemized Changes in Annual Burden Hours</w:t>
            </w:r>
          </w:p>
        </w:tc>
      </w:tr>
      <w:tr w:rsidRPr="002B3FD7" w:rsidR="007103E9" w:rsidTr="004B2851" w14:paraId="67726B18" w14:textId="77777777">
        <w:trPr>
          <w:gridAfter w:val="1"/>
          <w:wAfter w:w="27" w:type="dxa"/>
          <w:trHeight w:val="1455"/>
          <w:jc w:val="center"/>
        </w:trPr>
        <w:tc>
          <w:tcPr>
            <w:tcW w:w="2430" w:type="dxa"/>
            <w:tcBorders>
              <w:top w:val="nil"/>
              <w:left w:val="single" w:color="auto" w:sz="8" w:space="0"/>
              <w:bottom w:val="single" w:color="auto" w:sz="8" w:space="0"/>
              <w:right w:val="single" w:color="auto" w:sz="8" w:space="0"/>
            </w:tcBorders>
            <w:shd w:val="clear" w:color="auto" w:fill="95B3D7" w:themeFill="accent1" w:themeFillTint="99"/>
            <w:vAlign w:val="center"/>
          </w:tcPr>
          <w:p w:rsidRPr="002B3FD7" w:rsidR="007103E9" w:rsidP="00DF7C2F" w:rsidRDefault="007103E9" w14:paraId="056B8465"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Data collection Activity/Instrument</w:t>
            </w:r>
          </w:p>
        </w:tc>
        <w:tc>
          <w:tcPr>
            <w:tcW w:w="1021" w:type="dxa"/>
            <w:tcBorders>
              <w:top w:val="nil"/>
              <w:left w:val="nil"/>
              <w:bottom w:val="single" w:color="auto" w:sz="8" w:space="0"/>
              <w:right w:val="single" w:color="auto" w:sz="8" w:space="0"/>
            </w:tcBorders>
            <w:shd w:val="clear" w:color="auto" w:fill="95B3D7" w:themeFill="accent1" w:themeFillTint="99"/>
            <w:vAlign w:val="center"/>
          </w:tcPr>
          <w:p w:rsidRPr="002B3FD7" w:rsidR="007103E9" w:rsidP="00533EEE" w:rsidRDefault="007103E9" w14:paraId="08C2D064" w14:textId="36CEAE22">
            <w:pPr>
              <w:spacing w:after="0" w:line="240" w:lineRule="auto"/>
              <w:ind w:left="-72" w:right="-114"/>
              <w:jc w:val="center"/>
              <w:rPr>
                <w:rFonts w:ascii="Times New Roman" w:hAnsi="Times New Roman" w:cs="Times New Roman"/>
                <w:b/>
                <w:bCs/>
                <w:sz w:val="20"/>
                <w:szCs w:val="20"/>
              </w:rPr>
            </w:pPr>
            <w:r w:rsidRPr="002B3FD7">
              <w:rPr>
                <w:rFonts w:ascii="Times New Roman" w:hAnsi="Times New Roman" w:cs="Times New Roman"/>
                <w:b/>
                <w:bCs/>
                <w:sz w:val="20"/>
                <w:szCs w:val="20"/>
              </w:rPr>
              <w:t>Program Change (hours currently on OMB Inventory)</w:t>
            </w:r>
          </w:p>
        </w:tc>
        <w:tc>
          <w:tcPr>
            <w:tcW w:w="858" w:type="dxa"/>
            <w:tcBorders>
              <w:top w:val="nil"/>
              <w:left w:val="nil"/>
              <w:bottom w:val="single" w:color="auto" w:sz="8" w:space="0"/>
              <w:right w:val="single" w:color="auto" w:sz="8" w:space="0"/>
            </w:tcBorders>
            <w:shd w:val="clear" w:color="auto" w:fill="95B3D7" w:themeFill="accent1" w:themeFillTint="99"/>
            <w:vAlign w:val="center"/>
          </w:tcPr>
          <w:p w:rsidRPr="002B3FD7" w:rsidR="007103E9" w:rsidRDefault="007103E9" w14:paraId="34C1518E" w14:textId="31FB31B5">
            <w:pPr>
              <w:spacing w:after="0" w:line="240" w:lineRule="auto"/>
              <w:ind w:left="-102" w:right="-60"/>
              <w:jc w:val="center"/>
              <w:rPr>
                <w:rFonts w:ascii="Times New Roman" w:hAnsi="Times New Roman" w:cs="Times New Roman"/>
                <w:b/>
                <w:bCs/>
                <w:sz w:val="20"/>
                <w:szCs w:val="20"/>
              </w:rPr>
            </w:pPr>
            <w:r w:rsidRPr="002B3FD7">
              <w:rPr>
                <w:rFonts w:ascii="Times New Roman" w:hAnsi="Times New Roman" w:cs="Times New Roman"/>
                <w:b/>
                <w:bCs/>
                <w:sz w:val="20"/>
                <w:szCs w:val="20"/>
              </w:rPr>
              <w:t>Program Change (New)</w:t>
            </w:r>
          </w:p>
        </w:tc>
        <w:tc>
          <w:tcPr>
            <w:tcW w:w="1171" w:type="dxa"/>
            <w:tcBorders>
              <w:top w:val="nil"/>
              <w:left w:val="nil"/>
              <w:bottom w:val="single" w:color="auto" w:sz="8" w:space="0"/>
              <w:right w:val="single" w:color="auto" w:sz="8" w:space="0"/>
            </w:tcBorders>
            <w:shd w:val="clear" w:color="auto" w:fill="95B3D7" w:themeFill="accent1" w:themeFillTint="99"/>
            <w:vAlign w:val="center"/>
          </w:tcPr>
          <w:p w:rsidRPr="002B3FD7" w:rsidR="007103E9" w:rsidRDefault="007103E9" w14:paraId="776278DF"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Difference</w:t>
            </w:r>
          </w:p>
        </w:tc>
        <w:tc>
          <w:tcPr>
            <w:tcW w:w="1260" w:type="dxa"/>
            <w:tcBorders>
              <w:top w:val="nil"/>
              <w:left w:val="nil"/>
              <w:bottom w:val="single" w:color="auto" w:sz="8" w:space="0"/>
              <w:right w:val="single" w:color="auto" w:sz="8" w:space="0"/>
            </w:tcBorders>
            <w:shd w:val="clear" w:color="auto" w:fill="95B3D7" w:themeFill="accent1" w:themeFillTint="99"/>
            <w:vAlign w:val="center"/>
          </w:tcPr>
          <w:p w:rsidRPr="002B3FD7" w:rsidR="007103E9" w:rsidRDefault="007103E9" w14:paraId="17C3F67B"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Adjustment (hours currently on OMB Inventory)</w:t>
            </w:r>
          </w:p>
        </w:tc>
        <w:tc>
          <w:tcPr>
            <w:tcW w:w="1171" w:type="dxa"/>
            <w:tcBorders>
              <w:top w:val="nil"/>
              <w:left w:val="nil"/>
              <w:bottom w:val="single" w:color="auto" w:sz="8" w:space="0"/>
              <w:right w:val="single" w:color="auto" w:sz="8" w:space="0"/>
            </w:tcBorders>
            <w:shd w:val="clear" w:color="auto" w:fill="95B3D7" w:themeFill="accent1" w:themeFillTint="99"/>
            <w:vAlign w:val="center"/>
          </w:tcPr>
          <w:p w:rsidRPr="002B3FD7" w:rsidR="007103E9" w:rsidRDefault="007103E9" w14:paraId="53D37CB6" w14:textId="0CAEC10D">
            <w:pPr>
              <w:spacing w:after="0" w:line="240" w:lineRule="auto"/>
              <w:ind w:left="-102"/>
              <w:jc w:val="center"/>
              <w:rPr>
                <w:rFonts w:ascii="Times New Roman" w:hAnsi="Times New Roman" w:cs="Times New Roman"/>
                <w:b/>
                <w:bCs/>
                <w:sz w:val="20"/>
                <w:szCs w:val="20"/>
              </w:rPr>
            </w:pPr>
            <w:r w:rsidRPr="002B3FD7">
              <w:rPr>
                <w:rFonts w:ascii="Times New Roman" w:hAnsi="Times New Roman" w:cs="Times New Roman"/>
                <w:b/>
                <w:bCs/>
                <w:sz w:val="20"/>
                <w:szCs w:val="20"/>
              </w:rPr>
              <w:t>Adjustment (New)</w:t>
            </w:r>
          </w:p>
        </w:tc>
        <w:tc>
          <w:tcPr>
            <w:tcW w:w="1441" w:type="dxa"/>
            <w:tcBorders>
              <w:top w:val="nil"/>
              <w:left w:val="nil"/>
              <w:bottom w:val="single" w:color="auto" w:sz="8" w:space="0"/>
              <w:right w:val="single" w:color="auto" w:sz="8" w:space="0"/>
            </w:tcBorders>
            <w:shd w:val="clear" w:color="auto" w:fill="95B3D7" w:themeFill="accent1" w:themeFillTint="99"/>
            <w:vAlign w:val="center"/>
          </w:tcPr>
          <w:p w:rsidRPr="002B3FD7" w:rsidR="007103E9" w:rsidRDefault="007103E9" w14:paraId="73643C83"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Difference</w:t>
            </w:r>
          </w:p>
        </w:tc>
      </w:tr>
      <w:tr w:rsidRPr="002B3FD7" w:rsidR="007103E9" w:rsidTr="004B2851" w14:paraId="2837754C" w14:textId="77777777">
        <w:trPr>
          <w:gridAfter w:val="1"/>
          <w:wAfter w:w="27" w:type="dxa"/>
          <w:trHeight w:val="270"/>
          <w:jc w:val="center"/>
        </w:trPr>
        <w:tc>
          <w:tcPr>
            <w:tcW w:w="2430" w:type="dxa"/>
            <w:tcBorders>
              <w:top w:val="nil"/>
              <w:left w:val="single" w:color="auto" w:sz="8" w:space="0"/>
              <w:bottom w:val="single" w:color="auto" w:sz="8" w:space="0"/>
              <w:right w:val="single" w:color="auto" w:sz="8" w:space="0"/>
            </w:tcBorders>
            <w:shd w:val="clear" w:color="auto" w:fill="auto"/>
            <w:vAlign w:val="bottom"/>
          </w:tcPr>
          <w:p w:rsidRPr="002B3FD7" w:rsidR="007103E9" w:rsidP="002B3FD7" w:rsidRDefault="007103E9" w14:paraId="2B835B26" w14:textId="77777777">
            <w:pPr>
              <w:spacing w:after="0" w:line="240" w:lineRule="auto"/>
              <w:rPr>
                <w:rFonts w:ascii="Times New Roman" w:hAnsi="Times New Roman" w:cs="Times New Roman"/>
                <w:sz w:val="20"/>
                <w:szCs w:val="20"/>
              </w:rPr>
            </w:pPr>
            <w:r w:rsidRPr="002B3FD7">
              <w:rPr>
                <w:rFonts w:ascii="Times New Roman" w:hAnsi="Times New Roman" w:cs="Times New Roman"/>
                <w:sz w:val="20"/>
                <w:szCs w:val="20"/>
              </w:rPr>
              <w:t>Application for Surplus Federal Real Property Public Benefit Conveyance and BRAC Program for Emergency Management Use / FEMA Form 119-0-1</w:t>
            </w:r>
          </w:p>
        </w:tc>
        <w:tc>
          <w:tcPr>
            <w:tcW w:w="1021"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694C9C11" w14:textId="77777777">
            <w:pPr>
              <w:spacing w:after="0" w:line="240" w:lineRule="auto"/>
              <w:jc w:val="center"/>
              <w:rPr>
                <w:rFonts w:ascii="Times New Roman" w:hAnsi="Times New Roman" w:cs="Times New Roman"/>
                <w:sz w:val="20"/>
                <w:szCs w:val="20"/>
              </w:rPr>
            </w:pPr>
            <w:r w:rsidRPr="002B3FD7">
              <w:rPr>
                <w:rFonts w:ascii="Times New Roman" w:hAnsi="Times New Roman" w:cs="Times New Roman"/>
                <w:sz w:val="20"/>
                <w:szCs w:val="20"/>
              </w:rPr>
              <w:t> </w:t>
            </w:r>
          </w:p>
        </w:tc>
        <w:tc>
          <w:tcPr>
            <w:tcW w:w="858"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3B0C1B28" w14:textId="77777777">
            <w:pPr>
              <w:spacing w:after="0" w:line="240" w:lineRule="auto"/>
              <w:jc w:val="center"/>
              <w:rPr>
                <w:rFonts w:ascii="Times New Roman" w:hAnsi="Times New Roman" w:cs="Times New Roman"/>
                <w:sz w:val="20"/>
                <w:szCs w:val="20"/>
              </w:rPr>
            </w:pPr>
            <w:r w:rsidRPr="002B3FD7">
              <w:rPr>
                <w:rFonts w:ascii="Times New Roman" w:hAnsi="Times New Roman" w:cs="Times New Roman"/>
                <w:sz w:val="20"/>
                <w:szCs w:val="20"/>
              </w:rPr>
              <w:t> </w:t>
            </w:r>
          </w:p>
        </w:tc>
        <w:tc>
          <w:tcPr>
            <w:tcW w:w="1171"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5A7AA559" w14:textId="77777777">
            <w:pPr>
              <w:spacing w:after="0" w:line="240" w:lineRule="auto"/>
              <w:jc w:val="center"/>
              <w:rPr>
                <w:rFonts w:ascii="Times New Roman" w:hAnsi="Times New Roman" w:cs="Times New Roman"/>
                <w:sz w:val="20"/>
                <w:szCs w:val="20"/>
              </w:rPr>
            </w:pPr>
            <w:r w:rsidRPr="002B3FD7">
              <w:rPr>
                <w:rFonts w:ascii="Times New Roman" w:hAnsi="Times New Roman" w:cs="Times New Roman"/>
                <w:sz w:val="20"/>
                <w:szCs w:val="20"/>
              </w:rPr>
              <w:t> </w:t>
            </w:r>
          </w:p>
        </w:tc>
        <w:tc>
          <w:tcPr>
            <w:tcW w:w="1260"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2E261CAD" w14:textId="77777777">
            <w:pPr>
              <w:spacing w:after="0" w:line="240" w:lineRule="auto"/>
              <w:jc w:val="center"/>
              <w:rPr>
                <w:rFonts w:ascii="Times New Roman" w:hAnsi="Times New Roman" w:cs="Times New Roman"/>
                <w:sz w:val="20"/>
                <w:szCs w:val="20"/>
              </w:rPr>
            </w:pPr>
            <w:r w:rsidRPr="002B3FD7">
              <w:rPr>
                <w:rFonts w:ascii="Times New Roman" w:hAnsi="Times New Roman" w:cs="Times New Roman"/>
                <w:sz w:val="20"/>
                <w:szCs w:val="20"/>
              </w:rPr>
              <w:t>100</w:t>
            </w:r>
          </w:p>
        </w:tc>
        <w:tc>
          <w:tcPr>
            <w:tcW w:w="1171"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0726EE6B" w14:textId="77777777">
            <w:pPr>
              <w:spacing w:after="0" w:line="240" w:lineRule="auto"/>
              <w:jc w:val="center"/>
              <w:rPr>
                <w:rFonts w:ascii="Times New Roman" w:hAnsi="Times New Roman" w:cs="Times New Roman"/>
                <w:sz w:val="20"/>
                <w:szCs w:val="20"/>
              </w:rPr>
            </w:pPr>
            <w:r w:rsidRPr="002B3FD7">
              <w:rPr>
                <w:rFonts w:ascii="Times New Roman" w:hAnsi="Times New Roman" w:cs="Times New Roman"/>
                <w:sz w:val="20"/>
                <w:szCs w:val="20"/>
              </w:rPr>
              <w:t>75</w:t>
            </w:r>
          </w:p>
        </w:tc>
        <w:tc>
          <w:tcPr>
            <w:tcW w:w="1441"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7B9542FA" w14:textId="77777777">
            <w:pPr>
              <w:spacing w:after="0" w:line="240" w:lineRule="auto"/>
              <w:jc w:val="center"/>
              <w:rPr>
                <w:rFonts w:ascii="Times New Roman" w:hAnsi="Times New Roman" w:cs="Times New Roman"/>
                <w:sz w:val="20"/>
                <w:szCs w:val="20"/>
              </w:rPr>
            </w:pPr>
            <w:r w:rsidRPr="002B3FD7">
              <w:rPr>
                <w:rFonts w:ascii="Times New Roman" w:hAnsi="Times New Roman" w:cs="Times New Roman"/>
                <w:sz w:val="20"/>
                <w:szCs w:val="20"/>
              </w:rPr>
              <w:t>-25</w:t>
            </w:r>
          </w:p>
        </w:tc>
      </w:tr>
      <w:tr w:rsidRPr="002B3FD7" w:rsidR="007103E9" w:rsidTr="004B2851" w14:paraId="711E0360" w14:textId="77777777">
        <w:trPr>
          <w:gridAfter w:val="1"/>
          <w:wAfter w:w="27" w:type="dxa"/>
          <w:trHeight w:val="270"/>
          <w:jc w:val="center"/>
        </w:trPr>
        <w:tc>
          <w:tcPr>
            <w:tcW w:w="2430" w:type="dxa"/>
            <w:tcBorders>
              <w:top w:val="nil"/>
              <w:left w:val="single" w:color="auto" w:sz="8" w:space="0"/>
              <w:bottom w:val="single" w:color="auto" w:sz="8" w:space="0"/>
              <w:right w:val="single" w:color="auto" w:sz="8" w:space="0"/>
            </w:tcBorders>
            <w:shd w:val="clear" w:color="auto" w:fill="auto"/>
            <w:vAlign w:val="bottom"/>
          </w:tcPr>
          <w:p w:rsidRPr="002B3FD7" w:rsidR="007103E9" w:rsidP="002B3FD7" w:rsidRDefault="007103E9" w14:paraId="729B9D7A"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Total(s)</w:t>
            </w:r>
          </w:p>
        </w:tc>
        <w:tc>
          <w:tcPr>
            <w:tcW w:w="1021"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56F54C5A"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 </w:t>
            </w:r>
          </w:p>
        </w:tc>
        <w:tc>
          <w:tcPr>
            <w:tcW w:w="858"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1B7EFC6D"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 </w:t>
            </w:r>
          </w:p>
        </w:tc>
        <w:tc>
          <w:tcPr>
            <w:tcW w:w="1171"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71A6B25E"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 </w:t>
            </w:r>
          </w:p>
        </w:tc>
        <w:tc>
          <w:tcPr>
            <w:tcW w:w="1260"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2315B903"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100</w:t>
            </w:r>
          </w:p>
        </w:tc>
        <w:tc>
          <w:tcPr>
            <w:tcW w:w="1171"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13675B1E"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75</w:t>
            </w:r>
          </w:p>
        </w:tc>
        <w:tc>
          <w:tcPr>
            <w:tcW w:w="1441" w:type="dxa"/>
            <w:tcBorders>
              <w:top w:val="nil"/>
              <w:left w:val="nil"/>
              <w:bottom w:val="single" w:color="auto" w:sz="8" w:space="0"/>
              <w:right w:val="single" w:color="auto" w:sz="8" w:space="0"/>
            </w:tcBorders>
            <w:shd w:val="clear" w:color="auto" w:fill="auto"/>
            <w:vAlign w:val="bottom"/>
          </w:tcPr>
          <w:p w:rsidRPr="002B3FD7" w:rsidR="007103E9" w:rsidP="002B3FD7" w:rsidRDefault="007103E9" w14:paraId="7F1F5C1F" w14:textId="77777777">
            <w:pPr>
              <w:spacing w:after="0" w:line="240" w:lineRule="auto"/>
              <w:jc w:val="center"/>
              <w:rPr>
                <w:rFonts w:ascii="Times New Roman" w:hAnsi="Times New Roman" w:cs="Times New Roman"/>
                <w:b/>
                <w:bCs/>
                <w:sz w:val="20"/>
                <w:szCs w:val="20"/>
              </w:rPr>
            </w:pPr>
            <w:r w:rsidRPr="002B3FD7">
              <w:rPr>
                <w:rFonts w:ascii="Times New Roman" w:hAnsi="Times New Roman" w:cs="Times New Roman"/>
                <w:b/>
                <w:bCs/>
                <w:sz w:val="20"/>
                <w:szCs w:val="20"/>
              </w:rPr>
              <w:t>-25</w:t>
            </w:r>
          </w:p>
        </w:tc>
      </w:tr>
    </w:tbl>
    <w:p w:rsidR="00562915" w:rsidP="007103E9" w:rsidRDefault="00562915" w14:paraId="27746C4B" w14:textId="77777777">
      <w:pPr>
        <w:pStyle w:val="NormalWeb"/>
        <w:rPr>
          <w:b/>
          <w:bCs/>
          <w:i/>
        </w:rPr>
      </w:pPr>
      <w:r w:rsidRPr="006625E7">
        <w:rPr>
          <w:b/>
          <w:bCs/>
          <w:i/>
        </w:rPr>
        <w:t>Explain:</w:t>
      </w:r>
    </w:p>
    <w:p w:rsidR="00192140" w:rsidP="00456BC8" w:rsidRDefault="00DD72FC" w14:paraId="386B3ACF" w14:textId="05261C70">
      <w:pPr>
        <w:rPr>
          <w:rFonts w:ascii="Times New Roman" w:hAnsi="Times New Roman" w:cs="Times New Roman"/>
          <w:bCs/>
          <w:sz w:val="24"/>
          <w:szCs w:val="24"/>
        </w:rPr>
      </w:pPr>
      <w:bookmarkStart w:name="_GoBack" w:id="0"/>
      <w:r w:rsidRPr="00DD72FC">
        <w:rPr>
          <w:rFonts w:ascii="Times New Roman" w:hAnsi="Times New Roman" w:cs="Times New Roman"/>
          <w:bCs/>
          <w:sz w:val="24"/>
          <w:szCs w:val="24"/>
        </w:rPr>
        <w:t xml:space="preserve">There have been </w:t>
      </w:r>
      <w:r w:rsidR="002B3FD7">
        <w:rPr>
          <w:rFonts w:ascii="Times New Roman" w:hAnsi="Times New Roman" w:cs="Times New Roman"/>
          <w:bCs/>
          <w:sz w:val="24"/>
          <w:szCs w:val="24"/>
        </w:rPr>
        <w:t>fewer</w:t>
      </w:r>
      <w:r w:rsidRPr="00DD72FC">
        <w:rPr>
          <w:rFonts w:ascii="Times New Roman" w:hAnsi="Times New Roman" w:cs="Times New Roman"/>
          <w:bCs/>
          <w:sz w:val="24"/>
          <w:szCs w:val="24"/>
        </w:rPr>
        <w:t xml:space="preserve"> applications submitted to FEMA</w:t>
      </w:r>
      <w:r w:rsidR="00922CFA">
        <w:rPr>
          <w:rFonts w:ascii="Times New Roman" w:hAnsi="Times New Roman" w:cs="Times New Roman"/>
          <w:bCs/>
          <w:sz w:val="24"/>
          <w:szCs w:val="24"/>
        </w:rPr>
        <w:t xml:space="preserve"> since the last renewal of this information collection</w:t>
      </w:r>
      <w:r w:rsidRPr="00DD72FC">
        <w:rPr>
          <w:rFonts w:ascii="Times New Roman" w:hAnsi="Times New Roman" w:cs="Times New Roman"/>
          <w:bCs/>
          <w:sz w:val="24"/>
          <w:szCs w:val="24"/>
        </w:rPr>
        <w:t xml:space="preserve">.  Therefore, the number of respondents and annual burden hours </w:t>
      </w:r>
      <w:r w:rsidR="003C11F6">
        <w:rPr>
          <w:rFonts w:ascii="Times New Roman" w:hAnsi="Times New Roman" w:cs="Times New Roman"/>
          <w:bCs/>
          <w:sz w:val="24"/>
          <w:szCs w:val="24"/>
        </w:rPr>
        <w:t xml:space="preserve">have been </w:t>
      </w:r>
      <w:r w:rsidRPr="00DD72FC">
        <w:rPr>
          <w:rFonts w:ascii="Times New Roman" w:hAnsi="Times New Roman" w:cs="Times New Roman"/>
          <w:bCs/>
          <w:sz w:val="24"/>
          <w:szCs w:val="24"/>
        </w:rPr>
        <w:t>decreased</w:t>
      </w:r>
      <w:r w:rsidR="003C11F6">
        <w:rPr>
          <w:rFonts w:ascii="Times New Roman" w:hAnsi="Times New Roman" w:cs="Times New Roman"/>
          <w:bCs/>
          <w:sz w:val="24"/>
          <w:szCs w:val="24"/>
        </w:rPr>
        <w:t xml:space="preserve"> the adjust for that</w:t>
      </w:r>
      <w:r w:rsidRPr="00DD72FC">
        <w:rPr>
          <w:rFonts w:ascii="Times New Roman" w:hAnsi="Times New Roman" w:cs="Times New Roman"/>
          <w:bCs/>
          <w:sz w:val="24"/>
          <w:szCs w:val="24"/>
        </w:rPr>
        <w:t xml:space="preserve">.  </w:t>
      </w:r>
      <w:r w:rsidRPr="00DD72FC" w:rsidR="003C11F6">
        <w:rPr>
          <w:rFonts w:ascii="Times New Roman" w:hAnsi="Times New Roman" w:cs="Times New Roman"/>
          <w:bCs/>
          <w:sz w:val="24"/>
          <w:szCs w:val="24"/>
        </w:rPr>
        <w:t>There</w:t>
      </w:r>
      <w:r w:rsidR="003C11F6">
        <w:rPr>
          <w:rFonts w:ascii="Times New Roman" w:hAnsi="Times New Roman" w:cs="Times New Roman"/>
          <w:bCs/>
          <w:sz w:val="24"/>
          <w:szCs w:val="24"/>
        </w:rPr>
        <w:t xml:space="preserve"> were some minor changes made to the </w:t>
      </w:r>
      <w:r w:rsidRPr="00DD72FC" w:rsidR="003C11F6">
        <w:rPr>
          <w:rFonts w:ascii="Times New Roman" w:hAnsi="Times New Roman" w:cs="Times New Roman"/>
          <w:bCs/>
          <w:sz w:val="24"/>
          <w:szCs w:val="24"/>
        </w:rPr>
        <w:t>FEMA Form 119-0-1</w:t>
      </w:r>
      <w:r w:rsidR="003C11F6">
        <w:rPr>
          <w:rFonts w:ascii="Times New Roman" w:hAnsi="Times New Roman" w:cs="Times New Roman"/>
          <w:bCs/>
          <w:sz w:val="24"/>
          <w:szCs w:val="24"/>
        </w:rPr>
        <w:t xml:space="preserve">, but no </w:t>
      </w:r>
      <w:r w:rsidRPr="00DD72FC">
        <w:rPr>
          <w:rFonts w:ascii="Times New Roman" w:hAnsi="Times New Roman" w:cs="Times New Roman"/>
          <w:bCs/>
          <w:sz w:val="24"/>
          <w:szCs w:val="24"/>
        </w:rPr>
        <w:t>changes to the information being collected.</w:t>
      </w:r>
    </w:p>
    <w:bookmarkEnd w:id="0"/>
    <w:p w:rsidRPr="00274106" w:rsidR="00274106" w:rsidP="00562915" w:rsidRDefault="00274106" w14:paraId="04BBEE92" w14:textId="77777777">
      <w:pPr>
        <w:rPr>
          <w:rFonts w:ascii="Times New Roman" w:hAnsi="Times New Roman" w:cs="Times New Roman"/>
          <w:bCs/>
        </w:rPr>
      </w:pPr>
    </w:p>
    <w:tbl>
      <w:tblPr>
        <w:tblW w:w="9620" w:type="dxa"/>
        <w:jc w:val="center"/>
        <w:tblLayout w:type="fixed"/>
        <w:tblLook w:val="0000" w:firstRow="0" w:lastRow="0" w:firstColumn="0" w:lastColumn="0" w:noHBand="0" w:noVBand="0"/>
      </w:tblPr>
      <w:tblGrid>
        <w:gridCol w:w="1980"/>
        <w:gridCol w:w="1350"/>
        <w:gridCol w:w="1250"/>
        <w:gridCol w:w="1260"/>
        <w:gridCol w:w="1350"/>
        <w:gridCol w:w="1288"/>
        <w:gridCol w:w="1109"/>
        <w:gridCol w:w="33"/>
      </w:tblGrid>
      <w:tr w:rsidRPr="002955D5" w:rsidR="00274106" w:rsidTr="004B2851" w14:paraId="1FBB8956" w14:textId="77777777">
        <w:trPr>
          <w:trHeight w:val="240"/>
          <w:jc w:val="center"/>
        </w:trPr>
        <w:tc>
          <w:tcPr>
            <w:tcW w:w="9620" w:type="dxa"/>
            <w:gridSpan w:val="8"/>
            <w:tcBorders>
              <w:top w:val="single" w:color="auto" w:sz="8" w:space="0"/>
              <w:left w:val="single" w:color="auto" w:sz="8" w:space="0"/>
              <w:bottom w:val="single" w:color="auto" w:sz="8" w:space="0"/>
              <w:right w:val="single" w:color="000000" w:sz="8" w:space="0"/>
            </w:tcBorders>
            <w:shd w:val="clear" w:color="auto" w:fill="auto"/>
            <w:noWrap/>
            <w:vAlign w:val="bottom"/>
          </w:tcPr>
          <w:p w:rsidRPr="002955D5" w:rsidR="00274106" w:rsidP="002955D5" w:rsidRDefault="00274106" w14:paraId="38BC0293" w14:textId="77777777">
            <w:pPr>
              <w:spacing w:after="0" w:line="240" w:lineRule="auto"/>
              <w:jc w:val="center"/>
              <w:rPr>
                <w:rFonts w:ascii="Times New Roman" w:hAnsi="Times New Roman" w:cs="Times New Roman"/>
                <w:b/>
                <w:bCs/>
                <w:sz w:val="20"/>
                <w:szCs w:val="20"/>
              </w:rPr>
            </w:pPr>
            <w:r w:rsidRPr="002955D5">
              <w:rPr>
                <w:rFonts w:ascii="Times New Roman" w:hAnsi="Times New Roman" w:cs="Times New Roman"/>
                <w:b/>
                <w:bCs/>
                <w:sz w:val="20"/>
                <w:szCs w:val="20"/>
              </w:rPr>
              <w:t>Itemized Changes in Annual Cost Burden</w:t>
            </w:r>
          </w:p>
        </w:tc>
      </w:tr>
      <w:tr w:rsidRPr="002955D5" w:rsidR="00274106" w:rsidTr="004B2851" w14:paraId="7AA3B28C" w14:textId="77777777">
        <w:trPr>
          <w:gridAfter w:val="1"/>
          <w:wAfter w:w="33" w:type="dxa"/>
          <w:trHeight w:val="598"/>
          <w:jc w:val="center"/>
        </w:trPr>
        <w:tc>
          <w:tcPr>
            <w:tcW w:w="1980" w:type="dxa"/>
            <w:tcBorders>
              <w:top w:val="nil"/>
              <w:left w:val="single" w:color="auto" w:sz="8" w:space="0"/>
              <w:bottom w:val="single" w:color="auto" w:sz="8" w:space="0"/>
              <w:right w:val="single" w:color="auto" w:sz="8" w:space="0"/>
            </w:tcBorders>
            <w:shd w:val="clear" w:color="auto" w:fill="95B3D7" w:themeFill="accent1" w:themeFillTint="99"/>
            <w:vAlign w:val="center"/>
          </w:tcPr>
          <w:p w:rsidRPr="002955D5" w:rsidR="00274106" w:rsidP="00DF7C2F" w:rsidRDefault="00274106" w14:paraId="78906A1A" w14:textId="77777777">
            <w:pPr>
              <w:spacing w:after="0" w:line="240" w:lineRule="auto"/>
              <w:jc w:val="center"/>
              <w:rPr>
                <w:rFonts w:ascii="Times New Roman" w:hAnsi="Times New Roman" w:cs="Times New Roman"/>
                <w:b/>
                <w:bCs/>
                <w:sz w:val="20"/>
                <w:szCs w:val="20"/>
              </w:rPr>
            </w:pPr>
            <w:r w:rsidRPr="002955D5">
              <w:rPr>
                <w:rFonts w:ascii="Times New Roman" w:hAnsi="Times New Roman" w:cs="Times New Roman"/>
                <w:b/>
                <w:bCs/>
                <w:sz w:val="20"/>
                <w:szCs w:val="20"/>
              </w:rPr>
              <w:t>Data collection Activity/Instrument</w:t>
            </w:r>
          </w:p>
        </w:tc>
        <w:tc>
          <w:tcPr>
            <w:tcW w:w="1350" w:type="dxa"/>
            <w:tcBorders>
              <w:top w:val="nil"/>
              <w:left w:val="nil"/>
              <w:bottom w:val="single" w:color="auto" w:sz="8" w:space="0"/>
              <w:right w:val="single" w:color="auto" w:sz="8" w:space="0"/>
            </w:tcBorders>
            <w:shd w:val="clear" w:color="auto" w:fill="95B3D7" w:themeFill="accent1" w:themeFillTint="99"/>
            <w:vAlign w:val="center"/>
          </w:tcPr>
          <w:p w:rsidRPr="002955D5" w:rsidR="00274106" w:rsidP="00533EEE" w:rsidRDefault="00274106" w14:paraId="57435AAF" w14:textId="2730D076">
            <w:pPr>
              <w:spacing w:after="0" w:line="240" w:lineRule="auto"/>
              <w:jc w:val="center"/>
              <w:rPr>
                <w:rFonts w:ascii="Times New Roman" w:hAnsi="Times New Roman" w:cs="Times New Roman"/>
                <w:b/>
                <w:bCs/>
                <w:sz w:val="20"/>
                <w:szCs w:val="20"/>
              </w:rPr>
            </w:pPr>
            <w:r w:rsidRPr="002955D5">
              <w:rPr>
                <w:rFonts w:ascii="Times New Roman" w:hAnsi="Times New Roman" w:cs="Times New Roman"/>
                <w:b/>
                <w:bCs/>
                <w:sz w:val="20"/>
                <w:szCs w:val="20"/>
              </w:rPr>
              <w:t>Program Change (cost currently on OMB Inventory)</w:t>
            </w:r>
          </w:p>
        </w:tc>
        <w:tc>
          <w:tcPr>
            <w:tcW w:w="1250" w:type="dxa"/>
            <w:tcBorders>
              <w:top w:val="nil"/>
              <w:left w:val="nil"/>
              <w:bottom w:val="single" w:color="auto" w:sz="8" w:space="0"/>
              <w:right w:val="single" w:color="auto" w:sz="8" w:space="0"/>
            </w:tcBorders>
            <w:shd w:val="clear" w:color="auto" w:fill="95B3D7" w:themeFill="accent1" w:themeFillTint="99"/>
            <w:vAlign w:val="center"/>
          </w:tcPr>
          <w:p w:rsidRPr="002955D5" w:rsidR="00274106" w:rsidRDefault="00274106" w14:paraId="4DFAD380" w14:textId="16BA1650">
            <w:pPr>
              <w:spacing w:after="0" w:line="240" w:lineRule="auto"/>
              <w:jc w:val="center"/>
              <w:rPr>
                <w:rFonts w:ascii="Times New Roman" w:hAnsi="Times New Roman" w:cs="Times New Roman"/>
                <w:b/>
                <w:bCs/>
                <w:sz w:val="20"/>
                <w:szCs w:val="20"/>
              </w:rPr>
            </w:pPr>
            <w:r w:rsidRPr="002955D5">
              <w:rPr>
                <w:rFonts w:ascii="Times New Roman" w:hAnsi="Times New Roman" w:cs="Times New Roman"/>
                <w:b/>
                <w:bCs/>
                <w:sz w:val="20"/>
                <w:szCs w:val="20"/>
              </w:rPr>
              <w:t>Program Change (New)</w:t>
            </w:r>
          </w:p>
        </w:tc>
        <w:tc>
          <w:tcPr>
            <w:tcW w:w="1260" w:type="dxa"/>
            <w:tcBorders>
              <w:top w:val="nil"/>
              <w:left w:val="nil"/>
              <w:bottom w:val="single" w:color="auto" w:sz="8" w:space="0"/>
              <w:right w:val="single" w:color="auto" w:sz="8" w:space="0"/>
            </w:tcBorders>
            <w:shd w:val="clear" w:color="auto" w:fill="95B3D7" w:themeFill="accent1" w:themeFillTint="99"/>
            <w:vAlign w:val="center"/>
          </w:tcPr>
          <w:p w:rsidRPr="002955D5" w:rsidR="00274106" w:rsidRDefault="00274106" w14:paraId="2A90ACDE" w14:textId="77777777">
            <w:pPr>
              <w:spacing w:after="0" w:line="240" w:lineRule="auto"/>
              <w:jc w:val="center"/>
              <w:rPr>
                <w:rFonts w:ascii="Times New Roman" w:hAnsi="Times New Roman" w:cs="Times New Roman"/>
                <w:b/>
                <w:bCs/>
                <w:sz w:val="20"/>
                <w:szCs w:val="20"/>
              </w:rPr>
            </w:pPr>
            <w:r w:rsidRPr="002955D5">
              <w:rPr>
                <w:rFonts w:ascii="Times New Roman" w:hAnsi="Times New Roman" w:cs="Times New Roman"/>
                <w:b/>
                <w:bCs/>
                <w:sz w:val="20"/>
                <w:szCs w:val="20"/>
              </w:rPr>
              <w:t>Difference</w:t>
            </w:r>
          </w:p>
        </w:tc>
        <w:tc>
          <w:tcPr>
            <w:tcW w:w="1350" w:type="dxa"/>
            <w:tcBorders>
              <w:top w:val="nil"/>
              <w:left w:val="nil"/>
              <w:bottom w:val="single" w:color="auto" w:sz="8" w:space="0"/>
              <w:right w:val="single" w:color="auto" w:sz="8" w:space="0"/>
            </w:tcBorders>
            <w:shd w:val="clear" w:color="auto" w:fill="95B3D7" w:themeFill="accent1" w:themeFillTint="99"/>
            <w:vAlign w:val="center"/>
          </w:tcPr>
          <w:p w:rsidRPr="002955D5" w:rsidR="00274106" w:rsidRDefault="00274106" w14:paraId="0B44928C" w14:textId="77777777">
            <w:pPr>
              <w:spacing w:after="0" w:line="240" w:lineRule="auto"/>
              <w:jc w:val="center"/>
              <w:rPr>
                <w:rFonts w:ascii="Times New Roman" w:hAnsi="Times New Roman" w:cs="Times New Roman"/>
                <w:b/>
                <w:bCs/>
                <w:sz w:val="20"/>
                <w:szCs w:val="20"/>
              </w:rPr>
            </w:pPr>
            <w:r w:rsidRPr="002955D5">
              <w:rPr>
                <w:rFonts w:ascii="Times New Roman" w:hAnsi="Times New Roman" w:cs="Times New Roman"/>
                <w:b/>
                <w:bCs/>
                <w:sz w:val="20"/>
                <w:szCs w:val="20"/>
              </w:rPr>
              <w:t>Adjustment (cost currently on OMB Inventory)</w:t>
            </w:r>
          </w:p>
        </w:tc>
        <w:tc>
          <w:tcPr>
            <w:tcW w:w="1288" w:type="dxa"/>
            <w:tcBorders>
              <w:top w:val="nil"/>
              <w:left w:val="nil"/>
              <w:bottom w:val="single" w:color="auto" w:sz="8" w:space="0"/>
              <w:right w:val="single" w:color="auto" w:sz="8" w:space="0"/>
            </w:tcBorders>
            <w:shd w:val="clear" w:color="auto" w:fill="95B3D7" w:themeFill="accent1" w:themeFillTint="99"/>
            <w:vAlign w:val="center"/>
          </w:tcPr>
          <w:p w:rsidRPr="002955D5" w:rsidR="00274106" w:rsidRDefault="00274106" w14:paraId="60B6CCCA" w14:textId="7BF6AD90">
            <w:pPr>
              <w:spacing w:after="0" w:line="240" w:lineRule="auto"/>
              <w:jc w:val="center"/>
              <w:rPr>
                <w:rFonts w:ascii="Times New Roman" w:hAnsi="Times New Roman" w:cs="Times New Roman"/>
                <w:b/>
                <w:bCs/>
                <w:sz w:val="20"/>
                <w:szCs w:val="20"/>
              </w:rPr>
            </w:pPr>
            <w:r w:rsidRPr="002955D5">
              <w:rPr>
                <w:rFonts w:ascii="Times New Roman" w:hAnsi="Times New Roman" w:cs="Times New Roman"/>
                <w:b/>
                <w:bCs/>
                <w:sz w:val="20"/>
                <w:szCs w:val="20"/>
              </w:rPr>
              <w:t>Adjustment (New)</w:t>
            </w:r>
          </w:p>
        </w:tc>
        <w:tc>
          <w:tcPr>
            <w:tcW w:w="1109" w:type="dxa"/>
            <w:tcBorders>
              <w:top w:val="nil"/>
              <w:left w:val="nil"/>
              <w:bottom w:val="single" w:color="auto" w:sz="8" w:space="0"/>
              <w:right w:val="single" w:color="auto" w:sz="8" w:space="0"/>
            </w:tcBorders>
            <w:shd w:val="clear" w:color="auto" w:fill="95B3D7" w:themeFill="accent1" w:themeFillTint="99"/>
            <w:vAlign w:val="center"/>
          </w:tcPr>
          <w:p w:rsidRPr="002955D5" w:rsidR="00274106" w:rsidRDefault="00274106" w14:paraId="5FDB499B" w14:textId="77777777">
            <w:pPr>
              <w:spacing w:after="0" w:line="240" w:lineRule="auto"/>
              <w:jc w:val="center"/>
              <w:rPr>
                <w:rFonts w:ascii="Times New Roman" w:hAnsi="Times New Roman" w:cs="Times New Roman"/>
                <w:b/>
                <w:bCs/>
                <w:sz w:val="20"/>
                <w:szCs w:val="20"/>
              </w:rPr>
            </w:pPr>
            <w:r w:rsidRPr="002955D5">
              <w:rPr>
                <w:rFonts w:ascii="Times New Roman" w:hAnsi="Times New Roman" w:cs="Times New Roman"/>
                <w:b/>
                <w:bCs/>
                <w:sz w:val="20"/>
                <w:szCs w:val="20"/>
              </w:rPr>
              <w:t>Difference</w:t>
            </w:r>
          </w:p>
        </w:tc>
      </w:tr>
      <w:tr w:rsidRPr="002955D5" w:rsidR="00274106" w:rsidTr="004B2851" w14:paraId="352AD5B0" w14:textId="77777777">
        <w:trPr>
          <w:gridAfter w:val="1"/>
          <w:wAfter w:w="33" w:type="dxa"/>
          <w:trHeight w:val="1926"/>
          <w:jc w:val="center"/>
        </w:trPr>
        <w:tc>
          <w:tcPr>
            <w:tcW w:w="1980" w:type="dxa"/>
            <w:tcBorders>
              <w:top w:val="nil"/>
              <w:left w:val="single" w:color="auto" w:sz="8" w:space="0"/>
              <w:bottom w:val="single" w:color="auto" w:sz="8" w:space="0"/>
              <w:right w:val="single" w:color="auto" w:sz="8" w:space="0"/>
            </w:tcBorders>
            <w:shd w:val="clear" w:color="auto" w:fill="auto"/>
            <w:vAlign w:val="bottom"/>
          </w:tcPr>
          <w:p w:rsidRPr="002955D5" w:rsidR="00274106" w:rsidP="002955D5" w:rsidRDefault="00274106" w14:paraId="75058CA2" w14:textId="77777777">
            <w:pPr>
              <w:spacing w:after="0" w:line="240" w:lineRule="auto"/>
              <w:rPr>
                <w:rFonts w:ascii="Times New Roman" w:hAnsi="Times New Roman" w:cs="Times New Roman"/>
                <w:sz w:val="20"/>
                <w:szCs w:val="20"/>
              </w:rPr>
            </w:pPr>
            <w:r w:rsidRPr="002955D5">
              <w:rPr>
                <w:rFonts w:ascii="Times New Roman" w:hAnsi="Times New Roman" w:cs="Times New Roman"/>
                <w:sz w:val="20"/>
                <w:szCs w:val="20"/>
              </w:rPr>
              <w:t>Application for Surplus Federal Real Property Public Benefit Conveyance and BRAC Program for Emergency Management Use / FEMA Form 119-0-1</w:t>
            </w:r>
          </w:p>
        </w:tc>
        <w:tc>
          <w:tcPr>
            <w:tcW w:w="1350" w:type="dxa"/>
            <w:tcBorders>
              <w:top w:val="nil"/>
              <w:left w:val="nil"/>
              <w:bottom w:val="single" w:color="auto" w:sz="8" w:space="0"/>
              <w:right w:val="single" w:color="auto" w:sz="8" w:space="0"/>
            </w:tcBorders>
            <w:shd w:val="clear" w:color="auto" w:fill="auto"/>
            <w:noWrap/>
            <w:vAlign w:val="center"/>
          </w:tcPr>
          <w:p w:rsidRPr="002955D5" w:rsidR="00274106" w:rsidP="002955D5" w:rsidRDefault="00274106" w14:paraId="70F112B8" w14:textId="77777777">
            <w:pPr>
              <w:spacing w:after="0" w:line="240" w:lineRule="auto"/>
              <w:jc w:val="center"/>
              <w:rPr>
                <w:rFonts w:ascii="Times New Roman" w:hAnsi="Times New Roman" w:cs="Times New Roman"/>
                <w:sz w:val="20"/>
                <w:szCs w:val="20"/>
              </w:rPr>
            </w:pPr>
          </w:p>
        </w:tc>
        <w:tc>
          <w:tcPr>
            <w:tcW w:w="1250" w:type="dxa"/>
            <w:tcBorders>
              <w:top w:val="nil"/>
              <w:left w:val="nil"/>
              <w:bottom w:val="single" w:color="auto" w:sz="8" w:space="0"/>
              <w:right w:val="single" w:color="auto" w:sz="8" w:space="0"/>
            </w:tcBorders>
            <w:shd w:val="clear" w:color="auto" w:fill="auto"/>
            <w:noWrap/>
            <w:vAlign w:val="center"/>
          </w:tcPr>
          <w:p w:rsidRPr="002955D5" w:rsidR="00274106" w:rsidP="002955D5" w:rsidRDefault="00274106" w14:paraId="6B67FE06" w14:textId="77777777">
            <w:pPr>
              <w:spacing w:after="0" w:line="240" w:lineRule="auto"/>
              <w:jc w:val="center"/>
              <w:rPr>
                <w:rFonts w:ascii="Times New Roman" w:hAnsi="Times New Roman" w:cs="Times New Roman"/>
                <w:sz w:val="20"/>
                <w:szCs w:val="20"/>
              </w:rPr>
            </w:pPr>
          </w:p>
        </w:tc>
        <w:tc>
          <w:tcPr>
            <w:tcW w:w="1260" w:type="dxa"/>
            <w:tcBorders>
              <w:top w:val="nil"/>
              <w:left w:val="nil"/>
              <w:bottom w:val="single" w:color="auto" w:sz="8" w:space="0"/>
              <w:right w:val="single" w:color="auto" w:sz="8" w:space="0"/>
            </w:tcBorders>
            <w:shd w:val="clear" w:color="auto" w:fill="auto"/>
            <w:noWrap/>
            <w:vAlign w:val="center"/>
          </w:tcPr>
          <w:p w:rsidRPr="002955D5" w:rsidR="00274106" w:rsidP="002955D5" w:rsidRDefault="00274106" w14:paraId="0F891CA6" w14:textId="1CE8F5BB">
            <w:pPr>
              <w:spacing w:after="0" w:line="240" w:lineRule="auto"/>
              <w:jc w:val="center"/>
              <w:rPr>
                <w:rFonts w:ascii="Times New Roman" w:hAnsi="Times New Roman" w:cs="Times New Roman"/>
                <w:sz w:val="20"/>
                <w:szCs w:val="20"/>
              </w:rPr>
            </w:pPr>
          </w:p>
        </w:tc>
        <w:tc>
          <w:tcPr>
            <w:tcW w:w="1350" w:type="dxa"/>
            <w:tcBorders>
              <w:top w:val="nil"/>
              <w:left w:val="nil"/>
              <w:bottom w:val="single" w:color="auto" w:sz="8" w:space="0"/>
              <w:right w:val="single" w:color="auto" w:sz="8" w:space="0"/>
            </w:tcBorders>
            <w:shd w:val="clear" w:color="auto" w:fill="auto"/>
            <w:noWrap/>
            <w:vAlign w:val="center"/>
          </w:tcPr>
          <w:p w:rsidRPr="002955D5" w:rsidR="00274106" w:rsidP="002955D5" w:rsidRDefault="00274106" w14:paraId="401C0140" w14:textId="77777777">
            <w:pPr>
              <w:spacing w:after="0" w:line="240" w:lineRule="auto"/>
              <w:jc w:val="center"/>
              <w:rPr>
                <w:rFonts w:ascii="Times New Roman" w:hAnsi="Times New Roman" w:cs="Times New Roman"/>
                <w:sz w:val="20"/>
                <w:szCs w:val="20"/>
              </w:rPr>
            </w:pPr>
            <w:r w:rsidRPr="002955D5">
              <w:rPr>
                <w:rFonts w:ascii="Times New Roman" w:hAnsi="Times New Roman" w:cs="Times New Roman"/>
                <w:sz w:val="20"/>
                <w:szCs w:val="20"/>
              </w:rPr>
              <w:t>$6,177</w:t>
            </w:r>
          </w:p>
        </w:tc>
        <w:tc>
          <w:tcPr>
            <w:tcW w:w="1288" w:type="dxa"/>
            <w:tcBorders>
              <w:top w:val="nil"/>
              <w:left w:val="nil"/>
              <w:bottom w:val="single" w:color="auto" w:sz="8" w:space="0"/>
              <w:right w:val="single" w:color="auto" w:sz="8" w:space="0"/>
            </w:tcBorders>
            <w:shd w:val="clear" w:color="auto" w:fill="auto"/>
            <w:noWrap/>
            <w:vAlign w:val="center"/>
          </w:tcPr>
          <w:p w:rsidRPr="002955D5" w:rsidR="00274106" w:rsidP="002955D5" w:rsidRDefault="00DC41F0" w14:paraId="52916561" w14:textId="2863C2D7">
            <w:pPr>
              <w:spacing w:after="0" w:line="240" w:lineRule="auto"/>
              <w:jc w:val="center"/>
              <w:rPr>
                <w:rFonts w:ascii="Times New Roman" w:hAnsi="Times New Roman" w:cs="Times New Roman"/>
                <w:sz w:val="20"/>
                <w:szCs w:val="20"/>
              </w:rPr>
            </w:pPr>
            <w:r w:rsidRPr="002955D5">
              <w:rPr>
                <w:rFonts w:ascii="Times New Roman" w:hAnsi="Times New Roman" w:cs="Times New Roman"/>
                <w:sz w:val="20"/>
                <w:szCs w:val="20"/>
              </w:rPr>
              <w:t>$4,277</w:t>
            </w:r>
          </w:p>
        </w:tc>
        <w:tc>
          <w:tcPr>
            <w:tcW w:w="1109" w:type="dxa"/>
            <w:tcBorders>
              <w:top w:val="nil"/>
              <w:left w:val="nil"/>
              <w:bottom w:val="single" w:color="auto" w:sz="8" w:space="0"/>
              <w:right w:val="single" w:color="auto" w:sz="8" w:space="0"/>
            </w:tcBorders>
            <w:shd w:val="clear" w:color="auto" w:fill="auto"/>
            <w:noWrap/>
            <w:vAlign w:val="center"/>
          </w:tcPr>
          <w:p w:rsidRPr="002955D5" w:rsidR="00274106" w:rsidRDefault="00274106" w14:paraId="298A2E9C" w14:textId="16368880">
            <w:pPr>
              <w:spacing w:after="0" w:line="240" w:lineRule="auto"/>
              <w:jc w:val="center"/>
              <w:rPr>
                <w:rFonts w:ascii="Times New Roman" w:hAnsi="Times New Roman" w:cs="Times New Roman"/>
                <w:sz w:val="20"/>
                <w:szCs w:val="20"/>
              </w:rPr>
            </w:pPr>
            <w:r w:rsidRPr="002955D5">
              <w:rPr>
                <w:rFonts w:ascii="Times New Roman" w:hAnsi="Times New Roman" w:cs="Times New Roman"/>
                <w:sz w:val="20"/>
                <w:szCs w:val="20"/>
              </w:rPr>
              <w:t>-$</w:t>
            </w:r>
            <w:r w:rsidRPr="002955D5" w:rsidR="00DC41F0">
              <w:rPr>
                <w:rFonts w:ascii="Times New Roman" w:hAnsi="Times New Roman" w:cs="Times New Roman"/>
                <w:sz w:val="20"/>
                <w:szCs w:val="20"/>
              </w:rPr>
              <w:t>1,900</w:t>
            </w:r>
          </w:p>
        </w:tc>
      </w:tr>
      <w:tr w:rsidRPr="002955D5" w:rsidR="00274106" w:rsidTr="004B2851" w14:paraId="019C3358" w14:textId="77777777">
        <w:trPr>
          <w:gridAfter w:val="1"/>
          <w:wAfter w:w="33" w:type="dxa"/>
          <w:trHeight w:val="38"/>
          <w:jc w:val="center"/>
        </w:trPr>
        <w:tc>
          <w:tcPr>
            <w:tcW w:w="1980" w:type="dxa"/>
            <w:tcBorders>
              <w:top w:val="nil"/>
              <w:left w:val="single" w:color="auto" w:sz="8" w:space="0"/>
              <w:bottom w:val="single" w:color="auto" w:sz="8" w:space="0"/>
              <w:right w:val="single" w:color="auto" w:sz="8" w:space="0"/>
            </w:tcBorders>
            <w:shd w:val="clear" w:color="auto" w:fill="auto"/>
            <w:vAlign w:val="bottom"/>
          </w:tcPr>
          <w:p w:rsidRPr="002955D5" w:rsidR="00274106" w:rsidP="002955D5" w:rsidRDefault="00274106" w14:paraId="4754918F" w14:textId="77777777">
            <w:pPr>
              <w:spacing w:after="0" w:line="240" w:lineRule="auto"/>
              <w:jc w:val="center"/>
              <w:rPr>
                <w:rFonts w:ascii="Times New Roman" w:hAnsi="Times New Roman" w:cs="Times New Roman"/>
                <w:b/>
                <w:bCs/>
                <w:sz w:val="20"/>
                <w:szCs w:val="20"/>
              </w:rPr>
            </w:pPr>
            <w:r w:rsidRPr="002955D5">
              <w:rPr>
                <w:rFonts w:ascii="Times New Roman" w:hAnsi="Times New Roman" w:cs="Times New Roman"/>
                <w:b/>
                <w:bCs/>
                <w:sz w:val="20"/>
                <w:szCs w:val="20"/>
              </w:rPr>
              <w:t>Total(s)</w:t>
            </w:r>
          </w:p>
        </w:tc>
        <w:tc>
          <w:tcPr>
            <w:tcW w:w="1350" w:type="dxa"/>
            <w:tcBorders>
              <w:top w:val="nil"/>
              <w:left w:val="nil"/>
              <w:bottom w:val="single" w:color="auto" w:sz="8" w:space="0"/>
              <w:right w:val="single" w:color="auto" w:sz="8" w:space="0"/>
            </w:tcBorders>
            <w:shd w:val="clear" w:color="auto" w:fill="auto"/>
            <w:noWrap/>
            <w:vAlign w:val="bottom"/>
          </w:tcPr>
          <w:p w:rsidRPr="002955D5" w:rsidR="00274106" w:rsidP="002955D5" w:rsidRDefault="00274106" w14:paraId="126105E0" w14:textId="77777777">
            <w:pPr>
              <w:spacing w:after="0" w:line="240" w:lineRule="auto"/>
              <w:jc w:val="center"/>
              <w:rPr>
                <w:rFonts w:ascii="Times New Roman" w:hAnsi="Times New Roman" w:cs="Times New Roman"/>
                <w:b/>
                <w:sz w:val="20"/>
                <w:szCs w:val="20"/>
              </w:rPr>
            </w:pPr>
            <w:r w:rsidRPr="002955D5">
              <w:rPr>
                <w:rFonts w:ascii="Times New Roman" w:hAnsi="Times New Roman" w:cs="Times New Roman"/>
                <w:b/>
                <w:sz w:val="20"/>
                <w:szCs w:val="20"/>
              </w:rPr>
              <w:t> </w:t>
            </w:r>
          </w:p>
        </w:tc>
        <w:tc>
          <w:tcPr>
            <w:tcW w:w="1250" w:type="dxa"/>
            <w:tcBorders>
              <w:top w:val="nil"/>
              <w:left w:val="nil"/>
              <w:bottom w:val="single" w:color="auto" w:sz="8" w:space="0"/>
              <w:right w:val="single" w:color="auto" w:sz="8" w:space="0"/>
            </w:tcBorders>
            <w:shd w:val="clear" w:color="auto" w:fill="auto"/>
            <w:noWrap/>
            <w:vAlign w:val="bottom"/>
          </w:tcPr>
          <w:p w:rsidRPr="002955D5" w:rsidR="00274106" w:rsidP="002955D5" w:rsidRDefault="00274106" w14:paraId="2F2B1D92" w14:textId="77777777">
            <w:pPr>
              <w:spacing w:after="0" w:line="240" w:lineRule="auto"/>
              <w:jc w:val="center"/>
              <w:rPr>
                <w:rFonts w:ascii="Times New Roman" w:hAnsi="Times New Roman" w:cs="Times New Roman"/>
                <w:b/>
                <w:sz w:val="20"/>
                <w:szCs w:val="20"/>
              </w:rPr>
            </w:pPr>
            <w:r w:rsidRPr="002955D5">
              <w:rPr>
                <w:rFonts w:ascii="Times New Roman" w:hAnsi="Times New Roman" w:cs="Times New Roman"/>
                <w:b/>
                <w:sz w:val="20"/>
                <w:szCs w:val="20"/>
              </w:rPr>
              <w:t> </w:t>
            </w:r>
          </w:p>
        </w:tc>
        <w:tc>
          <w:tcPr>
            <w:tcW w:w="1260" w:type="dxa"/>
            <w:tcBorders>
              <w:top w:val="nil"/>
              <w:left w:val="nil"/>
              <w:bottom w:val="single" w:color="auto" w:sz="8" w:space="0"/>
              <w:right w:val="single" w:color="auto" w:sz="8" w:space="0"/>
            </w:tcBorders>
            <w:shd w:val="clear" w:color="auto" w:fill="auto"/>
            <w:noWrap/>
            <w:vAlign w:val="bottom"/>
          </w:tcPr>
          <w:p w:rsidRPr="002955D5" w:rsidR="00274106" w:rsidP="002955D5" w:rsidRDefault="00274106" w14:paraId="241A308C" w14:textId="77777777">
            <w:pPr>
              <w:spacing w:after="0" w:line="240" w:lineRule="auto"/>
              <w:jc w:val="center"/>
              <w:rPr>
                <w:rFonts w:ascii="Times New Roman" w:hAnsi="Times New Roman" w:cs="Times New Roman"/>
                <w:b/>
                <w:sz w:val="20"/>
                <w:szCs w:val="20"/>
              </w:rPr>
            </w:pPr>
            <w:r w:rsidRPr="002955D5">
              <w:rPr>
                <w:rFonts w:ascii="Times New Roman" w:hAnsi="Times New Roman" w:cs="Times New Roman"/>
                <w:b/>
                <w:sz w:val="20"/>
                <w:szCs w:val="20"/>
              </w:rPr>
              <w:t> </w:t>
            </w:r>
          </w:p>
        </w:tc>
        <w:tc>
          <w:tcPr>
            <w:tcW w:w="1350" w:type="dxa"/>
            <w:tcBorders>
              <w:top w:val="nil"/>
              <w:left w:val="nil"/>
              <w:bottom w:val="single" w:color="auto" w:sz="8" w:space="0"/>
              <w:right w:val="single" w:color="auto" w:sz="8" w:space="0"/>
            </w:tcBorders>
            <w:shd w:val="clear" w:color="auto" w:fill="auto"/>
            <w:noWrap/>
            <w:vAlign w:val="bottom"/>
          </w:tcPr>
          <w:p w:rsidRPr="002955D5" w:rsidR="00274106" w:rsidP="002955D5" w:rsidRDefault="00274106" w14:paraId="1BC541C7" w14:textId="77777777">
            <w:pPr>
              <w:spacing w:after="0" w:line="240" w:lineRule="auto"/>
              <w:jc w:val="center"/>
              <w:rPr>
                <w:rFonts w:ascii="Times New Roman" w:hAnsi="Times New Roman" w:cs="Times New Roman"/>
                <w:b/>
                <w:sz w:val="20"/>
                <w:szCs w:val="20"/>
              </w:rPr>
            </w:pPr>
            <w:r w:rsidRPr="002955D5">
              <w:rPr>
                <w:rFonts w:ascii="Times New Roman" w:hAnsi="Times New Roman" w:cs="Times New Roman"/>
                <w:b/>
                <w:sz w:val="20"/>
                <w:szCs w:val="20"/>
              </w:rPr>
              <w:t>$</w:t>
            </w:r>
            <w:r w:rsidRPr="002955D5" w:rsidR="00AB0994">
              <w:rPr>
                <w:rFonts w:ascii="Times New Roman" w:hAnsi="Times New Roman" w:cs="Times New Roman"/>
                <w:b/>
                <w:sz w:val="20"/>
                <w:szCs w:val="20"/>
              </w:rPr>
              <w:t>6,177</w:t>
            </w:r>
          </w:p>
        </w:tc>
        <w:tc>
          <w:tcPr>
            <w:tcW w:w="1288" w:type="dxa"/>
            <w:tcBorders>
              <w:top w:val="nil"/>
              <w:left w:val="nil"/>
              <w:bottom w:val="single" w:color="auto" w:sz="8" w:space="0"/>
              <w:right w:val="single" w:color="auto" w:sz="8" w:space="0"/>
            </w:tcBorders>
            <w:shd w:val="clear" w:color="auto" w:fill="auto"/>
            <w:noWrap/>
            <w:vAlign w:val="bottom"/>
          </w:tcPr>
          <w:p w:rsidRPr="002955D5" w:rsidR="00274106" w:rsidP="002955D5" w:rsidRDefault="00DC41F0" w14:paraId="79793DBD" w14:textId="5EE110E9">
            <w:pPr>
              <w:spacing w:after="0" w:line="240" w:lineRule="auto"/>
              <w:jc w:val="center"/>
              <w:rPr>
                <w:rFonts w:ascii="Times New Roman" w:hAnsi="Times New Roman" w:cs="Times New Roman"/>
                <w:b/>
                <w:sz w:val="20"/>
                <w:szCs w:val="20"/>
              </w:rPr>
            </w:pPr>
            <w:r w:rsidRPr="002955D5">
              <w:rPr>
                <w:rFonts w:ascii="Times New Roman" w:hAnsi="Times New Roman" w:cs="Times New Roman"/>
                <w:b/>
                <w:sz w:val="20"/>
                <w:szCs w:val="20"/>
              </w:rPr>
              <w:t>$4,277</w:t>
            </w:r>
          </w:p>
        </w:tc>
        <w:tc>
          <w:tcPr>
            <w:tcW w:w="1109" w:type="dxa"/>
            <w:tcBorders>
              <w:top w:val="nil"/>
              <w:left w:val="nil"/>
              <w:bottom w:val="single" w:color="auto" w:sz="8" w:space="0"/>
              <w:right w:val="single" w:color="auto" w:sz="8" w:space="0"/>
            </w:tcBorders>
            <w:shd w:val="clear" w:color="auto" w:fill="auto"/>
            <w:noWrap/>
            <w:vAlign w:val="bottom"/>
          </w:tcPr>
          <w:p w:rsidRPr="002955D5" w:rsidR="00274106" w:rsidP="002955D5" w:rsidRDefault="00274106" w14:paraId="3B4282AE" w14:textId="7B529DFF">
            <w:pPr>
              <w:spacing w:after="0" w:line="240" w:lineRule="auto"/>
              <w:jc w:val="center"/>
              <w:rPr>
                <w:rFonts w:ascii="Times New Roman" w:hAnsi="Times New Roman" w:cs="Times New Roman"/>
                <w:b/>
                <w:sz w:val="20"/>
                <w:szCs w:val="20"/>
              </w:rPr>
            </w:pPr>
            <w:r w:rsidRPr="002955D5">
              <w:rPr>
                <w:rFonts w:ascii="Times New Roman" w:hAnsi="Times New Roman" w:cs="Times New Roman"/>
                <w:b/>
                <w:sz w:val="20"/>
                <w:szCs w:val="20"/>
              </w:rPr>
              <w:t>-$</w:t>
            </w:r>
            <w:r w:rsidRPr="002955D5" w:rsidR="00DC41F0">
              <w:rPr>
                <w:rFonts w:ascii="Times New Roman" w:hAnsi="Times New Roman" w:cs="Times New Roman"/>
                <w:b/>
                <w:sz w:val="20"/>
                <w:szCs w:val="20"/>
              </w:rPr>
              <w:t>1,900</w:t>
            </w:r>
          </w:p>
        </w:tc>
      </w:tr>
    </w:tbl>
    <w:p w:rsidR="007458C7" w:rsidP="00562915" w:rsidRDefault="007458C7" w14:paraId="606A5A2F" w14:textId="77777777">
      <w:pPr>
        <w:rPr>
          <w:rFonts w:ascii="Times New Roman" w:hAnsi="Times New Roman" w:cs="Times New Roman"/>
          <w:b/>
          <w:bCs/>
          <w:i/>
        </w:rPr>
      </w:pPr>
    </w:p>
    <w:p w:rsidRPr="002955D5" w:rsidR="00562915" w:rsidP="00562915" w:rsidRDefault="00091361" w14:paraId="6B12A526" w14:textId="2B843A4C">
      <w:pPr>
        <w:rPr>
          <w:rFonts w:ascii="Times New Roman" w:hAnsi="Times New Roman" w:cs="Times New Roman"/>
          <w:b/>
          <w:bCs/>
          <w:i/>
          <w:sz w:val="24"/>
          <w:szCs w:val="24"/>
        </w:rPr>
      </w:pPr>
      <w:r w:rsidRPr="002955D5">
        <w:rPr>
          <w:rFonts w:ascii="Times New Roman" w:hAnsi="Times New Roman" w:cs="Times New Roman"/>
          <w:b/>
          <w:bCs/>
          <w:i/>
          <w:sz w:val="24"/>
          <w:szCs w:val="24"/>
        </w:rPr>
        <w:t>Expla</w:t>
      </w:r>
      <w:r w:rsidR="00DC41F0">
        <w:rPr>
          <w:rFonts w:ascii="Times New Roman" w:hAnsi="Times New Roman" w:cs="Times New Roman"/>
          <w:b/>
          <w:bCs/>
          <w:i/>
          <w:sz w:val="24"/>
          <w:szCs w:val="24"/>
        </w:rPr>
        <w:t>i</w:t>
      </w:r>
      <w:r w:rsidRPr="002955D5">
        <w:rPr>
          <w:rFonts w:ascii="Times New Roman" w:hAnsi="Times New Roman" w:cs="Times New Roman"/>
          <w:b/>
          <w:bCs/>
          <w:i/>
          <w:sz w:val="24"/>
          <w:szCs w:val="24"/>
        </w:rPr>
        <w:t>n</w:t>
      </w:r>
      <w:r w:rsidRPr="002955D5" w:rsidR="00562915">
        <w:rPr>
          <w:rFonts w:ascii="Times New Roman" w:hAnsi="Times New Roman" w:cs="Times New Roman"/>
          <w:b/>
          <w:bCs/>
          <w:i/>
          <w:sz w:val="24"/>
          <w:szCs w:val="24"/>
        </w:rPr>
        <w:t>:</w:t>
      </w:r>
      <w:r w:rsidRPr="002955D5" w:rsidR="00562915">
        <w:rPr>
          <w:rFonts w:ascii="Times New Roman" w:hAnsi="Times New Roman" w:cs="Times New Roman"/>
          <w:bCs/>
          <w:i/>
          <w:sz w:val="24"/>
          <w:szCs w:val="24"/>
        </w:rPr>
        <w:t xml:space="preserve"> </w:t>
      </w:r>
    </w:p>
    <w:p w:rsidRPr="00DC41F0" w:rsidR="00562915" w:rsidP="00562915" w:rsidRDefault="00562915" w14:paraId="45569392" w14:textId="2B6CF8B3">
      <w:pPr>
        <w:rPr>
          <w:rFonts w:ascii="Times New Roman" w:hAnsi="Times New Roman" w:cs="Times New Roman"/>
          <w:b/>
          <w:bCs/>
          <w:sz w:val="24"/>
          <w:szCs w:val="24"/>
        </w:rPr>
      </w:pPr>
      <w:r w:rsidRPr="002955D5">
        <w:rPr>
          <w:rFonts w:ascii="Times New Roman" w:hAnsi="Times New Roman" w:cs="Times New Roman"/>
          <w:b/>
          <w:bCs/>
          <w:sz w:val="24"/>
          <w:szCs w:val="24"/>
        </w:rPr>
        <w:lastRenderedPageBreak/>
        <w:fldChar w:fldCharType="begin"/>
      </w:r>
      <w:r w:rsidRPr="00AF50C8">
        <w:rPr>
          <w:rFonts w:ascii="Times New Roman" w:hAnsi="Times New Roman" w:cs="Times New Roman"/>
          <w:b/>
          <w:bCs/>
          <w:sz w:val="24"/>
          <w:szCs w:val="24"/>
        </w:rPr>
        <w:instrText>ADVANCE \R 0.95</w:instrText>
      </w:r>
      <w:r w:rsidRPr="002955D5">
        <w:rPr>
          <w:rFonts w:ascii="Times New Roman" w:hAnsi="Times New Roman" w:cs="Times New Roman"/>
          <w:b/>
          <w:bCs/>
          <w:sz w:val="24"/>
          <w:szCs w:val="24"/>
        </w:rPr>
        <w:fldChar w:fldCharType="end"/>
      </w:r>
      <w:r w:rsidRPr="00DC41F0" w:rsidR="00456BC8">
        <w:rPr>
          <w:rFonts w:ascii="Times New Roman" w:hAnsi="Times New Roman" w:cs="Times New Roman"/>
          <w:bCs/>
          <w:sz w:val="24"/>
          <w:szCs w:val="24"/>
        </w:rPr>
        <w:t xml:space="preserve">The change in cost burden </w:t>
      </w:r>
      <w:r w:rsidR="00DC41F0">
        <w:rPr>
          <w:rFonts w:ascii="Times New Roman" w:hAnsi="Times New Roman" w:cs="Times New Roman"/>
          <w:bCs/>
          <w:sz w:val="24"/>
          <w:szCs w:val="24"/>
        </w:rPr>
        <w:t>results from fewer</w:t>
      </w:r>
      <w:r w:rsidRPr="00DC41F0" w:rsidR="00456BC8">
        <w:rPr>
          <w:rFonts w:ascii="Times New Roman" w:hAnsi="Times New Roman" w:cs="Times New Roman"/>
          <w:bCs/>
          <w:sz w:val="24"/>
          <w:szCs w:val="24"/>
        </w:rPr>
        <w:t xml:space="preserve"> applications being submitted since the last </w:t>
      </w:r>
      <w:r w:rsidR="00DC41F0">
        <w:rPr>
          <w:rFonts w:ascii="Times New Roman" w:hAnsi="Times New Roman" w:cs="Times New Roman"/>
          <w:bCs/>
          <w:sz w:val="24"/>
          <w:szCs w:val="24"/>
        </w:rPr>
        <w:t xml:space="preserve">renewal of this information </w:t>
      </w:r>
      <w:r w:rsidRPr="00DC41F0" w:rsidR="00456BC8">
        <w:rPr>
          <w:rFonts w:ascii="Times New Roman" w:hAnsi="Times New Roman" w:cs="Times New Roman"/>
          <w:bCs/>
          <w:sz w:val="24"/>
          <w:szCs w:val="24"/>
        </w:rPr>
        <w:t>collection.</w:t>
      </w:r>
      <w:r w:rsidR="00DC41F0">
        <w:rPr>
          <w:rFonts w:ascii="Times New Roman" w:hAnsi="Times New Roman" w:cs="Times New Roman"/>
          <w:bCs/>
          <w:sz w:val="24"/>
          <w:szCs w:val="24"/>
        </w:rPr>
        <w:t xml:space="preserve"> </w:t>
      </w:r>
      <w:r w:rsidRPr="00DC41F0" w:rsidR="00456BC8">
        <w:rPr>
          <w:rFonts w:ascii="Times New Roman" w:hAnsi="Times New Roman" w:cs="Times New Roman"/>
          <w:bCs/>
          <w:sz w:val="24"/>
          <w:szCs w:val="24"/>
        </w:rPr>
        <w:t xml:space="preserve"> </w:t>
      </w:r>
      <w:r w:rsidR="00DC41F0">
        <w:rPr>
          <w:rFonts w:ascii="Times New Roman" w:hAnsi="Times New Roman" w:cs="Times New Roman"/>
          <w:bCs/>
          <w:sz w:val="24"/>
          <w:szCs w:val="24"/>
        </w:rPr>
        <w:t xml:space="preserve">The reduction in the number of applications results in </w:t>
      </w:r>
      <w:r w:rsidRPr="00DC41F0" w:rsidR="00456BC8">
        <w:rPr>
          <w:rFonts w:ascii="Times New Roman" w:hAnsi="Times New Roman" w:cs="Times New Roman"/>
          <w:bCs/>
          <w:sz w:val="24"/>
          <w:szCs w:val="24"/>
        </w:rPr>
        <w:t xml:space="preserve">an adjustment to the </w:t>
      </w:r>
      <w:r w:rsidR="00DC41F0">
        <w:rPr>
          <w:rFonts w:ascii="Times New Roman" w:hAnsi="Times New Roman" w:cs="Times New Roman"/>
          <w:bCs/>
          <w:sz w:val="24"/>
          <w:szCs w:val="24"/>
        </w:rPr>
        <w:t>a</w:t>
      </w:r>
      <w:r w:rsidRPr="00DC41F0" w:rsidR="00456BC8">
        <w:rPr>
          <w:rFonts w:ascii="Times New Roman" w:hAnsi="Times New Roman" w:cs="Times New Roman"/>
          <w:bCs/>
          <w:sz w:val="24"/>
          <w:szCs w:val="24"/>
        </w:rPr>
        <w:t xml:space="preserve">nnual </w:t>
      </w:r>
      <w:r w:rsidR="00DC41F0">
        <w:rPr>
          <w:rFonts w:ascii="Times New Roman" w:hAnsi="Times New Roman" w:cs="Times New Roman"/>
          <w:bCs/>
          <w:sz w:val="24"/>
          <w:szCs w:val="24"/>
        </w:rPr>
        <w:t>c</w:t>
      </w:r>
      <w:r w:rsidRPr="00DC41F0" w:rsidR="00456BC8">
        <w:rPr>
          <w:rFonts w:ascii="Times New Roman" w:hAnsi="Times New Roman" w:cs="Times New Roman"/>
          <w:bCs/>
          <w:sz w:val="24"/>
          <w:szCs w:val="24"/>
        </w:rPr>
        <w:t xml:space="preserve">ost </w:t>
      </w:r>
      <w:r w:rsidR="00DC41F0">
        <w:rPr>
          <w:rFonts w:ascii="Times New Roman" w:hAnsi="Times New Roman" w:cs="Times New Roman"/>
          <w:bCs/>
          <w:sz w:val="24"/>
          <w:szCs w:val="24"/>
        </w:rPr>
        <w:t>b</w:t>
      </w:r>
      <w:r w:rsidRPr="00DC41F0" w:rsidR="00456BC8">
        <w:rPr>
          <w:rFonts w:ascii="Times New Roman" w:hAnsi="Times New Roman" w:cs="Times New Roman"/>
          <w:bCs/>
          <w:sz w:val="24"/>
          <w:szCs w:val="24"/>
        </w:rPr>
        <w:t>urden of $</w:t>
      </w:r>
      <w:r w:rsidR="00AC3400">
        <w:rPr>
          <w:rFonts w:ascii="Times New Roman" w:hAnsi="Times New Roman" w:cs="Times New Roman"/>
          <w:bCs/>
          <w:sz w:val="24"/>
          <w:szCs w:val="24"/>
        </w:rPr>
        <w:t>4,277</w:t>
      </w:r>
      <w:r w:rsidRPr="00DC41F0" w:rsidR="00D540A9">
        <w:rPr>
          <w:rFonts w:ascii="Times New Roman" w:hAnsi="Times New Roman" w:cs="Times New Roman"/>
          <w:bCs/>
          <w:sz w:val="24"/>
          <w:szCs w:val="24"/>
        </w:rPr>
        <w:t>.</w:t>
      </w:r>
    </w:p>
    <w:p w:rsidRPr="006625E7" w:rsidR="00562915" w:rsidP="00562915" w:rsidRDefault="00562915" w14:paraId="2568301E"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3D1BFE" w:rsidR="00456BC8" w:rsidP="00562915" w:rsidRDefault="003D1BFE" w14:paraId="290AADD7" w14:textId="77777777">
      <w:pPr>
        <w:rPr>
          <w:rFonts w:ascii="Times New Roman" w:hAnsi="Times New Roman" w:cs="Times New Roman"/>
          <w:sz w:val="24"/>
          <w:szCs w:val="24"/>
        </w:rPr>
      </w:pPr>
      <w:r w:rsidRPr="003D1BFE">
        <w:rPr>
          <w:rFonts w:ascii="Times New Roman" w:hAnsi="Times New Roman" w:cs="Times New Roman"/>
          <w:sz w:val="24"/>
          <w:szCs w:val="24"/>
        </w:rPr>
        <w:t>FEMA does not intend to employ the use of statistics or the publication thereof for this information collection.</w:t>
      </w:r>
    </w:p>
    <w:p w:rsidRPr="006625E7" w:rsidR="00562915" w:rsidP="00562915" w:rsidRDefault="00562915" w14:paraId="19BBDAC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3D1BFE" w:rsidR="003D1BFE" w:rsidP="00562915" w:rsidRDefault="003D1BFE" w14:paraId="56C43385" w14:textId="77777777">
      <w:pPr>
        <w:rPr>
          <w:rFonts w:ascii="Times New Roman" w:hAnsi="Times New Roman" w:cs="Times New Roman"/>
          <w:sz w:val="24"/>
          <w:szCs w:val="24"/>
        </w:rPr>
      </w:pPr>
      <w:r w:rsidRPr="003D1BFE">
        <w:rPr>
          <w:rFonts w:ascii="Times New Roman" w:hAnsi="Times New Roman" w:cs="Times New Roman"/>
          <w:sz w:val="24"/>
          <w:szCs w:val="24"/>
        </w:rPr>
        <w:t>FEMA will display the expiration date for OMB approval of this information collection.</w:t>
      </w:r>
    </w:p>
    <w:p w:rsidRPr="006625E7" w:rsidR="00562915" w:rsidP="00562915" w:rsidRDefault="00562915" w14:paraId="3FF9568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3D1BFE" w:rsidR="00562915" w:rsidP="00562915" w:rsidRDefault="00562915" w14:paraId="5B783687" w14:textId="77777777">
      <w:pPr>
        <w:rPr>
          <w:rFonts w:ascii="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3D1BFE">
        <w:rPr>
          <w:rFonts w:ascii="Times New Roman" w:hAnsi="Times New Roman" w:cs="Times New Roman"/>
          <w:sz w:val="24"/>
          <w:szCs w:val="24"/>
        </w:rPr>
        <w:t>This collection does not seek exception to “Certification for Paperwork Reduction Act Submissions”.  This collection does not use efficient statistical survey methodology or use of information technology.  Statistical Survey methodology "is not applicable" Question #3 in the supporting statement justifies the non-use of information technology.</w:t>
      </w:r>
    </w:p>
    <w:sectPr w:rsidRPr="003D1BFE" w:rsidR="00562915">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F6BA" w14:textId="77777777" w:rsidR="005B4B20" w:rsidRDefault="005B4B20">
      <w:pPr>
        <w:spacing w:after="0" w:line="240" w:lineRule="auto"/>
      </w:pPr>
      <w:r>
        <w:separator/>
      </w:r>
    </w:p>
  </w:endnote>
  <w:endnote w:type="continuationSeparator" w:id="0">
    <w:p w14:paraId="4BADCB05" w14:textId="77777777" w:rsidR="005B4B20" w:rsidRDefault="005B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DABC"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A440C" w14:textId="77777777" w:rsidR="00F42D8D" w:rsidRDefault="003C1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3C0C"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1B09">
      <w:rPr>
        <w:rStyle w:val="PageNumber"/>
        <w:noProof/>
      </w:rPr>
      <w:t>1</w:t>
    </w:r>
    <w:r>
      <w:rPr>
        <w:rStyle w:val="PageNumber"/>
      </w:rPr>
      <w:fldChar w:fldCharType="end"/>
    </w:r>
  </w:p>
  <w:p w14:paraId="120D5C66" w14:textId="77777777" w:rsidR="00F42D8D" w:rsidRDefault="003C11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BADA2" w14:textId="77777777" w:rsidR="005B4B20" w:rsidRDefault="005B4B20">
      <w:pPr>
        <w:spacing w:after="0" w:line="240" w:lineRule="auto"/>
      </w:pPr>
      <w:r>
        <w:separator/>
      </w:r>
    </w:p>
  </w:footnote>
  <w:footnote w:type="continuationSeparator" w:id="0">
    <w:p w14:paraId="59D356DB" w14:textId="77777777" w:rsidR="005B4B20" w:rsidRDefault="005B4B20">
      <w:pPr>
        <w:spacing w:after="0" w:line="240" w:lineRule="auto"/>
      </w:pPr>
      <w:r>
        <w:continuationSeparator/>
      </w:r>
    </w:p>
  </w:footnote>
  <w:footnote w:id="1">
    <w:p w14:paraId="4919670E" w14:textId="0EC0AFB9" w:rsidR="001B7DDE" w:rsidRDefault="001B7DDE" w:rsidP="001B7DDE">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xml:space="preserve">.  Accessed </w:t>
      </w:r>
      <w:r w:rsidR="00DF7C2F">
        <w:rPr>
          <w:rFonts w:ascii="Times New Roman" w:hAnsi="Times New Roman" w:cs="Times New Roman"/>
        </w:rPr>
        <w:t xml:space="preserve">March </w:t>
      </w:r>
      <w:r w:rsidR="00DC4287">
        <w:rPr>
          <w:rFonts w:ascii="Times New Roman" w:hAnsi="Times New Roman" w:cs="Times New Roman"/>
        </w:rPr>
        <w:t>1</w:t>
      </w:r>
      <w:r w:rsidR="00DF7C2F">
        <w:rPr>
          <w:rFonts w:ascii="Times New Roman" w:hAnsi="Times New Roman" w:cs="Times New Roman"/>
        </w:rPr>
        <w:t>0</w:t>
      </w:r>
      <w:r>
        <w:rPr>
          <w:rFonts w:ascii="Times New Roman" w:hAnsi="Times New Roman" w:cs="Times New Roman"/>
        </w:rPr>
        <w:t>, 20</w:t>
      </w:r>
      <w:r w:rsidR="00DF7C2F">
        <w:rPr>
          <w:rFonts w:ascii="Times New Roman" w:hAnsi="Times New Roman" w:cs="Times New Roman"/>
        </w:rPr>
        <w:t>20</w:t>
      </w:r>
      <w:r>
        <w:rPr>
          <w:rFonts w:ascii="Times New Roman" w:hAnsi="Times New Roman" w:cs="Times New Roman"/>
        </w:rPr>
        <w:t xml:space="preserve">.  The wage multiplier is calculated by dividing total compensation for </w:t>
      </w:r>
      <w:r w:rsidR="00DF7C2F">
        <w:rPr>
          <w:rFonts w:ascii="Times New Roman" w:hAnsi="Times New Roman" w:cs="Times New Roman"/>
        </w:rPr>
        <w:t>State and local government</w:t>
      </w:r>
      <w:r>
        <w:rPr>
          <w:rFonts w:ascii="Times New Roman" w:hAnsi="Times New Roman" w:cs="Times New Roman"/>
        </w:rPr>
        <w:t xml:space="preserve"> workers of $</w:t>
      </w:r>
      <w:r w:rsidR="00DF7C2F">
        <w:rPr>
          <w:rFonts w:ascii="Times New Roman" w:hAnsi="Times New Roman" w:cs="Times New Roman"/>
        </w:rPr>
        <w:t>50.98</w:t>
      </w:r>
      <w:r>
        <w:rPr>
          <w:rFonts w:ascii="Times New Roman" w:hAnsi="Times New Roman" w:cs="Times New Roman"/>
        </w:rPr>
        <w:t xml:space="preserve"> by wages and salaries for all workers of $</w:t>
      </w:r>
      <w:r w:rsidR="00DF7C2F">
        <w:rPr>
          <w:rFonts w:ascii="Times New Roman" w:hAnsi="Times New Roman" w:cs="Times New Roman"/>
        </w:rPr>
        <w:t>31.75</w:t>
      </w:r>
      <w:r>
        <w:rPr>
          <w:rFonts w:ascii="Times New Roman" w:hAnsi="Times New Roman" w:cs="Times New Roman"/>
        </w:rPr>
        <w:t xml:space="preserve"> per hour yielding a benefits multiplier of approximately 1.6</w:t>
      </w:r>
    </w:p>
  </w:footnote>
  <w:footnote w:id="2">
    <w:p w14:paraId="6E9365CA" w14:textId="2C349956" w:rsidR="001B7DDE" w:rsidRDefault="001B7DDE" w:rsidP="001B7DDE">
      <w:pPr>
        <w:pStyle w:val="FootnoteText"/>
      </w:pPr>
      <w:r>
        <w:rPr>
          <w:rStyle w:val="FootnoteReference"/>
        </w:rPr>
        <w:footnoteRef/>
      </w:r>
      <w:r>
        <w:t xml:space="preserve"> </w:t>
      </w:r>
      <w:r>
        <w:rPr>
          <w:rFonts w:ascii="Times New Roman" w:hAnsi="Times New Roman" w:cs="Times New Roman"/>
        </w:rPr>
        <w:t xml:space="preserve">Information on the mean wage rate </w:t>
      </w:r>
      <w:r w:rsidR="00DC4287">
        <w:rPr>
          <w:rFonts w:ascii="Times New Roman" w:hAnsi="Times New Roman" w:cs="Times New Roman"/>
        </w:rPr>
        <w:t xml:space="preserve">for May 2018, National Industry-specific and by Ownership file, </w:t>
      </w:r>
      <w:r>
        <w:rPr>
          <w:rFonts w:ascii="Times New Roman" w:hAnsi="Times New Roman" w:cs="Times New Roman"/>
        </w:rPr>
        <w:t>from the U.S. Department of Labor is available online at</w:t>
      </w:r>
      <w:r w:rsidR="00DC4287">
        <w:rPr>
          <w:rFonts w:ascii="Times New Roman" w:hAnsi="Times New Roman" w:cs="Times New Roman"/>
        </w:rPr>
        <w:t xml:space="preserve"> </w:t>
      </w:r>
      <w:hyperlink r:id="rId2" w:history="1">
        <w:r w:rsidR="00DC4287" w:rsidRPr="00DC4287">
          <w:rPr>
            <w:rStyle w:val="Hyperlink"/>
            <w:rFonts w:ascii="Times New Roman" w:hAnsi="Times New Roman" w:cs="Times New Roman"/>
          </w:rPr>
          <w:t>https://www.bls.gov/oes/tables.htm</w:t>
        </w:r>
      </w:hyperlink>
      <w:r w:rsidR="00DC4287">
        <w:rPr>
          <w:rStyle w:val="Hyperlink"/>
          <w:rFonts w:ascii="Times New Roman" w:hAnsi="Times New Roman" w:cs="Times New Roman"/>
        </w:rPr>
        <w:t>.  Accessed and downloaded December 12,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5D4204EE"/>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3A5819"/>
    <w:multiLevelType w:val="hybridMultilevel"/>
    <w:tmpl w:val="B026480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28C7"/>
    <w:rsid w:val="000325CA"/>
    <w:rsid w:val="00040C42"/>
    <w:rsid w:val="00077A57"/>
    <w:rsid w:val="00091361"/>
    <w:rsid w:val="000C107E"/>
    <w:rsid w:val="000E2546"/>
    <w:rsid w:val="00106954"/>
    <w:rsid w:val="00145C8D"/>
    <w:rsid w:val="00192140"/>
    <w:rsid w:val="00196536"/>
    <w:rsid w:val="001B7DDE"/>
    <w:rsid w:val="001F4D25"/>
    <w:rsid w:val="00236A17"/>
    <w:rsid w:val="002431B9"/>
    <w:rsid w:val="00260D4E"/>
    <w:rsid w:val="00265C27"/>
    <w:rsid w:val="0027258B"/>
    <w:rsid w:val="00274106"/>
    <w:rsid w:val="002955D5"/>
    <w:rsid w:val="002B27E9"/>
    <w:rsid w:val="002B2B7C"/>
    <w:rsid w:val="002B3FD7"/>
    <w:rsid w:val="003027F2"/>
    <w:rsid w:val="003218EA"/>
    <w:rsid w:val="0037200D"/>
    <w:rsid w:val="00372A10"/>
    <w:rsid w:val="003C11F6"/>
    <w:rsid w:val="003C3F58"/>
    <w:rsid w:val="003D1BFE"/>
    <w:rsid w:val="003F0B2B"/>
    <w:rsid w:val="00417AF1"/>
    <w:rsid w:val="00425E89"/>
    <w:rsid w:val="00443525"/>
    <w:rsid w:val="00455ECE"/>
    <w:rsid w:val="00456BC8"/>
    <w:rsid w:val="004B2851"/>
    <w:rsid w:val="00524F78"/>
    <w:rsid w:val="00533EEE"/>
    <w:rsid w:val="00562915"/>
    <w:rsid w:val="005B4B20"/>
    <w:rsid w:val="005D1DD4"/>
    <w:rsid w:val="005E6793"/>
    <w:rsid w:val="00611B09"/>
    <w:rsid w:val="006625E7"/>
    <w:rsid w:val="007103B8"/>
    <w:rsid w:val="007103E9"/>
    <w:rsid w:val="00721617"/>
    <w:rsid w:val="007223C8"/>
    <w:rsid w:val="007306D5"/>
    <w:rsid w:val="007458C7"/>
    <w:rsid w:val="00757122"/>
    <w:rsid w:val="007710E7"/>
    <w:rsid w:val="007B5775"/>
    <w:rsid w:val="007C27A0"/>
    <w:rsid w:val="00807F98"/>
    <w:rsid w:val="008243F6"/>
    <w:rsid w:val="00826A5B"/>
    <w:rsid w:val="00836699"/>
    <w:rsid w:val="00860EC4"/>
    <w:rsid w:val="008646FC"/>
    <w:rsid w:val="00886B09"/>
    <w:rsid w:val="008B52BD"/>
    <w:rsid w:val="008E4B92"/>
    <w:rsid w:val="009045CC"/>
    <w:rsid w:val="00904872"/>
    <w:rsid w:val="00922CFA"/>
    <w:rsid w:val="00942AD5"/>
    <w:rsid w:val="009760D8"/>
    <w:rsid w:val="009A2C38"/>
    <w:rsid w:val="009E092B"/>
    <w:rsid w:val="00A76979"/>
    <w:rsid w:val="00AB0994"/>
    <w:rsid w:val="00AB1B3D"/>
    <w:rsid w:val="00AC3400"/>
    <w:rsid w:val="00AF50C8"/>
    <w:rsid w:val="00B92B09"/>
    <w:rsid w:val="00B936B1"/>
    <w:rsid w:val="00BB543D"/>
    <w:rsid w:val="00BC42F9"/>
    <w:rsid w:val="00BC4902"/>
    <w:rsid w:val="00BE42FA"/>
    <w:rsid w:val="00BE6732"/>
    <w:rsid w:val="00C04C0E"/>
    <w:rsid w:val="00C92E4C"/>
    <w:rsid w:val="00CE4C36"/>
    <w:rsid w:val="00CF4041"/>
    <w:rsid w:val="00CF6CEF"/>
    <w:rsid w:val="00D173AA"/>
    <w:rsid w:val="00D3693F"/>
    <w:rsid w:val="00D41A2F"/>
    <w:rsid w:val="00D540A9"/>
    <w:rsid w:val="00DC41F0"/>
    <w:rsid w:val="00DC4287"/>
    <w:rsid w:val="00DD72FC"/>
    <w:rsid w:val="00DE2CDC"/>
    <w:rsid w:val="00DF7C2F"/>
    <w:rsid w:val="00E3309A"/>
    <w:rsid w:val="00E60035"/>
    <w:rsid w:val="00E92CA9"/>
    <w:rsid w:val="00E961D5"/>
    <w:rsid w:val="00EE380D"/>
    <w:rsid w:val="00F71F77"/>
    <w:rsid w:val="00F812D5"/>
    <w:rsid w:val="00FB3CE4"/>
    <w:rsid w:val="00FE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3EF4"/>
  <w15:docId w15:val="{C82274EC-537E-489C-872D-29858BF9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Header">
    <w:name w:val="header"/>
    <w:basedOn w:val="Normal"/>
    <w:link w:val="HeaderChar"/>
    <w:uiPriority w:val="99"/>
    <w:unhideWhenUsed/>
    <w:rsid w:val="00456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BC8"/>
  </w:style>
  <w:style w:type="paragraph" w:styleId="NoSpacing">
    <w:name w:val="No Spacing"/>
    <w:uiPriority w:val="1"/>
    <w:qFormat/>
    <w:rsid w:val="003027F2"/>
    <w:pPr>
      <w:spacing w:after="0" w:line="240" w:lineRule="auto"/>
    </w:pPr>
  </w:style>
  <w:style w:type="paragraph" w:styleId="BalloonText">
    <w:name w:val="Balloon Text"/>
    <w:basedOn w:val="Normal"/>
    <w:link w:val="BalloonTextChar"/>
    <w:uiPriority w:val="99"/>
    <w:semiHidden/>
    <w:unhideWhenUsed/>
    <w:rsid w:val="00D41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2F"/>
    <w:rPr>
      <w:rFonts w:ascii="Segoe UI" w:hAnsi="Segoe UI" w:cs="Segoe UI"/>
      <w:sz w:val="18"/>
      <w:szCs w:val="18"/>
    </w:rPr>
  </w:style>
  <w:style w:type="character" w:styleId="CommentReference">
    <w:name w:val="annotation reference"/>
    <w:basedOn w:val="DefaultParagraphFont"/>
    <w:semiHidden/>
    <w:unhideWhenUsed/>
    <w:rsid w:val="00D41A2F"/>
    <w:rPr>
      <w:sz w:val="16"/>
      <w:szCs w:val="16"/>
    </w:rPr>
  </w:style>
  <w:style w:type="paragraph" w:styleId="CommentText">
    <w:name w:val="annotation text"/>
    <w:basedOn w:val="Normal"/>
    <w:link w:val="CommentTextChar"/>
    <w:unhideWhenUsed/>
    <w:rsid w:val="00D41A2F"/>
    <w:pPr>
      <w:spacing w:line="240" w:lineRule="auto"/>
    </w:pPr>
    <w:rPr>
      <w:sz w:val="20"/>
      <w:szCs w:val="20"/>
    </w:rPr>
  </w:style>
  <w:style w:type="character" w:customStyle="1" w:styleId="CommentTextChar">
    <w:name w:val="Comment Text Char"/>
    <w:basedOn w:val="DefaultParagraphFont"/>
    <w:link w:val="CommentText"/>
    <w:rsid w:val="00D41A2F"/>
    <w:rPr>
      <w:sz w:val="20"/>
      <w:szCs w:val="20"/>
    </w:rPr>
  </w:style>
  <w:style w:type="paragraph" w:styleId="CommentSubject">
    <w:name w:val="annotation subject"/>
    <w:basedOn w:val="CommentText"/>
    <w:next w:val="CommentText"/>
    <w:link w:val="CommentSubjectChar"/>
    <w:uiPriority w:val="99"/>
    <w:semiHidden/>
    <w:unhideWhenUsed/>
    <w:rsid w:val="00D41A2F"/>
    <w:rPr>
      <w:b/>
      <w:bCs/>
    </w:rPr>
  </w:style>
  <w:style w:type="character" w:customStyle="1" w:styleId="CommentSubjectChar">
    <w:name w:val="Comment Subject Char"/>
    <w:basedOn w:val="CommentTextChar"/>
    <w:link w:val="CommentSubject"/>
    <w:uiPriority w:val="99"/>
    <w:semiHidden/>
    <w:rsid w:val="00D41A2F"/>
    <w:rPr>
      <w:b/>
      <w:bCs/>
      <w:sz w:val="20"/>
      <w:szCs w:val="20"/>
    </w:rPr>
  </w:style>
  <w:style w:type="paragraph" w:styleId="FootnoteText">
    <w:name w:val="footnote text"/>
    <w:basedOn w:val="Normal"/>
    <w:link w:val="FootnoteTextChar"/>
    <w:uiPriority w:val="99"/>
    <w:semiHidden/>
    <w:unhideWhenUsed/>
    <w:rsid w:val="001B7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DDE"/>
    <w:rPr>
      <w:sz w:val="20"/>
      <w:szCs w:val="20"/>
    </w:rPr>
  </w:style>
  <w:style w:type="character" w:styleId="FootnoteReference">
    <w:name w:val="footnote reference"/>
    <w:basedOn w:val="DefaultParagraphFont"/>
    <w:uiPriority w:val="99"/>
    <w:semiHidden/>
    <w:unhideWhenUsed/>
    <w:rsid w:val="001B7DDE"/>
    <w:rPr>
      <w:vertAlign w:val="superscript"/>
    </w:rPr>
  </w:style>
  <w:style w:type="character" w:styleId="FollowedHyperlink">
    <w:name w:val="FollowedHyperlink"/>
    <w:basedOn w:val="DefaultParagraphFont"/>
    <w:uiPriority w:val="99"/>
    <w:semiHidden/>
    <w:unhideWhenUsed/>
    <w:rsid w:val="00DC4287"/>
    <w:rPr>
      <w:color w:val="800080" w:themeColor="followedHyperlink"/>
      <w:u w:val="single"/>
    </w:rPr>
  </w:style>
  <w:style w:type="character" w:styleId="UnresolvedMention">
    <w:name w:val="Unresolved Mention"/>
    <w:basedOn w:val="DefaultParagraphFont"/>
    <w:uiPriority w:val="99"/>
    <w:semiHidden/>
    <w:unhideWhenUsed/>
    <w:rsid w:val="00DC4287"/>
    <w:rPr>
      <w:color w:val="605E5C"/>
      <w:shd w:val="clear" w:color="auto" w:fill="E1DFDD"/>
    </w:rPr>
  </w:style>
  <w:style w:type="table" w:customStyle="1" w:styleId="TableGrid1">
    <w:name w:val="Table Grid1"/>
    <w:basedOn w:val="TableNormal"/>
    <w:next w:val="TableGrid"/>
    <w:uiPriority w:val="39"/>
    <w:rsid w:val="002B3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3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737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C-BRAC-Coordinator@fema.d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F43B3-7A78-4EEA-9B3E-B233BDCD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3991</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Harrell, Levi</cp:lastModifiedBy>
  <cp:revision>2</cp:revision>
  <dcterms:created xsi:type="dcterms:W3CDTF">2020-03-31T18:27:00Z</dcterms:created>
  <dcterms:modified xsi:type="dcterms:W3CDTF">2020-03-31T18:27:00Z</dcterms:modified>
</cp:coreProperties>
</file>