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6A43" w:rsidR="00EB5E96" w:rsidP="006A0B1C" w:rsidRDefault="00EB5E96" w14:paraId="23838506" w14:textId="77777777">
      <w:pPr>
        <w:pStyle w:val="Title"/>
        <w:rPr>
          <w:sz w:val="24"/>
          <w:szCs w:val="24"/>
        </w:rPr>
      </w:pPr>
      <w:bookmarkStart w:name="_GoBack" w:id="0"/>
      <w:bookmarkEnd w:id="0"/>
      <w:r w:rsidRPr="00596A43">
        <w:rPr>
          <w:sz w:val="24"/>
          <w:szCs w:val="24"/>
        </w:rPr>
        <w:t>Supporting Statement for Paperwork Reduction Act Submissions</w:t>
      </w:r>
    </w:p>
    <w:p w:rsidRPr="00596A43" w:rsidR="00EB5E96" w:rsidP="000C4293" w:rsidRDefault="00EB5E96" w14:paraId="0792F90C" w14:textId="77777777">
      <w:pPr>
        <w:tabs>
          <w:tab w:val="left" w:pos="-720"/>
        </w:tabs>
        <w:suppressAutoHyphens/>
        <w:ind w:right="-720"/>
        <w:jc w:val="both"/>
        <w:rPr>
          <w:b/>
        </w:rPr>
      </w:pPr>
    </w:p>
    <w:p w:rsidR="00D84771" w:rsidP="00D84771" w:rsidRDefault="00EB5E96" w14:paraId="2C68E7E0" w14:textId="77777777">
      <w:pPr>
        <w:tabs>
          <w:tab w:val="left" w:pos="-720"/>
        </w:tabs>
        <w:suppressAutoHyphens/>
        <w:jc w:val="center"/>
        <w:rPr>
          <w:b/>
          <w:highlight w:val="yellow"/>
        </w:rPr>
      </w:pPr>
      <w:r w:rsidRPr="00596A43">
        <w:rPr>
          <w:b/>
        </w:rPr>
        <w:t>Title:</w:t>
      </w:r>
      <w:r w:rsidRPr="00D84771" w:rsidR="00D84771">
        <w:rPr>
          <w:b/>
          <w:highlight w:val="yellow"/>
        </w:rPr>
        <w:t xml:space="preserve"> </w:t>
      </w:r>
    </w:p>
    <w:p w:rsidR="00944D91" w:rsidP="00D73BBC" w:rsidRDefault="00D84771" w14:paraId="4F943DC9" w14:textId="77777777">
      <w:pPr>
        <w:tabs>
          <w:tab w:val="left" w:pos="-720"/>
        </w:tabs>
        <w:suppressAutoHyphens/>
        <w:jc w:val="center"/>
        <w:rPr>
          <w:b/>
        </w:rPr>
      </w:pPr>
      <w:r w:rsidRPr="00654846">
        <w:rPr>
          <w:b/>
        </w:rPr>
        <w:t xml:space="preserve">Clearance for the Collection of Information through </w:t>
      </w:r>
    </w:p>
    <w:p w:rsidR="00944D91" w:rsidP="00D73BBC" w:rsidRDefault="00944D91" w14:paraId="051337D1" w14:textId="77777777">
      <w:pPr>
        <w:tabs>
          <w:tab w:val="left" w:pos="-720"/>
        </w:tabs>
        <w:suppressAutoHyphens/>
        <w:jc w:val="center"/>
        <w:rPr>
          <w:b/>
        </w:rPr>
      </w:pPr>
    </w:p>
    <w:p w:rsidRPr="00654846" w:rsidR="00EB5E96" w:rsidP="00D73BBC" w:rsidRDefault="00451ECF" w14:paraId="4D5100B3" w14:textId="4A030F23">
      <w:pPr>
        <w:tabs>
          <w:tab w:val="left" w:pos="-720"/>
        </w:tabs>
        <w:suppressAutoHyphens/>
        <w:jc w:val="center"/>
        <w:rPr>
          <w:b/>
        </w:rPr>
      </w:pPr>
      <w:r>
        <w:rPr>
          <w:b/>
        </w:rPr>
        <w:t>CISA Reporting</w:t>
      </w:r>
      <w:r w:rsidR="008902BA">
        <w:rPr>
          <w:b/>
        </w:rPr>
        <w:t xml:space="preserve"> </w:t>
      </w:r>
      <w:r w:rsidR="00455114">
        <w:rPr>
          <w:b/>
        </w:rPr>
        <w:t>Forms</w:t>
      </w:r>
    </w:p>
    <w:p w:rsidRPr="00654846" w:rsidR="00EB5E96" w:rsidP="00D73BBC" w:rsidRDefault="00EB5E96" w14:paraId="3794C093" w14:textId="77777777">
      <w:pPr>
        <w:tabs>
          <w:tab w:val="left" w:pos="-720"/>
        </w:tabs>
        <w:suppressAutoHyphens/>
        <w:jc w:val="center"/>
        <w:rPr>
          <w:b/>
        </w:rPr>
      </w:pPr>
    </w:p>
    <w:p w:rsidRPr="00654846" w:rsidR="00EB5E96" w:rsidP="00D73BBC" w:rsidRDefault="00EB5E96" w14:paraId="60AC904E" w14:textId="77777777">
      <w:pPr>
        <w:tabs>
          <w:tab w:val="left" w:pos="-720"/>
        </w:tabs>
        <w:suppressAutoHyphens/>
        <w:jc w:val="center"/>
      </w:pPr>
      <w:r w:rsidRPr="00654846">
        <w:rPr>
          <w:b/>
        </w:rPr>
        <w:t xml:space="preserve">OMB Control Number:  </w:t>
      </w:r>
      <w:r w:rsidR="00127B83">
        <w:rPr>
          <w:b/>
        </w:rPr>
        <w:t>1670-</w:t>
      </w:r>
      <w:r w:rsidR="008A0E18">
        <w:rPr>
          <w:b/>
        </w:rPr>
        <w:t xml:space="preserve">0037 </w:t>
      </w:r>
    </w:p>
    <w:p w:rsidR="00D84771" w:rsidP="00D73BBC" w:rsidRDefault="00D84771" w14:paraId="5728F66C" w14:textId="77777777">
      <w:pPr>
        <w:tabs>
          <w:tab w:val="left" w:pos="-720"/>
        </w:tabs>
        <w:suppressAutoHyphens/>
        <w:jc w:val="center"/>
        <w:rPr>
          <w:b/>
        </w:rPr>
      </w:pPr>
    </w:p>
    <w:p w:rsidRPr="00CB393B" w:rsidR="009F06EB" w:rsidP="00D73BBC" w:rsidRDefault="009F06EB" w14:paraId="59827143" w14:textId="77777777">
      <w:pPr>
        <w:tabs>
          <w:tab w:val="left" w:pos="-720"/>
        </w:tabs>
        <w:suppressAutoHyphens/>
        <w:jc w:val="center"/>
        <w:rPr>
          <w:b/>
        </w:rPr>
      </w:pPr>
      <w:r w:rsidRPr="00CB393B">
        <w:rPr>
          <w:b/>
        </w:rPr>
        <w:t>Supporting Statement A</w:t>
      </w:r>
    </w:p>
    <w:p w:rsidRPr="00596A43" w:rsidR="009F06EB" w:rsidP="000C4293" w:rsidRDefault="009F06EB" w14:paraId="7C4003FC" w14:textId="77777777">
      <w:pPr>
        <w:tabs>
          <w:tab w:val="left" w:pos="-720"/>
        </w:tabs>
        <w:suppressAutoHyphens/>
        <w:jc w:val="both"/>
      </w:pPr>
    </w:p>
    <w:p w:rsidRPr="00596A43" w:rsidR="00EB5E96" w:rsidP="000C4293" w:rsidRDefault="00EB5E96" w14:paraId="3EE5C2EC" w14:textId="77777777">
      <w:pPr>
        <w:pStyle w:val="Heading1"/>
        <w:jc w:val="both"/>
        <w:rPr>
          <w:sz w:val="24"/>
          <w:szCs w:val="24"/>
        </w:rPr>
      </w:pPr>
      <w:r w:rsidRPr="00596A43">
        <w:rPr>
          <w:sz w:val="24"/>
          <w:szCs w:val="24"/>
        </w:rPr>
        <w:t>A.  Justification</w:t>
      </w:r>
    </w:p>
    <w:p w:rsidRPr="00596A43" w:rsidR="00EB5E96" w:rsidP="000C4293" w:rsidRDefault="00EB5E96" w14:paraId="0F73B2A0" w14:textId="77777777">
      <w:pPr>
        <w:tabs>
          <w:tab w:val="left" w:pos="-720"/>
        </w:tabs>
        <w:suppressAutoHyphens/>
        <w:jc w:val="both"/>
      </w:pPr>
    </w:p>
    <w:p w:rsidRPr="00596A43" w:rsidR="00EB5E96" w:rsidP="000C4293" w:rsidRDefault="00EB5E96" w14:paraId="64986443"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6A1756" w:rsidP="006A1756" w:rsidRDefault="006A1756" w14:paraId="454B4AC3" w14:textId="77777777">
      <w:pPr>
        <w:pStyle w:val="Default"/>
        <w:rPr>
          <w:color w:val="auto"/>
          <w:spacing w:val="-3"/>
        </w:rPr>
      </w:pPr>
    </w:p>
    <w:p w:rsidR="009A2A4A" w:rsidP="00BC447F" w:rsidRDefault="00BC447F" w14:paraId="747FEE4F" w14:textId="6EF4A0D0">
      <w:pPr>
        <w:pStyle w:val="Default"/>
      </w:pPr>
      <w:r>
        <w:rPr>
          <w:color w:val="auto"/>
          <w:spacing w:val="-3"/>
        </w:rPr>
        <w:t xml:space="preserve">Section </w:t>
      </w:r>
      <w:r w:rsidR="00E269F4">
        <w:rPr>
          <w:color w:val="auto"/>
          <w:spacing w:val="-3"/>
        </w:rPr>
        <w:t xml:space="preserve">2209 </w:t>
      </w:r>
      <w:r>
        <w:rPr>
          <w:color w:val="auto"/>
          <w:spacing w:val="-3"/>
        </w:rPr>
        <w:t>of the Homeland Security Act, as amended</w:t>
      </w:r>
      <w:r w:rsidR="007535E3">
        <w:rPr>
          <w:color w:val="auto"/>
          <w:spacing w:val="-3"/>
        </w:rPr>
        <w:t>,</w:t>
      </w:r>
      <w:r>
        <w:rPr>
          <w:color w:val="auto"/>
          <w:spacing w:val="-3"/>
        </w:rPr>
        <w:t xml:space="preserve"> established </w:t>
      </w:r>
      <w:r w:rsidR="007535E3">
        <w:rPr>
          <w:color w:val="auto"/>
          <w:spacing w:val="-3"/>
        </w:rPr>
        <w:t>a</w:t>
      </w:r>
      <w:r w:rsidRPr="00012844" w:rsidR="007535E3">
        <w:rPr>
          <w:color w:val="auto"/>
          <w:spacing w:val="-3"/>
        </w:rPr>
        <w:t xml:space="preserve"> </w:t>
      </w:r>
      <w:r w:rsidR="007535E3">
        <w:rPr>
          <w:color w:val="auto"/>
          <w:spacing w:val="-3"/>
        </w:rPr>
        <w:t>n</w:t>
      </w:r>
      <w:r w:rsidRPr="00012844" w:rsidR="007535E3">
        <w:rPr>
          <w:color w:val="auto"/>
          <w:spacing w:val="-3"/>
        </w:rPr>
        <w:t xml:space="preserve">ational </w:t>
      </w:r>
      <w:r w:rsidR="007535E3">
        <w:rPr>
          <w:color w:val="auto"/>
          <w:spacing w:val="-3"/>
        </w:rPr>
        <w:t>c</w:t>
      </w:r>
      <w:r w:rsidRPr="00012844" w:rsidR="00FC28F3">
        <w:rPr>
          <w:color w:val="auto"/>
          <w:spacing w:val="-3"/>
        </w:rPr>
        <w:t xml:space="preserve">ybersecurity </w:t>
      </w:r>
      <w:r w:rsidRPr="00012844">
        <w:rPr>
          <w:color w:val="auto"/>
          <w:spacing w:val="-3"/>
        </w:rPr>
        <w:t xml:space="preserve">and </w:t>
      </w:r>
      <w:r w:rsidR="007535E3">
        <w:rPr>
          <w:color w:val="auto"/>
          <w:spacing w:val="-3"/>
        </w:rPr>
        <w:t>c</w:t>
      </w:r>
      <w:r w:rsidRPr="00012844" w:rsidR="00FC28F3">
        <w:rPr>
          <w:color w:val="auto"/>
          <w:spacing w:val="-3"/>
        </w:rPr>
        <w:t xml:space="preserve">ommunications </w:t>
      </w:r>
      <w:r w:rsidR="007535E3">
        <w:rPr>
          <w:color w:val="auto"/>
          <w:spacing w:val="-3"/>
        </w:rPr>
        <w:t>i</w:t>
      </w:r>
      <w:r w:rsidRPr="00012844" w:rsidR="00FC28F3">
        <w:rPr>
          <w:color w:val="auto"/>
          <w:spacing w:val="-3"/>
        </w:rPr>
        <w:t xml:space="preserve">ntegration </w:t>
      </w:r>
      <w:r w:rsidR="007535E3">
        <w:rPr>
          <w:color w:val="auto"/>
          <w:spacing w:val="-3"/>
        </w:rPr>
        <w:t>c</w:t>
      </w:r>
      <w:r w:rsidRPr="00012844" w:rsidR="007535E3">
        <w:rPr>
          <w:color w:val="auto"/>
          <w:spacing w:val="-3"/>
        </w:rPr>
        <w:t xml:space="preserve">enter </w:t>
      </w:r>
      <w:r>
        <w:rPr>
          <w:color w:val="auto"/>
          <w:spacing w:val="-3"/>
        </w:rPr>
        <w:t xml:space="preserve">to function </w:t>
      </w:r>
      <w:r w:rsidR="008B6065">
        <w:rPr>
          <w:color w:val="auto"/>
          <w:spacing w:val="-3"/>
        </w:rPr>
        <w:t xml:space="preserve">as </w:t>
      </w:r>
      <w:r w:rsidRPr="001E7918">
        <w:t>“a Federal civilian interface for the multi-directional and cross-sector sharing of information related to cyber threat indicators,</w:t>
      </w:r>
      <w:r w:rsidRPr="001E7918">
        <w:rPr>
          <w:rStyle w:val="FootnoteReference"/>
        </w:rPr>
        <w:t xml:space="preserve"> </w:t>
      </w:r>
      <w:r w:rsidRPr="001E7918">
        <w:t xml:space="preserve"> defensive measures,</w:t>
      </w:r>
      <w:r w:rsidRPr="001E7918">
        <w:rPr>
          <w:rStyle w:val="FootnoteReference"/>
        </w:rPr>
        <w:t xml:space="preserve"> </w:t>
      </w:r>
      <w:r w:rsidRPr="001E7918">
        <w:t xml:space="preserve">cybersecurity risks, incidents, analysis, and warnings for Federal and non-Federal entities.”  </w:t>
      </w:r>
      <w:r w:rsidRPr="006E4084">
        <w:t>6 U.S.C. § </w:t>
      </w:r>
      <w:r w:rsidRPr="006E4084" w:rsidR="00E269F4">
        <w:t>659</w:t>
      </w:r>
      <w:r w:rsidRPr="006E4084">
        <w:t>(c)(1)</w:t>
      </w:r>
      <w:r w:rsidRPr="006E4084">
        <w:rPr>
          <w:color w:val="auto"/>
          <w:lang w:val="en"/>
        </w:rPr>
        <w:t>.</w:t>
      </w:r>
      <w:r w:rsidRPr="00654846">
        <w:rPr>
          <w:color w:val="auto"/>
          <w:lang w:val="en"/>
        </w:rPr>
        <w:t xml:space="preserve"> </w:t>
      </w:r>
      <w:r w:rsidRPr="00BF448F">
        <w:t xml:space="preserve"> </w:t>
      </w:r>
      <w:r w:rsidRPr="002E0E31">
        <w:t>The</w:t>
      </w:r>
      <w:r w:rsidRPr="00FF4980">
        <w:rPr>
          <w:rStyle w:val="Hyperlink"/>
          <w:u w:val="none"/>
        </w:rPr>
        <w:t xml:space="preserve"> </w:t>
      </w:r>
      <w:r w:rsidRPr="002E0E31">
        <w:rPr>
          <w:rStyle w:val="Hyperlink"/>
          <w:color w:val="auto"/>
          <w:u w:val="none"/>
        </w:rPr>
        <w:t>Federal Information Security Modernization Act of 2014</w:t>
      </w:r>
      <w:r>
        <w:rPr>
          <w:rStyle w:val="Hyperlink"/>
          <w:color w:val="auto"/>
          <w:u w:val="none"/>
        </w:rPr>
        <w:t xml:space="preserve"> (FISMA)</w:t>
      </w:r>
      <w:r w:rsidRPr="001E7918">
        <w:t xml:space="preserve"> require</w:t>
      </w:r>
      <w:r w:rsidR="004522B0">
        <w:t>s</w:t>
      </w:r>
      <w:r w:rsidRPr="001E7918">
        <w:t xml:space="preserve"> the Department to operate </w:t>
      </w:r>
      <w:r w:rsidRPr="001E7918" w:rsidR="004522B0">
        <w:t>a federal information security incident center</w:t>
      </w:r>
      <w:r w:rsidRPr="001E7918">
        <w:t>.</w:t>
      </w:r>
      <w:r w:rsidR="009A2A4A">
        <w:t xml:space="preserve">  </w:t>
      </w:r>
      <w:r w:rsidRPr="0027733D">
        <w:t>44 U.S.C. § 3556(a).</w:t>
      </w:r>
      <w:r w:rsidRPr="001E7918">
        <w:t xml:space="preserve">  </w:t>
      </w:r>
    </w:p>
    <w:p w:rsidR="009A2A4A" w:rsidP="00BC447F" w:rsidRDefault="009A2A4A" w14:paraId="6AE633E0" w14:textId="77777777">
      <w:pPr>
        <w:pStyle w:val="Default"/>
      </w:pPr>
    </w:p>
    <w:p w:rsidR="00BC447F" w:rsidP="00BC447F" w:rsidRDefault="00CB199B" w14:paraId="1C60F6DD" w14:textId="23EA335C">
      <w:pPr>
        <w:pStyle w:val="Default"/>
      </w:pPr>
      <w:r>
        <w:t>The Cybersecurity and Infrastructure Security Agency (</w:t>
      </w:r>
      <w:r w:rsidR="00425E61">
        <w:t>CISA</w:t>
      </w:r>
      <w:r>
        <w:t>)</w:t>
      </w:r>
      <w:r w:rsidR="00425E61">
        <w:t xml:space="preserve"> operates</w:t>
      </w:r>
      <w:r w:rsidRPr="001E7918" w:rsidR="00BC447F">
        <w:t xml:space="preserve"> the federal information security incident center.</w:t>
      </w:r>
      <w:r w:rsidR="00AF2EEC">
        <w:t xml:space="preserve"> </w:t>
      </w:r>
      <w:r w:rsidRPr="001E7918" w:rsidR="00BC447F">
        <w:t xml:space="preserve">Through this center, </w:t>
      </w:r>
      <w:r w:rsidR="00711A48">
        <w:t>CISA</w:t>
      </w:r>
      <w:r w:rsidRPr="001E7918" w:rsidR="00BC447F">
        <w:t xml:space="preserve"> provide</w:t>
      </w:r>
      <w:r w:rsidR="00711A48">
        <w:t>s</w:t>
      </w:r>
      <w:r w:rsidRPr="001E7918" w:rsidR="00BC447F">
        <w:t xml:space="preserve"> technical assistance and guidance on detecting and handling security incidents, compile and analyze incident information that threatens information security, inform agencies of current and potential threats and vulnerabilities, </w:t>
      </w:r>
      <w:r w:rsidR="00BC447F">
        <w:t xml:space="preserve">and </w:t>
      </w:r>
      <w:r w:rsidRPr="001E7918" w:rsidR="00BC447F">
        <w:t>provide intelligence or other information about cyber threats, vulnerabilities, and incidents to agencies</w:t>
      </w:r>
      <w:r w:rsidR="00BC447F">
        <w:t xml:space="preserve">.  </w:t>
      </w:r>
      <w:r w:rsidRPr="006448E0" w:rsidR="00BC447F">
        <w:t>44 U.S.C. § 3556(a)</w:t>
      </w:r>
      <w:r w:rsidR="00303765">
        <w:t xml:space="preserve">, see also </w:t>
      </w:r>
      <w:r w:rsidR="005B3F5E">
        <w:t>6 U.S.C. §659(c) (providing for cybersecurity services for both</w:t>
      </w:r>
      <w:r w:rsidR="00C16B12">
        <w:t xml:space="preserve"> Federal Government and non-Federal Government entities)</w:t>
      </w:r>
      <w:r w:rsidRPr="00654846" w:rsidR="00BC447F">
        <w:rPr>
          <w:color w:val="auto"/>
          <w:spacing w:val="-3"/>
        </w:rPr>
        <w:t xml:space="preserve">. </w:t>
      </w:r>
      <w:r w:rsidR="00BC447F">
        <w:t xml:space="preserve">FISMA also </w:t>
      </w:r>
      <w:r w:rsidRPr="001E7918" w:rsidR="00BC447F">
        <w:t>require</w:t>
      </w:r>
      <w:r w:rsidR="004522B0">
        <w:t xml:space="preserve">s the Department, operating through CISA, to set </w:t>
      </w:r>
      <w:r w:rsidR="00C3085F">
        <w:t>reporting requirement</w:t>
      </w:r>
      <w:r w:rsidR="00A76198">
        <w:t>s</w:t>
      </w:r>
      <w:r w:rsidR="00C3085F">
        <w:t xml:space="preserve"> for </w:t>
      </w:r>
      <w:r w:rsidRPr="001E7918" w:rsidR="00BC447F">
        <w:t>information security incidents, major incidents, and data breaches</w:t>
      </w:r>
      <w:r w:rsidR="00BC447F">
        <w:t xml:space="preserve"> to </w:t>
      </w:r>
      <w:r w:rsidR="006726EF">
        <w:t>the federal information security incident center</w:t>
      </w:r>
      <w:r w:rsidRPr="001E7918" w:rsidR="00BC447F">
        <w:t xml:space="preserve">.  </w:t>
      </w:r>
      <w:r w:rsidRPr="006448E0" w:rsidR="00BC447F">
        <w:t>44 U.S.C. § 3556</w:t>
      </w:r>
      <w:r w:rsidR="00C72C01">
        <w:t xml:space="preserve"> and § </w:t>
      </w:r>
      <w:r w:rsidRPr="006448E0" w:rsidR="004522B0">
        <w:t>355</w:t>
      </w:r>
      <w:r w:rsidR="00735A20">
        <w:t>3</w:t>
      </w:r>
      <w:r w:rsidRPr="006448E0" w:rsidR="00BC447F">
        <w:t>(b)</w:t>
      </w:r>
      <w:r w:rsidR="004522B0">
        <w:t>(2)(A)</w:t>
      </w:r>
      <w:r w:rsidRPr="001E7918" w:rsidR="00BC447F">
        <w:t xml:space="preserve"> (information security incidents)</w:t>
      </w:r>
      <w:r w:rsidR="00592EA8">
        <w:t>;</w:t>
      </w:r>
      <w:r w:rsidR="004C6F0C">
        <w:t xml:space="preserve"> </w:t>
      </w:r>
      <w:r w:rsidRPr="0027733D" w:rsidR="00BC447F">
        <w:t>44 U.S.C. § 3554(b)(7)(C)(iii)(III</w:t>
      </w:r>
      <w:r w:rsidRPr="006448E0" w:rsidR="00BC447F">
        <w:t>) (major incid</w:t>
      </w:r>
      <w:r w:rsidRPr="006E4084" w:rsidR="00BC447F">
        <w:t>ents); Pub. L. No. 113-283</w:t>
      </w:r>
      <w:r w:rsidRPr="006448E0" w:rsidR="00BC447F">
        <w:t>, §</w:t>
      </w:r>
      <w:r w:rsidR="00926B21">
        <w:t xml:space="preserve"> </w:t>
      </w:r>
      <w:r w:rsidRPr="006448E0" w:rsidR="00BC447F">
        <w:t>2(d) (2014)</w:t>
      </w:r>
      <w:r w:rsidRPr="001E7918" w:rsidR="00BC447F">
        <w:t xml:space="preserve"> (codified at </w:t>
      </w:r>
      <w:r w:rsidRPr="0027733D" w:rsidR="00BC447F">
        <w:t>44 U.S.C. § 3553</w:t>
      </w:r>
      <w:r w:rsidRPr="001E7918" w:rsidR="00BC447F">
        <w:t>, note (Breaches)).</w:t>
      </w:r>
      <w:r w:rsidR="00BC447F">
        <w:t xml:space="preserve">  The Cybersecurity Information Sharing Act of 2015 (CISA</w:t>
      </w:r>
      <w:r w:rsidR="00926B21">
        <w:t xml:space="preserve"> 2015</w:t>
      </w:r>
      <w:r w:rsidR="00BC447F">
        <w:t>)</w:t>
      </w:r>
      <w:r w:rsidRPr="00640F5F" w:rsidR="00BC447F">
        <w:t xml:space="preserve"> r</w:t>
      </w:r>
      <w:r w:rsidR="00BC447F">
        <w:t>equires</w:t>
      </w:r>
      <w:r w:rsidRPr="00640F5F" w:rsidR="00BC447F">
        <w:t xml:space="preserve"> DHS, in consultation with interagency partners, to establish </w:t>
      </w:r>
      <w:r w:rsidR="00BC447F">
        <w:t xml:space="preserve">the Federal Government’s </w:t>
      </w:r>
      <w:r w:rsidRPr="00640F5F" w:rsidR="00BC447F">
        <w:t xml:space="preserve">capability and process for </w:t>
      </w:r>
      <w:r w:rsidR="00BC447F">
        <w:t xml:space="preserve">receiving </w:t>
      </w:r>
      <w:r w:rsidRPr="00640F5F" w:rsidR="00BC447F">
        <w:t xml:space="preserve">cyber threat indicators </w:t>
      </w:r>
      <w:r w:rsidR="00BC447F">
        <w:t xml:space="preserve">and defensive measures, and directs DHS to further share cyber threat indicators and defensive measures it receives with certain </w:t>
      </w:r>
      <w:r w:rsidRPr="00640F5F" w:rsidR="00BC447F">
        <w:t>federal entities</w:t>
      </w:r>
      <w:r w:rsidRPr="001D2931" w:rsidR="00BC447F">
        <w:t xml:space="preserve"> </w:t>
      </w:r>
      <w:r w:rsidRPr="00640F5F" w:rsidR="00BC447F">
        <w:t>in an auto</w:t>
      </w:r>
      <w:r w:rsidR="00BC447F">
        <w:t>mated and real-time manner</w:t>
      </w:r>
      <w:r w:rsidRPr="00640F5F" w:rsidR="00BC447F">
        <w:t xml:space="preserve">. </w:t>
      </w:r>
      <w:r w:rsidRPr="0027733D" w:rsidR="00BC447F">
        <w:t>6 U.S.C. § 1504(c).</w:t>
      </w:r>
      <w:r w:rsidR="00640D04">
        <w:t xml:space="preserve"> </w:t>
      </w:r>
    </w:p>
    <w:p w:rsidRPr="003666E3" w:rsidR="003666E3" w:rsidP="00CE14C5" w:rsidRDefault="001351FC" w14:paraId="4EEB31B5" w14:textId="77777777">
      <w:pPr>
        <w:spacing w:before="120" w:after="120"/>
      </w:pPr>
      <w:r>
        <w:rPr>
          <w:spacing w:val="-3"/>
        </w:rPr>
        <w:br w:type="page"/>
      </w:r>
      <w:r w:rsidR="00DE4B5A">
        <w:rPr>
          <w:spacing w:val="-3"/>
        </w:rPr>
        <w:lastRenderedPageBreak/>
        <w:t>CISA’s</w:t>
      </w:r>
      <w:r w:rsidRPr="003666E3" w:rsidR="00DE4B5A">
        <w:t xml:space="preserve"> </w:t>
      </w:r>
      <w:r w:rsidRPr="003666E3" w:rsidR="003666E3">
        <w:t>critical mission activities include:</w:t>
      </w:r>
    </w:p>
    <w:p w:rsidRPr="003666E3" w:rsidR="003666E3" w:rsidP="00CE14C5" w:rsidRDefault="003666E3" w14:paraId="2FDEDA27" w14:textId="77777777">
      <w:pPr>
        <w:numPr>
          <w:ilvl w:val="0"/>
          <w:numId w:val="31"/>
        </w:numPr>
        <w:spacing w:before="120" w:after="120"/>
      </w:pPr>
      <w:r w:rsidRPr="003666E3">
        <w:t>Providing cybersecurity protection to Federal civilian executive branch agencies through intrusion detection and prevention capabilities.</w:t>
      </w:r>
    </w:p>
    <w:p w:rsidRPr="003666E3" w:rsidR="003666E3" w:rsidP="00CE14C5" w:rsidRDefault="003666E3" w14:paraId="1363C524" w14:textId="77777777">
      <w:pPr>
        <w:numPr>
          <w:ilvl w:val="0"/>
          <w:numId w:val="31"/>
        </w:numPr>
        <w:spacing w:before="120" w:after="120"/>
      </w:pPr>
      <w:r w:rsidRPr="003666E3">
        <w:t>Developing timely and actionable information for distribution to federal departments and agencies; state, local, tribal and territorial (SLTT) governments; critical infrastructure owners and operators; private industry; and international organizations.</w:t>
      </w:r>
    </w:p>
    <w:p w:rsidRPr="003666E3" w:rsidR="003666E3" w:rsidP="00CE14C5" w:rsidRDefault="003666E3" w14:paraId="758EA7AD" w14:textId="77777777">
      <w:pPr>
        <w:numPr>
          <w:ilvl w:val="0"/>
          <w:numId w:val="31"/>
        </w:numPr>
        <w:spacing w:before="120" w:after="120"/>
      </w:pPr>
      <w:r w:rsidRPr="003666E3">
        <w:t>Responding to incidents and analyzing data about emerging cyber threats.</w:t>
      </w:r>
    </w:p>
    <w:p w:rsidR="00FC28F3" w:rsidP="00CE14C5" w:rsidRDefault="003666E3" w14:paraId="7CC3A17D" w14:textId="77777777">
      <w:pPr>
        <w:numPr>
          <w:ilvl w:val="0"/>
          <w:numId w:val="33"/>
        </w:numPr>
        <w:spacing w:before="120" w:after="120"/>
      </w:pPr>
      <w:r w:rsidRPr="003666E3">
        <w:t>Collaborating with foreign governments and international entities to enhance the nation’s cybersecurity posture.</w:t>
      </w:r>
      <w:r w:rsidR="00FC28F3">
        <w:t xml:space="preserve"> </w:t>
      </w:r>
    </w:p>
    <w:p w:rsidR="003666E3" w:rsidP="00CE14C5" w:rsidRDefault="003666E3" w14:paraId="78172C2C" w14:textId="77777777">
      <w:pPr>
        <w:numPr>
          <w:ilvl w:val="0"/>
          <w:numId w:val="33"/>
        </w:numPr>
        <w:spacing w:before="120" w:after="120"/>
      </w:pPr>
      <w:r>
        <w:t>Responding to and analyzing control systems-related incidents</w:t>
      </w:r>
      <w:r w:rsidR="00FC28F3">
        <w:t>.</w:t>
      </w:r>
    </w:p>
    <w:p w:rsidR="003666E3" w:rsidP="00CE14C5" w:rsidRDefault="003666E3" w14:paraId="2C068640" w14:textId="77777777">
      <w:pPr>
        <w:numPr>
          <w:ilvl w:val="0"/>
          <w:numId w:val="33"/>
        </w:numPr>
        <w:spacing w:before="120" w:after="120"/>
      </w:pPr>
      <w:r>
        <w:t>Conducting vulnerability, malware, and digital media analysis</w:t>
      </w:r>
      <w:r w:rsidR="00FC28F3">
        <w:t>.</w:t>
      </w:r>
    </w:p>
    <w:p w:rsidR="003666E3" w:rsidP="00CE14C5" w:rsidRDefault="003666E3" w14:paraId="11591F3E" w14:textId="77777777">
      <w:pPr>
        <w:numPr>
          <w:ilvl w:val="0"/>
          <w:numId w:val="33"/>
        </w:numPr>
        <w:spacing w:before="120" w:after="120"/>
      </w:pPr>
      <w:r>
        <w:t>Providing onsite incident response services</w:t>
      </w:r>
      <w:r w:rsidR="00FC28F3">
        <w:t>.</w:t>
      </w:r>
    </w:p>
    <w:p w:rsidR="003666E3" w:rsidP="00CE14C5" w:rsidRDefault="003666E3" w14:paraId="231046C5" w14:textId="77777777">
      <w:pPr>
        <w:numPr>
          <w:ilvl w:val="0"/>
          <w:numId w:val="33"/>
        </w:numPr>
        <w:spacing w:before="120" w:after="120"/>
      </w:pPr>
      <w:r>
        <w:t>Providing situational awareness in the form of actionable intelligence</w:t>
      </w:r>
      <w:r w:rsidR="00FC28F3">
        <w:t>.</w:t>
      </w:r>
    </w:p>
    <w:p w:rsidR="003666E3" w:rsidP="00CE14C5" w:rsidRDefault="003666E3" w14:paraId="4277C4B7" w14:textId="77777777">
      <w:pPr>
        <w:numPr>
          <w:ilvl w:val="0"/>
          <w:numId w:val="33"/>
        </w:numPr>
        <w:spacing w:before="120" w:after="120"/>
      </w:pPr>
      <w:r>
        <w:t>Coordinating the responsible disclosure of vulnerabilities and associated mitigations</w:t>
      </w:r>
      <w:r w:rsidR="00FC28F3">
        <w:t>.</w:t>
      </w:r>
    </w:p>
    <w:p w:rsidRPr="009F03F8" w:rsidR="000E7B5C" w:rsidP="00CE14C5" w:rsidRDefault="003666E3" w14:paraId="07C26F75" w14:textId="77777777">
      <w:pPr>
        <w:numPr>
          <w:ilvl w:val="0"/>
          <w:numId w:val="33"/>
        </w:numPr>
        <w:spacing w:before="120" w:after="120"/>
        <w:rPr>
          <w:i/>
        </w:rPr>
      </w:pPr>
      <w:r>
        <w:t>Sharing and coordinating vulnerability information and threat analysis through information products and alerts.</w:t>
      </w:r>
    </w:p>
    <w:p w:rsidR="009F03F8" w:rsidP="0061469D" w:rsidRDefault="00DE4B5A" w14:paraId="493AA037" w14:textId="2402A791">
      <w:pPr>
        <w:pStyle w:val="Default"/>
        <w:rPr>
          <w:rFonts w:cs="Joanna MT"/>
        </w:rPr>
      </w:pPr>
      <w:r>
        <w:rPr>
          <w:rFonts w:cs="Joanna MT"/>
        </w:rPr>
        <w:t>CISA</w:t>
      </w:r>
      <w:r w:rsidRPr="00654846">
        <w:rPr>
          <w:rFonts w:cs="Joanna MT"/>
        </w:rPr>
        <w:t xml:space="preserve"> </w:t>
      </w:r>
      <w:r w:rsidRPr="00654846" w:rsidR="00122E51">
        <w:rPr>
          <w:rFonts w:cs="Joanna MT"/>
        </w:rPr>
        <w:t xml:space="preserve">is responsible for performing, coordinating, and supporting response to </w:t>
      </w:r>
      <w:r w:rsidRPr="00654846" w:rsidR="002E0AB9">
        <w:rPr>
          <w:rFonts w:cs="Joanna MT"/>
        </w:rPr>
        <w:t>information s</w:t>
      </w:r>
      <w:r w:rsidRPr="00654846" w:rsidR="00122E51">
        <w:rPr>
          <w:rFonts w:cs="Joanna MT"/>
        </w:rPr>
        <w:t>ecurity incidents</w:t>
      </w:r>
      <w:r w:rsidRPr="00654846" w:rsidR="002E0AB9">
        <w:rPr>
          <w:rFonts w:cs="Joanna MT"/>
        </w:rPr>
        <w:t xml:space="preserve">, which may originate outside the Federal community and affect users within it, or originate within the Federal community and affect users outside of it. Often, therefore, the effective handling of security incidents relies on information sharing among individual users, industry, </w:t>
      </w:r>
      <w:r w:rsidRPr="00654846" w:rsidR="007B5A8A">
        <w:rPr>
          <w:rFonts w:cs="Joanna MT"/>
        </w:rPr>
        <w:t xml:space="preserve">and </w:t>
      </w:r>
      <w:r w:rsidRPr="00654846" w:rsidR="002E0AB9">
        <w:rPr>
          <w:rFonts w:cs="Joanna MT"/>
        </w:rPr>
        <w:t>the Federal Government</w:t>
      </w:r>
      <w:r w:rsidRPr="00654846" w:rsidR="007B5A8A">
        <w:rPr>
          <w:rFonts w:cs="Joanna MT"/>
        </w:rPr>
        <w:t>, which may be facilitated by and through</w:t>
      </w:r>
      <w:r w:rsidRPr="00654846" w:rsidR="0055368D">
        <w:rPr>
          <w:rFonts w:cs="Joanna MT"/>
        </w:rPr>
        <w:t xml:space="preserve"> </w:t>
      </w:r>
      <w:r w:rsidR="00425E61">
        <w:rPr>
          <w:rFonts w:cs="Joanna MT"/>
        </w:rPr>
        <w:t>CISA</w:t>
      </w:r>
      <w:r w:rsidR="00FF7626">
        <w:rPr>
          <w:rFonts w:cs="Joanna MT"/>
        </w:rPr>
        <w:t>.</w:t>
      </w:r>
    </w:p>
    <w:p w:rsidRPr="00654846" w:rsidR="00FF7626" w:rsidP="0061469D" w:rsidRDefault="00FF7626" w14:paraId="14E320DF" w14:textId="77777777">
      <w:pPr>
        <w:pStyle w:val="Default"/>
        <w:rPr>
          <w:rFonts w:cs="Joanna MT"/>
        </w:rPr>
      </w:pPr>
    </w:p>
    <w:p w:rsidRPr="00654846" w:rsidR="00990F0B" w:rsidP="00990F0B" w:rsidRDefault="00425E61" w14:paraId="6921271C" w14:textId="28F5B01B">
      <w:pPr>
        <w:pStyle w:val="Default"/>
        <w:rPr>
          <w:u w:val="single"/>
        </w:rPr>
      </w:pPr>
      <w:r>
        <w:t>Per</w:t>
      </w:r>
      <w:r w:rsidRPr="00654846" w:rsidR="0061469D">
        <w:t xml:space="preserve"> the Federal Information Security Modernization Act of 2014</w:t>
      </w:r>
      <w:r>
        <w:t>, CISA operates the Federal information security incident center for the United States federal government</w:t>
      </w:r>
      <w:r w:rsidRPr="00654846" w:rsidR="0086268B">
        <w:rPr>
          <w:rStyle w:val="privacy1"/>
          <w:rFonts w:ascii="Times New Roman" w:hAnsi="Times New Roman" w:cs="Times New Roman"/>
        </w:rPr>
        <w:t>.</w:t>
      </w:r>
      <w:r w:rsidRPr="00654846" w:rsidR="0061469D">
        <w:t xml:space="preserve"> </w:t>
      </w:r>
      <w:r w:rsidR="00A13D1A">
        <w:t>Although e</w:t>
      </w:r>
      <w:r w:rsidRPr="00654846" w:rsidR="0061469D">
        <w:t xml:space="preserve">ach federal agency is required to notify and consult with </w:t>
      </w:r>
      <w:r>
        <w:t>CISA</w:t>
      </w:r>
      <w:r w:rsidRPr="00654846">
        <w:t xml:space="preserve"> </w:t>
      </w:r>
      <w:r w:rsidRPr="00654846" w:rsidR="0061469D">
        <w:t>regarding information security incidents involving</w:t>
      </w:r>
      <w:r w:rsidR="006011C5">
        <w:t xml:space="preserve"> federal information systems</w:t>
      </w:r>
      <w:r w:rsidR="00A13D1A">
        <w:t xml:space="preserve">, </w:t>
      </w:r>
      <w:r w:rsidR="00A46864">
        <w:t>p</w:t>
      </w:r>
      <w:r w:rsidR="00A13D1A">
        <w:t xml:space="preserve">eople and </w:t>
      </w:r>
      <w:r w:rsidRPr="00654846" w:rsidR="0061469D">
        <w:t>entities</w:t>
      </w:r>
      <w:r w:rsidR="00A13D1A">
        <w:t xml:space="preserve"> outside the Federal Government </w:t>
      </w:r>
      <w:r w:rsidR="009B17F8">
        <w:t>also</w:t>
      </w:r>
      <w:r w:rsidRPr="00654846" w:rsidR="0061469D">
        <w:t xml:space="preserve"> report incident information to </w:t>
      </w:r>
      <w:r>
        <w:t>CISA</w:t>
      </w:r>
      <w:r w:rsidRPr="00654846" w:rsidR="0061469D">
        <w:t xml:space="preserve">. </w:t>
      </w:r>
      <w:r w:rsidR="00446EAA">
        <w:rPr>
          <w:rFonts w:cs="Joanna MT"/>
        </w:rPr>
        <w:t xml:space="preserve">Some </w:t>
      </w:r>
      <w:r w:rsidR="000C4472">
        <w:rPr>
          <w:rFonts w:cs="Joanna MT"/>
        </w:rPr>
        <w:t>outside</w:t>
      </w:r>
      <w:r w:rsidR="00446EAA">
        <w:rPr>
          <w:rFonts w:cs="Joanna MT"/>
        </w:rPr>
        <w:t xml:space="preserve"> entities provide cybersecurity incident reports to CISA to meet regulatory requirements</w:t>
      </w:r>
      <w:r w:rsidR="005F09A3">
        <w:rPr>
          <w:rFonts w:cs="Joanna MT"/>
        </w:rPr>
        <w:t xml:space="preserve"> imposed by </w:t>
      </w:r>
      <w:r w:rsidR="00820752">
        <w:rPr>
          <w:rFonts w:cs="Joanna MT"/>
        </w:rPr>
        <w:t xml:space="preserve">the </w:t>
      </w:r>
      <w:r w:rsidR="005F09A3">
        <w:rPr>
          <w:rFonts w:cs="Joanna MT"/>
        </w:rPr>
        <w:t>regulators</w:t>
      </w:r>
      <w:r w:rsidR="00136B20">
        <w:rPr>
          <w:rFonts w:cs="Joanna MT"/>
        </w:rPr>
        <w:t xml:space="preserve"> of the entities</w:t>
      </w:r>
      <w:r w:rsidR="00446EAA">
        <w:rPr>
          <w:rFonts w:cs="Joanna MT"/>
        </w:rPr>
        <w:t xml:space="preserve">.  </w:t>
      </w:r>
      <w:r w:rsidR="00A41871">
        <w:t xml:space="preserve"> </w:t>
      </w:r>
    </w:p>
    <w:p w:rsidRPr="00654846" w:rsidR="0061469D" w:rsidP="0061469D" w:rsidRDefault="0061469D" w14:paraId="37E641CD" w14:textId="77777777">
      <w:pPr>
        <w:pStyle w:val="Default"/>
        <w:rPr>
          <w:color w:val="auto"/>
        </w:rPr>
      </w:pPr>
    </w:p>
    <w:p w:rsidRPr="0086268B" w:rsidR="00CF7855" w:rsidP="00CF7855" w:rsidRDefault="00DE4B5A" w14:paraId="17772D24" w14:textId="60CD3BCD">
      <w:pPr>
        <w:pStyle w:val="Default"/>
        <w:rPr>
          <w:spacing w:val="-3"/>
        </w:rPr>
      </w:pPr>
      <w:r>
        <w:rPr>
          <w:spacing w:val="-3"/>
        </w:rPr>
        <w:t>CISA’s</w:t>
      </w:r>
      <w:r w:rsidR="00882707">
        <w:rPr>
          <w:spacing w:val="-3"/>
        </w:rPr>
        <w:t xml:space="preserve"> website (at </w:t>
      </w:r>
      <w:r w:rsidRPr="00654846" w:rsidR="00550FCB">
        <w:rPr>
          <w:spacing w:val="-3"/>
        </w:rPr>
        <w:t>US-CERT</w:t>
      </w:r>
      <w:r w:rsidR="00882707">
        <w:rPr>
          <w:spacing w:val="-3"/>
        </w:rPr>
        <w:t>.</w:t>
      </w:r>
      <w:r w:rsidR="00370570">
        <w:rPr>
          <w:spacing w:val="-3"/>
        </w:rPr>
        <w:t>cisa.</w:t>
      </w:r>
      <w:r w:rsidR="00882707">
        <w:rPr>
          <w:spacing w:val="-3"/>
        </w:rPr>
        <w:t>gov)</w:t>
      </w:r>
      <w:r w:rsidRPr="00654846" w:rsidR="00550FCB">
        <w:rPr>
          <w:spacing w:val="-3"/>
        </w:rPr>
        <w:t xml:space="preserve"> is </w:t>
      </w:r>
      <w:r w:rsidR="009407EA">
        <w:rPr>
          <w:spacing w:val="-3"/>
        </w:rPr>
        <w:t>a</w:t>
      </w:r>
      <w:r w:rsidRPr="00654846" w:rsidR="00550FCB">
        <w:rPr>
          <w:spacing w:val="-3"/>
        </w:rPr>
        <w:t xml:space="preserve"> primary </w:t>
      </w:r>
      <w:r w:rsidRPr="00654846" w:rsidR="00E73B0A">
        <w:rPr>
          <w:spacing w:val="-3"/>
        </w:rPr>
        <w:t>tool used by</w:t>
      </w:r>
      <w:r w:rsidRPr="00654846" w:rsidR="00E73B0A">
        <w:rPr>
          <w:rFonts w:cs="Joanna MT"/>
        </w:rPr>
        <w:t xml:space="preserve"> constituents</w:t>
      </w:r>
      <w:r w:rsidRPr="00654846" w:rsidR="0055368D">
        <w:rPr>
          <w:rFonts w:cs="Joanna MT"/>
        </w:rPr>
        <w:t xml:space="preserve"> </w:t>
      </w:r>
      <w:r w:rsidRPr="00654846" w:rsidR="00550FCB">
        <w:rPr>
          <w:spacing w:val="-3"/>
        </w:rPr>
        <w:t xml:space="preserve">to </w:t>
      </w:r>
      <w:r w:rsidRPr="00654846" w:rsidR="00E73B0A">
        <w:rPr>
          <w:spacing w:val="-3"/>
        </w:rPr>
        <w:t xml:space="preserve">report incident information, access information sharing products and services, and interact with </w:t>
      </w:r>
      <w:r>
        <w:rPr>
          <w:spacing w:val="-3"/>
        </w:rPr>
        <w:t>CISA</w:t>
      </w:r>
      <w:r w:rsidRPr="00654846" w:rsidR="00E73B0A">
        <w:rPr>
          <w:spacing w:val="-3"/>
        </w:rPr>
        <w:t xml:space="preserve">. </w:t>
      </w:r>
      <w:r w:rsidRPr="00654846" w:rsidR="00130DE9">
        <w:rPr>
          <w:spacing w:val="-3"/>
        </w:rPr>
        <w:t>Constituents</w:t>
      </w:r>
      <w:r w:rsidR="00677CFC">
        <w:rPr>
          <w:spacing w:val="-3"/>
        </w:rPr>
        <w:t>, which may include anyone or any entity in the public,</w:t>
      </w:r>
      <w:r w:rsidRPr="00654846" w:rsidR="00130DE9">
        <w:rPr>
          <w:spacing w:val="-3"/>
        </w:rPr>
        <w:t xml:space="preserve"> use forms</w:t>
      </w:r>
      <w:r w:rsidRPr="00654846" w:rsidR="00550FCB">
        <w:rPr>
          <w:spacing w:val="-3"/>
        </w:rPr>
        <w:t xml:space="preserve"> located on the website </w:t>
      </w:r>
      <w:r w:rsidRPr="00654846" w:rsidR="00130DE9">
        <w:rPr>
          <w:spacing w:val="-3"/>
        </w:rPr>
        <w:t xml:space="preserve">to </w:t>
      </w:r>
      <w:r w:rsidRPr="00654846" w:rsidR="0061298A">
        <w:rPr>
          <w:spacing w:val="-3"/>
        </w:rPr>
        <w:t>complete these activities</w:t>
      </w:r>
      <w:r w:rsidRPr="00654846" w:rsidR="00130DE9">
        <w:rPr>
          <w:spacing w:val="-3"/>
        </w:rPr>
        <w:t>.</w:t>
      </w:r>
      <w:r w:rsidRPr="0086268B" w:rsidR="00130DE9">
        <w:rPr>
          <w:spacing w:val="-3"/>
        </w:rPr>
        <w:t xml:space="preserve"> </w:t>
      </w:r>
    </w:p>
    <w:p w:rsidRPr="0086268B" w:rsidR="00CF7855" w:rsidP="00CF7855" w:rsidRDefault="00CF7855" w14:paraId="520B857C" w14:textId="77777777">
      <w:pPr>
        <w:pStyle w:val="Default"/>
        <w:rPr>
          <w:i/>
          <w:spacing w:val="-3"/>
        </w:rPr>
      </w:pPr>
    </w:p>
    <w:p w:rsidRPr="00596A43" w:rsidR="00EB5E96" w:rsidP="000C4293" w:rsidRDefault="00EB5E96" w14:paraId="1F0CC3D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rsidR="006A1756" w:rsidP="006A1756" w:rsidRDefault="006A1756" w14:paraId="47C29248" w14:textId="77777777">
      <w:pPr>
        <w:pStyle w:val="Default"/>
        <w:rPr>
          <w:rFonts w:cs="Joanna MT"/>
        </w:rPr>
      </w:pPr>
    </w:p>
    <w:p w:rsidRPr="0086268B" w:rsidR="006A1756" w:rsidP="006A1756" w:rsidRDefault="006A1756" w14:paraId="0E72B950" w14:textId="527C9E00">
      <w:pPr>
        <w:pStyle w:val="Default"/>
      </w:pPr>
      <w:r w:rsidRPr="00654846">
        <w:rPr>
          <w:rFonts w:cs="Joanna MT"/>
        </w:rPr>
        <w:t xml:space="preserve">By accepting incident reports and feedback, and interacting among federal agencies, industry, the research community, state and local governments, and others to disseminate reasoned and actionable cyber security information to the public, </w:t>
      </w:r>
      <w:r w:rsidR="00DE4B5A">
        <w:rPr>
          <w:rFonts w:cs="Joanna MT"/>
        </w:rPr>
        <w:t>CISA</w:t>
      </w:r>
      <w:r w:rsidRPr="00654846" w:rsidR="00DE4B5A">
        <w:rPr>
          <w:rFonts w:cs="Joanna MT"/>
        </w:rPr>
        <w:t xml:space="preserve"> </w:t>
      </w:r>
      <w:r w:rsidRPr="00654846">
        <w:rPr>
          <w:rFonts w:cs="Joanna MT"/>
        </w:rPr>
        <w:t>has provided a way for citizens, businesses, and other institutions to communicate and coordinate directly with the Federal Government about cybersecurity.</w:t>
      </w:r>
      <w:r>
        <w:rPr>
          <w:rFonts w:cs="Joanna MT"/>
        </w:rPr>
        <w:t xml:space="preserve">  </w:t>
      </w:r>
      <w:r w:rsidR="008D6757">
        <w:rPr>
          <w:rFonts w:cs="Joanna MT"/>
        </w:rPr>
        <w:t xml:space="preserve">Some </w:t>
      </w:r>
      <w:r w:rsidR="009220FD">
        <w:rPr>
          <w:rFonts w:cs="Joanna MT"/>
        </w:rPr>
        <w:t xml:space="preserve">regulated </w:t>
      </w:r>
      <w:r w:rsidR="00C53FF5">
        <w:rPr>
          <w:rFonts w:cs="Joanna MT"/>
        </w:rPr>
        <w:t xml:space="preserve">entities </w:t>
      </w:r>
      <w:r w:rsidR="00835A17">
        <w:rPr>
          <w:rFonts w:cs="Joanna MT"/>
        </w:rPr>
        <w:t xml:space="preserve">provide cybersecurity </w:t>
      </w:r>
      <w:r w:rsidR="00A20C16">
        <w:rPr>
          <w:rFonts w:cs="Joanna MT"/>
        </w:rPr>
        <w:t>incident</w:t>
      </w:r>
      <w:r w:rsidR="008D6757">
        <w:rPr>
          <w:rFonts w:cs="Joanna MT"/>
        </w:rPr>
        <w:t xml:space="preserve"> report</w:t>
      </w:r>
      <w:r w:rsidR="00A20C16">
        <w:rPr>
          <w:rFonts w:cs="Joanna MT"/>
        </w:rPr>
        <w:t>s</w:t>
      </w:r>
      <w:r w:rsidR="005250C7">
        <w:rPr>
          <w:rFonts w:cs="Joanna MT"/>
        </w:rPr>
        <w:t xml:space="preserve"> to CISA</w:t>
      </w:r>
      <w:r w:rsidR="009D20C9">
        <w:rPr>
          <w:rFonts w:cs="Joanna MT"/>
        </w:rPr>
        <w:t xml:space="preserve"> to meet </w:t>
      </w:r>
      <w:r w:rsidR="005315E8">
        <w:rPr>
          <w:rFonts w:cs="Joanna MT"/>
        </w:rPr>
        <w:t>applicable regulatory requirements</w:t>
      </w:r>
      <w:r w:rsidR="007652E0">
        <w:rPr>
          <w:rFonts w:cs="Joanna MT"/>
        </w:rPr>
        <w:t>.</w:t>
      </w:r>
      <w:r w:rsidR="000C04BA">
        <w:rPr>
          <w:rFonts w:cs="Joanna MT"/>
        </w:rPr>
        <w:t xml:space="preserve">  Incident reports </w:t>
      </w:r>
      <w:r w:rsidR="005D6326">
        <w:rPr>
          <w:rFonts w:cs="Joanna MT"/>
        </w:rPr>
        <w:t xml:space="preserve">filed pursuant to regulatory requirements </w:t>
      </w:r>
      <w:r w:rsidR="00DE564B">
        <w:rPr>
          <w:rFonts w:cs="Joanna MT"/>
        </w:rPr>
        <w:t>(</w:t>
      </w:r>
      <w:r w:rsidR="00847251">
        <w:rPr>
          <w:rFonts w:cs="Joanna MT"/>
        </w:rPr>
        <w:t>and/or data from them</w:t>
      </w:r>
      <w:r w:rsidR="00DE564B">
        <w:rPr>
          <w:rFonts w:cs="Joanna MT"/>
        </w:rPr>
        <w:t>)</w:t>
      </w:r>
      <w:r w:rsidR="009B2998">
        <w:rPr>
          <w:rFonts w:cs="Joanna MT"/>
        </w:rPr>
        <w:t xml:space="preserve"> </w:t>
      </w:r>
      <w:r w:rsidR="005D6326">
        <w:rPr>
          <w:rFonts w:cs="Joanna MT"/>
        </w:rPr>
        <w:t xml:space="preserve">are </w:t>
      </w:r>
      <w:r w:rsidR="00DA57E6">
        <w:rPr>
          <w:rFonts w:cs="Joanna MT"/>
        </w:rPr>
        <w:t>shared with the re</w:t>
      </w:r>
      <w:r w:rsidR="00515467">
        <w:rPr>
          <w:rFonts w:cs="Joanna MT"/>
        </w:rPr>
        <w:t xml:space="preserve">levant </w:t>
      </w:r>
      <w:r w:rsidR="00DE564B">
        <w:rPr>
          <w:rFonts w:cs="Joanna MT"/>
        </w:rPr>
        <w:t>regul</w:t>
      </w:r>
      <w:r w:rsidR="002234B0">
        <w:rPr>
          <w:rFonts w:cs="Joanna MT"/>
        </w:rPr>
        <w:t xml:space="preserve">atory </w:t>
      </w:r>
      <w:r w:rsidR="00515467">
        <w:rPr>
          <w:rFonts w:cs="Joanna MT"/>
        </w:rPr>
        <w:t>agency</w:t>
      </w:r>
      <w:r w:rsidR="00DA57E6">
        <w:rPr>
          <w:rFonts w:cs="Joanna MT"/>
        </w:rPr>
        <w:t>.</w:t>
      </w:r>
      <w:r w:rsidR="000C04BA">
        <w:rPr>
          <w:rFonts w:cs="Joanna MT"/>
        </w:rPr>
        <w:t xml:space="preserve"> </w:t>
      </w:r>
      <w:r w:rsidR="007652E0">
        <w:rPr>
          <w:rFonts w:cs="Joanna MT"/>
        </w:rPr>
        <w:t xml:space="preserve"> </w:t>
      </w:r>
      <w:r w:rsidR="00777BA4">
        <w:rPr>
          <w:rFonts w:cs="Joanna MT"/>
        </w:rPr>
        <w:t xml:space="preserve"> </w:t>
      </w:r>
      <w:r>
        <w:rPr>
          <w:rFonts w:cs="Joanna MT"/>
        </w:rPr>
        <w:t>The information i</w:t>
      </w:r>
      <w:r w:rsidR="002C2275">
        <w:rPr>
          <w:rFonts w:cs="Joanna MT"/>
        </w:rPr>
        <w:t>s</w:t>
      </w:r>
      <w:r>
        <w:rPr>
          <w:rFonts w:cs="Joanna MT"/>
        </w:rPr>
        <w:t xml:space="preserve"> collected via the following forms: </w:t>
      </w:r>
    </w:p>
    <w:p w:rsidR="00D73BBC" w:rsidP="00D73BBC" w:rsidRDefault="00D73BBC" w14:paraId="623BEDC7" w14:textId="77777777">
      <w:pPr>
        <w:tabs>
          <w:tab w:val="left" w:pos="-720"/>
        </w:tabs>
        <w:suppressAutoHyphens/>
        <w:jc w:val="both"/>
        <w:rPr>
          <w:i/>
          <w:spacing w:val="-3"/>
          <w:sz w:val="20"/>
        </w:rPr>
      </w:pPr>
    </w:p>
    <w:p w:rsidR="00CC7C86" w:rsidP="00CC7C86" w:rsidRDefault="00CC7C86" w14:paraId="301DE295" w14:textId="4AC5CEA0">
      <w:pPr>
        <w:numPr>
          <w:ilvl w:val="0"/>
          <w:numId w:val="28"/>
        </w:numPr>
        <w:tabs>
          <w:tab w:val="left" w:pos="-720"/>
        </w:tabs>
        <w:suppressAutoHyphens/>
        <w:rPr>
          <w:spacing w:val="-3"/>
        </w:rPr>
      </w:pPr>
      <w:r w:rsidRPr="00654846">
        <w:rPr>
          <w:spacing w:val="-3"/>
        </w:rPr>
        <w:t xml:space="preserve">The </w:t>
      </w:r>
      <w:r w:rsidR="00686357">
        <w:rPr>
          <w:spacing w:val="-3"/>
        </w:rPr>
        <w:t xml:space="preserve">web-based </w:t>
      </w:r>
      <w:r w:rsidRPr="0018192F">
        <w:rPr>
          <w:spacing w:val="-3"/>
          <w:u w:val="single"/>
        </w:rPr>
        <w:t>Incident Reporting Form</w:t>
      </w:r>
      <w:r w:rsidRPr="009D628A">
        <w:rPr>
          <w:spacing w:val="-3"/>
        </w:rPr>
        <w:t>,</w:t>
      </w:r>
      <w:r>
        <w:rPr>
          <w:spacing w:val="-3"/>
        </w:rPr>
        <w:t xml:space="preserve"> </w:t>
      </w:r>
      <w:r w:rsidRPr="0025122C">
        <w:rPr>
          <w:spacing w:val="-3"/>
          <w:u w:val="single"/>
        </w:rPr>
        <w:t>DHS Cyber Threat Indicator and Defensive Measure Submission System</w:t>
      </w:r>
      <w:r w:rsidRPr="00654846">
        <w:rPr>
          <w:spacing w:val="-3"/>
        </w:rPr>
        <w:t xml:space="preserve"> and </w:t>
      </w:r>
      <w:r w:rsidRPr="0018192F">
        <w:rPr>
          <w:spacing w:val="-3"/>
          <w:u w:val="single"/>
        </w:rPr>
        <w:t>Malware Analysis Submission Form</w:t>
      </w:r>
      <w:r w:rsidRPr="00654846">
        <w:rPr>
          <w:spacing w:val="-3"/>
        </w:rPr>
        <w:t xml:space="preserve"> enable end users to report incidents</w:t>
      </w:r>
      <w:r>
        <w:rPr>
          <w:spacing w:val="-3"/>
        </w:rPr>
        <w:t xml:space="preserve"> and indicators</w:t>
      </w:r>
      <w:r w:rsidR="00425E61">
        <w:rPr>
          <w:spacing w:val="-3"/>
        </w:rPr>
        <w:t xml:space="preserve"> as well as submit malware artifacts associated with incidents</w:t>
      </w:r>
      <w:r>
        <w:rPr>
          <w:spacing w:val="-3"/>
        </w:rPr>
        <w:t xml:space="preserve"> </w:t>
      </w:r>
      <w:r w:rsidRPr="00654846">
        <w:rPr>
          <w:spacing w:val="-3"/>
        </w:rPr>
        <w:t xml:space="preserve">to </w:t>
      </w:r>
      <w:r w:rsidR="00DE4B5A">
        <w:rPr>
          <w:spacing w:val="-3"/>
        </w:rPr>
        <w:t>CISA</w:t>
      </w:r>
      <w:r w:rsidR="00425E61">
        <w:rPr>
          <w:spacing w:val="-3"/>
        </w:rPr>
        <w:t xml:space="preserve">. This information is used by DHS to conduct analyses and provide warnings of system threats and vulnerabilities, and to develop mitigation strategies as appropriate. </w:t>
      </w:r>
      <w:r w:rsidRPr="00BB3B0E">
        <w:rPr>
          <w:spacing w:val="-3"/>
        </w:rPr>
        <w:t>The primary purpose for the collection of this information is to allow DHS to contact requestors regarding their request.</w:t>
      </w:r>
    </w:p>
    <w:p w:rsidRPr="00654846" w:rsidR="005B204A" w:rsidP="005B204A" w:rsidRDefault="005B204A" w14:paraId="058A2834" w14:textId="77777777">
      <w:pPr>
        <w:tabs>
          <w:tab w:val="left" w:pos="-720"/>
        </w:tabs>
        <w:suppressAutoHyphens/>
        <w:ind w:left="360"/>
        <w:rPr>
          <w:spacing w:val="-3"/>
        </w:rPr>
      </w:pPr>
    </w:p>
    <w:p w:rsidRPr="005B204A" w:rsidR="0061298A" w:rsidP="00761C2E" w:rsidRDefault="0061298A" w14:paraId="2034FD9A" w14:textId="2F628ECF">
      <w:pPr>
        <w:numPr>
          <w:ilvl w:val="0"/>
          <w:numId w:val="28"/>
        </w:numPr>
        <w:tabs>
          <w:tab w:val="left" w:pos="-720"/>
        </w:tabs>
        <w:suppressAutoHyphens/>
        <w:rPr>
          <w:rStyle w:val="privacy1"/>
          <w:rFonts w:ascii="Times New Roman" w:hAnsi="Times New Roman" w:cs="Times New Roman"/>
          <w:spacing w:val="-3"/>
        </w:rPr>
      </w:pPr>
      <w:r w:rsidRPr="00654846">
        <w:rPr>
          <w:spacing w:val="-3"/>
        </w:rPr>
        <w:t xml:space="preserve">The </w:t>
      </w:r>
      <w:r w:rsidRPr="00654846">
        <w:rPr>
          <w:spacing w:val="-3"/>
          <w:u w:val="single"/>
        </w:rPr>
        <w:t>Mail Lists Form</w:t>
      </w:r>
      <w:r w:rsidRPr="00654846">
        <w:rPr>
          <w:spacing w:val="-3"/>
        </w:rPr>
        <w:t xml:space="preserve"> </w:t>
      </w:r>
      <w:r w:rsidRPr="00654846" w:rsidR="00CF7855">
        <w:rPr>
          <w:spacing w:val="-3"/>
        </w:rPr>
        <w:t>enables end users to subscribe to the National Cyber Awareness System</w:t>
      </w:r>
      <w:r w:rsidRPr="00654846" w:rsidR="000F5AF7">
        <w:rPr>
          <w:spacing w:val="-3"/>
        </w:rPr>
        <w:t>’s</w:t>
      </w:r>
      <w:r w:rsidRPr="00654846" w:rsidR="00CF7855">
        <w:rPr>
          <w:spacing w:val="-3"/>
        </w:rPr>
        <w:t xml:space="preserve"> mailing lists, which </w:t>
      </w:r>
      <w:r w:rsidRPr="00654846" w:rsidR="000F5AF7">
        <w:rPr>
          <w:spacing w:val="-3"/>
        </w:rPr>
        <w:t xml:space="preserve">deliver </w:t>
      </w:r>
      <w:r w:rsidRPr="00654846" w:rsidR="00CF7855">
        <w:rPr>
          <w:spacing w:val="-3"/>
        </w:rPr>
        <w:t xml:space="preserve">the content of and links to </w:t>
      </w:r>
      <w:r w:rsidR="00DE4B5A">
        <w:rPr>
          <w:spacing w:val="-3"/>
        </w:rPr>
        <w:t>CISA’s</w:t>
      </w:r>
      <w:r w:rsidRPr="00654846" w:rsidR="00DE4B5A">
        <w:rPr>
          <w:spacing w:val="-3"/>
        </w:rPr>
        <w:t xml:space="preserve"> </w:t>
      </w:r>
      <w:r w:rsidRPr="00654846" w:rsidR="00CF7855">
        <w:rPr>
          <w:spacing w:val="-3"/>
        </w:rPr>
        <w:t>information sharing products. The user must provide a</w:t>
      </w:r>
      <w:r w:rsidRPr="00654846">
        <w:rPr>
          <w:spacing w:val="-3"/>
        </w:rPr>
        <w:t xml:space="preserve">n e-mail address in order to subscribe or unsubscribe, though both </w:t>
      </w:r>
      <w:r w:rsidRPr="00654846" w:rsidR="00CF7855">
        <w:rPr>
          <w:spacing w:val="-3"/>
        </w:rPr>
        <w:t xml:space="preserve">of </w:t>
      </w:r>
      <w:r w:rsidRPr="00654846">
        <w:rPr>
          <w:spacing w:val="-3"/>
        </w:rPr>
        <w:t xml:space="preserve">these actions are optional. </w:t>
      </w:r>
      <w:r w:rsidRPr="00654846" w:rsidR="00761C2E">
        <w:rPr>
          <w:rStyle w:val="privacy1"/>
          <w:rFonts w:ascii="Times New Roman" w:hAnsi="Times New Roman" w:cs="Times New Roman"/>
        </w:rPr>
        <w:t>The primary purpose for the collection of th</w:t>
      </w:r>
      <w:r w:rsidRPr="00654846" w:rsidR="000F5AF7">
        <w:rPr>
          <w:rStyle w:val="privacy1"/>
          <w:rFonts w:ascii="Times New Roman" w:hAnsi="Times New Roman" w:cs="Times New Roman"/>
        </w:rPr>
        <w:t xml:space="preserve">is information is to allow DHS </w:t>
      </w:r>
      <w:r w:rsidRPr="00654846" w:rsidR="00761C2E">
        <w:rPr>
          <w:rStyle w:val="privacy1"/>
          <w:rFonts w:ascii="Times New Roman" w:hAnsi="Times New Roman" w:cs="Times New Roman"/>
        </w:rPr>
        <w:t xml:space="preserve">to contact requestors regarding their request. </w:t>
      </w:r>
      <w:r w:rsidRPr="00654846" w:rsidR="00247A30">
        <w:rPr>
          <w:rStyle w:val="privacy1"/>
          <w:rFonts w:ascii="Times New Roman" w:hAnsi="Times New Roman" w:cs="Times New Roman"/>
        </w:rPr>
        <w:t xml:space="preserve"> </w:t>
      </w:r>
    </w:p>
    <w:p w:rsidRPr="00654846" w:rsidR="005B204A" w:rsidP="005B204A" w:rsidRDefault="005B204A" w14:paraId="2BF1C4F4" w14:textId="77777777">
      <w:pPr>
        <w:tabs>
          <w:tab w:val="left" w:pos="-720"/>
        </w:tabs>
        <w:suppressAutoHyphens/>
        <w:ind w:left="360"/>
        <w:rPr>
          <w:spacing w:val="-3"/>
        </w:rPr>
      </w:pPr>
    </w:p>
    <w:p w:rsidRPr="005B204A" w:rsidR="0061298A" w:rsidP="00CF7855" w:rsidRDefault="0061298A" w14:paraId="751D8D78" w14:textId="77777777">
      <w:pPr>
        <w:numPr>
          <w:ilvl w:val="0"/>
          <w:numId w:val="28"/>
        </w:numPr>
        <w:tabs>
          <w:tab w:val="left" w:pos="-720"/>
        </w:tabs>
        <w:suppressAutoHyphens/>
        <w:jc w:val="both"/>
        <w:rPr>
          <w:rStyle w:val="privacy1"/>
          <w:rFonts w:ascii="Times New Roman" w:hAnsi="Times New Roman" w:cs="Times New Roman"/>
          <w:spacing w:val="-3"/>
        </w:rPr>
      </w:pPr>
      <w:r w:rsidRPr="00654846">
        <w:rPr>
          <w:spacing w:val="-3"/>
        </w:rPr>
        <w:t xml:space="preserve">The </w:t>
      </w:r>
      <w:r w:rsidRPr="00654846">
        <w:rPr>
          <w:spacing w:val="-3"/>
          <w:u w:val="single"/>
        </w:rPr>
        <w:t xml:space="preserve">Cyber Security Evaluation Tool (CSET) </w:t>
      </w:r>
      <w:r w:rsidR="009407EA">
        <w:rPr>
          <w:spacing w:val="-3"/>
          <w:u w:val="single"/>
        </w:rPr>
        <w:t>Download Form</w:t>
      </w:r>
      <w:r w:rsidRPr="00654846">
        <w:rPr>
          <w:spacing w:val="-3"/>
        </w:rPr>
        <w:t>, which requests the name</w:t>
      </w:r>
      <w:r w:rsidR="002C2275">
        <w:rPr>
          <w:spacing w:val="-3"/>
        </w:rPr>
        <w:t>,</w:t>
      </w:r>
      <w:r w:rsidR="00331C9B">
        <w:rPr>
          <w:spacing w:val="-3"/>
        </w:rPr>
        <w:t xml:space="preserve"> </w:t>
      </w:r>
      <w:r w:rsidRPr="00654846">
        <w:rPr>
          <w:spacing w:val="-3"/>
        </w:rPr>
        <w:t>e-mail address</w:t>
      </w:r>
      <w:r w:rsidR="002C2275">
        <w:rPr>
          <w:spacing w:val="-3"/>
        </w:rPr>
        <w:t>, organization, infrastructure sector, country, and intended use</w:t>
      </w:r>
      <w:r w:rsidRPr="00654846">
        <w:rPr>
          <w:spacing w:val="-3"/>
        </w:rPr>
        <w:t xml:space="preserve"> of those seeking to download the CSET. All requested fields are optional. </w:t>
      </w:r>
      <w:r w:rsidRPr="00654846" w:rsidR="00247A30">
        <w:rPr>
          <w:rStyle w:val="privacy1"/>
          <w:rFonts w:ascii="Times New Roman" w:hAnsi="Times New Roman" w:cs="Times New Roman"/>
        </w:rPr>
        <w:t xml:space="preserve">The primary purpose for the collection of this information is to allow DHS to contact requestors regarding their request.  </w:t>
      </w:r>
    </w:p>
    <w:p w:rsidRPr="00654846" w:rsidR="005B204A" w:rsidP="005B204A" w:rsidRDefault="005B204A" w14:paraId="09C923B7" w14:textId="77777777">
      <w:pPr>
        <w:tabs>
          <w:tab w:val="left" w:pos="-720"/>
        </w:tabs>
        <w:suppressAutoHyphens/>
        <w:ind w:left="360"/>
        <w:jc w:val="both"/>
        <w:rPr>
          <w:spacing w:val="-3"/>
        </w:rPr>
      </w:pPr>
    </w:p>
    <w:p w:rsidR="003C5F1F" w:rsidP="00CC3BAA" w:rsidRDefault="003C5F1F" w14:paraId="3A4A2DD9" w14:textId="77777777">
      <w:pPr>
        <w:tabs>
          <w:tab w:val="left" w:pos="-720"/>
        </w:tabs>
        <w:suppressAutoHyphens/>
        <w:jc w:val="both"/>
        <w:rPr>
          <w:spacing w:val="-3"/>
        </w:rPr>
      </w:pPr>
    </w:p>
    <w:p w:rsidRPr="00CC3BAA" w:rsidR="003C5F1F" w:rsidP="00CC3BAA" w:rsidRDefault="003C5F1F" w14:paraId="4ACD9F3E" w14:textId="2EE5ABE3">
      <w:pPr>
        <w:autoSpaceDE w:val="0"/>
        <w:autoSpaceDN w:val="0"/>
        <w:rPr>
          <w:sz w:val="22"/>
          <w:szCs w:val="22"/>
        </w:rPr>
      </w:pPr>
      <w:r>
        <w:rPr>
          <w:spacing w:val="-3"/>
        </w:rPr>
        <w:t xml:space="preserve">In order to be responsive to an </w:t>
      </w:r>
      <w:r w:rsidR="008D5238">
        <w:rPr>
          <w:spacing w:val="-3"/>
        </w:rPr>
        <w:t>ever-changing</w:t>
      </w:r>
      <w:r>
        <w:rPr>
          <w:spacing w:val="-3"/>
        </w:rPr>
        <w:t xml:space="preserve"> cybersecurity environment, the forms may change to collect data related to current capabilities or vulnerabilities. </w:t>
      </w:r>
      <w:r w:rsidR="00A76763">
        <w:t xml:space="preserve">Standards, guidelines, and requirements of </w:t>
      </w:r>
      <w:r w:rsidR="00DE4B5A">
        <w:t>CISA</w:t>
      </w:r>
      <w:r w:rsidR="00A76763">
        <w:t xml:space="preserve"> are perpetually adapting to the volatile cybersecurity environment. </w:t>
      </w:r>
      <w:r w:rsidR="006011C5">
        <w:t>CISA</w:t>
      </w:r>
      <w:r w:rsidR="00A76763">
        <w:t xml:space="preserve"> must </w:t>
      </w:r>
      <w:r w:rsidR="00E1210A">
        <w:t xml:space="preserve">retain the ability to update these </w:t>
      </w:r>
      <w:r w:rsidR="00A76763">
        <w:t>form</w:t>
      </w:r>
      <w:r w:rsidR="00E1210A">
        <w:t>s</w:t>
      </w:r>
      <w:r w:rsidR="00A76763">
        <w:t xml:space="preserve"> as required, or </w:t>
      </w:r>
      <w:r w:rsidR="006011C5">
        <w:t>CISA</w:t>
      </w:r>
      <w:r w:rsidR="00A76763">
        <w:t xml:space="preserve"> will be unable to collect critical incident data in support of our mission. Without the necessary tools and method</w:t>
      </w:r>
      <w:r w:rsidR="006011C5">
        <w:t>s to collect this information, CISA</w:t>
      </w:r>
      <w:r w:rsidR="00A76763">
        <w:t xml:space="preserve"> will be unable to effectively satisfy mission requirements and support our stakeholders through information collection, analysis, and exchange.</w:t>
      </w:r>
      <w:r>
        <w:rPr>
          <w:spacing w:val="-3"/>
        </w:rPr>
        <w:t xml:space="preserve"> The </w:t>
      </w:r>
      <w:r w:rsidR="00437C77">
        <w:rPr>
          <w:spacing w:val="-3"/>
        </w:rPr>
        <w:t xml:space="preserve">general </w:t>
      </w:r>
      <w:r>
        <w:rPr>
          <w:spacing w:val="-3"/>
        </w:rPr>
        <w:t xml:space="preserve">scope and purpose of the forms will remain the same.  </w:t>
      </w:r>
    </w:p>
    <w:p w:rsidRPr="00596A43" w:rsidR="00AA3F82" w:rsidP="000C4293" w:rsidRDefault="00AA3F82" w14:paraId="4D62FD51" w14:textId="77777777">
      <w:pPr>
        <w:tabs>
          <w:tab w:val="left" w:pos="-720"/>
        </w:tabs>
        <w:suppressAutoHyphens/>
        <w:jc w:val="both"/>
      </w:pPr>
    </w:p>
    <w:p w:rsidRPr="00596A43" w:rsidR="00EB5E96" w:rsidP="000C4293" w:rsidRDefault="00EB5E96" w14:paraId="699CE690"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rsidRPr="00247A30" w:rsidR="00EB5E96" w:rsidP="000C4293" w:rsidRDefault="00EB5E96" w14:paraId="43460FDC" w14:textId="77777777">
      <w:pPr>
        <w:tabs>
          <w:tab w:val="left" w:pos="-720"/>
        </w:tabs>
        <w:suppressAutoHyphens/>
        <w:jc w:val="both"/>
      </w:pPr>
    </w:p>
    <w:p w:rsidRPr="00654846" w:rsidR="00D73BBC" w:rsidP="00D73BBC" w:rsidRDefault="00CC2967" w14:paraId="71DB33D3" w14:textId="14C544DE">
      <w:pPr>
        <w:tabs>
          <w:tab w:val="left" w:pos="-720"/>
        </w:tabs>
        <w:suppressAutoHyphens/>
        <w:jc w:val="both"/>
        <w:rPr>
          <w:spacing w:val="-3"/>
        </w:rPr>
      </w:pPr>
      <w:r>
        <w:rPr>
          <w:spacing w:val="-3"/>
        </w:rPr>
        <w:t xml:space="preserve">Incident reports are primarily </w:t>
      </w:r>
      <w:r w:rsidR="00317BCE">
        <w:rPr>
          <w:spacing w:val="-3"/>
        </w:rPr>
        <w:t xml:space="preserve">submitted using CISA’s </w:t>
      </w:r>
      <w:r w:rsidR="006011C5">
        <w:rPr>
          <w:spacing w:val="-3"/>
        </w:rPr>
        <w:t xml:space="preserve">incident </w:t>
      </w:r>
      <w:r w:rsidR="00950027">
        <w:rPr>
          <w:spacing w:val="-3"/>
        </w:rPr>
        <w:t xml:space="preserve">reporting form, an </w:t>
      </w:r>
      <w:r w:rsidR="00A32F88">
        <w:rPr>
          <w:spacing w:val="-3"/>
        </w:rPr>
        <w:t>interactive</w:t>
      </w:r>
      <w:r w:rsidR="006011C5">
        <w:rPr>
          <w:spacing w:val="-3"/>
        </w:rPr>
        <w:t>-submission interface.</w:t>
      </w:r>
      <w:r w:rsidR="00317BCE">
        <w:rPr>
          <w:spacing w:val="-3"/>
        </w:rPr>
        <w:t xml:space="preserve"> Alternately, information may be collected through</w:t>
      </w:r>
      <w:r w:rsidDel="00FB0EEB" w:rsidR="00317BCE">
        <w:rPr>
          <w:spacing w:val="-3"/>
        </w:rPr>
        <w:t xml:space="preserve"> </w:t>
      </w:r>
      <w:r w:rsidR="0027013C">
        <w:rPr>
          <w:spacing w:val="-3"/>
        </w:rPr>
        <w:t>email or</w:t>
      </w:r>
      <w:r w:rsidR="00317BCE">
        <w:rPr>
          <w:spacing w:val="-3"/>
        </w:rPr>
        <w:t xml:space="preserve"> telephone</w:t>
      </w:r>
      <w:r w:rsidR="00BE4EA4">
        <w:rPr>
          <w:spacing w:val="-3"/>
        </w:rPr>
        <w:t xml:space="preserve"> calls</w:t>
      </w:r>
      <w:r w:rsidR="001339FA">
        <w:rPr>
          <w:spacing w:val="-3"/>
        </w:rPr>
        <w:t xml:space="preserve">; however, the </w:t>
      </w:r>
      <w:r w:rsidR="00BE4EA4">
        <w:rPr>
          <w:spacing w:val="-3"/>
        </w:rPr>
        <w:t xml:space="preserve">interactive </w:t>
      </w:r>
      <w:r w:rsidR="001339FA">
        <w:rPr>
          <w:spacing w:val="-3"/>
        </w:rPr>
        <w:t xml:space="preserve">web </w:t>
      </w:r>
      <w:r w:rsidR="00BE4EA4">
        <w:rPr>
          <w:spacing w:val="-3"/>
        </w:rPr>
        <w:t xml:space="preserve">internet reporting form </w:t>
      </w:r>
      <w:r w:rsidR="001339FA">
        <w:rPr>
          <w:spacing w:val="-3"/>
        </w:rPr>
        <w:t xml:space="preserve">will be the </w:t>
      </w:r>
      <w:r w:rsidR="00446EFD">
        <w:rPr>
          <w:spacing w:val="-3"/>
        </w:rPr>
        <w:t xml:space="preserve">primary </w:t>
      </w:r>
      <w:r w:rsidR="00317BCE">
        <w:rPr>
          <w:spacing w:val="-3"/>
        </w:rPr>
        <w:t>collection method</w:t>
      </w:r>
      <w:r w:rsidR="00BE4EA4">
        <w:rPr>
          <w:spacing w:val="-3"/>
        </w:rPr>
        <w:t xml:space="preserve"> for incident reports</w:t>
      </w:r>
      <w:r w:rsidR="00055B2E">
        <w:rPr>
          <w:spacing w:val="-3"/>
        </w:rPr>
        <w:t xml:space="preserve">.  </w:t>
      </w:r>
      <w:r w:rsidR="00317BCE">
        <w:rPr>
          <w:spacing w:val="-3"/>
        </w:rPr>
        <w:t>The</w:t>
      </w:r>
      <w:r w:rsidR="00CF51D3">
        <w:rPr>
          <w:spacing w:val="-3"/>
        </w:rPr>
        <w:t xml:space="preserve"> interactive web interface </w:t>
      </w:r>
      <w:r w:rsidR="00317BCE">
        <w:rPr>
          <w:spacing w:val="-3"/>
        </w:rPr>
        <w:t>enable</w:t>
      </w:r>
      <w:r w:rsidR="00CF51D3">
        <w:rPr>
          <w:spacing w:val="-3"/>
        </w:rPr>
        <w:t>s</w:t>
      </w:r>
      <w:r w:rsidR="00317BCE">
        <w:rPr>
          <w:spacing w:val="-3"/>
        </w:rPr>
        <w:t xml:space="preserve"> </w:t>
      </w:r>
      <w:r w:rsidRPr="00654846" w:rsidR="007423AF">
        <w:rPr>
          <w:spacing w:val="-3"/>
        </w:rPr>
        <w:t xml:space="preserve">individuals, private sector entities, personnel working at other federal or state agencies, and international </w:t>
      </w:r>
      <w:r w:rsidRPr="00654846" w:rsidR="00122E51">
        <w:rPr>
          <w:spacing w:val="-3"/>
        </w:rPr>
        <w:t>entiti</w:t>
      </w:r>
      <w:r w:rsidRPr="00654846" w:rsidR="007423AF">
        <w:rPr>
          <w:spacing w:val="-3"/>
        </w:rPr>
        <w:t>es, including individuals, companies and other nations’ governments to submit information</w:t>
      </w:r>
      <w:r w:rsidR="00BE4EA4">
        <w:rPr>
          <w:spacing w:val="-3"/>
        </w:rPr>
        <w:t xml:space="preserve"> in a streamlined manner</w:t>
      </w:r>
      <w:r w:rsidRPr="00654846" w:rsidR="007423AF">
        <w:rPr>
          <w:spacing w:val="-3"/>
        </w:rPr>
        <w:t xml:space="preserve">. </w:t>
      </w:r>
    </w:p>
    <w:p w:rsidRPr="00654846" w:rsidR="00AA3F82" w:rsidP="000C4293" w:rsidRDefault="00AA3F82" w14:paraId="01601BBE" w14:textId="77777777">
      <w:pPr>
        <w:tabs>
          <w:tab w:val="left" w:pos="-720"/>
        </w:tabs>
        <w:suppressAutoHyphens/>
        <w:jc w:val="both"/>
      </w:pPr>
    </w:p>
    <w:p w:rsidRPr="00654846" w:rsidR="00EB5E96" w:rsidP="000C4293" w:rsidRDefault="00EB5E96" w14:paraId="5F1505B0" w14:textId="77777777">
      <w:pPr>
        <w:shd w:val="pct25" w:color="auto" w:fill="auto"/>
        <w:tabs>
          <w:tab w:val="left" w:pos="-720"/>
        </w:tabs>
        <w:suppressAutoHyphens/>
        <w:jc w:val="both"/>
      </w:pPr>
      <w:r w:rsidRPr="00654846">
        <w:fldChar w:fldCharType="begin"/>
      </w:r>
      <w:r w:rsidRPr="00654846">
        <w:instrText>ADVANCE \R 0.95</w:instrText>
      </w:r>
      <w:r w:rsidRPr="00654846">
        <w:fldChar w:fldCharType="end"/>
      </w:r>
      <w:r w:rsidRPr="00654846">
        <w:t xml:space="preserve">4.  Describe efforts to identify duplication.   Show specifically why any similar information already available cannot be used or modified for use for the purposes described in Item 2 above. </w:t>
      </w:r>
    </w:p>
    <w:p w:rsidRPr="00654846" w:rsidR="00EB5E96" w:rsidP="000C4293" w:rsidRDefault="00EB5E96" w14:paraId="44881D96" w14:textId="77777777">
      <w:pPr>
        <w:tabs>
          <w:tab w:val="left" w:pos="-720"/>
        </w:tabs>
        <w:suppressAutoHyphens/>
        <w:jc w:val="both"/>
      </w:pPr>
      <w:r w:rsidRPr="00654846">
        <w:fldChar w:fldCharType="begin"/>
      </w:r>
      <w:r w:rsidRPr="00654846">
        <w:instrText>ADVANCE \R 0.95</w:instrText>
      </w:r>
      <w:r w:rsidRPr="00654846">
        <w:fldChar w:fldCharType="end"/>
      </w:r>
    </w:p>
    <w:p w:rsidR="00D73BBC" w:rsidP="00D73BBC" w:rsidRDefault="008F03EB" w14:paraId="34E3D0F8" w14:textId="66E7C2B7">
      <w:pPr>
        <w:tabs>
          <w:tab w:val="left" w:pos="-720"/>
        </w:tabs>
        <w:suppressAutoHyphens/>
        <w:jc w:val="both"/>
        <w:rPr>
          <w:spacing w:val="-3"/>
        </w:rPr>
      </w:pPr>
      <w:r w:rsidRPr="00654846">
        <w:rPr>
          <w:spacing w:val="-3"/>
        </w:rPr>
        <w:t>The forms enable users to submit incident informat</w:t>
      </w:r>
      <w:r w:rsidRPr="00654846" w:rsidR="007B63A7">
        <w:rPr>
          <w:spacing w:val="-3"/>
        </w:rPr>
        <w:t xml:space="preserve">ion as new incidents occur, </w:t>
      </w:r>
      <w:r w:rsidRPr="00654846">
        <w:rPr>
          <w:spacing w:val="-3"/>
        </w:rPr>
        <w:t>provide feedback as corrective action information is published</w:t>
      </w:r>
      <w:r w:rsidRPr="00654846" w:rsidR="007B63A7">
        <w:rPr>
          <w:spacing w:val="-3"/>
        </w:rPr>
        <w:t>, and register for new subscriptions or upcoming events</w:t>
      </w:r>
      <w:r w:rsidRPr="00654846">
        <w:rPr>
          <w:spacing w:val="-3"/>
        </w:rPr>
        <w:t xml:space="preserve">. </w:t>
      </w:r>
      <w:r w:rsidRPr="00654846" w:rsidR="007B63A7">
        <w:rPr>
          <w:spacing w:val="-3"/>
        </w:rPr>
        <w:t>Similar i</w:t>
      </w:r>
      <w:r w:rsidRPr="00654846">
        <w:rPr>
          <w:spacing w:val="-3"/>
        </w:rPr>
        <w:t>nformation</w:t>
      </w:r>
      <w:r w:rsidRPr="00654846" w:rsidR="00122E51">
        <w:rPr>
          <w:spacing w:val="-3"/>
        </w:rPr>
        <w:t xml:space="preserve"> made</w:t>
      </w:r>
      <w:r w:rsidRPr="00654846">
        <w:rPr>
          <w:spacing w:val="-3"/>
        </w:rPr>
        <w:t xml:space="preserve"> </w:t>
      </w:r>
      <w:r w:rsidRPr="00654846" w:rsidR="007B63A7">
        <w:rPr>
          <w:spacing w:val="-3"/>
        </w:rPr>
        <w:t>already</w:t>
      </w:r>
      <w:r w:rsidRPr="00654846">
        <w:rPr>
          <w:spacing w:val="-3"/>
        </w:rPr>
        <w:t xml:space="preserve"> pertains</w:t>
      </w:r>
      <w:r w:rsidRPr="00654846" w:rsidR="007B63A7">
        <w:rPr>
          <w:spacing w:val="-3"/>
        </w:rPr>
        <w:t xml:space="preserve"> to past incidents, products, and event</w:t>
      </w:r>
      <w:r w:rsidRPr="00654846" w:rsidR="005E6E13">
        <w:rPr>
          <w:spacing w:val="-3"/>
        </w:rPr>
        <w:t>s. New submissions contain unique information.</w:t>
      </w:r>
    </w:p>
    <w:p w:rsidR="00584664" w:rsidP="00D73BBC" w:rsidRDefault="00584664" w14:paraId="22D48CE4" w14:textId="77777777">
      <w:pPr>
        <w:tabs>
          <w:tab w:val="left" w:pos="-720"/>
        </w:tabs>
        <w:suppressAutoHyphens/>
        <w:jc w:val="both"/>
        <w:rPr>
          <w:spacing w:val="-3"/>
        </w:rPr>
      </w:pPr>
    </w:p>
    <w:p w:rsidRPr="00654846" w:rsidR="00584664" w:rsidP="00D73BBC" w:rsidRDefault="00584664" w14:paraId="4F2DD5A7" w14:textId="77777777">
      <w:pPr>
        <w:tabs>
          <w:tab w:val="left" w:pos="-720"/>
        </w:tabs>
        <w:suppressAutoHyphens/>
        <w:jc w:val="both"/>
        <w:rPr>
          <w:spacing w:val="-3"/>
        </w:rPr>
      </w:pPr>
      <w:r>
        <w:rPr>
          <w:spacing w:val="-3"/>
        </w:rPr>
        <w:t>A search of reginfo.gov provided a few incident reporting collection</w:t>
      </w:r>
      <w:r w:rsidR="00C02C5F">
        <w:rPr>
          <w:spacing w:val="-3"/>
        </w:rPr>
        <w:t>s</w:t>
      </w:r>
      <w:r>
        <w:rPr>
          <w:spacing w:val="-3"/>
        </w:rPr>
        <w:t xml:space="preserve">; however, none of the other incident reporting collections were related to providing a mechanism for reporting cyber incidents outside of the Federal community.  </w:t>
      </w:r>
    </w:p>
    <w:p w:rsidRPr="00654846" w:rsidR="00AA3F82" w:rsidP="000C4293" w:rsidRDefault="00AA3F82" w14:paraId="2C6A44CE" w14:textId="77777777">
      <w:pPr>
        <w:tabs>
          <w:tab w:val="left" w:pos="-720"/>
        </w:tabs>
        <w:suppressAutoHyphens/>
        <w:jc w:val="both"/>
      </w:pPr>
    </w:p>
    <w:p w:rsidRPr="00654846" w:rsidR="00EB5E96" w:rsidP="000C4293" w:rsidRDefault="00EB5E96" w14:paraId="03DE6436" w14:textId="77777777">
      <w:pPr>
        <w:shd w:val="pct25" w:color="auto" w:fill="auto"/>
        <w:tabs>
          <w:tab w:val="left" w:pos="-720"/>
        </w:tabs>
        <w:suppressAutoHyphens/>
        <w:jc w:val="both"/>
      </w:pPr>
      <w:r w:rsidRPr="00654846">
        <w:fldChar w:fldCharType="begin"/>
      </w:r>
      <w:r w:rsidRPr="00654846">
        <w:instrText>ADVANCE \R 0.95</w:instrText>
      </w:r>
      <w:r w:rsidRPr="00654846">
        <w:fldChar w:fldCharType="end"/>
      </w:r>
      <w:r w:rsidRPr="00654846">
        <w:t>5.  If the collection of information impacts small businesses or other small entities (Item 5 of OMB Form 83-I), describe any methods used to minimize.</w:t>
      </w:r>
      <w:r w:rsidRPr="00654846">
        <w:tab/>
      </w:r>
    </w:p>
    <w:p w:rsidRPr="00654846" w:rsidR="00EB5E96" w:rsidP="000C4293" w:rsidRDefault="00EB5E96" w14:paraId="05B72923" w14:textId="77777777">
      <w:pPr>
        <w:tabs>
          <w:tab w:val="left" w:pos="-720"/>
        </w:tabs>
        <w:suppressAutoHyphens/>
        <w:jc w:val="both"/>
        <w:rPr>
          <w:spacing w:val="-3"/>
        </w:rPr>
      </w:pPr>
    </w:p>
    <w:p w:rsidRPr="00654846" w:rsidR="00D73BBC" w:rsidP="00D73BBC" w:rsidRDefault="005E6E13" w14:paraId="5EB1DC0F" w14:textId="77777777">
      <w:pPr>
        <w:tabs>
          <w:tab w:val="left" w:pos="-720"/>
        </w:tabs>
        <w:suppressAutoHyphens/>
        <w:jc w:val="both"/>
        <w:rPr>
          <w:spacing w:val="-3"/>
        </w:rPr>
      </w:pPr>
      <w:r w:rsidRPr="00654846">
        <w:rPr>
          <w:spacing w:val="-3"/>
        </w:rPr>
        <w:t>The collection will not have a significant economic impact on a substantial number of small entities, as indicated in item five of OMB Form 83-I.</w:t>
      </w:r>
    </w:p>
    <w:p w:rsidRPr="00654846" w:rsidR="00AA3F82" w:rsidP="000C4293" w:rsidRDefault="00AA3F82" w14:paraId="68541C10" w14:textId="77777777">
      <w:pPr>
        <w:tabs>
          <w:tab w:val="left" w:pos="-720"/>
        </w:tabs>
        <w:suppressAutoHyphens/>
        <w:jc w:val="both"/>
        <w:rPr>
          <w:spacing w:val="-3"/>
        </w:rPr>
      </w:pPr>
    </w:p>
    <w:p w:rsidRPr="00654846" w:rsidR="00EB5E96" w:rsidP="000C4293" w:rsidRDefault="00EB5E96" w14:paraId="7DC5923C" w14:textId="77777777">
      <w:pPr>
        <w:shd w:val="pct25" w:color="auto" w:fill="auto"/>
        <w:tabs>
          <w:tab w:val="left" w:pos="-720"/>
        </w:tabs>
        <w:suppressAutoHyphens/>
        <w:jc w:val="both"/>
      </w:pPr>
      <w:r w:rsidRPr="00654846">
        <w:fldChar w:fldCharType="begin"/>
      </w:r>
      <w:r w:rsidRPr="00654846">
        <w:instrText>ADVANCE \R 0.95</w:instrText>
      </w:r>
      <w:r w:rsidRPr="00654846">
        <w:fldChar w:fldCharType="end"/>
      </w:r>
      <w:r w:rsidRPr="00654846">
        <w:t>6.  Describe the consequence to Federal/</w:t>
      </w:r>
      <w:r w:rsidRPr="00654846" w:rsidR="00460234">
        <w:t>DHS</w:t>
      </w:r>
      <w:r w:rsidRPr="00654846">
        <w:t xml:space="preserve"> program or policy activities if the collection of information is not conducted, or is conducted less frequently, as well as any technical or legal obstacles to reducing burden.</w:t>
      </w:r>
    </w:p>
    <w:p w:rsidRPr="00654846" w:rsidR="00EB5E96" w:rsidP="000C4293" w:rsidRDefault="00EB5E96" w14:paraId="1F8814BD" w14:textId="77777777">
      <w:pPr>
        <w:tabs>
          <w:tab w:val="left" w:pos="-720"/>
        </w:tabs>
        <w:suppressAutoHyphens/>
        <w:jc w:val="both"/>
        <w:rPr>
          <w:spacing w:val="-3"/>
        </w:rPr>
      </w:pPr>
    </w:p>
    <w:p w:rsidRPr="001E7918" w:rsidR="00530B29" w:rsidP="002C2322" w:rsidRDefault="00D64884" w14:paraId="429063C3" w14:textId="7B470D10">
      <w:r>
        <w:rPr>
          <w:spacing w:val="-3"/>
        </w:rPr>
        <w:t xml:space="preserve">Allowing constituents and members of the public to submit incident information greatly enhances </w:t>
      </w:r>
      <w:r w:rsidRPr="00654846" w:rsidR="00947E5A">
        <w:rPr>
          <w:spacing w:val="-3"/>
        </w:rPr>
        <w:t>proper performance of agency functions</w:t>
      </w:r>
      <w:r w:rsidR="00EC6B3C">
        <w:rPr>
          <w:spacing w:val="-3"/>
        </w:rPr>
        <w:t>, in accordance with applicable statutes</w:t>
      </w:r>
      <w:r w:rsidRPr="00654846" w:rsidR="00947E5A">
        <w:rPr>
          <w:spacing w:val="-3"/>
        </w:rPr>
        <w:t>.</w:t>
      </w:r>
      <w:r w:rsidRPr="00654846" w:rsidR="0060769A">
        <w:rPr>
          <w:spacing w:val="-3"/>
        </w:rPr>
        <w:t xml:space="preserve"> </w:t>
      </w:r>
      <w:r w:rsidR="00FC2DE0">
        <w:rPr>
          <w:spacing w:val="-3"/>
        </w:rPr>
        <w:t>Analyzing and p</w:t>
      </w:r>
      <w:r w:rsidR="00C65751">
        <w:rPr>
          <w:spacing w:val="-3"/>
        </w:rPr>
        <w:t>rov</w:t>
      </w:r>
      <w:r w:rsidR="005245F3">
        <w:rPr>
          <w:spacing w:val="-3"/>
        </w:rPr>
        <w:t xml:space="preserve">iding cybersecurity incident and threat information to both Federal Government and non-Federal Government entities is </w:t>
      </w:r>
      <w:r w:rsidR="00493356">
        <w:rPr>
          <w:spacing w:val="-3"/>
        </w:rPr>
        <w:t>described in</w:t>
      </w:r>
      <w:r w:rsidR="005245F3">
        <w:rPr>
          <w:spacing w:val="-3"/>
        </w:rPr>
        <w:t xml:space="preserve"> 6 U.S.C. §</w:t>
      </w:r>
      <w:r w:rsidR="00E24D32">
        <w:rPr>
          <w:spacing w:val="-3"/>
        </w:rPr>
        <w:t xml:space="preserve"> 659(c).</w:t>
      </w:r>
      <w:r w:rsidR="005245F3">
        <w:rPr>
          <w:spacing w:val="-3"/>
        </w:rPr>
        <w:t xml:space="preserve">  </w:t>
      </w:r>
      <w:r>
        <w:t xml:space="preserve">CISA’s ability to protect federal agencies and the Nation from cyberattacks depend on gathering cyber incident information. </w:t>
      </w:r>
      <w:r w:rsidRPr="001E7918">
        <w:t xml:space="preserve">  </w:t>
      </w:r>
      <w:r w:rsidRPr="00654846" w:rsidR="0060769A">
        <w:rPr>
          <w:spacing w:val="-3"/>
        </w:rPr>
        <w:t xml:space="preserve">Without active participation from </w:t>
      </w:r>
      <w:r>
        <w:rPr>
          <w:spacing w:val="-3"/>
        </w:rPr>
        <w:t xml:space="preserve">a wide variety of </w:t>
      </w:r>
      <w:r w:rsidRPr="00654846" w:rsidR="0060769A">
        <w:rPr>
          <w:spacing w:val="-3"/>
        </w:rPr>
        <w:t xml:space="preserve">users, the effectiveness of </w:t>
      </w:r>
      <w:r w:rsidR="00317BCE">
        <w:rPr>
          <w:spacing w:val="-3"/>
        </w:rPr>
        <w:t>CISA’s</w:t>
      </w:r>
      <w:r w:rsidRPr="00654846" w:rsidR="00317BCE">
        <w:rPr>
          <w:spacing w:val="-3"/>
        </w:rPr>
        <w:t xml:space="preserve"> </w:t>
      </w:r>
      <w:r w:rsidRPr="00654846" w:rsidR="0060769A">
        <w:rPr>
          <w:spacing w:val="-3"/>
        </w:rPr>
        <w:t xml:space="preserve">services will </w:t>
      </w:r>
      <w:r w:rsidR="005705BA">
        <w:rPr>
          <w:spacing w:val="-3"/>
        </w:rPr>
        <w:t>fail</w:t>
      </w:r>
      <w:r w:rsidRPr="00654846" w:rsidR="0060769A">
        <w:rPr>
          <w:spacing w:val="-3"/>
        </w:rPr>
        <w:t xml:space="preserve">. </w:t>
      </w:r>
      <w:r w:rsidR="00317BCE">
        <w:t xml:space="preserve">CISA’s </w:t>
      </w:r>
      <w:r w:rsidR="00BF5D5D">
        <w:t xml:space="preserve">obligations, particularly with respect to </w:t>
      </w:r>
      <w:r w:rsidR="00263FA8">
        <w:t>receiving</w:t>
      </w:r>
      <w:r w:rsidR="00D028A7">
        <w:t xml:space="preserve"> and analyzing reports</w:t>
      </w:r>
      <w:r w:rsidR="00263FA8">
        <w:t xml:space="preserve"> </w:t>
      </w:r>
      <w:r w:rsidR="00F863CF">
        <w:t xml:space="preserve">of </w:t>
      </w:r>
      <w:r w:rsidR="00BF5D5D">
        <w:t xml:space="preserve">cybersecurity incidents, are dependent upon </w:t>
      </w:r>
      <w:r w:rsidR="00317BCE">
        <w:t xml:space="preserve">CISA’s </w:t>
      </w:r>
      <w:r w:rsidR="00BF5D5D">
        <w:t>ability to collect certain information.</w:t>
      </w:r>
    </w:p>
    <w:p w:rsidRPr="0086268B" w:rsidR="005D7769" w:rsidP="000C4293" w:rsidRDefault="005D7769" w14:paraId="38500628" w14:textId="77777777">
      <w:pPr>
        <w:tabs>
          <w:tab w:val="left" w:pos="-720"/>
        </w:tabs>
        <w:suppressAutoHyphens/>
        <w:jc w:val="both"/>
        <w:rPr>
          <w:spacing w:val="-3"/>
        </w:rPr>
      </w:pPr>
    </w:p>
    <w:p w:rsidRPr="00596A43" w:rsidR="00AA3F82" w:rsidP="000C4293" w:rsidRDefault="00AA3F82" w14:paraId="71090FF5" w14:textId="77777777">
      <w:pPr>
        <w:tabs>
          <w:tab w:val="left" w:pos="-720"/>
        </w:tabs>
        <w:suppressAutoHyphens/>
        <w:jc w:val="both"/>
        <w:rPr>
          <w:spacing w:val="-3"/>
        </w:rPr>
      </w:pPr>
    </w:p>
    <w:p w:rsidRPr="00596A43" w:rsidR="00EB5E96" w:rsidP="000C4293" w:rsidRDefault="00EB5E96" w14:paraId="03B62BA2"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rsidRPr="00596A43" w:rsidR="00EB5E96" w:rsidP="000C4293" w:rsidRDefault="00EB5E96" w14:paraId="7EB4A29D" w14:textId="77777777">
      <w:pPr>
        <w:shd w:val="pct25" w:color="auto" w:fill="FFFFFF"/>
        <w:tabs>
          <w:tab w:val="left" w:pos="-720"/>
        </w:tabs>
        <w:suppressAutoHyphens/>
        <w:jc w:val="both"/>
      </w:pPr>
    </w:p>
    <w:p w:rsidRPr="00596A43" w:rsidR="00EB5E96" w:rsidP="00AE41B7" w:rsidRDefault="00EB5E96" w14:paraId="72CF6D26"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(a) Requiring respondents to report information to the agency more often than quarterly.</w:t>
      </w:r>
    </w:p>
    <w:p w:rsidRPr="00596A43" w:rsidR="00EB5E96" w:rsidP="00AE41B7" w:rsidRDefault="00EB5E96" w14:paraId="1A9B3E6C" w14:textId="77777777">
      <w:p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(b) Requiring respondents to prepare a written response to a collection of information in fewer than 30 days after receipt of it.</w:t>
      </w:r>
    </w:p>
    <w:p w:rsidRPr="00596A43" w:rsidR="00EB5E96" w:rsidP="000C4293" w:rsidRDefault="00EB5E96" w14:paraId="50B67333"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(c) Requiring respondents to submit more than an original and two copies of any document.</w:t>
      </w:r>
    </w:p>
    <w:p w:rsidRPr="00596A43" w:rsidR="00EB5E96" w:rsidP="00AE41B7" w:rsidRDefault="00EB5E96" w14:paraId="026E4DB0"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(d) Requiring respondents to retain records, other than health, medical, government contract, grant-in-aid, or tax records for more than three years.</w:t>
      </w:r>
    </w:p>
    <w:p w:rsidRPr="00596A43" w:rsidR="00EB5E96" w:rsidP="00AE41B7" w:rsidRDefault="00EB5E96" w14:paraId="5CA70A77"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(e) In connection with a statistical survey, that is not designed to produce valid and reliable results that can be generalized to the universe of study.</w:t>
      </w:r>
    </w:p>
    <w:p w:rsidRPr="00596A43" w:rsidR="00EB5E96" w:rsidP="00AE41B7" w:rsidRDefault="00EB5E96" w14:paraId="0F49538C"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rsidR="00AE41B7">
        <w:t>(</w:t>
      </w:r>
      <w:r w:rsidRPr="00596A43">
        <w:t>f) Requiring the use of a statistical data classification that has not been reviewed and approved by OMB.</w:t>
      </w:r>
    </w:p>
    <w:p w:rsidRPr="00596A43" w:rsidR="00EB5E96" w:rsidP="00AE41B7" w:rsidRDefault="00EB5E96" w14:paraId="0B16E3F3"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596A43" w:rsidR="00EB5E96" w:rsidP="00AE41B7" w:rsidRDefault="00EB5E96" w14:paraId="08339CB3"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Pr="00596A43" w:rsidR="002B0649" w:rsidP="000C4293" w:rsidRDefault="00EB5E96" w14:paraId="3F0F3414" w14:textId="77777777">
      <w:pPr>
        <w:tabs>
          <w:tab w:val="left" w:pos="-720"/>
        </w:tabs>
        <w:suppressAutoHyphens/>
        <w:ind w:left="144"/>
        <w:jc w:val="both"/>
      </w:pPr>
      <w:r w:rsidRPr="00596A43">
        <w:fldChar w:fldCharType="begin"/>
      </w:r>
      <w:r w:rsidRPr="00596A43">
        <w:instrText>ADVANCE \R 0.95</w:instrText>
      </w:r>
      <w:r w:rsidRPr="00596A43">
        <w:fldChar w:fldCharType="end"/>
      </w:r>
    </w:p>
    <w:p w:rsidRPr="001E7918" w:rsidR="00D64884" w:rsidP="00D64884" w:rsidRDefault="00D64884" w14:paraId="5A12C207" w14:textId="13843E13"/>
    <w:p w:rsidRPr="00654846" w:rsidR="00D73BBC" w:rsidP="007A784A" w:rsidRDefault="00920B48" w14:paraId="454DADD2" w14:textId="52102595">
      <w:pPr>
        <w:numPr>
          <w:ilvl w:val="0"/>
          <w:numId w:val="29"/>
        </w:numPr>
        <w:tabs>
          <w:tab w:val="left" w:pos="-720"/>
        </w:tabs>
        <w:suppressAutoHyphens/>
        <w:jc w:val="both"/>
        <w:rPr>
          <w:spacing w:val="-3"/>
        </w:rPr>
      </w:pPr>
      <w:r>
        <w:rPr>
          <w:spacing w:val="-3"/>
        </w:rPr>
        <w:t xml:space="preserve">There is no applicable requirement for members of the public that lack a cognizable relationship with the government to report incidents with any particular frequency; however, information security incidents may occur many times a </w:t>
      </w:r>
      <w:r w:rsidR="00DE553B">
        <w:rPr>
          <w:spacing w:val="-3"/>
        </w:rPr>
        <w:t>quarter</w:t>
      </w:r>
      <w:r>
        <w:rPr>
          <w:spacing w:val="-3"/>
        </w:rPr>
        <w:t>.  Receiving reports about each incident furthers CISA’s statutory mission.  CISA</w:t>
      </w:r>
      <w:r w:rsidRPr="00654846">
        <w:rPr>
          <w:spacing w:val="-3"/>
        </w:rPr>
        <w:t xml:space="preserve"> must be notified of all computer security incidents</w:t>
      </w:r>
      <w:r>
        <w:rPr>
          <w:spacing w:val="-3"/>
        </w:rPr>
        <w:t>, as defined,</w:t>
      </w:r>
      <w:r w:rsidRPr="00654846">
        <w:rPr>
          <w:spacing w:val="-3"/>
        </w:rPr>
        <w:t xml:space="preserve"> involving a Federal Government information system within one </w:t>
      </w:r>
      <w:r>
        <w:rPr>
          <w:spacing w:val="-3"/>
        </w:rPr>
        <w:t>hour</w:t>
      </w:r>
      <w:r w:rsidRPr="00654846">
        <w:rPr>
          <w:spacing w:val="-3"/>
        </w:rPr>
        <w:t xml:space="preserve"> of being positively identified by the agency’s Computer Security Incident Response Team (CSIRT), Security Operations Center (SOC), or Information Technology (IT) department.</w:t>
      </w:r>
    </w:p>
    <w:p w:rsidRPr="00654846" w:rsidR="007A784A" w:rsidP="007A784A" w:rsidRDefault="00947E5A" w14:paraId="501220DD" w14:textId="77777777">
      <w:pPr>
        <w:numPr>
          <w:ilvl w:val="0"/>
          <w:numId w:val="29"/>
        </w:numPr>
        <w:tabs>
          <w:tab w:val="left" w:pos="-720"/>
        </w:tabs>
        <w:suppressAutoHyphens/>
        <w:jc w:val="both"/>
        <w:rPr>
          <w:spacing w:val="-3"/>
        </w:rPr>
      </w:pPr>
      <w:r w:rsidRPr="00654846">
        <w:rPr>
          <w:spacing w:val="-3"/>
        </w:rPr>
        <w:t>N/A</w:t>
      </w:r>
    </w:p>
    <w:p w:rsidRPr="00654846" w:rsidR="00947E5A" w:rsidP="007A784A" w:rsidRDefault="00947E5A" w14:paraId="62839460" w14:textId="77777777">
      <w:pPr>
        <w:numPr>
          <w:ilvl w:val="0"/>
          <w:numId w:val="29"/>
        </w:numPr>
        <w:tabs>
          <w:tab w:val="left" w:pos="-720"/>
        </w:tabs>
        <w:suppressAutoHyphens/>
        <w:jc w:val="both"/>
        <w:rPr>
          <w:spacing w:val="-3"/>
        </w:rPr>
      </w:pPr>
      <w:r w:rsidRPr="00654846">
        <w:rPr>
          <w:spacing w:val="-3"/>
        </w:rPr>
        <w:t>N/A</w:t>
      </w:r>
    </w:p>
    <w:p w:rsidRPr="00654846" w:rsidR="00947E5A" w:rsidP="007A784A" w:rsidRDefault="00947E5A" w14:paraId="6CE01BC3" w14:textId="77777777">
      <w:pPr>
        <w:numPr>
          <w:ilvl w:val="0"/>
          <w:numId w:val="29"/>
        </w:numPr>
        <w:tabs>
          <w:tab w:val="left" w:pos="-720"/>
        </w:tabs>
        <w:suppressAutoHyphens/>
        <w:jc w:val="both"/>
        <w:rPr>
          <w:spacing w:val="-3"/>
        </w:rPr>
      </w:pPr>
      <w:r w:rsidRPr="00654846">
        <w:rPr>
          <w:spacing w:val="-3"/>
        </w:rPr>
        <w:t>N/A</w:t>
      </w:r>
    </w:p>
    <w:p w:rsidRPr="00654846" w:rsidR="00947E5A" w:rsidP="007A784A" w:rsidRDefault="00947E5A" w14:paraId="6C95EF77" w14:textId="77777777">
      <w:pPr>
        <w:numPr>
          <w:ilvl w:val="0"/>
          <w:numId w:val="29"/>
        </w:numPr>
        <w:tabs>
          <w:tab w:val="left" w:pos="-720"/>
        </w:tabs>
        <w:suppressAutoHyphens/>
        <w:jc w:val="both"/>
        <w:rPr>
          <w:spacing w:val="-3"/>
        </w:rPr>
      </w:pPr>
      <w:r w:rsidRPr="00654846">
        <w:rPr>
          <w:spacing w:val="-3"/>
        </w:rPr>
        <w:t>N/A</w:t>
      </w:r>
    </w:p>
    <w:p w:rsidRPr="00654846" w:rsidR="00947E5A" w:rsidP="007A784A" w:rsidRDefault="00947E5A" w14:paraId="4F108A29" w14:textId="77777777">
      <w:pPr>
        <w:numPr>
          <w:ilvl w:val="0"/>
          <w:numId w:val="29"/>
        </w:numPr>
        <w:tabs>
          <w:tab w:val="left" w:pos="-720"/>
        </w:tabs>
        <w:suppressAutoHyphens/>
        <w:jc w:val="both"/>
        <w:rPr>
          <w:spacing w:val="-3"/>
        </w:rPr>
      </w:pPr>
      <w:r w:rsidRPr="00654846">
        <w:rPr>
          <w:spacing w:val="-3"/>
        </w:rPr>
        <w:t>N/A</w:t>
      </w:r>
    </w:p>
    <w:p w:rsidRPr="00654846" w:rsidR="00947E5A" w:rsidP="007A784A" w:rsidRDefault="00352659" w14:paraId="48913052" w14:textId="77777777">
      <w:pPr>
        <w:numPr>
          <w:ilvl w:val="0"/>
          <w:numId w:val="29"/>
        </w:numPr>
        <w:tabs>
          <w:tab w:val="left" w:pos="-720"/>
        </w:tabs>
        <w:suppressAutoHyphens/>
        <w:jc w:val="both"/>
        <w:rPr>
          <w:spacing w:val="-3"/>
        </w:rPr>
      </w:pPr>
      <w:r w:rsidRPr="00654846">
        <w:rPr>
          <w:spacing w:val="-3"/>
        </w:rPr>
        <w:t>N/A</w:t>
      </w:r>
    </w:p>
    <w:p w:rsidRPr="00654846" w:rsidR="00836E47" w:rsidP="007A784A" w:rsidRDefault="00352659" w14:paraId="04F78313" w14:textId="77777777">
      <w:pPr>
        <w:numPr>
          <w:ilvl w:val="0"/>
          <w:numId w:val="29"/>
        </w:numPr>
        <w:tabs>
          <w:tab w:val="left" w:pos="-720"/>
        </w:tabs>
        <w:suppressAutoHyphens/>
        <w:jc w:val="both"/>
        <w:rPr>
          <w:spacing w:val="-3"/>
        </w:rPr>
      </w:pPr>
      <w:r w:rsidRPr="00654846">
        <w:rPr>
          <w:spacing w:val="-3"/>
        </w:rPr>
        <w:t>N/A</w:t>
      </w:r>
      <w:r w:rsidRPr="00654846" w:rsidR="00836E47">
        <w:rPr>
          <w:spacing w:val="-3"/>
        </w:rPr>
        <w:t xml:space="preserve"> </w:t>
      </w:r>
    </w:p>
    <w:p w:rsidRPr="00596A43" w:rsidR="00AE41B7" w:rsidP="000C4293" w:rsidRDefault="00AE41B7" w14:paraId="266C15BE" w14:textId="77777777">
      <w:pPr>
        <w:tabs>
          <w:tab w:val="left" w:pos="-720"/>
        </w:tabs>
        <w:suppressAutoHyphens/>
        <w:jc w:val="both"/>
      </w:pPr>
    </w:p>
    <w:p w:rsidRPr="00596A43" w:rsidR="00EB5E96" w:rsidP="004C21F8" w:rsidRDefault="00EB5E96" w14:paraId="1B8AE973"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rsidRPr="00596A43" w:rsidR="00EB5E96" w:rsidP="004C21F8" w:rsidRDefault="00EB5E96" w14:paraId="3B2AA8EF"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a. Provide a copy and identify the date and page number of </w:t>
      </w:r>
      <w:proofErr w:type="gramStart"/>
      <w:r w:rsidRPr="00596A43">
        <w:t>publication</w:t>
      </w:r>
      <w:proofErr w:type="gramEnd"/>
      <w:r w:rsidRPr="00596A43">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96A43" w:rsidR="00EB5E96" w:rsidP="004C21F8" w:rsidRDefault="00EB5E96" w14:paraId="6E9FAF9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596A43" w:rsidR="00EB5E96" w:rsidP="004C21F8" w:rsidRDefault="00EB5E96" w14:paraId="7F201AB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Pr="00596A43" w:rsidR="00EB5E96" w:rsidP="000C4293" w:rsidRDefault="00EB5E96" w14:paraId="0DAE60E9" w14:textId="77777777">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8"/>
        <w:gridCol w:w="1520"/>
        <w:gridCol w:w="1211"/>
        <w:gridCol w:w="1863"/>
        <w:gridCol w:w="1187"/>
        <w:gridCol w:w="1391"/>
      </w:tblGrid>
      <w:tr w:rsidR="00B67664" w:rsidTr="001A1B2D" w14:paraId="14A3FB7C" w14:textId="77777777">
        <w:trPr>
          <w:trHeight w:val="638"/>
        </w:trPr>
        <w:tc>
          <w:tcPr>
            <w:tcW w:w="2268" w:type="dxa"/>
            <w:shd w:val="clear" w:color="auto" w:fill="000000"/>
          </w:tcPr>
          <w:p w:rsidR="00B67664" w:rsidP="00D3411B" w:rsidRDefault="00B67664" w14:paraId="75C8908D" w14:textId="77777777">
            <w:pPr>
              <w:tabs>
                <w:tab w:val="left" w:pos="-720"/>
              </w:tabs>
              <w:suppressAutoHyphens/>
              <w:jc w:val="both"/>
            </w:pPr>
          </w:p>
        </w:tc>
        <w:tc>
          <w:tcPr>
            <w:tcW w:w="1530" w:type="dxa"/>
            <w:shd w:val="clear" w:color="auto" w:fill="BFBFBF"/>
          </w:tcPr>
          <w:p w:rsidRPr="00D3411B" w:rsidR="00B67664" w:rsidP="00D3411B" w:rsidRDefault="00B67664" w14:paraId="2A5E5D1F" w14:textId="77777777">
            <w:pPr>
              <w:tabs>
                <w:tab w:val="left" w:pos="-720"/>
              </w:tabs>
              <w:suppressAutoHyphens/>
              <w:jc w:val="center"/>
              <w:rPr>
                <w:b/>
              </w:rPr>
            </w:pPr>
            <w:r w:rsidRPr="00D3411B">
              <w:rPr>
                <w:b/>
              </w:rPr>
              <w:t>Date of Publication</w:t>
            </w:r>
          </w:p>
        </w:tc>
        <w:tc>
          <w:tcPr>
            <w:tcW w:w="1226" w:type="dxa"/>
            <w:shd w:val="clear" w:color="auto" w:fill="BFBFBF"/>
            <w:vAlign w:val="center"/>
          </w:tcPr>
          <w:p w:rsidRPr="00D3411B" w:rsidR="00B67664" w:rsidP="00D3411B" w:rsidRDefault="00B67664" w14:paraId="01273752" w14:textId="77777777">
            <w:pPr>
              <w:tabs>
                <w:tab w:val="left" w:pos="-720"/>
              </w:tabs>
              <w:suppressAutoHyphens/>
              <w:jc w:val="center"/>
              <w:rPr>
                <w:b/>
              </w:rPr>
            </w:pPr>
            <w:r w:rsidRPr="00D3411B">
              <w:rPr>
                <w:b/>
              </w:rPr>
              <w:t>Volume #</w:t>
            </w:r>
          </w:p>
        </w:tc>
        <w:tc>
          <w:tcPr>
            <w:tcW w:w="1924" w:type="dxa"/>
            <w:shd w:val="clear" w:color="auto" w:fill="BFBFBF"/>
            <w:vAlign w:val="center"/>
          </w:tcPr>
          <w:p w:rsidRPr="00D3411B" w:rsidR="00B67664" w:rsidP="00D3411B" w:rsidRDefault="00B67664" w14:paraId="5881FC16" w14:textId="77777777">
            <w:pPr>
              <w:tabs>
                <w:tab w:val="left" w:pos="-720"/>
              </w:tabs>
              <w:suppressAutoHyphens/>
              <w:jc w:val="center"/>
              <w:rPr>
                <w:b/>
              </w:rPr>
            </w:pPr>
            <w:r w:rsidRPr="00D3411B">
              <w:rPr>
                <w:b/>
              </w:rPr>
              <w:t>Number #</w:t>
            </w:r>
          </w:p>
        </w:tc>
        <w:tc>
          <w:tcPr>
            <w:tcW w:w="1216" w:type="dxa"/>
            <w:shd w:val="clear" w:color="auto" w:fill="BFBFBF"/>
            <w:vAlign w:val="center"/>
          </w:tcPr>
          <w:p w:rsidRPr="00D3411B" w:rsidR="00B67664" w:rsidP="00D3411B" w:rsidRDefault="00B67664" w14:paraId="0DB0B3C9" w14:textId="77777777">
            <w:pPr>
              <w:tabs>
                <w:tab w:val="left" w:pos="-720"/>
              </w:tabs>
              <w:suppressAutoHyphens/>
              <w:jc w:val="center"/>
              <w:rPr>
                <w:b/>
              </w:rPr>
            </w:pPr>
            <w:r w:rsidRPr="00D3411B">
              <w:rPr>
                <w:b/>
              </w:rPr>
              <w:t>Page #</w:t>
            </w:r>
          </w:p>
        </w:tc>
        <w:tc>
          <w:tcPr>
            <w:tcW w:w="1396" w:type="dxa"/>
            <w:shd w:val="clear" w:color="auto" w:fill="BFBFBF"/>
          </w:tcPr>
          <w:p w:rsidRPr="00D3411B" w:rsidR="00B67664" w:rsidP="00D3411B" w:rsidRDefault="00B67664" w14:paraId="4EEDD227" w14:textId="77777777">
            <w:pPr>
              <w:tabs>
                <w:tab w:val="left" w:pos="-720"/>
              </w:tabs>
              <w:suppressAutoHyphens/>
              <w:jc w:val="center"/>
              <w:rPr>
                <w:b/>
              </w:rPr>
            </w:pPr>
            <w:r w:rsidRPr="00D3411B">
              <w:rPr>
                <w:b/>
              </w:rPr>
              <w:t>Comments Addressed</w:t>
            </w:r>
          </w:p>
        </w:tc>
      </w:tr>
      <w:tr w:rsidR="00B67664" w:rsidTr="00D3411B" w14:paraId="78FF4BB7" w14:textId="77777777">
        <w:tc>
          <w:tcPr>
            <w:tcW w:w="2268" w:type="dxa"/>
          </w:tcPr>
          <w:p w:rsidRPr="00D3411B" w:rsidR="00B67664" w:rsidP="00D3411B" w:rsidRDefault="00B67664" w14:paraId="71F38B4D" w14:textId="79A494F1">
            <w:pPr>
              <w:tabs>
                <w:tab w:val="left" w:pos="-720"/>
              </w:tabs>
              <w:suppressAutoHyphens/>
              <w:rPr>
                <w:i/>
              </w:rPr>
            </w:pPr>
            <w:r w:rsidRPr="00D3411B">
              <w:rPr>
                <w:i/>
              </w:rPr>
              <w:t>60</w:t>
            </w:r>
            <w:r w:rsidR="00172267">
              <w:rPr>
                <w:i/>
              </w:rPr>
              <w:t>-</w:t>
            </w:r>
            <w:r w:rsidRPr="00D3411B">
              <w:rPr>
                <w:i/>
              </w:rPr>
              <w:t>Day Federal Register Notice:</w:t>
            </w:r>
          </w:p>
        </w:tc>
        <w:tc>
          <w:tcPr>
            <w:tcW w:w="1530" w:type="dxa"/>
          </w:tcPr>
          <w:p w:rsidRPr="001A1B2D" w:rsidR="00B67664" w:rsidP="001A1B2D" w:rsidRDefault="0094330F" w14:paraId="2733FF36" w14:textId="66FB1FC5">
            <w:pPr>
              <w:tabs>
                <w:tab w:val="left" w:pos="-720"/>
              </w:tabs>
              <w:suppressAutoHyphens/>
              <w:jc w:val="center"/>
            </w:pPr>
            <w:r>
              <w:t>September 4,</w:t>
            </w:r>
            <w:r w:rsidR="006A26CA">
              <w:t xml:space="preserve"> 2019</w:t>
            </w:r>
          </w:p>
        </w:tc>
        <w:tc>
          <w:tcPr>
            <w:tcW w:w="1226" w:type="dxa"/>
          </w:tcPr>
          <w:p w:rsidRPr="001A1B2D" w:rsidR="00B67664" w:rsidP="001A1B2D" w:rsidRDefault="006A26CA" w14:paraId="10D2865F" w14:textId="59B0A623">
            <w:pPr>
              <w:tabs>
                <w:tab w:val="left" w:pos="-720"/>
              </w:tabs>
              <w:suppressAutoHyphens/>
              <w:jc w:val="center"/>
            </w:pPr>
            <w:r>
              <w:t>84</w:t>
            </w:r>
          </w:p>
        </w:tc>
        <w:tc>
          <w:tcPr>
            <w:tcW w:w="1924" w:type="dxa"/>
          </w:tcPr>
          <w:p w:rsidRPr="001A1B2D" w:rsidR="00B67664" w:rsidP="001A1B2D" w:rsidRDefault="006A26CA" w14:paraId="7779B67C" w14:textId="792466D3">
            <w:pPr>
              <w:tabs>
                <w:tab w:val="left" w:pos="-720"/>
              </w:tabs>
              <w:suppressAutoHyphens/>
              <w:jc w:val="center"/>
            </w:pPr>
            <w:r>
              <w:t>171</w:t>
            </w:r>
          </w:p>
        </w:tc>
        <w:tc>
          <w:tcPr>
            <w:tcW w:w="1216" w:type="dxa"/>
          </w:tcPr>
          <w:p w:rsidRPr="001A1B2D" w:rsidR="00B67664" w:rsidP="001A1B2D" w:rsidRDefault="006A26CA" w14:paraId="135ABA4C" w14:textId="0B9E9717">
            <w:pPr>
              <w:tabs>
                <w:tab w:val="left" w:pos="-720"/>
              </w:tabs>
              <w:suppressAutoHyphens/>
              <w:jc w:val="center"/>
            </w:pPr>
            <w:r>
              <w:t>46554 – 46556</w:t>
            </w:r>
          </w:p>
        </w:tc>
        <w:tc>
          <w:tcPr>
            <w:tcW w:w="1396" w:type="dxa"/>
          </w:tcPr>
          <w:p w:rsidRPr="001A1B2D" w:rsidR="00B67664" w:rsidP="001A1B2D" w:rsidRDefault="001A1B2D" w14:paraId="1AA9A3D8" w14:textId="77777777">
            <w:pPr>
              <w:tabs>
                <w:tab w:val="left" w:pos="-720"/>
              </w:tabs>
              <w:suppressAutoHyphens/>
              <w:jc w:val="center"/>
            </w:pPr>
            <w:r w:rsidRPr="001A1B2D">
              <w:t>0</w:t>
            </w:r>
          </w:p>
        </w:tc>
      </w:tr>
      <w:tr w:rsidR="00B67664" w:rsidTr="00D3411B" w14:paraId="71AEEFAF" w14:textId="77777777">
        <w:tc>
          <w:tcPr>
            <w:tcW w:w="2268" w:type="dxa"/>
          </w:tcPr>
          <w:p w:rsidR="00B67664" w:rsidP="00D3411B" w:rsidRDefault="00B67664" w14:paraId="750898CC" w14:textId="77777777">
            <w:pPr>
              <w:tabs>
                <w:tab w:val="left" w:pos="-720"/>
              </w:tabs>
              <w:suppressAutoHyphens/>
            </w:pPr>
            <w:r w:rsidRPr="00D3411B">
              <w:rPr>
                <w:i/>
              </w:rPr>
              <w:t>30-Day Federal Register Notice</w:t>
            </w:r>
          </w:p>
        </w:tc>
        <w:tc>
          <w:tcPr>
            <w:tcW w:w="1530" w:type="dxa"/>
          </w:tcPr>
          <w:p w:rsidRPr="00BB66FB" w:rsidR="00B67664" w:rsidP="001A1B2D" w:rsidRDefault="00434E43" w14:paraId="65DACAE9" w14:textId="49F0DB5D">
            <w:pPr>
              <w:tabs>
                <w:tab w:val="left" w:pos="-720"/>
              </w:tabs>
              <w:suppressAutoHyphens/>
              <w:jc w:val="center"/>
            </w:pPr>
            <w:r>
              <w:t>January 6, 2020</w:t>
            </w:r>
          </w:p>
        </w:tc>
        <w:tc>
          <w:tcPr>
            <w:tcW w:w="1226" w:type="dxa"/>
          </w:tcPr>
          <w:p w:rsidRPr="00BB66FB" w:rsidR="00B67664" w:rsidP="001A1B2D" w:rsidRDefault="00434E43" w14:paraId="15A72FC7" w14:textId="43CCC971">
            <w:pPr>
              <w:tabs>
                <w:tab w:val="left" w:pos="-720"/>
              </w:tabs>
              <w:suppressAutoHyphens/>
              <w:jc w:val="center"/>
            </w:pPr>
            <w:r>
              <w:t>85</w:t>
            </w:r>
          </w:p>
        </w:tc>
        <w:tc>
          <w:tcPr>
            <w:tcW w:w="1924" w:type="dxa"/>
          </w:tcPr>
          <w:p w:rsidR="00B67664" w:rsidP="001A1B2D" w:rsidRDefault="00434E43" w14:paraId="49E0A4AF" w14:textId="452446E3">
            <w:pPr>
              <w:tabs>
                <w:tab w:val="left" w:pos="-720"/>
              </w:tabs>
              <w:suppressAutoHyphens/>
              <w:jc w:val="center"/>
            </w:pPr>
            <w:r>
              <w:t>3</w:t>
            </w:r>
          </w:p>
        </w:tc>
        <w:tc>
          <w:tcPr>
            <w:tcW w:w="1216" w:type="dxa"/>
          </w:tcPr>
          <w:p w:rsidR="00B67664" w:rsidP="001A1B2D" w:rsidRDefault="00434E43" w14:paraId="4A1A9AAD" w14:textId="76C20F31">
            <w:pPr>
              <w:tabs>
                <w:tab w:val="left" w:pos="-720"/>
              </w:tabs>
              <w:suppressAutoHyphens/>
              <w:jc w:val="center"/>
            </w:pPr>
            <w:r>
              <w:t>516 - 518</w:t>
            </w:r>
          </w:p>
        </w:tc>
        <w:tc>
          <w:tcPr>
            <w:tcW w:w="1396" w:type="dxa"/>
          </w:tcPr>
          <w:p w:rsidR="00B67664" w:rsidP="001A1B2D" w:rsidRDefault="00434E43" w14:paraId="79ACB529" w14:textId="4789730C">
            <w:pPr>
              <w:tabs>
                <w:tab w:val="left" w:pos="-720"/>
              </w:tabs>
              <w:suppressAutoHyphens/>
              <w:jc w:val="center"/>
            </w:pPr>
            <w:r>
              <w:t>1</w:t>
            </w:r>
          </w:p>
        </w:tc>
      </w:tr>
    </w:tbl>
    <w:p w:rsidR="00B67664" w:rsidP="000C4293" w:rsidRDefault="00B67664" w14:paraId="5F2E0E46" w14:textId="77777777">
      <w:pPr>
        <w:tabs>
          <w:tab w:val="left" w:pos="-720"/>
        </w:tabs>
        <w:suppressAutoHyphens/>
        <w:jc w:val="both"/>
      </w:pPr>
    </w:p>
    <w:p w:rsidRPr="00AF56B2" w:rsidR="00434E43" w:rsidP="00434E43" w:rsidRDefault="00434E43" w14:paraId="431F59D1" w14:textId="0845C250">
      <w:pPr>
        <w:tabs>
          <w:tab w:val="left" w:pos="-720"/>
        </w:tabs>
        <w:suppressAutoHyphens/>
        <w:jc w:val="both"/>
        <w:rPr>
          <w:spacing w:val="-3"/>
        </w:rPr>
      </w:pPr>
      <w:r w:rsidRPr="00AF56B2">
        <w:rPr>
          <w:spacing w:val="-3"/>
        </w:rPr>
        <w:t xml:space="preserve">On </w:t>
      </w:r>
      <w:r w:rsidR="00277C6A">
        <w:rPr>
          <w:spacing w:val="-3"/>
        </w:rPr>
        <w:t>September 4, 2019</w:t>
      </w:r>
      <w:r w:rsidRPr="00AF56B2">
        <w:rPr>
          <w:spacing w:val="-3"/>
        </w:rPr>
        <w:t xml:space="preserve">, CISA published a </w:t>
      </w:r>
      <w:r>
        <w:rPr>
          <w:spacing w:val="-3"/>
        </w:rPr>
        <w:t>6</w:t>
      </w:r>
      <w:r w:rsidRPr="00AF56B2">
        <w:rPr>
          <w:spacing w:val="-3"/>
        </w:rPr>
        <w:t xml:space="preserve">0-day notice in the Federal Register at 84 FR </w:t>
      </w:r>
      <w:r w:rsidR="00277C6A">
        <w:rPr>
          <w:spacing w:val="-3"/>
        </w:rPr>
        <w:t>46554</w:t>
      </w:r>
      <w:r w:rsidRPr="00AF56B2">
        <w:rPr>
          <w:spacing w:val="-3"/>
        </w:rPr>
        <w:t xml:space="preserve">.  </w:t>
      </w:r>
    </w:p>
    <w:p w:rsidR="00434E43" w:rsidP="00434E43" w:rsidRDefault="00434E43" w14:paraId="24C583C4" w14:textId="77777777">
      <w:pPr>
        <w:tabs>
          <w:tab w:val="left" w:pos="-720"/>
        </w:tabs>
        <w:suppressAutoHyphens/>
        <w:jc w:val="both"/>
        <w:rPr>
          <w:spacing w:val="-3"/>
        </w:rPr>
      </w:pPr>
      <w:r w:rsidRPr="00AF56B2">
        <w:rPr>
          <w:spacing w:val="-3"/>
        </w:rPr>
        <w:t xml:space="preserve">CISA has </w:t>
      </w:r>
      <w:r>
        <w:rPr>
          <w:spacing w:val="-3"/>
        </w:rPr>
        <w:t xml:space="preserve">not </w:t>
      </w:r>
      <w:r w:rsidRPr="00AF56B2">
        <w:rPr>
          <w:spacing w:val="-3"/>
        </w:rPr>
        <w:t xml:space="preserve">received </w:t>
      </w:r>
      <w:r>
        <w:rPr>
          <w:spacing w:val="-3"/>
        </w:rPr>
        <w:t>any</w:t>
      </w:r>
      <w:r w:rsidRPr="00AF56B2">
        <w:rPr>
          <w:spacing w:val="-3"/>
        </w:rPr>
        <w:t xml:space="preserve"> comment</w:t>
      </w:r>
      <w:r>
        <w:rPr>
          <w:spacing w:val="-3"/>
        </w:rPr>
        <w:t>s</w:t>
      </w:r>
      <w:r w:rsidRPr="00AF56B2">
        <w:rPr>
          <w:spacing w:val="-3"/>
        </w:rPr>
        <w:t xml:space="preserve"> related to the </w:t>
      </w:r>
      <w:r>
        <w:rPr>
          <w:spacing w:val="-3"/>
        </w:rPr>
        <w:t>6</w:t>
      </w:r>
      <w:r w:rsidRPr="00AF56B2">
        <w:rPr>
          <w:spacing w:val="-3"/>
        </w:rPr>
        <w:t>0-day notice.</w:t>
      </w:r>
      <w:r>
        <w:rPr>
          <w:spacing w:val="-3"/>
        </w:rPr>
        <w:t xml:space="preserve">  </w:t>
      </w:r>
    </w:p>
    <w:p w:rsidR="00434E43" w:rsidP="00434E43" w:rsidRDefault="00434E43" w14:paraId="485CABB4" w14:textId="77777777">
      <w:pPr>
        <w:tabs>
          <w:tab w:val="left" w:pos="-720"/>
        </w:tabs>
        <w:suppressAutoHyphens/>
        <w:jc w:val="both"/>
        <w:rPr>
          <w:spacing w:val="-3"/>
        </w:rPr>
      </w:pPr>
    </w:p>
    <w:p w:rsidRPr="00AF56B2" w:rsidR="00434E43" w:rsidP="00434E43" w:rsidRDefault="00434E43" w14:paraId="2633E665" w14:textId="17C7C59E">
      <w:pPr>
        <w:tabs>
          <w:tab w:val="left" w:pos="-720"/>
        </w:tabs>
        <w:suppressAutoHyphens/>
        <w:jc w:val="both"/>
        <w:rPr>
          <w:spacing w:val="-3"/>
        </w:rPr>
      </w:pPr>
      <w:r w:rsidRPr="00AF56B2">
        <w:rPr>
          <w:spacing w:val="-3"/>
        </w:rPr>
        <w:t xml:space="preserve">On </w:t>
      </w:r>
      <w:r w:rsidR="00277C6A">
        <w:rPr>
          <w:spacing w:val="-3"/>
        </w:rPr>
        <w:t>January 6, 2020</w:t>
      </w:r>
      <w:r w:rsidRPr="00AF56B2">
        <w:rPr>
          <w:spacing w:val="-3"/>
        </w:rPr>
        <w:t xml:space="preserve">, CISA published a 30-day notice in the Federal Register at </w:t>
      </w:r>
      <w:r w:rsidR="00277C6A">
        <w:rPr>
          <w:spacing w:val="-3"/>
        </w:rPr>
        <w:t>85</w:t>
      </w:r>
      <w:r w:rsidRPr="00AF56B2">
        <w:rPr>
          <w:spacing w:val="-3"/>
        </w:rPr>
        <w:t xml:space="preserve"> FR </w:t>
      </w:r>
      <w:r w:rsidR="00277C6A">
        <w:rPr>
          <w:spacing w:val="-3"/>
        </w:rPr>
        <w:t>516</w:t>
      </w:r>
      <w:r w:rsidRPr="00AF56B2">
        <w:rPr>
          <w:spacing w:val="-3"/>
        </w:rPr>
        <w:t xml:space="preserve">.  </w:t>
      </w:r>
    </w:p>
    <w:p w:rsidR="00AD350D" w:rsidP="00DB7C80" w:rsidRDefault="00434E43" w14:paraId="73927050" w14:textId="5CAA01B0">
      <w:pPr>
        <w:tabs>
          <w:tab w:val="left" w:pos="-720"/>
        </w:tabs>
        <w:suppressAutoHyphens/>
        <w:jc w:val="both"/>
      </w:pPr>
      <w:r w:rsidRPr="00AF56B2">
        <w:rPr>
          <w:spacing w:val="-3"/>
        </w:rPr>
        <w:t>CISA has received one comment related to the 30-day notice.</w:t>
      </w:r>
      <w:r>
        <w:rPr>
          <w:spacing w:val="-3"/>
        </w:rPr>
        <w:t xml:space="preserve">  The commenter</w:t>
      </w:r>
      <w:r w:rsidR="00AD350D">
        <w:rPr>
          <w:spacing w:val="-3"/>
        </w:rPr>
        <w:t xml:space="preserve">, a CISA grant recipient called the </w:t>
      </w:r>
      <w:r w:rsidR="00AD350D">
        <w:t xml:space="preserve">Cybercrime Support Network (CSN), offers “helpful guidance” </w:t>
      </w:r>
      <w:r w:rsidR="00DB7C80">
        <w:t xml:space="preserve">to CISA.  </w:t>
      </w:r>
      <w:r w:rsidRPr="00DB7C80" w:rsidR="00DB7C80">
        <w:t xml:space="preserve">The Commenter asserts that its experience in developing training materials and </w:t>
      </w:r>
      <w:r w:rsidR="00DB7C80">
        <w:t xml:space="preserve">development of a </w:t>
      </w:r>
      <w:r w:rsidRPr="00DB7C80" w:rsidR="00DB7C80">
        <w:t xml:space="preserve">national-level reporting form has provided </w:t>
      </w:r>
      <w:r w:rsidR="00DB7C80">
        <w:t xml:space="preserve">it </w:t>
      </w:r>
      <w:r w:rsidRPr="00DB7C80" w:rsidR="00DB7C80">
        <w:t xml:space="preserve">insights to “minimize the burden of the collection of information.”  The </w:t>
      </w:r>
      <w:r w:rsidR="00DB7C80">
        <w:t>c</w:t>
      </w:r>
      <w:r w:rsidRPr="00DB7C80" w:rsidR="00DB7C80">
        <w:t>ommenter thanks CISA for extending the comment period; describes the importance for “DHS and all Federal, State, Local, Tribal, Territorial and Private Sector Partners work together in a holistic fashion to refine cyber incident reporting and information sharing systems;” asks that CISA continue to directly engage the public and consider how changes to the FIRR may complement other cyber incident reporting efforts; and asks that CISA publicly share “lessons learned from the evolution of your incident reporting forms for critical infrastructure with communities of interest.”</w:t>
      </w:r>
      <w:r w:rsidR="00AD350D">
        <w:t xml:space="preserve"> </w:t>
      </w:r>
    </w:p>
    <w:p w:rsidR="00434E43" w:rsidP="00434E43" w:rsidRDefault="00434E43" w14:paraId="0002F17A" w14:textId="77777777"/>
    <w:p w:rsidR="007D30A0" w:rsidP="007D30A0" w:rsidRDefault="00434E43" w14:paraId="7DC0AB36" w14:textId="122300F8">
      <w:r>
        <w:t>CISA thanks the commenter for their input.</w:t>
      </w:r>
      <w:r w:rsidR="007D30A0">
        <w:t xml:space="preserve">  CISA welcomes the input of civil society groups like CSN; as well as, industry; the research community; State, Local, Tribal and Territorial (SLTT) governments; and other members of the public.  </w:t>
      </w:r>
      <w:r w:rsidR="000562BC">
        <w:t xml:space="preserve">The nature of the cybersecurity threat to America is growing, and our nation’s cyber adversaries move with speed and stealth.  </w:t>
      </w:r>
      <w:r w:rsidR="007D30A0">
        <w:t>CISA has conferred with CSN about its work, including the SLTT Reporting and Threat Information Sharing Pilot</w:t>
      </w:r>
      <w:r w:rsidR="001334B0">
        <w:t>, implemented</w:t>
      </w:r>
      <w:r w:rsidR="007D30A0">
        <w:t xml:space="preserve"> as part of a cooperative agreement with CISA. </w:t>
      </w:r>
      <w:r w:rsidR="00197251">
        <w:t xml:space="preserve">To </w:t>
      </w:r>
      <w:r w:rsidR="00BF53A4">
        <w:t>perform its mission</w:t>
      </w:r>
      <w:r w:rsidR="00197251">
        <w:t>, CISA need</w:t>
      </w:r>
      <w:r w:rsidR="00BF53A4">
        <w:t>s</w:t>
      </w:r>
      <w:r w:rsidR="00197251">
        <w:t xml:space="preserve"> to be able to receive and share reports of cybersecurity risks and incidents with federal and non-federal entities.</w:t>
      </w:r>
    </w:p>
    <w:p w:rsidR="005309AB" w:rsidP="007D30A0" w:rsidRDefault="005309AB" w14:paraId="56A903E1" w14:textId="77777777"/>
    <w:p w:rsidR="007D30A0" w:rsidP="007D30A0" w:rsidRDefault="007D30A0" w14:paraId="6375364B" w14:textId="3D0A4E50">
      <w:r w:rsidRPr="00747E9E">
        <w:t>CISA recognizes that its website (at US-CERT</w:t>
      </w:r>
      <w:r w:rsidRPr="00747E9E" w:rsidR="00AD350D">
        <w:t>.</w:t>
      </w:r>
      <w:r w:rsidR="00F55EB2">
        <w:t>cisa</w:t>
      </w:r>
      <w:r w:rsidRPr="00747E9E">
        <w:t xml:space="preserve">.gov) is a primary tool used by many constituents, including anyone or any entity in the public, to report incident information, access information sharing products and services, and interact with CISA.  </w:t>
      </w:r>
      <w:r>
        <w:t xml:space="preserve">Accordingly, CISA is renewing and adjusting the incident reporting form to enhance </w:t>
      </w:r>
      <w:r w:rsidR="005D3929">
        <w:t xml:space="preserve">efforts to </w:t>
      </w:r>
      <w:r w:rsidR="00352B2F">
        <w:t xml:space="preserve">gather information about cybersecurity </w:t>
      </w:r>
      <w:r>
        <w:t>incident</w:t>
      </w:r>
      <w:r w:rsidR="00352B2F">
        <w:t>s and threats.</w:t>
      </w:r>
      <w:r>
        <w:t xml:space="preserve">  In addition to moving to an interactive web-based design that adapts question sets based on a respondent’s input, the </w:t>
      </w:r>
      <w:r w:rsidRPr="00747E9E">
        <w:t>information collection focus</w:t>
      </w:r>
      <w:r>
        <w:t>es</w:t>
      </w:r>
      <w:r w:rsidRPr="00747E9E">
        <w:t xml:space="preserve"> on</w:t>
      </w:r>
      <w:r>
        <w:t xml:space="preserve"> streamlining the user experience by providing clickable response fields and asking questions that are germane to the </w:t>
      </w:r>
      <w:r w:rsidR="008B38E5">
        <w:t xml:space="preserve">type of </w:t>
      </w:r>
      <w:r>
        <w:t xml:space="preserve">respondent. </w:t>
      </w:r>
      <w:r w:rsidRPr="00747E9E">
        <w:t xml:space="preserve"> The </w:t>
      </w:r>
      <w:r>
        <w:t>adaptive</w:t>
      </w:r>
      <w:r w:rsidRPr="00747E9E">
        <w:t xml:space="preserve"> questions and categories are primarily designed to solicit enhanced reporting data from Federal Government entities.  Nevertheless, by accepting incident reports and feedback from both the Federal Government and the general public (including critical infrastructure entities) using a unified reporting form, CISA can gather more data and disseminate reasoned and actionable cyber security information to the public</w:t>
      </w:r>
      <w:r>
        <w:t>;</w:t>
      </w:r>
      <w:r w:rsidRPr="00747E9E">
        <w:t xml:space="preserve"> while simultaneously providing a way for citizens, businesses, and other institutions to communicate and coordinate directly with the Federal Government about cybersecurity.  CISA has no objection to publicly sharing lessons learned from the agency’s effort to revise its reporting forms, so long as sharing such information is useful to the public, consistent with the agency’s mission, and accords with applicable law and federal policy.</w:t>
      </w:r>
      <w:r>
        <w:t xml:space="preserve">  </w:t>
      </w:r>
    </w:p>
    <w:p w:rsidRPr="00EE22A5" w:rsidR="00434E43" w:rsidP="00434E43" w:rsidRDefault="00434E43" w14:paraId="0CCDE192" w14:textId="77777777">
      <w:pPr>
        <w:tabs>
          <w:tab w:val="left" w:pos="-720"/>
        </w:tabs>
        <w:suppressAutoHyphens/>
        <w:jc w:val="both"/>
      </w:pPr>
    </w:p>
    <w:p w:rsidRPr="00596A43" w:rsidR="00434E43" w:rsidP="000C4293" w:rsidRDefault="00434E43" w14:paraId="277B677D" w14:textId="77777777">
      <w:pPr>
        <w:tabs>
          <w:tab w:val="left" w:pos="-720"/>
        </w:tabs>
        <w:suppressAutoHyphens/>
        <w:jc w:val="both"/>
      </w:pPr>
    </w:p>
    <w:p w:rsidRPr="00596A43" w:rsidR="00EB5E96" w:rsidP="000C4293" w:rsidRDefault="00EB5E96" w14:paraId="313FFEB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Pr="00596A43" w:rsidR="00EB5E96" w:rsidP="000C4293" w:rsidRDefault="00EB5E96" w14:paraId="7F1C3DAC" w14:textId="77777777">
      <w:pPr>
        <w:tabs>
          <w:tab w:val="left" w:pos="-720"/>
        </w:tabs>
        <w:suppressAutoHyphens/>
        <w:jc w:val="both"/>
      </w:pPr>
    </w:p>
    <w:p w:rsidRPr="00654846" w:rsidR="000A4447" w:rsidP="00F213DB" w:rsidRDefault="007130F7" w14:paraId="7976E558" w14:textId="77777777">
      <w:pPr>
        <w:tabs>
          <w:tab w:val="left" w:pos="-720"/>
        </w:tabs>
        <w:suppressAutoHyphens/>
        <w:jc w:val="both"/>
        <w:rPr>
          <w:spacing w:val="-3"/>
        </w:rPr>
      </w:pPr>
      <w:r>
        <w:rPr>
          <w:spacing w:val="-3"/>
        </w:rPr>
        <w:t>There is no offer of monetary or material value for this information</w:t>
      </w:r>
      <w:r w:rsidRPr="00654846" w:rsidR="008C3983">
        <w:rPr>
          <w:spacing w:val="-3"/>
        </w:rPr>
        <w:t>.</w:t>
      </w:r>
    </w:p>
    <w:p w:rsidRPr="00654846" w:rsidR="00EB5E96" w:rsidP="000C4293" w:rsidRDefault="00EB5E96" w14:paraId="61495688" w14:textId="77777777">
      <w:pPr>
        <w:tabs>
          <w:tab w:val="left" w:pos="-720"/>
        </w:tabs>
        <w:suppressAutoHyphens/>
        <w:jc w:val="both"/>
      </w:pPr>
    </w:p>
    <w:p w:rsidRPr="00654846" w:rsidR="00EB5E96" w:rsidP="000C4293" w:rsidRDefault="00EB5E96" w14:paraId="55897918" w14:textId="77777777">
      <w:pPr>
        <w:shd w:val="pct25" w:color="auto" w:fill="auto"/>
        <w:tabs>
          <w:tab w:val="left" w:pos="-720"/>
        </w:tabs>
        <w:suppressAutoHyphens/>
        <w:jc w:val="both"/>
      </w:pPr>
      <w:r w:rsidRPr="00654846">
        <w:fldChar w:fldCharType="begin"/>
      </w:r>
      <w:r w:rsidRPr="00654846">
        <w:instrText>ADVANCE \R 0.95</w:instrText>
      </w:r>
      <w:r w:rsidRPr="00654846">
        <w:fldChar w:fldCharType="end"/>
      </w:r>
      <w:r w:rsidRPr="00654846">
        <w:t xml:space="preserve">10.  Describe any assurance of confidentiality provided to respondents and the basis for the assurance in statute, regulation, or agency policy.  </w:t>
      </w:r>
    </w:p>
    <w:p w:rsidRPr="00654846" w:rsidR="00EB5E96" w:rsidP="000C4293" w:rsidRDefault="00EB5E96" w14:paraId="15F777D2" w14:textId="77777777">
      <w:pPr>
        <w:tabs>
          <w:tab w:val="left" w:pos="-720"/>
        </w:tabs>
        <w:suppressAutoHyphens/>
        <w:jc w:val="both"/>
      </w:pPr>
      <w:r w:rsidRPr="00654846">
        <w:fldChar w:fldCharType="begin"/>
      </w:r>
      <w:r w:rsidRPr="00654846">
        <w:instrText>ADVANCE \R 0.95</w:instrText>
      </w:r>
      <w:r w:rsidRPr="00654846">
        <w:fldChar w:fldCharType="end"/>
      </w:r>
    </w:p>
    <w:p w:rsidR="00A52E63" w:rsidP="00CD72E3" w:rsidRDefault="00331C9B" w14:paraId="141A85BD" w14:textId="11D9BE09">
      <w:pPr>
        <w:shd w:val="clear" w:color="auto" w:fill="FFFFFF"/>
        <w:tabs>
          <w:tab w:val="left" w:pos="-720"/>
        </w:tabs>
        <w:suppressAutoHyphens/>
        <w:jc w:val="both"/>
        <w:rPr>
          <w:lang w:val="en"/>
        </w:rPr>
      </w:pPr>
      <w:r>
        <w:rPr>
          <w:lang w:val="en"/>
        </w:rPr>
        <w:t xml:space="preserve">For </w:t>
      </w:r>
      <w:r w:rsidR="00E81F9F">
        <w:rPr>
          <w:lang w:val="en"/>
        </w:rPr>
        <w:t xml:space="preserve">cyber threat indicators </w:t>
      </w:r>
      <w:r>
        <w:rPr>
          <w:lang w:val="en"/>
        </w:rPr>
        <w:t>shared under CISA</w:t>
      </w:r>
      <w:r w:rsidR="006F5001">
        <w:rPr>
          <w:lang w:val="en"/>
        </w:rPr>
        <w:t xml:space="preserve"> 2015</w:t>
      </w:r>
      <w:r>
        <w:rPr>
          <w:lang w:val="en"/>
        </w:rPr>
        <w:t xml:space="preserve">, Federal entities are required to apply appropriate controls to protect the confidentiality of cyber threat indicators that contain personal information of a specific individual or information that identifies a specific individual that is directly related to a cybersecurity threat or a use authorized under CISA </w:t>
      </w:r>
      <w:r w:rsidR="00AE3E72">
        <w:rPr>
          <w:lang w:val="en"/>
        </w:rPr>
        <w:t xml:space="preserve">2015 </w:t>
      </w:r>
      <w:r>
        <w:rPr>
          <w:lang w:val="en"/>
        </w:rPr>
        <w:t xml:space="preserve">to the greatest extent practicable. </w:t>
      </w:r>
      <w:r w:rsidR="00DA35BD">
        <w:rPr>
          <w:i/>
          <w:lang w:val="en"/>
        </w:rPr>
        <w:t xml:space="preserve">See </w:t>
      </w:r>
      <w:r>
        <w:rPr>
          <w:lang w:val="en"/>
        </w:rPr>
        <w:t>6 U.S.C. § 1504(b)</w:t>
      </w:r>
      <w:r w:rsidR="00126E0F">
        <w:rPr>
          <w:lang w:val="en"/>
        </w:rPr>
        <w:t xml:space="preserve">; Department of Homeland Security and Department of Justice, </w:t>
      </w:r>
      <w:r w:rsidR="00126E0F">
        <w:rPr>
          <w:i/>
          <w:lang w:val="en"/>
        </w:rPr>
        <w:t>Privacy and Civil Liberties Final Guidelines: Cybersecurity Information Sharing Act of 2015</w:t>
      </w:r>
      <w:r w:rsidR="00126E0F">
        <w:rPr>
          <w:lang w:val="en"/>
        </w:rPr>
        <w:t>, June 15, 2018</w:t>
      </w:r>
      <w:r>
        <w:rPr>
          <w:lang w:val="en"/>
        </w:rPr>
        <w:t xml:space="preserve">. </w:t>
      </w:r>
      <w:r w:rsidR="00BD43A3">
        <w:rPr>
          <w:lang w:val="en"/>
        </w:rPr>
        <w:t>CISA 2015 also provides additional protections</w:t>
      </w:r>
      <w:r w:rsidR="00192973">
        <w:rPr>
          <w:lang w:val="en"/>
        </w:rPr>
        <w:t xml:space="preserve"> for cyber threat indicators and defensive measures shared consistent with CISA 2015, including considering the cyber threat indicator or defensive measure the commercial, financial, and proprietary information of the submitting non-Federal entity when so designated by the non-Federal entity</w:t>
      </w:r>
      <w:r w:rsidR="002B483D">
        <w:rPr>
          <w:lang w:val="en"/>
        </w:rPr>
        <w:t xml:space="preserve"> and exempting the cyber threat indicator and defensive measure from disclosure under section 552 of ti</w:t>
      </w:r>
      <w:r w:rsidR="00373DCC">
        <w:rPr>
          <w:lang w:val="en"/>
        </w:rPr>
        <w:t>tle 5, U.S. Code, and any state, tribal, or local provision of law requiring disclosure of information or records.  6 U.S.C.</w:t>
      </w:r>
      <w:r w:rsidRPr="00373DCC" w:rsidR="00373DCC">
        <w:rPr>
          <w:lang w:val="en"/>
        </w:rPr>
        <w:t xml:space="preserve"> </w:t>
      </w:r>
      <w:r w:rsidR="00373DCC">
        <w:rPr>
          <w:lang w:val="en"/>
        </w:rPr>
        <w:t xml:space="preserve">§ 1504(d). </w:t>
      </w:r>
      <w:r>
        <w:rPr>
          <w:lang w:val="en"/>
        </w:rPr>
        <w:t>T</w:t>
      </w:r>
      <w:r w:rsidRPr="00654846">
        <w:rPr>
          <w:lang w:val="en"/>
        </w:rPr>
        <w:t xml:space="preserve">he information collected may be disclosed as generally permitted under 5 U.S.C. § 552a(b) of the Privacy Act of 1974, as amended. </w:t>
      </w:r>
      <w:r w:rsidR="00A52E63">
        <w:rPr>
          <w:lang w:val="en"/>
        </w:rPr>
        <w:t xml:space="preserve"> </w:t>
      </w:r>
      <w:r w:rsidR="00107BDE">
        <w:rPr>
          <w:lang w:val="en"/>
        </w:rPr>
        <w:t xml:space="preserve">Additionally, some incident reports are subject to protection as Sensitive Security Information under </w:t>
      </w:r>
      <w:r w:rsidR="005003AB">
        <w:rPr>
          <w:lang w:val="en"/>
        </w:rPr>
        <w:t xml:space="preserve">49 C.F.R. </w:t>
      </w:r>
      <w:r w:rsidR="00804DD3">
        <w:rPr>
          <w:lang w:val="en"/>
        </w:rPr>
        <w:t xml:space="preserve">§1520.1 et seq. </w:t>
      </w:r>
      <w:r w:rsidR="00107BDE">
        <w:rPr>
          <w:lang w:val="en"/>
        </w:rPr>
        <w:t xml:space="preserve"> </w:t>
      </w:r>
    </w:p>
    <w:p w:rsidR="00A52E63" w:rsidP="00CD72E3" w:rsidRDefault="00A52E63" w14:paraId="27BB4D12" w14:textId="77777777">
      <w:pPr>
        <w:shd w:val="clear" w:color="auto" w:fill="FFFFFF"/>
        <w:tabs>
          <w:tab w:val="left" w:pos="-720"/>
        </w:tabs>
        <w:suppressAutoHyphens/>
        <w:jc w:val="both"/>
        <w:rPr>
          <w:lang w:val="en"/>
        </w:rPr>
      </w:pPr>
    </w:p>
    <w:p w:rsidR="00F213DB" w:rsidP="00CD72E3" w:rsidRDefault="00A52E63" w14:paraId="59B0F284" w14:textId="58895629">
      <w:pPr>
        <w:shd w:val="clear" w:color="auto" w:fill="FFFFFF"/>
        <w:tabs>
          <w:tab w:val="left" w:pos="-720"/>
        </w:tabs>
        <w:suppressAutoHyphens/>
        <w:jc w:val="both"/>
        <w:rPr>
          <w:lang w:val="en"/>
        </w:rPr>
      </w:pPr>
      <w:r w:rsidRPr="00A52E63">
        <w:rPr>
          <w:lang w:val="en"/>
        </w:rPr>
        <w:t>This collection is not privacy sensitive, since there is no Personally Identifiable Information (PII) collected or retrieved. Therefore, this collection is not impacted by the Privacy Act and does not require a Privacy Impact Assessment (PIA) or System of Records Notice (SORN).</w:t>
      </w:r>
    </w:p>
    <w:p w:rsidRPr="00654846" w:rsidR="00A52E63" w:rsidP="00CD72E3" w:rsidRDefault="00A52E63" w14:paraId="7DA9F25B" w14:textId="77777777">
      <w:pPr>
        <w:shd w:val="clear" w:color="auto" w:fill="FFFFFF"/>
        <w:tabs>
          <w:tab w:val="left" w:pos="-720"/>
        </w:tabs>
        <w:suppressAutoHyphens/>
        <w:jc w:val="both"/>
      </w:pPr>
    </w:p>
    <w:p w:rsidRPr="00654846" w:rsidR="00EB5E96" w:rsidP="000C4293" w:rsidRDefault="00EB5E96" w14:paraId="74548F16" w14:textId="77777777">
      <w:pPr>
        <w:shd w:val="pct25" w:color="auto" w:fill="auto"/>
        <w:tabs>
          <w:tab w:val="left" w:pos="-720"/>
        </w:tabs>
        <w:suppressAutoHyphens/>
        <w:jc w:val="both"/>
      </w:pPr>
      <w:r w:rsidRPr="00654846">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54846" w:rsidR="00EB5E96" w:rsidP="000C4293" w:rsidRDefault="00EB5E96" w14:paraId="6B0236BA" w14:textId="77777777">
      <w:pPr>
        <w:shd w:val="clear" w:color="auto" w:fill="FFFFFF"/>
        <w:tabs>
          <w:tab w:val="left" w:pos="-720"/>
        </w:tabs>
        <w:suppressAutoHyphens/>
        <w:jc w:val="both"/>
      </w:pPr>
    </w:p>
    <w:p w:rsidRPr="00F213DB" w:rsidR="00EB5E96" w:rsidP="00F213DB" w:rsidRDefault="007130F7" w14:paraId="4EFA6199" w14:textId="77777777">
      <w:pPr>
        <w:tabs>
          <w:tab w:val="left" w:pos="-720"/>
        </w:tabs>
        <w:suppressAutoHyphens/>
        <w:jc w:val="both"/>
        <w:rPr>
          <w:spacing w:val="-3"/>
        </w:rPr>
      </w:pPr>
      <w:r>
        <w:rPr>
          <w:spacing w:val="-3"/>
        </w:rPr>
        <w:t>There are no questions of sensitive nature</w:t>
      </w:r>
      <w:r w:rsidRPr="00654846" w:rsidR="007423AF">
        <w:rPr>
          <w:spacing w:val="-3"/>
        </w:rPr>
        <w:t>.</w:t>
      </w:r>
    </w:p>
    <w:p w:rsidRPr="00596A43" w:rsidR="00AA3F82" w:rsidP="000C4293" w:rsidRDefault="00AA3F82" w14:paraId="767F174D" w14:textId="77777777">
      <w:pPr>
        <w:shd w:val="clear" w:color="auto" w:fill="FFFFFF"/>
        <w:tabs>
          <w:tab w:val="left" w:pos="-720"/>
        </w:tabs>
        <w:suppressAutoHyphens/>
        <w:jc w:val="both"/>
      </w:pPr>
    </w:p>
    <w:p w:rsidRPr="00596A43" w:rsidR="00EB5E96" w:rsidP="000C4293" w:rsidRDefault="00EB5E96" w14:paraId="04ADD452"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rsidRPr="00596A43" w:rsidR="00EB5E96" w:rsidP="000C4293" w:rsidRDefault="00EB5E96" w14:paraId="1BB6FE45" w14:textId="77777777">
      <w:pPr>
        <w:tabs>
          <w:tab w:val="left" w:pos="-720"/>
        </w:tabs>
        <w:suppressAutoHyphens/>
        <w:jc w:val="both"/>
      </w:pPr>
      <w:r w:rsidRPr="00596A43">
        <w:fldChar w:fldCharType="begin"/>
      </w:r>
      <w:r w:rsidRPr="00596A43">
        <w:instrText>ADVANCE \R 0.95</w:instrText>
      </w:r>
      <w:r w:rsidRPr="00596A43">
        <w:fldChar w:fldCharType="end"/>
      </w:r>
    </w:p>
    <w:p w:rsidRPr="00596A43" w:rsidR="00EB5E96" w:rsidP="000C4293" w:rsidRDefault="00EB5E96" w14:paraId="5645648C" w14:textId="695C123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96A43" w:rsidR="00EB5E96" w:rsidP="000C4293" w:rsidRDefault="00EB5E96" w14:paraId="3F2F33A3" w14:textId="77777777">
      <w:pPr>
        <w:pStyle w:val="BodyText3"/>
        <w:jc w:val="both"/>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rsidRPr="00596A43" w:rsidR="00EB5E96" w:rsidP="000C4293" w:rsidRDefault="00EB5E96" w14:paraId="10DCD9D2" w14:textId="77777777">
      <w:pPr>
        <w:shd w:val="pct25" w:color="auto" w:fill="auto"/>
        <w:tabs>
          <w:tab w:val="left" w:pos="-720"/>
        </w:tabs>
        <w:suppressAutoHyphens/>
        <w:jc w:val="both"/>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596A43" w:rsidR="003B68FA" w:rsidP="003B68FA" w:rsidRDefault="003B68FA" w14:paraId="039D0C75" w14:textId="77777777">
      <w:pPr>
        <w:tabs>
          <w:tab w:val="left" w:pos="-720"/>
        </w:tabs>
        <w:suppressAutoHyphens/>
        <w:jc w:val="both"/>
      </w:pPr>
    </w:p>
    <w:p w:rsidR="0046350D" w:rsidP="00163710" w:rsidRDefault="004E3950" w14:paraId="3AF39CB3" w14:textId="5734C3D1">
      <w:pPr>
        <w:tabs>
          <w:tab w:val="left" w:pos="-720"/>
        </w:tabs>
        <w:suppressAutoHyphens/>
      </w:pPr>
      <w:r>
        <w:t>The Cybersecurity and Infrastructure Security Agency (CISA)</w:t>
      </w:r>
      <w:r w:rsidR="0046350D">
        <w:t xml:space="preserve"> estimates that a total of </w:t>
      </w:r>
      <w:r w:rsidR="00C85B07">
        <w:t>26,000</w:t>
      </w:r>
      <w:r w:rsidR="00E31193">
        <w:t xml:space="preserve"> </w:t>
      </w:r>
      <w:r w:rsidR="00D329F1">
        <w:t xml:space="preserve">respondents </w:t>
      </w:r>
      <w:r w:rsidR="00C77642">
        <w:t>w</w:t>
      </w:r>
      <w:r w:rsidR="0046350D">
        <w:t xml:space="preserve">ill respond to </w:t>
      </w:r>
      <w:r w:rsidR="003B0AEE">
        <w:t>the Incident Reporting Form</w:t>
      </w:r>
      <w:r w:rsidR="0046350D">
        <w:t xml:space="preserve"> per </w:t>
      </w:r>
      <w:r w:rsidR="007D067C">
        <w:t>year (</w:t>
      </w:r>
      <w:r w:rsidR="00A4338E">
        <w:t>this estimate reflects</w:t>
      </w:r>
      <w:r w:rsidR="007D067C">
        <w:t xml:space="preserve"> respondents for only the web-based incident reporting form</w:t>
      </w:r>
      <w:r w:rsidR="00455B29">
        <w:t>)</w:t>
      </w:r>
      <w:r w:rsidR="00D06BE6">
        <w:t xml:space="preserve">; </w:t>
      </w:r>
      <w:r w:rsidR="00C46D56">
        <w:t>22,000</w:t>
      </w:r>
      <w:r w:rsidR="0068289B">
        <w:t xml:space="preserve"> respondents will respond to the </w:t>
      </w:r>
      <w:r w:rsidR="00C46D56">
        <w:t>D</w:t>
      </w:r>
      <w:r w:rsidR="00D81E30">
        <w:t>HS</w:t>
      </w:r>
      <w:r w:rsidR="00C46D56">
        <w:t xml:space="preserve"> Cyber Threat Indicator and Defensive Measure Submission System</w:t>
      </w:r>
      <w:r w:rsidR="0068289B">
        <w:t xml:space="preserve"> per</w:t>
      </w:r>
      <w:r w:rsidR="007D067C">
        <w:t xml:space="preserve"> year</w:t>
      </w:r>
      <w:r w:rsidR="00C46D56">
        <w:t xml:space="preserve">; 2,725 respondents will respond to the Malware Analysis Submission Form per year; 75,000 respondents will respond to the Mail Lists Form per year; </w:t>
      </w:r>
      <w:r w:rsidR="00817CC1">
        <w:t>and 13,400 respondents will respond to the CSET Download Form per year</w:t>
      </w:r>
      <w:r w:rsidR="0046350D">
        <w:t>.  For the purpose of estimating the burden of this collection, we assume one response per respondent.</w:t>
      </w:r>
      <w:r w:rsidR="00DD0A79">
        <w:t xml:space="preserve">  </w:t>
      </w:r>
    </w:p>
    <w:p w:rsidR="0046350D" w:rsidP="00163710" w:rsidRDefault="0046350D" w14:paraId="2ECF61B6" w14:textId="77777777">
      <w:pPr>
        <w:tabs>
          <w:tab w:val="left" w:pos="-720"/>
        </w:tabs>
        <w:suppressAutoHyphens/>
      </w:pPr>
    </w:p>
    <w:p w:rsidR="0046350D" w:rsidP="00163710" w:rsidRDefault="0046350D" w14:paraId="64E43F0F" w14:textId="1E49199F">
      <w:pPr>
        <w:tabs>
          <w:tab w:val="left" w:pos="-720"/>
        </w:tabs>
        <w:suppressAutoHyphens/>
      </w:pPr>
      <w:r>
        <w:t>These time burdens, as well as the numbers of respondents, are shown in Table 1.</w:t>
      </w:r>
      <w:r w:rsidR="007756EE">
        <w:t xml:space="preserve"> CISA estimates that the Incident Reporting Form will take 0.33 hours (20 minutes) to complete; the DHS Cyber Threat Indicator and Defensive Measure Submission System Form will take 0.17 hours (10 minutes) to complete; and the Malware Analysis Submiss</w:t>
      </w:r>
      <w:r w:rsidR="00CB6CBD">
        <w:t xml:space="preserve">ion, Mail Lists, and CSET Download </w:t>
      </w:r>
      <w:r w:rsidR="007756EE">
        <w:t>forms will each take 0.02 hours (1 minute) to complete.</w:t>
      </w:r>
    </w:p>
    <w:p w:rsidR="003B77E9" w:rsidP="005972D2" w:rsidRDefault="003B77E9" w14:paraId="23540847" w14:textId="77777777">
      <w:pPr>
        <w:tabs>
          <w:tab w:val="left" w:pos="-720"/>
        </w:tabs>
        <w:suppressAutoHyphens/>
      </w:pPr>
    </w:p>
    <w:p w:rsidR="0046350D" w:rsidP="00163710" w:rsidRDefault="0046350D" w14:paraId="69CE5FDC" w14:textId="27B1BBF9">
      <w:pPr>
        <w:suppressAutoHyphens/>
      </w:pPr>
      <w:r>
        <w:t xml:space="preserve">To estimate the cost of this collection, </w:t>
      </w:r>
      <w:r w:rsidR="004E3950">
        <w:t>CISA</w:t>
      </w:r>
      <w:r>
        <w:t xml:space="preserve"> multiplies the estimated annual hour burden by the </w:t>
      </w:r>
      <w:r w:rsidR="00163710">
        <w:t>hourly compensation</w:t>
      </w:r>
      <w:r>
        <w:t xml:space="preserve"> rate for all occupations within the United States, based on Bureau of Labor Statistics (BLS) data.  According to BLS, the mean hourly wage for all occupations is $</w:t>
      </w:r>
      <w:r w:rsidR="009345BC">
        <w:t>27.07</w:t>
      </w:r>
      <w:r>
        <w:t>.</w:t>
      </w:r>
      <w:r>
        <w:rPr>
          <w:rStyle w:val="FootnoteReference"/>
        </w:rPr>
        <w:footnoteReference w:id="2"/>
      </w:r>
      <w:r>
        <w:t xml:space="preserve">  To account for benefits and other compensation, this wage</w:t>
      </w:r>
      <w:r w:rsidR="00163710">
        <w:t xml:space="preserve"> rate</w:t>
      </w:r>
      <w:r>
        <w:t xml:space="preserve"> was multiplied by</w:t>
      </w:r>
      <w:r w:rsidR="00E344B8">
        <w:t xml:space="preserve"> a compensation factor of</w:t>
      </w:r>
      <w:r>
        <w:t xml:space="preserve"> 1.4</w:t>
      </w:r>
      <w:r w:rsidR="00DB7DE7">
        <w:t>5</w:t>
      </w:r>
      <w:r w:rsidR="009345BC">
        <w:t>34</w:t>
      </w:r>
      <w:r>
        <w:t>, to produce a</w:t>
      </w:r>
      <w:r w:rsidR="00E344B8">
        <w:t>n</w:t>
      </w:r>
      <w:r>
        <w:t xml:space="preserve"> hourly</w:t>
      </w:r>
      <w:r w:rsidR="00E344B8">
        <w:t xml:space="preserve"> compensation rate</w:t>
      </w:r>
      <w:r>
        <w:t xml:space="preserve"> of $</w:t>
      </w:r>
      <w:r w:rsidR="009345BC">
        <w:t>39.23</w:t>
      </w:r>
      <w:r>
        <w:t>.</w:t>
      </w:r>
      <w:r>
        <w:rPr>
          <w:rStyle w:val="FootnoteReference"/>
        </w:rPr>
        <w:footnoteReference w:id="3"/>
      </w:r>
      <w:r>
        <w:t xml:space="preserve">  Multiplying the total annual hour burden (</w:t>
      </w:r>
      <w:r w:rsidR="000D5644">
        <w:t>13,</w:t>
      </w:r>
      <w:r w:rsidR="00956BFD">
        <w:t>85</w:t>
      </w:r>
      <w:r w:rsidR="00035CE2">
        <w:t>2</w:t>
      </w:r>
      <w:r>
        <w:t xml:space="preserve">) by this hourly </w:t>
      </w:r>
      <w:r w:rsidR="00E344B8">
        <w:t xml:space="preserve">compensation rate </w:t>
      </w:r>
      <w:r>
        <w:t>($</w:t>
      </w:r>
      <w:r w:rsidR="009345BC">
        <w:t>39.23</w:t>
      </w:r>
      <w:r>
        <w:t>) provides an estimated annual cost of $</w:t>
      </w:r>
      <w:r w:rsidR="009345BC">
        <w:t>543,401</w:t>
      </w:r>
      <w:r>
        <w:t xml:space="preserve">.  The cost is displayed in Table </w:t>
      </w:r>
      <w:r w:rsidR="00E344B8">
        <w:t>1</w:t>
      </w:r>
      <w:r>
        <w:t>.</w:t>
      </w:r>
    </w:p>
    <w:p w:rsidRPr="00163710" w:rsidR="0046350D" w:rsidP="00163710" w:rsidRDefault="00DB7DE7" w14:paraId="2D40737C" w14:textId="77777777">
      <w:pPr>
        <w:suppressAutoHyphens/>
        <w:rPr>
          <w:b/>
        </w:rPr>
      </w:pPr>
      <w:r>
        <w:br w:type="page"/>
      </w:r>
      <w:r w:rsidRPr="00163710" w:rsidR="0046350D">
        <w:rPr>
          <w:b/>
        </w:rPr>
        <w:t xml:space="preserve">Table </w:t>
      </w:r>
      <w:r w:rsidRPr="00163710" w:rsidR="00E12564">
        <w:rPr>
          <w:b/>
        </w:rPr>
        <w:t>1</w:t>
      </w:r>
      <w:r w:rsidRPr="00163710" w:rsidR="0046350D">
        <w:rPr>
          <w:b/>
        </w:rPr>
        <w:t xml:space="preserve">: </w:t>
      </w:r>
      <w:r w:rsidRPr="00163710" w:rsidR="00163710">
        <w:rPr>
          <w:b/>
        </w:rPr>
        <w:t>Estimated Annualized Burden Hours and Costs</w:t>
      </w:r>
      <w:r w:rsidRPr="00163710" w:rsidR="0046350D">
        <w:rPr>
          <w:b/>
        </w:rPr>
        <w:t xml:space="preserve"> </w:t>
      </w:r>
    </w:p>
    <w:p w:rsidR="00814020" w:rsidP="003B77E9" w:rsidRDefault="00814020" w14:paraId="1C9B197E" w14:textId="77777777">
      <w:pPr>
        <w:tabs>
          <w:tab w:val="left" w:pos="-720"/>
        </w:tabs>
        <w:suppressAutoHyphens/>
      </w:pPr>
    </w:p>
    <w:tbl>
      <w:tblPr>
        <w:tblW w:w="5000" w:type="pct"/>
        <w:tblLayout w:type="fixed"/>
        <w:tblLook w:val="04A0" w:firstRow="1" w:lastRow="0" w:firstColumn="1" w:lastColumn="0" w:noHBand="0" w:noVBand="1"/>
      </w:tblPr>
      <w:tblGrid>
        <w:gridCol w:w="1424"/>
        <w:gridCol w:w="1408"/>
        <w:gridCol w:w="1318"/>
        <w:gridCol w:w="1318"/>
        <w:gridCol w:w="1494"/>
        <w:gridCol w:w="1055"/>
        <w:gridCol w:w="1333"/>
      </w:tblGrid>
      <w:tr w:rsidRPr="00DB7DE7" w:rsidR="007756EE" w:rsidTr="007756EE" w14:paraId="2736189E" w14:textId="77777777">
        <w:trPr>
          <w:trHeight w:val="945"/>
        </w:trPr>
        <w:tc>
          <w:tcPr>
            <w:tcW w:w="761"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756EE" w:rsidR="00E12564" w:rsidP="00E12564" w:rsidRDefault="00E12564" w14:paraId="052DA828" w14:textId="77777777">
            <w:pPr>
              <w:rPr>
                <w:b/>
                <w:color w:val="000000"/>
                <w:sz w:val="22"/>
                <w:szCs w:val="22"/>
              </w:rPr>
            </w:pPr>
            <w:r w:rsidRPr="007756EE">
              <w:rPr>
                <w:b/>
                <w:color w:val="000000"/>
                <w:sz w:val="22"/>
                <w:szCs w:val="22"/>
              </w:rPr>
              <w:t xml:space="preserve">Form Name </w:t>
            </w:r>
          </w:p>
        </w:tc>
        <w:tc>
          <w:tcPr>
            <w:tcW w:w="753" w:type="pct"/>
            <w:tcBorders>
              <w:top w:val="single" w:color="auto" w:sz="4" w:space="0"/>
              <w:left w:val="nil"/>
              <w:bottom w:val="single" w:color="auto" w:sz="4" w:space="0"/>
              <w:right w:val="single" w:color="auto" w:sz="4" w:space="0"/>
            </w:tcBorders>
            <w:shd w:val="clear" w:color="auto" w:fill="auto"/>
            <w:vAlign w:val="center"/>
            <w:hideMark/>
          </w:tcPr>
          <w:p w:rsidRPr="007756EE" w:rsidR="00E12564" w:rsidP="007756EE" w:rsidRDefault="007756EE" w14:paraId="4398AE8B" w14:textId="77777777">
            <w:pPr>
              <w:suppressAutoHyphens/>
              <w:jc w:val="center"/>
              <w:rPr>
                <w:b/>
                <w:color w:val="000000"/>
                <w:sz w:val="22"/>
                <w:szCs w:val="22"/>
              </w:rPr>
            </w:pPr>
            <w:r w:rsidRPr="007756EE">
              <w:rPr>
                <w:b/>
                <w:color w:val="000000"/>
                <w:sz w:val="22"/>
                <w:szCs w:val="22"/>
              </w:rPr>
              <w:t>Number</w:t>
            </w:r>
            <w:r w:rsidRPr="007756EE" w:rsidR="00E12564">
              <w:rPr>
                <w:b/>
                <w:color w:val="000000"/>
                <w:sz w:val="22"/>
                <w:szCs w:val="22"/>
              </w:rPr>
              <w:t xml:space="preserve"> of Respondents</w:t>
            </w:r>
          </w:p>
        </w:tc>
        <w:tc>
          <w:tcPr>
            <w:tcW w:w="705" w:type="pct"/>
            <w:tcBorders>
              <w:top w:val="single" w:color="auto" w:sz="4" w:space="0"/>
              <w:left w:val="nil"/>
              <w:bottom w:val="single" w:color="auto" w:sz="4" w:space="0"/>
              <w:right w:val="single" w:color="auto" w:sz="4" w:space="0"/>
            </w:tcBorders>
            <w:vAlign w:val="center"/>
          </w:tcPr>
          <w:p w:rsidRPr="007756EE" w:rsidR="00E12564" w:rsidP="007756EE" w:rsidRDefault="00E12564" w14:paraId="536CE42F" w14:textId="77777777">
            <w:pPr>
              <w:suppressAutoHyphens/>
              <w:jc w:val="center"/>
              <w:rPr>
                <w:b/>
                <w:color w:val="000000"/>
                <w:sz w:val="22"/>
                <w:szCs w:val="22"/>
              </w:rPr>
            </w:pPr>
            <w:r w:rsidRPr="007756EE">
              <w:rPr>
                <w:b/>
                <w:color w:val="000000"/>
                <w:sz w:val="22"/>
                <w:szCs w:val="22"/>
              </w:rPr>
              <w:t>N</w:t>
            </w:r>
            <w:r w:rsidRPr="007756EE" w:rsidR="007756EE">
              <w:rPr>
                <w:b/>
                <w:color w:val="000000"/>
                <w:sz w:val="22"/>
                <w:szCs w:val="22"/>
              </w:rPr>
              <w:t>umber</w:t>
            </w:r>
            <w:r w:rsidRPr="007756EE">
              <w:rPr>
                <w:b/>
                <w:color w:val="000000"/>
                <w:sz w:val="22"/>
                <w:szCs w:val="22"/>
              </w:rPr>
              <w:t xml:space="preserve"> of Responses per Respondent</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007756EE" w:rsidP="007756EE" w:rsidRDefault="00E12564" w14:paraId="137AC92D" w14:textId="77777777">
            <w:pPr>
              <w:suppressAutoHyphens/>
              <w:jc w:val="center"/>
              <w:rPr>
                <w:b/>
                <w:color w:val="000000"/>
                <w:sz w:val="22"/>
                <w:szCs w:val="22"/>
              </w:rPr>
            </w:pPr>
            <w:r w:rsidRPr="007756EE">
              <w:rPr>
                <w:b/>
                <w:color w:val="000000"/>
                <w:sz w:val="22"/>
                <w:szCs w:val="22"/>
              </w:rPr>
              <w:t>A</w:t>
            </w:r>
            <w:r w:rsidR="007756EE">
              <w:rPr>
                <w:b/>
                <w:color w:val="000000"/>
                <w:sz w:val="22"/>
                <w:szCs w:val="22"/>
              </w:rPr>
              <w:t>verage</w:t>
            </w:r>
            <w:r w:rsidRPr="007756EE">
              <w:rPr>
                <w:b/>
                <w:color w:val="000000"/>
                <w:sz w:val="22"/>
                <w:szCs w:val="22"/>
              </w:rPr>
              <w:t xml:space="preserve"> Burden per Response </w:t>
            </w:r>
          </w:p>
          <w:p w:rsidRPr="007756EE" w:rsidR="00E12564" w:rsidP="007756EE" w:rsidRDefault="00E12564" w14:paraId="68847E9D" w14:textId="77777777">
            <w:pPr>
              <w:suppressAutoHyphens/>
              <w:jc w:val="center"/>
              <w:rPr>
                <w:b/>
                <w:color w:val="000000"/>
                <w:sz w:val="22"/>
                <w:szCs w:val="22"/>
              </w:rPr>
            </w:pPr>
            <w:r w:rsidRPr="007756EE">
              <w:rPr>
                <w:b/>
                <w:color w:val="000000"/>
                <w:sz w:val="22"/>
                <w:szCs w:val="22"/>
              </w:rPr>
              <w:t>(hours)</w:t>
            </w:r>
          </w:p>
        </w:tc>
        <w:tc>
          <w:tcPr>
            <w:tcW w:w="799" w:type="pct"/>
            <w:tcBorders>
              <w:top w:val="single" w:color="auto" w:sz="4" w:space="0"/>
              <w:left w:val="nil"/>
              <w:bottom w:val="single" w:color="auto" w:sz="4" w:space="0"/>
              <w:right w:val="single" w:color="auto" w:sz="4" w:space="0"/>
            </w:tcBorders>
            <w:shd w:val="clear" w:color="auto" w:fill="auto"/>
            <w:vAlign w:val="center"/>
            <w:hideMark/>
          </w:tcPr>
          <w:p w:rsidR="007756EE" w:rsidP="007756EE" w:rsidRDefault="00E12564" w14:paraId="3DFA40E0" w14:textId="77777777">
            <w:pPr>
              <w:suppressAutoHyphens/>
              <w:jc w:val="center"/>
              <w:rPr>
                <w:b/>
                <w:color w:val="000000"/>
                <w:sz w:val="22"/>
                <w:szCs w:val="22"/>
              </w:rPr>
            </w:pPr>
            <w:r w:rsidRPr="007756EE">
              <w:rPr>
                <w:b/>
                <w:color w:val="000000"/>
                <w:sz w:val="22"/>
                <w:szCs w:val="22"/>
              </w:rPr>
              <w:t xml:space="preserve">Total Annual Burden </w:t>
            </w:r>
          </w:p>
          <w:p w:rsidRPr="007756EE" w:rsidR="00E12564" w:rsidP="007756EE" w:rsidRDefault="00E12564" w14:paraId="4497A42C" w14:textId="77777777">
            <w:pPr>
              <w:suppressAutoHyphens/>
              <w:jc w:val="center"/>
              <w:rPr>
                <w:b/>
                <w:color w:val="000000"/>
                <w:sz w:val="22"/>
                <w:szCs w:val="22"/>
              </w:rPr>
            </w:pPr>
            <w:r w:rsidRPr="007756EE">
              <w:rPr>
                <w:b/>
                <w:color w:val="000000"/>
                <w:sz w:val="22"/>
                <w:szCs w:val="22"/>
              </w:rPr>
              <w:t>(hours)</w:t>
            </w:r>
          </w:p>
        </w:tc>
        <w:tc>
          <w:tcPr>
            <w:tcW w:w="564" w:type="pct"/>
            <w:tcBorders>
              <w:top w:val="single" w:color="auto" w:sz="4" w:space="0"/>
              <w:left w:val="nil"/>
              <w:bottom w:val="single" w:color="auto" w:sz="4" w:space="0"/>
              <w:right w:val="single" w:color="auto" w:sz="4" w:space="0"/>
            </w:tcBorders>
            <w:shd w:val="clear" w:color="auto" w:fill="auto"/>
            <w:vAlign w:val="center"/>
            <w:hideMark/>
          </w:tcPr>
          <w:p w:rsidRPr="007756EE" w:rsidR="00E12564" w:rsidP="00A855DB" w:rsidRDefault="00E12564" w14:paraId="0881FAD0" w14:textId="77777777">
            <w:pPr>
              <w:suppressAutoHyphens/>
              <w:jc w:val="center"/>
              <w:rPr>
                <w:b/>
                <w:color w:val="000000"/>
                <w:sz w:val="22"/>
                <w:szCs w:val="22"/>
              </w:rPr>
            </w:pPr>
            <w:r w:rsidRPr="007756EE">
              <w:rPr>
                <w:b/>
                <w:color w:val="000000"/>
                <w:sz w:val="22"/>
                <w:szCs w:val="22"/>
              </w:rPr>
              <w:t xml:space="preserve">Average Hourly </w:t>
            </w:r>
            <w:r w:rsidR="00A855DB">
              <w:rPr>
                <w:b/>
                <w:color w:val="000000"/>
                <w:sz w:val="22"/>
                <w:szCs w:val="22"/>
              </w:rPr>
              <w:t xml:space="preserve">Comp. </w:t>
            </w:r>
            <w:r w:rsidRPr="007756EE">
              <w:rPr>
                <w:b/>
                <w:color w:val="000000"/>
                <w:sz w:val="22"/>
                <w:szCs w:val="22"/>
              </w:rPr>
              <w:t>Rate </w:t>
            </w:r>
          </w:p>
        </w:tc>
        <w:tc>
          <w:tcPr>
            <w:tcW w:w="713" w:type="pct"/>
            <w:tcBorders>
              <w:top w:val="single" w:color="auto" w:sz="4" w:space="0"/>
              <w:left w:val="nil"/>
              <w:bottom w:val="single" w:color="auto" w:sz="4" w:space="0"/>
              <w:right w:val="single" w:color="auto" w:sz="4" w:space="0"/>
            </w:tcBorders>
            <w:shd w:val="clear" w:color="auto" w:fill="auto"/>
            <w:vAlign w:val="center"/>
            <w:hideMark/>
          </w:tcPr>
          <w:p w:rsidRPr="007756EE" w:rsidR="00E12564" w:rsidP="007756EE" w:rsidRDefault="00E12564" w14:paraId="7D7FB455" w14:textId="77777777">
            <w:pPr>
              <w:suppressAutoHyphens/>
              <w:jc w:val="center"/>
              <w:rPr>
                <w:b/>
                <w:color w:val="000000"/>
                <w:sz w:val="22"/>
                <w:szCs w:val="22"/>
              </w:rPr>
            </w:pPr>
            <w:r w:rsidRPr="007756EE">
              <w:rPr>
                <w:b/>
                <w:color w:val="000000"/>
                <w:sz w:val="22"/>
                <w:szCs w:val="22"/>
              </w:rPr>
              <w:t>Total Annual Respondent Cost</w:t>
            </w:r>
          </w:p>
        </w:tc>
      </w:tr>
      <w:tr w:rsidRPr="00DB7DE7" w:rsidR="007756EE" w:rsidTr="007756EE" w14:paraId="5A070F66" w14:textId="77777777">
        <w:trPr>
          <w:trHeight w:val="315"/>
        </w:trPr>
        <w:tc>
          <w:tcPr>
            <w:tcW w:w="761" w:type="pct"/>
            <w:vMerge/>
            <w:tcBorders>
              <w:top w:val="single" w:color="auto" w:sz="4" w:space="0"/>
              <w:left w:val="single" w:color="auto" w:sz="4" w:space="0"/>
              <w:bottom w:val="single" w:color="auto" w:sz="4" w:space="0"/>
              <w:right w:val="single" w:color="auto" w:sz="4" w:space="0"/>
            </w:tcBorders>
            <w:vAlign w:val="center"/>
            <w:hideMark/>
          </w:tcPr>
          <w:p w:rsidRPr="00455114" w:rsidR="00E12564" w:rsidP="00E12564" w:rsidRDefault="00E12564" w14:paraId="615B2310" w14:textId="77777777">
            <w:pPr>
              <w:rPr>
                <w:b/>
                <w:color w:val="000000"/>
                <w:sz w:val="22"/>
                <w:szCs w:val="22"/>
              </w:rPr>
            </w:pPr>
          </w:p>
        </w:tc>
        <w:tc>
          <w:tcPr>
            <w:tcW w:w="753" w:type="pct"/>
            <w:tcBorders>
              <w:top w:val="nil"/>
              <w:left w:val="nil"/>
              <w:bottom w:val="single" w:color="auto" w:sz="4" w:space="0"/>
              <w:right w:val="single" w:color="auto" w:sz="4" w:space="0"/>
            </w:tcBorders>
            <w:shd w:val="clear" w:color="auto" w:fill="auto"/>
            <w:vAlign w:val="center"/>
            <w:hideMark/>
          </w:tcPr>
          <w:p w:rsidRPr="00455114" w:rsidR="00E12564" w:rsidP="00E12564" w:rsidRDefault="00DB7DE7" w14:paraId="005D0976" w14:textId="77777777">
            <w:pPr>
              <w:jc w:val="center"/>
              <w:rPr>
                <w:b/>
                <w:color w:val="000000"/>
                <w:sz w:val="22"/>
                <w:szCs w:val="22"/>
              </w:rPr>
            </w:pPr>
            <w:r w:rsidRPr="00455114">
              <w:rPr>
                <w:b/>
                <w:color w:val="000000"/>
                <w:sz w:val="22"/>
                <w:szCs w:val="22"/>
              </w:rPr>
              <w:t>A</w:t>
            </w:r>
          </w:p>
        </w:tc>
        <w:tc>
          <w:tcPr>
            <w:tcW w:w="705" w:type="pct"/>
            <w:tcBorders>
              <w:top w:val="nil"/>
              <w:left w:val="nil"/>
              <w:bottom w:val="single" w:color="auto" w:sz="4" w:space="0"/>
              <w:right w:val="single" w:color="auto" w:sz="4" w:space="0"/>
            </w:tcBorders>
            <w:vAlign w:val="center"/>
          </w:tcPr>
          <w:p w:rsidRPr="00455114" w:rsidR="00E12564" w:rsidP="00E12564" w:rsidRDefault="00DB7DE7" w14:paraId="0C40B5E2" w14:textId="77777777">
            <w:pPr>
              <w:jc w:val="center"/>
              <w:rPr>
                <w:b/>
                <w:color w:val="000000"/>
                <w:sz w:val="22"/>
                <w:szCs w:val="22"/>
              </w:rPr>
            </w:pPr>
            <w:r w:rsidRPr="00455114">
              <w:rPr>
                <w:b/>
                <w:color w:val="000000"/>
                <w:sz w:val="22"/>
                <w:szCs w:val="22"/>
              </w:rPr>
              <w:t>B</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5114" w:rsidR="00E12564" w:rsidP="00E12564" w:rsidRDefault="00DB7DE7" w14:paraId="298E538E" w14:textId="77777777">
            <w:pPr>
              <w:jc w:val="center"/>
              <w:rPr>
                <w:b/>
                <w:color w:val="000000"/>
                <w:sz w:val="22"/>
                <w:szCs w:val="22"/>
              </w:rPr>
            </w:pPr>
            <w:r w:rsidRPr="00455114">
              <w:rPr>
                <w:b/>
                <w:color w:val="000000"/>
                <w:sz w:val="22"/>
                <w:szCs w:val="22"/>
              </w:rPr>
              <w:t>C</w:t>
            </w:r>
          </w:p>
        </w:tc>
        <w:tc>
          <w:tcPr>
            <w:tcW w:w="799" w:type="pct"/>
            <w:tcBorders>
              <w:top w:val="nil"/>
              <w:left w:val="nil"/>
              <w:bottom w:val="single" w:color="auto" w:sz="4" w:space="0"/>
              <w:right w:val="single" w:color="auto" w:sz="4" w:space="0"/>
            </w:tcBorders>
            <w:shd w:val="clear" w:color="auto" w:fill="auto"/>
            <w:vAlign w:val="center"/>
            <w:hideMark/>
          </w:tcPr>
          <w:p w:rsidRPr="00455114" w:rsidR="00E12564" w:rsidP="00E12564" w:rsidRDefault="00DB7DE7" w14:paraId="54283622" w14:textId="77777777">
            <w:pPr>
              <w:jc w:val="center"/>
              <w:rPr>
                <w:b/>
                <w:sz w:val="22"/>
                <w:szCs w:val="22"/>
              </w:rPr>
            </w:pPr>
            <w:r w:rsidRPr="00455114">
              <w:rPr>
                <w:b/>
                <w:color w:val="000000"/>
                <w:sz w:val="22"/>
                <w:szCs w:val="22"/>
              </w:rPr>
              <w:t>D = A× B × C</w:t>
            </w:r>
          </w:p>
        </w:tc>
        <w:tc>
          <w:tcPr>
            <w:tcW w:w="564" w:type="pct"/>
            <w:tcBorders>
              <w:top w:val="nil"/>
              <w:left w:val="nil"/>
              <w:bottom w:val="single" w:color="auto" w:sz="4" w:space="0"/>
              <w:right w:val="single" w:color="auto" w:sz="4" w:space="0"/>
            </w:tcBorders>
            <w:shd w:val="clear" w:color="auto" w:fill="auto"/>
            <w:vAlign w:val="center"/>
            <w:hideMark/>
          </w:tcPr>
          <w:p w:rsidRPr="00455114" w:rsidR="00E12564" w:rsidP="00E12564" w:rsidRDefault="00DB7DE7" w14:paraId="25B192DA" w14:textId="77777777">
            <w:pPr>
              <w:jc w:val="center"/>
              <w:rPr>
                <w:b/>
                <w:color w:val="000000"/>
                <w:sz w:val="22"/>
                <w:szCs w:val="22"/>
              </w:rPr>
            </w:pPr>
            <w:r w:rsidRPr="00455114">
              <w:rPr>
                <w:b/>
                <w:color w:val="000000"/>
                <w:sz w:val="22"/>
                <w:szCs w:val="22"/>
              </w:rPr>
              <w:t>E</w:t>
            </w:r>
          </w:p>
        </w:tc>
        <w:tc>
          <w:tcPr>
            <w:tcW w:w="713" w:type="pct"/>
            <w:tcBorders>
              <w:top w:val="nil"/>
              <w:left w:val="nil"/>
              <w:bottom w:val="single" w:color="auto" w:sz="4" w:space="0"/>
              <w:right w:val="single" w:color="auto" w:sz="4" w:space="0"/>
            </w:tcBorders>
            <w:shd w:val="clear" w:color="auto" w:fill="auto"/>
            <w:vAlign w:val="center"/>
            <w:hideMark/>
          </w:tcPr>
          <w:p w:rsidRPr="00455114" w:rsidR="00E12564" w:rsidP="00E12564" w:rsidRDefault="00DB7DE7" w14:paraId="285B84EC" w14:textId="77777777">
            <w:pPr>
              <w:jc w:val="center"/>
              <w:rPr>
                <w:b/>
                <w:color w:val="000000"/>
                <w:sz w:val="22"/>
                <w:szCs w:val="22"/>
              </w:rPr>
            </w:pPr>
            <w:r w:rsidRPr="00455114">
              <w:rPr>
                <w:b/>
                <w:color w:val="000000"/>
                <w:sz w:val="22"/>
                <w:szCs w:val="22"/>
              </w:rPr>
              <w:t>F = D × E</w:t>
            </w:r>
          </w:p>
        </w:tc>
      </w:tr>
      <w:tr w:rsidRPr="00DB7DE7" w:rsidR="009345BC" w:rsidTr="007756EE" w14:paraId="43FAAFE4" w14:textId="77777777">
        <w:trPr>
          <w:trHeight w:val="630"/>
        </w:trPr>
        <w:tc>
          <w:tcPr>
            <w:tcW w:w="761" w:type="pct"/>
            <w:tcBorders>
              <w:top w:val="nil"/>
              <w:left w:val="single" w:color="auto" w:sz="4" w:space="0"/>
              <w:bottom w:val="single" w:color="auto" w:sz="4" w:space="0"/>
              <w:right w:val="single" w:color="auto" w:sz="4" w:space="0"/>
            </w:tcBorders>
            <w:shd w:val="clear" w:color="auto" w:fill="auto"/>
            <w:vAlign w:val="center"/>
            <w:hideMark/>
          </w:tcPr>
          <w:p w:rsidRPr="00DB7DE7" w:rsidR="009345BC" w:rsidP="009345BC" w:rsidRDefault="009345BC" w14:paraId="5BE6A8B3" w14:textId="77777777">
            <w:pPr>
              <w:suppressAutoHyphens/>
              <w:rPr>
                <w:color w:val="000000"/>
                <w:sz w:val="22"/>
                <w:szCs w:val="22"/>
              </w:rPr>
            </w:pPr>
            <w:r w:rsidRPr="00DB7DE7">
              <w:rPr>
                <w:color w:val="000000"/>
                <w:sz w:val="22"/>
                <w:szCs w:val="22"/>
              </w:rPr>
              <w:t>Incident Reporting Form</w:t>
            </w:r>
          </w:p>
        </w:tc>
        <w:tc>
          <w:tcPr>
            <w:tcW w:w="753"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3AE2C367" w14:textId="77777777">
            <w:pPr>
              <w:jc w:val="center"/>
              <w:rPr>
                <w:color w:val="000000"/>
                <w:sz w:val="22"/>
                <w:szCs w:val="22"/>
              </w:rPr>
            </w:pPr>
            <w:r>
              <w:rPr>
                <w:color w:val="000000"/>
                <w:sz w:val="22"/>
                <w:szCs w:val="22"/>
              </w:rPr>
              <w:t>26,000</w:t>
            </w:r>
          </w:p>
        </w:tc>
        <w:tc>
          <w:tcPr>
            <w:tcW w:w="705" w:type="pct"/>
            <w:tcBorders>
              <w:top w:val="nil"/>
              <w:left w:val="nil"/>
              <w:bottom w:val="single" w:color="auto" w:sz="4" w:space="0"/>
              <w:right w:val="single" w:color="auto" w:sz="4" w:space="0"/>
            </w:tcBorders>
            <w:vAlign w:val="center"/>
          </w:tcPr>
          <w:p w:rsidRPr="00DB7DE7" w:rsidR="009345BC" w:rsidP="009345BC" w:rsidRDefault="009345BC" w14:paraId="286F213C" w14:textId="77777777">
            <w:pPr>
              <w:jc w:val="center"/>
              <w:rPr>
                <w:color w:val="000000"/>
                <w:sz w:val="22"/>
                <w:szCs w:val="22"/>
              </w:rPr>
            </w:pPr>
            <w:r w:rsidRPr="00DB7DE7">
              <w:rPr>
                <w:color w:val="000000"/>
                <w:sz w:val="22"/>
                <w:szCs w:val="22"/>
              </w:rPr>
              <w:t>1</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B7DE7" w:rsidR="009345BC" w:rsidP="009345BC" w:rsidRDefault="009345BC" w14:paraId="4A5AB3F8" w14:textId="77777777">
            <w:pPr>
              <w:jc w:val="center"/>
              <w:rPr>
                <w:color w:val="000000"/>
                <w:sz w:val="22"/>
                <w:szCs w:val="22"/>
              </w:rPr>
            </w:pPr>
            <w:r w:rsidRPr="00DB7DE7">
              <w:rPr>
                <w:color w:val="000000"/>
                <w:sz w:val="22"/>
                <w:szCs w:val="22"/>
              </w:rPr>
              <w:t>0</w:t>
            </w:r>
            <w:r>
              <w:rPr>
                <w:color w:val="000000"/>
                <w:sz w:val="22"/>
                <w:szCs w:val="22"/>
              </w:rPr>
              <w:t>.3333</w:t>
            </w:r>
          </w:p>
        </w:tc>
        <w:tc>
          <w:tcPr>
            <w:tcW w:w="799"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14B6FB47" w14:textId="77777777">
            <w:pPr>
              <w:jc w:val="center"/>
              <w:rPr>
                <w:color w:val="000000"/>
                <w:sz w:val="22"/>
                <w:szCs w:val="22"/>
              </w:rPr>
            </w:pPr>
            <w:r>
              <w:rPr>
                <w:color w:val="000000"/>
                <w:sz w:val="22"/>
                <w:szCs w:val="22"/>
              </w:rPr>
              <w:t>8,667</w:t>
            </w:r>
          </w:p>
        </w:tc>
        <w:tc>
          <w:tcPr>
            <w:tcW w:w="564" w:type="pct"/>
            <w:vMerge w:val="restart"/>
            <w:tcBorders>
              <w:top w:val="nil"/>
              <w:left w:val="single" w:color="auto" w:sz="4" w:space="0"/>
              <w:bottom w:val="single" w:color="000000" w:sz="4" w:space="0"/>
              <w:right w:val="single" w:color="auto" w:sz="4" w:space="0"/>
            </w:tcBorders>
            <w:shd w:val="clear" w:color="auto" w:fill="auto"/>
            <w:vAlign w:val="center"/>
            <w:hideMark/>
          </w:tcPr>
          <w:p w:rsidRPr="00DB7DE7" w:rsidR="009345BC" w:rsidP="009345BC" w:rsidRDefault="009345BC" w14:paraId="4AD27F86" w14:textId="515F95DD">
            <w:pPr>
              <w:jc w:val="center"/>
              <w:rPr>
                <w:color w:val="000000"/>
                <w:sz w:val="22"/>
                <w:szCs w:val="22"/>
              </w:rPr>
            </w:pPr>
            <w:r>
              <w:rPr>
                <w:color w:val="000000"/>
                <w:sz w:val="22"/>
                <w:szCs w:val="22"/>
              </w:rPr>
              <w:t>$39.34</w:t>
            </w:r>
            <w:r w:rsidRPr="00DB7DE7">
              <w:rPr>
                <w:color w:val="000000"/>
                <w:sz w:val="22"/>
                <w:szCs w:val="22"/>
              </w:rPr>
              <w:t xml:space="preserve"> </w:t>
            </w:r>
          </w:p>
        </w:tc>
        <w:tc>
          <w:tcPr>
            <w:tcW w:w="713"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08732262" w14:textId="37F00665">
            <w:pPr>
              <w:jc w:val="center"/>
              <w:rPr>
                <w:color w:val="000000"/>
                <w:sz w:val="22"/>
                <w:szCs w:val="22"/>
              </w:rPr>
            </w:pPr>
            <w:r>
              <w:rPr>
                <w:color w:val="000000"/>
              </w:rPr>
              <w:t xml:space="preserve">$339,983 </w:t>
            </w:r>
          </w:p>
        </w:tc>
      </w:tr>
      <w:tr w:rsidRPr="00DB7DE7" w:rsidR="009345BC" w:rsidTr="007756EE" w14:paraId="21E8D7B3" w14:textId="77777777">
        <w:trPr>
          <w:trHeight w:val="1260"/>
        </w:trPr>
        <w:tc>
          <w:tcPr>
            <w:tcW w:w="761" w:type="pct"/>
            <w:tcBorders>
              <w:top w:val="nil"/>
              <w:left w:val="single" w:color="auto" w:sz="4" w:space="0"/>
              <w:bottom w:val="single" w:color="auto" w:sz="4" w:space="0"/>
              <w:right w:val="single" w:color="auto" w:sz="4" w:space="0"/>
            </w:tcBorders>
            <w:shd w:val="clear" w:color="auto" w:fill="auto"/>
            <w:vAlign w:val="center"/>
            <w:hideMark/>
          </w:tcPr>
          <w:p w:rsidRPr="00DB7DE7" w:rsidR="009345BC" w:rsidP="009345BC" w:rsidRDefault="009345BC" w14:paraId="033A90B4" w14:textId="77777777">
            <w:pPr>
              <w:suppressAutoHyphens/>
              <w:rPr>
                <w:color w:val="000000"/>
                <w:sz w:val="22"/>
                <w:szCs w:val="22"/>
              </w:rPr>
            </w:pPr>
            <w:r w:rsidRPr="00DB7DE7">
              <w:rPr>
                <w:color w:val="000000"/>
                <w:sz w:val="22"/>
                <w:szCs w:val="22"/>
              </w:rPr>
              <w:t>DHS Cyber Threat Indicator and Defensive Measure Submission System</w:t>
            </w:r>
          </w:p>
        </w:tc>
        <w:tc>
          <w:tcPr>
            <w:tcW w:w="753"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78CDF8D1" w14:textId="77777777">
            <w:pPr>
              <w:jc w:val="center"/>
              <w:rPr>
                <w:color w:val="000000"/>
                <w:sz w:val="22"/>
                <w:szCs w:val="22"/>
              </w:rPr>
            </w:pPr>
            <w:r w:rsidRPr="00DB7DE7">
              <w:rPr>
                <w:color w:val="000000"/>
                <w:sz w:val="22"/>
                <w:szCs w:val="22"/>
              </w:rPr>
              <w:t>22,000</w:t>
            </w:r>
          </w:p>
        </w:tc>
        <w:tc>
          <w:tcPr>
            <w:tcW w:w="705" w:type="pct"/>
            <w:tcBorders>
              <w:top w:val="nil"/>
              <w:left w:val="nil"/>
              <w:bottom w:val="single" w:color="auto" w:sz="4" w:space="0"/>
              <w:right w:val="single" w:color="auto" w:sz="4" w:space="0"/>
            </w:tcBorders>
            <w:vAlign w:val="center"/>
          </w:tcPr>
          <w:p w:rsidRPr="00DB7DE7" w:rsidR="009345BC" w:rsidP="009345BC" w:rsidRDefault="009345BC" w14:paraId="10CF694F" w14:textId="77777777">
            <w:pPr>
              <w:jc w:val="center"/>
              <w:rPr>
                <w:color w:val="000000"/>
                <w:sz w:val="22"/>
                <w:szCs w:val="22"/>
              </w:rPr>
            </w:pPr>
            <w:r w:rsidRPr="00DB7DE7">
              <w:rPr>
                <w:color w:val="000000"/>
                <w:sz w:val="22"/>
                <w:szCs w:val="22"/>
              </w:rPr>
              <w:t>1</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B7DE7" w:rsidR="009345BC" w:rsidP="009345BC" w:rsidRDefault="009345BC" w14:paraId="0007BE2A" w14:textId="77777777">
            <w:pPr>
              <w:jc w:val="center"/>
              <w:rPr>
                <w:color w:val="000000"/>
                <w:sz w:val="22"/>
                <w:szCs w:val="22"/>
              </w:rPr>
            </w:pPr>
            <w:r w:rsidRPr="00DB7DE7">
              <w:rPr>
                <w:color w:val="000000"/>
                <w:sz w:val="22"/>
                <w:szCs w:val="22"/>
              </w:rPr>
              <w:t>0.1667</w:t>
            </w:r>
          </w:p>
        </w:tc>
        <w:tc>
          <w:tcPr>
            <w:tcW w:w="799"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44170928" w14:textId="77777777">
            <w:pPr>
              <w:jc w:val="center"/>
              <w:rPr>
                <w:color w:val="000000"/>
                <w:sz w:val="22"/>
                <w:szCs w:val="22"/>
              </w:rPr>
            </w:pPr>
            <w:r w:rsidRPr="00DB7DE7">
              <w:rPr>
                <w:color w:val="000000"/>
                <w:sz w:val="22"/>
                <w:szCs w:val="22"/>
              </w:rPr>
              <w:t>3,667</w:t>
            </w:r>
          </w:p>
        </w:tc>
        <w:tc>
          <w:tcPr>
            <w:tcW w:w="564" w:type="pct"/>
            <w:vMerge/>
            <w:tcBorders>
              <w:top w:val="nil"/>
              <w:left w:val="single" w:color="auto" w:sz="4" w:space="0"/>
              <w:bottom w:val="single" w:color="000000" w:sz="4" w:space="0"/>
              <w:right w:val="single" w:color="auto" w:sz="4" w:space="0"/>
            </w:tcBorders>
            <w:vAlign w:val="center"/>
            <w:hideMark/>
          </w:tcPr>
          <w:p w:rsidRPr="00DB7DE7" w:rsidR="009345BC" w:rsidP="009345BC" w:rsidRDefault="009345BC" w14:paraId="42C70A57" w14:textId="77777777">
            <w:pPr>
              <w:rPr>
                <w:color w:val="000000"/>
                <w:sz w:val="22"/>
                <w:szCs w:val="22"/>
              </w:rPr>
            </w:pPr>
          </w:p>
        </w:tc>
        <w:tc>
          <w:tcPr>
            <w:tcW w:w="713"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68E485AB" w14:textId="5E93E556">
            <w:pPr>
              <w:jc w:val="center"/>
              <w:rPr>
                <w:color w:val="000000"/>
                <w:sz w:val="22"/>
                <w:szCs w:val="22"/>
              </w:rPr>
            </w:pPr>
            <w:r>
              <w:rPr>
                <w:color w:val="000000"/>
              </w:rPr>
              <w:t xml:space="preserve">$143,839 </w:t>
            </w:r>
          </w:p>
        </w:tc>
      </w:tr>
      <w:tr w:rsidRPr="00DB7DE7" w:rsidR="009345BC" w:rsidTr="007756EE" w14:paraId="7C4ED5AB" w14:textId="77777777">
        <w:trPr>
          <w:trHeight w:val="630"/>
        </w:trPr>
        <w:tc>
          <w:tcPr>
            <w:tcW w:w="761" w:type="pct"/>
            <w:tcBorders>
              <w:top w:val="nil"/>
              <w:left w:val="single" w:color="auto" w:sz="4" w:space="0"/>
              <w:bottom w:val="single" w:color="auto" w:sz="4" w:space="0"/>
              <w:right w:val="single" w:color="auto" w:sz="4" w:space="0"/>
            </w:tcBorders>
            <w:shd w:val="clear" w:color="auto" w:fill="auto"/>
            <w:vAlign w:val="center"/>
            <w:hideMark/>
          </w:tcPr>
          <w:p w:rsidRPr="00DB7DE7" w:rsidR="009345BC" w:rsidP="009345BC" w:rsidRDefault="009345BC" w14:paraId="7CA7BB0D" w14:textId="77777777">
            <w:pPr>
              <w:suppressAutoHyphens/>
              <w:rPr>
                <w:color w:val="000000"/>
                <w:sz w:val="22"/>
                <w:szCs w:val="22"/>
              </w:rPr>
            </w:pPr>
            <w:r w:rsidRPr="00DB7DE7">
              <w:rPr>
                <w:color w:val="000000"/>
                <w:sz w:val="22"/>
                <w:szCs w:val="22"/>
              </w:rPr>
              <w:t>Malware Analysis Submission Form</w:t>
            </w:r>
          </w:p>
        </w:tc>
        <w:tc>
          <w:tcPr>
            <w:tcW w:w="753"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49BFD76F" w14:textId="77777777">
            <w:pPr>
              <w:jc w:val="center"/>
              <w:rPr>
                <w:color w:val="000000"/>
                <w:sz w:val="22"/>
                <w:szCs w:val="22"/>
              </w:rPr>
            </w:pPr>
            <w:r w:rsidRPr="00DB7DE7">
              <w:rPr>
                <w:color w:val="000000"/>
                <w:sz w:val="22"/>
                <w:szCs w:val="22"/>
              </w:rPr>
              <w:t>2,725</w:t>
            </w:r>
          </w:p>
        </w:tc>
        <w:tc>
          <w:tcPr>
            <w:tcW w:w="705" w:type="pct"/>
            <w:tcBorders>
              <w:top w:val="nil"/>
              <w:left w:val="nil"/>
              <w:bottom w:val="single" w:color="auto" w:sz="4" w:space="0"/>
              <w:right w:val="single" w:color="auto" w:sz="4" w:space="0"/>
            </w:tcBorders>
            <w:vAlign w:val="center"/>
          </w:tcPr>
          <w:p w:rsidRPr="00DB7DE7" w:rsidR="009345BC" w:rsidP="009345BC" w:rsidRDefault="009345BC" w14:paraId="5FB8A4F3" w14:textId="77777777">
            <w:pPr>
              <w:jc w:val="center"/>
              <w:rPr>
                <w:color w:val="000000"/>
                <w:sz w:val="22"/>
                <w:szCs w:val="22"/>
              </w:rPr>
            </w:pPr>
            <w:r w:rsidRPr="00DB7DE7">
              <w:rPr>
                <w:color w:val="000000"/>
                <w:sz w:val="22"/>
                <w:szCs w:val="22"/>
              </w:rPr>
              <w:t>1</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B7DE7" w:rsidR="009345BC" w:rsidP="009345BC" w:rsidRDefault="009345BC" w14:paraId="499CE022" w14:textId="77777777">
            <w:pPr>
              <w:jc w:val="center"/>
              <w:rPr>
                <w:color w:val="000000"/>
                <w:sz w:val="22"/>
                <w:szCs w:val="22"/>
              </w:rPr>
            </w:pPr>
            <w:r w:rsidRPr="00DB7DE7">
              <w:rPr>
                <w:color w:val="000000"/>
                <w:sz w:val="22"/>
                <w:szCs w:val="22"/>
              </w:rPr>
              <w:t>0.0167</w:t>
            </w:r>
          </w:p>
        </w:tc>
        <w:tc>
          <w:tcPr>
            <w:tcW w:w="799"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224F5ABC" w14:textId="77777777">
            <w:pPr>
              <w:jc w:val="center"/>
              <w:rPr>
                <w:color w:val="000000"/>
                <w:sz w:val="22"/>
                <w:szCs w:val="22"/>
              </w:rPr>
            </w:pPr>
            <w:r w:rsidRPr="00DB7DE7">
              <w:rPr>
                <w:color w:val="000000"/>
                <w:sz w:val="22"/>
                <w:szCs w:val="22"/>
              </w:rPr>
              <w:t>45</w:t>
            </w:r>
          </w:p>
        </w:tc>
        <w:tc>
          <w:tcPr>
            <w:tcW w:w="564" w:type="pct"/>
            <w:vMerge/>
            <w:tcBorders>
              <w:top w:val="nil"/>
              <w:left w:val="single" w:color="auto" w:sz="4" w:space="0"/>
              <w:bottom w:val="single" w:color="000000" w:sz="4" w:space="0"/>
              <w:right w:val="single" w:color="auto" w:sz="4" w:space="0"/>
            </w:tcBorders>
            <w:vAlign w:val="center"/>
            <w:hideMark/>
          </w:tcPr>
          <w:p w:rsidRPr="00DB7DE7" w:rsidR="009345BC" w:rsidP="009345BC" w:rsidRDefault="009345BC" w14:paraId="5958A4BA" w14:textId="77777777">
            <w:pPr>
              <w:rPr>
                <w:color w:val="000000"/>
                <w:sz w:val="22"/>
                <w:szCs w:val="22"/>
              </w:rPr>
            </w:pPr>
          </w:p>
        </w:tc>
        <w:tc>
          <w:tcPr>
            <w:tcW w:w="713"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38B469E2" w14:textId="619229D3">
            <w:pPr>
              <w:jc w:val="center"/>
              <w:rPr>
                <w:color w:val="000000"/>
                <w:sz w:val="22"/>
                <w:szCs w:val="22"/>
              </w:rPr>
            </w:pPr>
            <w:r>
              <w:rPr>
                <w:color w:val="000000"/>
              </w:rPr>
              <w:t xml:space="preserve">$1,782 </w:t>
            </w:r>
          </w:p>
        </w:tc>
      </w:tr>
      <w:tr w:rsidRPr="00DB7DE7" w:rsidR="009345BC" w:rsidTr="007756EE" w14:paraId="33C0D808" w14:textId="77777777">
        <w:trPr>
          <w:trHeight w:val="315"/>
        </w:trPr>
        <w:tc>
          <w:tcPr>
            <w:tcW w:w="761" w:type="pct"/>
            <w:tcBorders>
              <w:top w:val="nil"/>
              <w:left w:val="single" w:color="auto" w:sz="4" w:space="0"/>
              <w:bottom w:val="single" w:color="auto" w:sz="4" w:space="0"/>
              <w:right w:val="single" w:color="auto" w:sz="4" w:space="0"/>
            </w:tcBorders>
            <w:shd w:val="clear" w:color="auto" w:fill="auto"/>
            <w:vAlign w:val="center"/>
            <w:hideMark/>
          </w:tcPr>
          <w:p w:rsidRPr="00DB7DE7" w:rsidR="009345BC" w:rsidP="009345BC" w:rsidRDefault="009345BC" w14:paraId="776807C4" w14:textId="77777777">
            <w:pPr>
              <w:suppressAutoHyphens/>
              <w:rPr>
                <w:color w:val="000000"/>
                <w:sz w:val="22"/>
                <w:szCs w:val="22"/>
              </w:rPr>
            </w:pPr>
            <w:r w:rsidRPr="00DB7DE7">
              <w:rPr>
                <w:color w:val="000000"/>
                <w:sz w:val="22"/>
                <w:szCs w:val="22"/>
              </w:rPr>
              <w:t>Mail Lists Form</w:t>
            </w:r>
          </w:p>
        </w:tc>
        <w:tc>
          <w:tcPr>
            <w:tcW w:w="753"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6CFED3C6" w14:textId="77777777">
            <w:pPr>
              <w:jc w:val="center"/>
              <w:rPr>
                <w:color w:val="000000"/>
                <w:sz w:val="22"/>
                <w:szCs w:val="22"/>
              </w:rPr>
            </w:pPr>
            <w:r w:rsidRPr="00DB7DE7">
              <w:rPr>
                <w:color w:val="000000"/>
                <w:sz w:val="22"/>
                <w:szCs w:val="22"/>
              </w:rPr>
              <w:t>75,000</w:t>
            </w:r>
          </w:p>
        </w:tc>
        <w:tc>
          <w:tcPr>
            <w:tcW w:w="705" w:type="pct"/>
            <w:tcBorders>
              <w:top w:val="nil"/>
              <w:left w:val="nil"/>
              <w:bottom w:val="single" w:color="auto" w:sz="4" w:space="0"/>
              <w:right w:val="single" w:color="auto" w:sz="4" w:space="0"/>
            </w:tcBorders>
            <w:vAlign w:val="center"/>
          </w:tcPr>
          <w:p w:rsidRPr="00DB7DE7" w:rsidR="009345BC" w:rsidP="009345BC" w:rsidRDefault="009345BC" w14:paraId="070F5097" w14:textId="77777777">
            <w:pPr>
              <w:jc w:val="center"/>
              <w:rPr>
                <w:color w:val="000000"/>
                <w:sz w:val="22"/>
                <w:szCs w:val="22"/>
              </w:rPr>
            </w:pPr>
            <w:r w:rsidRPr="00DB7DE7">
              <w:rPr>
                <w:color w:val="000000"/>
                <w:sz w:val="22"/>
                <w:szCs w:val="22"/>
              </w:rPr>
              <w:t>1</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B7DE7" w:rsidR="009345BC" w:rsidP="009345BC" w:rsidRDefault="009345BC" w14:paraId="7193557E" w14:textId="77777777">
            <w:pPr>
              <w:jc w:val="center"/>
              <w:rPr>
                <w:color w:val="000000"/>
                <w:sz w:val="22"/>
                <w:szCs w:val="22"/>
              </w:rPr>
            </w:pPr>
            <w:r w:rsidRPr="00DB7DE7">
              <w:rPr>
                <w:color w:val="000000"/>
                <w:sz w:val="22"/>
                <w:szCs w:val="22"/>
              </w:rPr>
              <w:t>0.0167</w:t>
            </w:r>
          </w:p>
        </w:tc>
        <w:tc>
          <w:tcPr>
            <w:tcW w:w="799"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3C43BC28" w14:textId="77777777">
            <w:pPr>
              <w:jc w:val="center"/>
              <w:rPr>
                <w:color w:val="000000"/>
                <w:sz w:val="22"/>
                <w:szCs w:val="22"/>
              </w:rPr>
            </w:pPr>
            <w:r w:rsidRPr="00DB7DE7">
              <w:rPr>
                <w:color w:val="000000"/>
                <w:sz w:val="22"/>
                <w:szCs w:val="22"/>
              </w:rPr>
              <w:t>1,250</w:t>
            </w:r>
          </w:p>
        </w:tc>
        <w:tc>
          <w:tcPr>
            <w:tcW w:w="564" w:type="pct"/>
            <w:vMerge/>
            <w:tcBorders>
              <w:top w:val="nil"/>
              <w:left w:val="single" w:color="auto" w:sz="4" w:space="0"/>
              <w:bottom w:val="single" w:color="000000" w:sz="4" w:space="0"/>
              <w:right w:val="single" w:color="auto" w:sz="4" w:space="0"/>
            </w:tcBorders>
            <w:vAlign w:val="center"/>
            <w:hideMark/>
          </w:tcPr>
          <w:p w:rsidRPr="00DB7DE7" w:rsidR="009345BC" w:rsidP="009345BC" w:rsidRDefault="009345BC" w14:paraId="0D962E44" w14:textId="77777777">
            <w:pPr>
              <w:rPr>
                <w:color w:val="000000"/>
                <w:sz w:val="22"/>
                <w:szCs w:val="22"/>
              </w:rPr>
            </w:pPr>
          </w:p>
        </w:tc>
        <w:tc>
          <w:tcPr>
            <w:tcW w:w="713"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5579911D" w14:textId="52BD008C">
            <w:pPr>
              <w:jc w:val="center"/>
              <w:rPr>
                <w:color w:val="000000"/>
                <w:sz w:val="22"/>
                <w:szCs w:val="22"/>
              </w:rPr>
            </w:pPr>
            <w:r>
              <w:rPr>
                <w:color w:val="000000"/>
              </w:rPr>
              <w:t xml:space="preserve">$49,036 </w:t>
            </w:r>
          </w:p>
        </w:tc>
      </w:tr>
      <w:tr w:rsidRPr="00DB7DE7" w:rsidR="009345BC" w:rsidTr="007756EE" w14:paraId="2BA0479D" w14:textId="77777777">
        <w:trPr>
          <w:trHeight w:val="630"/>
        </w:trPr>
        <w:tc>
          <w:tcPr>
            <w:tcW w:w="761" w:type="pct"/>
            <w:tcBorders>
              <w:top w:val="nil"/>
              <w:left w:val="single" w:color="auto" w:sz="4" w:space="0"/>
              <w:bottom w:val="single" w:color="auto" w:sz="4" w:space="0"/>
              <w:right w:val="single" w:color="auto" w:sz="4" w:space="0"/>
            </w:tcBorders>
            <w:shd w:val="clear" w:color="auto" w:fill="auto"/>
            <w:vAlign w:val="center"/>
            <w:hideMark/>
          </w:tcPr>
          <w:p w:rsidRPr="00DB7DE7" w:rsidR="009345BC" w:rsidP="009345BC" w:rsidRDefault="009345BC" w14:paraId="082C8439" w14:textId="77777777">
            <w:pPr>
              <w:suppressAutoHyphens/>
              <w:rPr>
                <w:color w:val="000000"/>
                <w:sz w:val="22"/>
                <w:szCs w:val="22"/>
              </w:rPr>
            </w:pPr>
            <w:r w:rsidRPr="00DB7DE7">
              <w:rPr>
                <w:color w:val="000000"/>
                <w:sz w:val="22"/>
                <w:szCs w:val="22"/>
              </w:rPr>
              <w:t>CSET Download Form</w:t>
            </w:r>
          </w:p>
        </w:tc>
        <w:tc>
          <w:tcPr>
            <w:tcW w:w="753"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2ED945F7" w14:textId="723DF69F">
            <w:pPr>
              <w:jc w:val="center"/>
              <w:rPr>
                <w:color w:val="000000"/>
                <w:sz w:val="22"/>
                <w:szCs w:val="22"/>
              </w:rPr>
            </w:pPr>
            <w:r w:rsidRPr="00934DA1">
              <w:rPr>
                <w:color w:val="000000"/>
                <w:sz w:val="22"/>
                <w:szCs w:val="22"/>
              </w:rPr>
              <w:t>13</w:t>
            </w:r>
            <w:r>
              <w:rPr>
                <w:color w:val="000000"/>
                <w:sz w:val="22"/>
                <w:szCs w:val="22"/>
              </w:rPr>
              <w:t>,</w:t>
            </w:r>
            <w:r w:rsidRPr="00934DA1">
              <w:rPr>
                <w:color w:val="000000"/>
                <w:sz w:val="22"/>
                <w:szCs w:val="22"/>
              </w:rPr>
              <w:t>400</w:t>
            </w:r>
          </w:p>
        </w:tc>
        <w:tc>
          <w:tcPr>
            <w:tcW w:w="705" w:type="pct"/>
            <w:tcBorders>
              <w:top w:val="nil"/>
              <w:left w:val="nil"/>
              <w:bottom w:val="single" w:color="auto" w:sz="4" w:space="0"/>
              <w:right w:val="single" w:color="auto" w:sz="4" w:space="0"/>
            </w:tcBorders>
            <w:vAlign w:val="center"/>
          </w:tcPr>
          <w:p w:rsidRPr="00DB7DE7" w:rsidR="009345BC" w:rsidP="009345BC" w:rsidRDefault="009345BC" w14:paraId="605DE49A" w14:textId="77777777">
            <w:pPr>
              <w:jc w:val="center"/>
              <w:rPr>
                <w:color w:val="000000"/>
                <w:sz w:val="22"/>
                <w:szCs w:val="22"/>
              </w:rPr>
            </w:pPr>
            <w:r w:rsidRPr="00DB7DE7">
              <w:rPr>
                <w:color w:val="000000"/>
                <w:sz w:val="22"/>
                <w:szCs w:val="22"/>
              </w:rPr>
              <w:t>1</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B7DE7" w:rsidR="009345BC" w:rsidP="009345BC" w:rsidRDefault="009345BC" w14:paraId="0D17D9EA" w14:textId="77777777">
            <w:pPr>
              <w:jc w:val="center"/>
              <w:rPr>
                <w:color w:val="000000"/>
                <w:sz w:val="22"/>
                <w:szCs w:val="22"/>
              </w:rPr>
            </w:pPr>
            <w:r w:rsidRPr="00DB7DE7">
              <w:rPr>
                <w:color w:val="000000"/>
                <w:sz w:val="22"/>
                <w:szCs w:val="22"/>
              </w:rPr>
              <w:t>0.0167</w:t>
            </w:r>
          </w:p>
        </w:tc>
        <w:tc>
          <w:tcPr>
            <w:tcW w:w="799"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670FA40C" w14:textId="69064F9D">
            <w:pPr>
              <w:jc w:val="center"/>
              <w:rPr>
                <w:color w:val="000000"/>
                <w:sz w:val="22"/>
                <w:szCs w:val="22"/>
              </w:rPr>
            </w:pPr>
            <w:r>
              <w:rPr>
                <w:color w:val="000000"/>
                <w:sz w:val="22"/>
                <w:szCs w:val="22"/>
              </w:rPr>
              <w:t>223</w:t>
            </w:r>
          </w:p>
        </w:tc>
        <w:tc>
          <w:tcPr>
            <w:tcW w:w="564" w:type="pct"/>
            <w:vMerge/>
            <w:tcBorders>
              <w:top w:val="nil"/>
              <w:left w:val="single" w:color="auto" w:sz="4" w:space="0"/>
              <w:bottom w:val="single" w:color="000000" w:sz="4" w:space="0"/>
              <w:right w:val="single" w:color="auto" w:sz="4" w:space="0"/>
            </w:tcBorders>
            <w:vAlign w:val="center"/>
            <w:hideMark/>
          </w:tcPr>
          <w:p w:rsidRPr="00DB7DE7" w:rsidR="009345BC" w:rsidP="009345BC" w:rsidRDefault="009345BC" w14:paraId="5E15497B" w14:textId="77777777">
            <w:pPr>
              <w:rPr>
                <w:color w:val="000000"/>
                <w:sz w:val="22"/>
                <w:szCs w:val="22"/>
              </w:rPr>
            </w:pPr>
          </w:p>
        </w:tc>
        <w:tc>
          <w:tcPr>
            <w:tcW w:w="713"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71B0EDD0" w14:textId="7EA1826A">
            <w:pPr>
              <w:jc w:val="center"/>
              <w:rPr>
                <w:color w:val="000000"/>
                <w:sz w:val="22"/>
                <w:szCs w:val="22"/>
              </w:rPr>
            </w:pPr>
            <w:r>
              <w:rPr>
                <w:color w:val="000000"/>
              </w:rPr>
              <w:t xml:space="preserve">$8,761 </w:t>
            </w:r>
          </w:p>
        </w:tc>
      </w:tr>
      <w:tr w:rsidRPr="00DB7DE7" w:rsidR="009345BC" w:rsidTr="00915135" w14:paraId="53711EF2" w14:textId="77777777">
        <w:trPr>
          <w:trHeight w:val="315"/>
        </w:trPr>
        <w:tc>
          <w:tcPr>
            <w:tcW w:w="761" w:type="pct"/>
            <w:tcBorders>
              <w:top w:val="nil"/>
              <w:left w:val="single" w:color="auto" w:sz="4" w:space="0"/>
              <w:bottom w:val="single" w:color="auto" w:sz="4" w:space="0"/>
              <w:right w:val="single" w:color="auto" w:sz="4" w:space="0"/>
            </w:tcBorders>
            <w:shd w:val="clear" w:color="auto" w:fill="auto"/>
            <w:vAlign w:val="center"/>
            <w:hideMark/>
          </w:tcPr>
          <w:p w:rsidRPr="00DB7DE7" w:rsidR="009345BC" w:rsidP="009345BC" w:rsidRDefault="009345BC" w14:paraId="3A9D883E" w14:textId="77777777">
            <w:pPr>
              <w:rPr>
                <w:b/>
                <w:bCs/>
                <w:color w:val="000000"/>
                <w:sz w:val="22"/>
                <w:szCs w:val="22"/>
              </w:rPr>
            </w:pPr>
            <w:r w:rsidRPr="00DB7DE7">
              <w:rPr>
                <w:b/>
                <w:bCs/>
                <w:color w:val="000000"/>
                <w:sz w:val="22"/>
                <w:szCs w:val="22"/>
              </w:rPr>
              <w:t> </w:t>
            </w:r>
            <w:r>
              <w:rPr>
                <w:b/>
                <w:bCs/>
                <w:color w:val="000000"/>
                <w:sz w:val="22"/>
                <w:szCs w:val="22"/>
              </w:rPr>
              <w:t>Total</w:t>
            </w:r>
          </w:p>
        </w:tc>
        <w:tc>
          <w:tcPr>
            <w:tcW w:w="753"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48808DF0" w14:textId="6127288D">
            <w:pPr>
              <w:jc w:val="center"/>
              <w:rPr>
                <w:b/>
                <w:bCs/>
                <w:color w:val="000000"/>
                <w:sz w:val="22"/>
                <w:szCs w:val="22"/>
              </w:rPr>
            </w:pPr>
            <w:r>
              <w:rPr>
                <w:b/>
                <w:bCs/>
                <w:color w:val="000000"/>
                <w:sz w:val="22"/>
                <w:szCs w:val="22"/>
              </w:rPr>
              <w:t>139,125</w:t>
            </w:r>
          </w:p>
        </w:tc>
        <w:tc>
          <w:tcPr>
            <w:tcW w:w="705" w:type="pct"/>
            <w:tcBorders>
              <w:top w:val="nil"/>
              <w:left w:val="nil"/>
              <w:bottom w:val="single" w:color="auto" w:sz="4" w:space="0"/>
              <w:right w:val="single" w:color="auto" w:sz="4" w:space="0"/>
            </w:tcBorders>
            <w:shd w:val="clear" w:color="auto" w:fill="AEAAAA" w:themeFill="background2" w:themeFillShade="BF"/>
          </w:tcPr>
          <w:p w:rsidRPr="00DB7DE7" w:rsidR="009345BC" w:rsidP="009345BC" w:rsidRDefault="009345BC" w14:paraId="06D1FABF" w14:textId="77777777">
            <w:pPr>
              <w:jc w:val="center"/>
              <w:rPr>
                <w:b/>
                <w:bCs/>
                <w:color w:val="000000"/>
                <w:sz w:val="22"/>
                <w:szCs w:val="22"/>
              </w:rPr>
            </w:pPr>
          </w:p>
        </w:tc>
        <w:tc>
          <w:tcPr>
            <w:tcW w:w="705"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hideMark/>
          </w:tcPr>
          <w:p w:rsidRPr="00DB7DE7" w:rsidR="009345BC" w:rsidP="009345BC" w:rsidRDefault="009345BC" w14:paraId="408D1A99" w14:textId="77777777">
            <w:pPr>
              <w:jc w:val="center"/>
              <w:rPr>
                <w:b/>
                <w:bCs/>
                <w:color w:val="000000"/>
                <w:sz w:val="22"/>
                <w:szCs w:val="22"/>
              </w:rPr>
            </w:pPr>
            <w:r w:rsidRPr="00DB7DE7">
              <w:rPr>
                <w:b/>
                <w:bCs/>
                <w:color w:val="000000"/>
                <w:sz w:val="22"/>
                <w:szCs w:val="22"/>
              </w:rPr>
              <w:t> </w:t>
            </w:r>
          </w:p>
        </w:tc>
        <w:tc>
          <w:tcPr>
            <w:tcW w:w="799"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004235AE" w14:textId="0EC6B6C0">
            <w:pPr>
              <w:jc w:val="center"/>
              <w:rPr>
                <w:b/>
                <w:bCs/>
                <w:color w:val="000000"/>
                <w:sz w:val="22"/>
                <w:szCs w:val="22"/>
              </w:rPr>
            </w:pPr>
            <w:r>
              <w:rPr>
                <w:b/>
                <w:bCs/>
                <w:color w:val="000000"/>
                <w:sz w:val="22"/>
                <w:szCs w:val="22"/>
              </w:rPr>
              <w:t>13,852</w:t>
            </w:r>
          </w:p>
        </w:tc>
        <w:tc>
          <w:tcPr>
            <w:tcW w:w="564" w:type="pct"/>
            <w:tcBorders>
              <w:top w:val="nil"/>
              <w:left w:val="nil"/>
              <w:bottom w:val="single" w:color="auto" w:sz="4" w:space="0"/>
              <w:right w:val="single" w:color="auto" w:sz="4" w:space="0"/>
            </w:tcBorders>
            <w:shd w:val="clear" w:color="auto" w:fill="AEAAAA" w:themeFill="background2" w:themeFillShade="BF"/>
            <w:vAlign w:val="center"/>
            <w:hideMark/>
          </w:tcPr>
          <w:p w:rsidRPr="00DB7DE7" w:rsidR="009345BC" w:rsidP="009345BC" w:rsidRDefault="009345BC" w14:paraId="0711FC60" w14:textId="77777777">
            <w:pPr>
              <w:jc w:val="center"/>
              <w:rPr>
                <w:b/>
                <w:bCs/>
                <w:color w:val="000000"/>
                <w:sz w:val="22"/>
                <w:szCs w:val="22"/>
              </w:rPr>
            </w:pPr>
            <w:r w:rsidRPr="00DB7DE7">
              <w:rPr>
                <w:b/>
                <w:bCs/>
                <w:color w:val="000000"/>
                <w:sz w:val="22"/>
                <w:szCs w:val="22"/>
              </w:rPr>
              <w:t> </w:t>
            </w:r>
          </w:p>
        </w:tc>
        <w:tc>
          <w:tcPr>
            <w:tcW w:w="713" w:type="pct"/>
            <w:tcBorders>
              <w:top w:val="nil"/>
              <w:left w:val="nil"/>
              <w:bottom w:val="single" w:color="auto" w:sz="4" w:space="0"/>
              <w:right w:val="single" w:color="auto" w:sz="4" w:space="0"/>
            </w:tcBorders>
            <w:shd w:val="clear" w:color="auto" w:fill="auto"/>
            <w:vAlign w:val="center"/>
            <w:hideMark/>
          </w:tcPr>
          <w:p w:rsidRPr="00DB7DE7" w:rsidR="009345BC" w:rsidP="009345BC" w:rsidRDefault="009345BC" w14:paraId="580BB023" w14:textId="6714F730">
            <w:pPr>
              <w:jc w:val="center"/>
              <w:rPr>
                <w:b/>
                <w:bCs/>
                <w:color w:val="000000"/>
                <w:sz w:val="22"/>
                <w:szCs w:val="22"/>
              </w:rPr>
            </w:pPr>
            <w:r>
              <w:rPr>
                <w:b/>
                <w:bCs/>
                <w:color w:val="000000"/>
              </w:rPr>
              <w:t xml:space="preserve">$543,401 </w:t>
            </w:r>
          </w:p>
        </w:tc>
      </w:tr>
    </w:tbl>
    <w:p w:rsidRPr="00DB7DE7" w:rsidR="003B77E9" w:rsidP="003B77E9" w:rsidRDefault="003B77E9" w14:paraId="35BD1E94" w14:textId="77777777">
      <w:pPr>
        <w:tabs>
          <w:tab w:val="left" w:pos="-720"/>
        </w:tabs>
        <w:suppressAutoHyphens/>
        <w:rPr>
          <w:sz w:val="22"/>
          <w:szCs w:val="22"/>
        </w:rPr>
      </w:pPr>
      <w:r w:rsidRPr="00DB7DE7">
        <w:rPr>
          <w:sz w:val="22"/>
          <w:szCs w:val="22"/>
        </w:rPr>
        <w:t>Note:  Numbers may not total due to rounding.</w:t>
      </w:r>
    </w:p>
    <w:p w:rsidR="0046350D" w:rsidP="0046350D" w:rsidRDefault="0046350D" w14:paraId="334AE67D" w14:textId="77777777">
      <w:pPr>
        <w:rPr>
          <w:sz w:val="22"/>
          <w:szCs w:val="22"/>
        </w:rPr>
      </w:pPr>
    </w:p>
    <w:p w:rsidRPr="00272CF0" w:rsidR="0046350D" w:rsidP="0046350D" w:rsidRDefault="0046350D" w14:paraId="5B791144" w14:textId="77777777"/>
    <w:p w:rsidRPr="00596A43" w:rsidR="003B68FA" w:rsidP="000C4293" w:rsidRDefault="003B68FA" w14:paraId="4E983EF6" w14:textId="77777777">
      <w:pPr>
        <w:tabs>
          <w:tab w:val="left" w:pos="-720"/>
        </w:tabs>
        <w:suppressAutoHyphens/>
        <w:jc w:val="both"/>
      </w:pPr>
    </w:p>
    <w:p w:rsidRPr="00596A43" w:rsidR="00EB5E96" w:rsidP="000C4293" w:rsidRDefault="00EB5E96" w14:paraId="41B4345D"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Pr="00596A43" w:rsidR="00EB5E96" w:rsidP="000C4293" w:rsidRDefault="00EB5E96" w14:paraId="3949BB30" w14:textId="77777777">
      <w:pPr>
        <w:shd w:val="pct25" w:color="auto" w:fill="auto"/>
        <w:tabs>
          <w:tab w:val="left" w:pos="-720"/>
        </w:tabs>
        <w:suppressAutoHyphens/>
        <w:jc w:val="both"/>
      </w:pPr>
    </w:p>
    <w:p w:rsidRPr="00596A43" w:rsidR="00EB5E96" w:rsidP="000C4293" w:rsidRDefault="00EB5E96" w14:paraId="5C9EED63" w14:textId="77777777">
      <w:pPr>
        <w:pStyle w:val="BodyText3"/>
        <w:tabs>
          <w:tab w:val="clear" w:pos="720"/>
          <w:tab w:val="left" w:pos="810"/>
        </w:tabs>
        <w:jc w:val="both"/>
        <w:rPr>
          <w:sz w:val="24"/>
          <w:szCs w:val="24"/>
        </w:rPr>
      </w:pPr>
      <w:r w:rsidRPr="00596A43">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96A43" w:rsidR="00EB5E96" w:rsidP="000C4293" w:rsidRDefault="00EB5E96" w14:paraId="5805DDB5"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p>
    <w:p w:rsidRPr="00596A43" w:rsidR="00EB5E96" w:rsidP="000C4293" w:rsidRDefault="00EB5E96" w14:paraId="7417546C" w14:textId="77777777">
      <w:pPr>
        <w:shd w:val="pct25" w:color="auto" w:fill="FFFFFF"/>
        <w:tabs>
          <w:tab w:val="left" w:pos="-720"/>
        </w:tabs>
        <w:suppressAutoHyphens/>
        <w:jc w:val="both"/>
      </w:pPr>
      <w:r w:rsidRPr="00596A43">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96A43" w:rsidR="00EB5E96" w:rsidP="000C4293" w:rsidRDefault="00EB5E96" w14:paraId="3E0EB41D" w14:textId="77777777">
      <w:pPr>
        <w:shd w:val="pct25" w:color="auto" w:fill="FFFFFF"/>
        <w:tabs>
          <w:tab w:val="left" w:pos="-720"/>
        </w:tabs>
        <w:suppressAutoHyphens/>
        <w:jc w:val="both"/>
      </w:pPr>
    </w:p>
    <w:p w:rsidRPr="00596A43" w:rsidR="00EB5E96" w:rsidP="000C4293" w:rsidRDefault="00EB5E96" w14:paraId="55208032" w14:textId="77777777">
      <w:pPr>
        <w:shd w:val="pct25" w:color="auto" w:fill="FFFFFF"/>
        <w:tabs>
          <w:tab w:val="left" w:pos="-720"/>
        </w:tabs>
        <w:suppressAutoHyphens/>
        <w:jc w:val="both"/>
      </w:pPr>
      <w:r w:rsidRPr="00596A43">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Pr="00596A43" w:rsidR="00EB5E96" w:rsidP="000C4293" w:rsidRDefault="00EB5E96" w14:paraId="5AE2D8D3" w14:textId="77777777">
      <w:pPr>
        <w:shd w:val="clear" w:color="auto" w:fill="FFFFFF"/>
        <w:tabs>
          <w:tab w:val="left" w:pos="-720"/>
        </w:tabs>
        <w:suppressAutoHyphens/>
        <w:jc w:val="both"/>
      </w:pPr>
    </w:p>
    <w:p w:rsidRPr="00654846" w:rsidR="00D73BBC" w:rsidP="00D73BBC" w:rsidRDefault="005C2859" w14:paraId="4BA50E9D" w14:textId="77777777">
      <w:pPr>
        <w:tabs>
          <w:tab w:val="left" w:pos="-720"/>
        </w:tabs>
        <w:suppressAutoHyphens/>
        <w:jc w:val="both"/>
        <w:rPr>
          <w:spacing w:val="-3"/>
        </w:rPr>
      </w:pPr>
      <w:r>
        <w:rPr>
          <w:spacing w:val="-3"/>
        </w:rPr>
        <w:t>There are no recordkeeping, capital, start-up, or maintenance costs associated with this information collection</w:t>
      </w:r>
      <w:r w:rsidRPr="00654846" w:rsidR="00693BFE">
        <w:rPr>
          <w:spacing w:val="-3"/>
        </w:rPr>
        <w:t>.</w:t>
      </w:r>
    </w:p>
    <w:p w:rsidRPr="00654846" w:rsidR="00333D1E" w:rsidP="000C4293" w:rsidRDefault="00333D1E" w14:paraId="162E6F76" w14:textId="77777777">
      <w:pPr>
        <w:shd w:val="clear" w:color="auto" w:fill="FFFFFF"/>
        <w:tabs>
          <w:tab w:val="left" w:pos="-720"/>
        </w:tabs>
        <w:suppressAutoHyphens/>
        <w:jc w:val="both"/>
      </w:pPr>
    </w:p>
    <w:p w:rsidRPr="00654846" w:rsidR="00EB5E96" w:rsidP="000C4293" w:rsidRDefault="00EB5E96" w14:paraId="0E76ADDA" w14:textId="77777777">
      <w:pPr>
        <w:shd w:val="pct25" w:color="auto" w:fill="auto"/>
        <w:tabs>
          <w:tab w:val="left" w:pos="-720"/>
        </w:tabs>
        <w:suppressAutoHyphens/>
        <w:jc w:val="both"/>
      </w:pPr>
      <w:r w:rsidRPr="00654846">
        <w:fldChar w:fldCharType="begin"/>
      </w:r>
      <w:r w:rsidRPr="00654846">
        <w:instrText>ADVANCE \R 0.95</w:instrText>
      </w:r>
      <w:r w:rsidRPr="00654846">
        <w:fldChar w:fldCharType="end"/>
      </w:r>
      <w:r w:rsidRPr="00654846">
        <w:t xml:space="preserve">     14.  Provide estimates of annualized cost to the Federal Government.  </w:t>
      </w:r>
      <w:r w:rsidRPr="00654846"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654846">
        <w:t xml:space="preserve">You may also aggregate cost estimates for Items 12, 13, and 14 in a single table.  </w:t>
      </w:r>
    </w:p>
    <w:p w:rsidRPr="00654846" w:rsidR="00EB5E96" w:rsidP="000C4293" w:rsidRDefault="00EB5E96" w14:paraId="79F84F92" w14:textId="77777777">
      <w:pPr>
        <w:suppressAutoHyphens/>
        <w:jc w:val="both"/>
      </w:pPr>
      <w:r w:rsidRPr="00654846">
        <w:fldChar w:fldCharType="begin"/>
      </w:r>
      <w:r w:rsidRPr="00654846">
        <w:instrText>ADVANCE \R 0.95</w:instrText>
      </w:r>
      <w:r w:rsidRPr="00654846">
        <w:fldChar w:fldCharType="end"/>
      </w:r>
    </w:p>
    <w:p w:rsidR="00272D1F" w:rsidP="005A4A2C" w:rsidRDefault="005A4A2C" w14:paraId="461189E7" w14:textId="509CA4F4">
      <w:pPr>
        <w:tabs>
          <w:tab w:val="left" w:pos="-720"/>
        </w:tabs>
        <w:suppressAutoHyphens/>
        <w:jc w:val="both"/>
        <w:rPr>
          <w:spacing w:val="-3"/>
        </w:rPr>
      </w:pPr>
      <w:r>
        <w:rPr>
          <w:spacing w:val="-3"/>
        </w:rPr>
        <w:t xml:space="preserve">To determine the cost to the federal government for this collection, </w:t>
      </w:r>
      <w:r w:rsidR="00C6107B">
        <w:rPr>
          <w:spacing w:val="-3"/>
        </w:rPr>
        <w:t xml:space="preserve">CISA </w:t>
      </w:r>
      <w:r>
        <w:rPr>
          <w:spacing w:val="-3"/>
        </w:rPr>
        <w:t xml:space="preserve">estimated the time burden required for the government to review the collected information.  The total estimated annual time burden for this collection is </w:t>
      </w:r>
      <w:r w:rsidR="0052686C">
        <w:rPr>
          <w:spacing w:val="-3"/>
        </w:rPr>
        <w:t>26,080</w:t>
      </w:r>
      <w:r>
        <w:rPr>
          <w:spacing w:val="-3"/>
        </w:rPr>
        <w:t xml:space="preserve"> hours across all eight instruments.  </w:t>
      </w:r>
      <w:r w:rsidR="00C6107B">
        <w:rPr>
          <w:spacing w:val="-3"/>
        </w:rPr>
        <w:t xml:space="preserve">CISA </w:t>
      </w:r>
      <w:r>
        <w:rPr>
          <w:spacing w:val="-3"/>
        </w:rPr>
        <w:t>assumes that the person handling the forms will be a GS-13 equivalent employee</w:t>
      </w:r>
      <w:r w:rsidR="00797265">
        <w:rPr>
          <w:spacing w:val="-3"/>
        </w:rPr>
        <w:t xml:space="preserve"> (Step 1)</w:t>
      </w:r>
      <w:r>
        <w:rPr>
          <w:spacing w:val="-3"/>
        </w:rPr>
        <w:t xml:space="preserve"> and have a</w:t>
      </w:r>
      <w:r w:rsidR="00797265">
        <w:rPr>
          <w:spacing w:val="-3"/>
        </w:rPr>
        <w:t>n average hourly</w:t>
      </w:r>
      <w:r>
        <w:rPr>
          <w:spacing w:val="-3"/>
        </w:rPr>
        <w:t xml:space="preserve"> wage of $</w:t>
      </w:r>
      <w:r w:rsidR="009345BC">
        <w:rPr>
          <w:spacing w:val="-3"/>
        </w:rPr>
        <w:t>49.85</w:t>
      </w:r>
      <w:r w:rsidR="00797265">
        <w:rPr>
          <w:spacing w:val="-3"/>
        </w:rPr>
        <w:t>.</w:t>
      </w:r>
      <w:r w:rsidR="00797265">
        <w:rPr>
          <w:rStyle w:val="FootnoteReference"/>
        </w:rPr>
        <w:footnoteReference w:id="4"/>
      </w:r>
      <w:r w:rsidR="00797265">
        <w:rPr>
          <w:spacing w:val="-3"/>
        </w:rPr>
        <w:t xml:space="preserve">  </w:t>
      </w:r>
      <w:r w:rsidR="00797265">
        <w:t>To account for benefits and other compensation, this wage was multiplied by a compensation factor of</w:t>
      </w:r>
      <w:r w:rsidR="00A855DB">
        <w:t xml:space="preserve"> 1.</w:t>
      </w:r>
      <w:r w:rsidR="009345BC">
        <w:t>4492</w:t>
      </w:r>
      <w:r w:rsidR="00797265">
        <w:t>.</w:t>
      </w:r>
      <w:r w:rsidR="00797265">
        <w:rPr>
          <w:rStyle w:val="FootnoteReference"/>
        </w:rPr>
        <w:footnoteReference w:id="5"/>
      </w:r>
      <w:r w:rsidR="00797265">
        <w:rPr>
          <w:spacing w:val="-3"/>
        </w:rPr>
        <w:t xml:space="preserve"> </w:t>
      </w:r>
      <w:r w:rsidR="00A855DB">
        <w:rPr>
          <w:spacing w:val="-3"/>
        </w:rPr>
        <w:t xml:space="preserve"> </w:t>
      </w:r>
      <w:r>
        <w:rPr>
          <w:spacing w:val="-3"/>
        </w:rPr>
        <w:t>This equates to an hourly wage of $</w:t>
      </w:r>
      <w:r w:rsidR="009345BC">
        <w:rPr>
          <w:spacing w:val="-3"/>
        </w:rPr>
        <w:t>72.24</w:t>
      </w:r>
      <w:r>
        <w:rPr>
          <w:spacing w:val="-3"/>
        </w:rPr>
        <w:t xml:space="preserve">, which we multiply by the total hours of </w:t>
      </w:r>
      <w:r w:rsidR="0052686C">
        <w:rPr>
          <w:spacing w:val="-3"/>
        </w:rPr>
        <w:t>26,</w:t>
      </w:r>
      <w:r w:rsidR="009345BC">
        <w:rPr>
          <w:spacing w:val="-3"/>
        </w:rPr>
        <w:t xml:space="preserve">108 </w:t>
      </w:r>
      <w:r>
        <w:rPr>
          <w:spacing w:val="-3"/>
        </w:rPr>
        <w:t>to obtain a cost estimate of $</w:t>
      </w:r>
      <w:r w:rsidR="009345BC">
        <w:rPr>
          <w:spacing w:val="-3"/>
        </w:rPr>
        <w:t>1,886,112</w:t>
      </w:r>
      <w:r>
        <w:rPr>
          <w:spacing w:val="-3"/>
        </w:rPr>
        <w:t xml:space="preserve">.  Table </w:t>
      </w:r>
      <w:r w:rsidR="00797265">
        <w:rPr>
          <w:spacing w:val="-3"/>
        </w:rPr>
        <w:t>2</w:t>
      </w:r>
      <w:r>
        <w:rPr>
          <w:spacing w:val="-3"/>
        </w:rPr>
        <w:t xml:space="preserve"> below shows the cost breakdown by instrument.</w:t>
      </w:r>
    </w:p>
    <w:p w:rsidRPr="00BB79EA" w:rsidR="005A4A2C" w:rsidP="005A4A2C" w:rsidRDefault="00272D1F" w14:paraId="29E4321E" w14:textId="77777777">
      <w:pPr>
        <w:tabs>
          <w:tab w:val="left" w:pos="-720"/>
        </w:tabs>
        <w:suppressAutoHyphens/>
        <w:jc w:val="both"/>
        <w:rPr>
          <w:b/>
          <w:spacing w:val="-3"/>
        </w:rPr>
      </w:pPr>
      <w:r>
        <w:rPr>
          <w:spacing w:val="-3"/>
        </w:rPr>
        <w:br w:type="page"/>
      </w:r>
      <w:r w:rsidRPr="00BB79EA" w:rsidR="005A4A2C">
        <w:rPr>
          <w:b/>
          <w:spacing w:val="-3"/>
        </w:rPr>
        <w:t xml:space="preserve">Table </w:t>
      </w:r>
      <w:r w:rsidRPr="00BB79EA">
        <w:rPr>
          <w:b/>
          <w:spacing w:val="-3"/>
        </w:rPr>
        <w:t>2</w:t>
      </w:r>
      <w:r w:rsidRPr="00BB79EA" w:rsidR="005A4A2C">
        <w:rPr>
          <w:b/>
          <w:spacing w:val="-3"/>
        </w:rPr>
        <w:t>: Annual Government Cost, by Instrument</w:t>
      </w:r>
    </w:p>
    <w:p w:rsidR="00814020" w:rsidP="005A4A2C" w:rsidRDefault="00814020" w14:paraId="32638284" w14:textId="77777777">
      <w:pPr>
        <w:tabs>
          <w:tab w:val="left" w:pos="-720"/>
        </w:tabs>
        <w:suppressAutoHyphens/>
        <w:jc w:val="both"/>
        <w:rPr>
          <w:spacing w:val="-3"/>
        </w:rPr>
      </w:pPr>
    </w:p>
    <w:tbl>
      <w:tblPr>
        <w:tblW w:w="0" w:type="auto"/>
        <w:tblLayout w:type="fixed"/>
        <w:tblLook w:val="04A0" w:firstRow="1" w:lastRow="0" w:firstColumn="1" w:lastColumn="0" w:noHBand="0" w:noVBand="1"/>
      </w:tblPr>
      <w:tblGrid>
        <w:gridCol w:w="2538"/>
        <w:gridCol w:w="1260"/>
        <w:gridCol w:w="1350"/>
        <w:gridCol w:w="1170"/>
        <w:gridCol w:w="1620"/>
        <w:gridCol w:w="1263"/>
      </w:tblGrid>
      <w:tr w:rsidR="00A855DB" w:rsidTr="0052686C" w14:paraId="422B4656" w14:textId="77777777">
        <w:trPr>
          <w:trHeight w:val="945"/>
        </w:trPr>
        <w:tc>
          <w:tcPr>
            <w:tcW w:w="2538" w:type="dxa"/>
            <w:vMerge w:val="restart"/>
            <w:tcBorders>
              <w:top w:val="single" w:color="auto" w:sz="4" w:space="0"/>
              <w:left w:val="single" w:color="auto" w:sz="4" w:space="0"/>
              <w:right w:val="single" w:color="auto" w:sz="4" w:space="0"/>
            </w:tcBorders>
            <w:shd w:val="clear" w:color="auto" w:fill="auto"/>
            <w:noWrap/>
            <w:vAlign w:val="center"/>
            <w:hideMark/>
          </w:tcPr>
          <w:p w:rsidRPr="00A855DB" w:rsidR="00272D1F" w:rsidP="00A855DB" w:rsidRDefault="00272D1F" w14:paraId="2E92BEB9" w14:textId="77777777">
            <w:pPr>
              <w:suppressAutoHyphens/>
              <w:jc w:val="center"/>
              <w:rPr>
                <w:b/>
                <w:color w:val="000000"/>
                <w:sz w:val="22"/>
                <w:szCs w:val="22"/>
              </w:rPr>
            </w:pPr>
            <w:r w:rsidRPr="00A855DB">
              <w:rPr>
                <w:b/>
                <w:color w:val="000000"/>
                <w:sz w:val="22"/>
                <w:szCs w:val="22"/>
              </w:rPr>
              <w:t>Form Name</w:t>
            </w:r>
          </w:p>
        </w:tc>
        <w:tc>
          <w:tcPr>
            <w:tcW w:w="1260" w:type="dxa"/>
            <w:tcBorders>
              <w:top w:val="single" w:color="auto" w:sz="4" w:space="0"/>
              <w:left w:val="nil"/>
              <w:bottom w:val="single" w:color="auto" w:sz="4" w:space="0"/>
              <w:right w:val="single" w:color="auto" w:sz="4" w:space="0"/>
            </w:tcBorders>
            <w:vAlign w:val="center"/>
          </w:tcPr>
          <w:p w:rsidRPr="00A855DB" w:rsidR="00272D1F" w:rsidP="00A855DB" w:rsidRDefault="00272D1F" w14:paraId="4EAB7E99" w14:textId="77777777">
            <w:pPr>
              <w:suppressAutoHyphens/>
              <w:jc w:val="center"/>
              <w:rPr>
                <w:b/>
                <w:color w:val="000000"/>
                <w:sz w:val="22"/>
                <w:szCs w:val="22"/>
              </w:rPr>
            </w:pPr>
            <w:r w:rsidRPr="00A855DB">
              <w:rPr>
                <w:b/>
                <w:color w:val="000000"/>
                <w:sz w:val="22"/>
                <w:szCs w:val="22"/>
              </w:rPr>
              <w:t>Number of Responses</w:t>
            </w:r>
          </w:p>
        </w:tc>
        <w:tc>
          <w:tcPr>
            <w:tcW w:w="1350" w:type="dxa"/>
            <w:tcBorders>
              <w:top w:val="single" w:color="auto" w:sz="4" w:space="0"/>
              <w:left w:val="single" w:color="auto" w:sz="4" w:space="0"/>
              <w:bottom w:val="single" w:color="auto" w:sz="4" w:space="0"/>
              <w:right w:val="single" w:color="auto" w:sz="4" w:space="0"/>
            </w:tcBorders>
            <w:vAlign w:val="center"/>
          </w:tcPr>
          <w:p w:rsidR="00A855DB" w:rsidP="00A855DB" w:rsidRDefault="00272D1F" w14:paraId="242480AF" w14:textId="77777777">
            <w:pPr>
              <w:suppressAutoHyphens/>
              <w:jc w:val="center"/>
              <w:rPr>
                <w:b/>
                <w:color w:val="000000"/>
                <w:sz w:val="22"/>
                <w:szCs w:val="22"/>
              </w:rPr>
            </w:pPr>
            <w:r w:rsidRPr="00A855DB">
              <w:rPr>
                <w:b/>
                <w:color w:val="000000"/>
                <w:sz w:val="22"/>
                <w:szCs w:val="22"/>
              </w:rPr>
              <w:t xml:space="preserve">Average Burden per Response </w:t>
            </w:r>
          </w:p>
          <w:p w:rsidRPr="00A855DB" w:rsidR="00272D1F" w:rsidP="00A855DB" w:rsidRDefault="0052686C" w14:paraId="27698FE5" w14:textId="77777777">
            <w:pPr>
              <w:suppressAutoHyphens/>
              <w:jc w:val="center"/>
              <w:rPr>
                <w:b/>
                <w:color w:val="000000"/>
                <w:sz w:val="22"/>
                <w:szCs w:val="22"/>
              </w:rPr>
            </w:pPr>
            <w:r>
              <w:rPr>
                <w:b/>
                <w:color w:val="000000"/>
                <w:sz w:val="22"/>
                <w:szCs w:val="22"/>
              </w:rPr>
              <w:t>(</w:t>
            </w:r>
            <w:r w:rsidRPr="00A855DB" w:rsidR="00272D1F">
              <w:rPr>
                <w:b/>
                <w:color w:val="000000"/>
                <w:sz w:val="22"/>
                <w:szCs w:val="22"/>
              </w:rPr>
              <w:t>hours)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A855DB" w:rsidR="00272D1F" w:rsidP="00A855DB" w:rsidRDefault="00272D1F" w14:paraId="17C20143" w14:textId="77777777">
            <w:pPr>
              <w:suppressAutoHyphens/>
              <w:jc w:val="center"/>
              <w:rPr>
                <w:b/>
                <w:color w:val="000000"/>
                <w:sz w:val="22"/>
                <w:szCs w:val="22"/>
              </w:rPr>
            </w:pPr>
            <w:r w:rsidRPr="00A855DB">
              <w:rPr>
                <w:b/>
                <w:color w:val="000000"/>
                <w:sz w:val="22"/>
                <w:szCs w:val="22"/>
              </w:rPr>
              <w:t>Total Time Burden</w:t>
            </w:r>
          </w:p>
          <w:p w:rsidRPr="00A855DB" w:rsidR="00272D1F" w:rsidP="00A855DB" w:rsidRDefault="00272D1F" w14:paraId="08B71C3E" w14:textId="77777777">
            <w:pPr>
              <w:suppressAutoHyphens/>
              <w:jc w:val="center"/>
              <w:rPr>
                <w:b/>
                <w:color w:val="000000"/>
                <w:sz w:val="22"/>
                <w:szCs w:val="22"/>
              </w:rPr>
            </w:pPr>
            <w:r w:rsidRPr="00A855DB">
              <w:rPr>
                <w:b/>
                <w:color w:val="000000"/>
                <w:sz w:val="22"/>
                <w:szCs w:val="22"/>
              </w:rPr>
              <w:t>(hours)</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00A855DB" w:rsidP="00A855DB" w:rsidRDefault="00272D1F" w14:paraId="73C33323" w14:textId="77777777">
            <w:pPr>
              <w:suppressAutoHyphens/>
              <w:jc w:val="center"/>
              <w:rPr>
                <w:b/>
                <w:color w:val="000000"/>
                <w:sz w:val="22"/>
                <w:szCs w:val="22"/>
              </w:rPr>
            </w:pPr>
            <w:r w:rsidRPr="00A855DB">
              <w:rPr>
                <w:b/>
                <w:color w:val="000000"/>
                <w:sz w:val="22"/>
                <w:szCs w:val="22"/>
              </w:rPr>
              <w:t>Loaded Hourly</w:t>
            </w:r>
          </w:p>
          <w:p w:rsidRPr="00A855DB" w:rsidR="00272D1F" w:rsidP="00A855DB" w:rsidRDefault="00A855DB" w14:paraId="228DC3E5" w14:textId="77777777">
            <w:pPr>
              <w:suppressAutoHyphens/>
              <w:jc w:val="center"/>
              <w:rPr>
                <w:b/>
                <w:color w:val="000000"/>
                <w:sz w:val="22"/>
                <w:szCs w:val="22"/>
              </w:rPr>
            </w:pPr>
            <w:r>
              <w:rPr>
                <w:b/>
                <w:color w:val="000000"/>
                <w:sz w:val="22"/>
                <w:szCs w:val="22"/>
              </w:rPr>
              <w:t>Compensation</w:t>
            </w:r>
            <w:r w:rsidRPr="00A855DB" w:rsidR="00272D1F">
              <w:rPr>
                <w:b/>
                <w:color w:val="000000"/>
                <w:sz w:val="22"/>
                <w:szCs w:val="22"/>
              </w:rPr>
              <w:t xml:space="preserve"> Wage </w:t>
            </w:r>
          </w:p>
        </w:tc>
        <w:tc>
          <w:tcPr>
            <w:tcW w:w="1263" w:type="dxa"/>
            <w:tcBorders>
              <w:top w:val="single" w:color="auto" w:sz="4" w:space="0"/>
              <w:left w:val="nil"/>
              <w:bottom w:val="single" w:color="auto" w:sz="4" w:space="0"/>
              <w:right w:val="single" w:color="auto" w:sz="4" w:space="0"/>
            </w:tcBorders>
            <w:shd w:val="clear" w:color="auto" w:fill="auto"/>
            <w:vAlign w:val="center"/>
            <w:hideMark/>
          </w:tcPr>
          <w:p w:rsidRPr="00A855DB" w:rsidR="00272D1F" w:rsidP="00A855DB" w:rsidRDefault="00272D1F" w14:paraId="33A0FD89" w14:textId="77777777">
            <w:pPr>
              <w:suppressAutoHyphens/>
              <w:jc w:val="center"/>
              <w:rPr>
                <w:b/>
                <w:color w:val="000000"/>
                <w:sz w:val="22"/>
                <w:szCs w:val="22"/>
              </w:rPr>
            </w:pPr>
            <w:r w:rsidRPr="00A855DB">
              <w:rPr>
                <w:b/>
                <w:color w:val="000000"/>
                <w:sz w:val="22"/>
                <w:szCs w:val="22"/>
              </w:rPr>
              <w:t>Annual Burden</w:t>
            </w:r>
          </w:p>
        </w:tc>
      </w:tr>
      <w:tr w:rsidR="00A855DB" w:rsidTr="0052686C" w14:paraId="3705EF96" w14:textId="77777777">
        <w:trPr>
          <w:trHeight w:val="315"/>
        </w:trPr>
        <w:tc>
          <w:tcPr>
            <w:tcW w:w="2538" w:type="dxa"/>
            <w:vMerge/>
            <w:tcBorders>
              <w:left w:val="single" w:color="auto" w:sz="4" w:space="0"/>
              <w:bottom w:val="single" w:color="auto" w:sz="4" w:space="0"/>
              <w:right w:val="single" w:color="auto" w:sz="4" w:space="0"/>
            </w:tcBorders>
            <w:shd w:val="clear" w:color="auto" w:fill="auto"/>
            <w:noWrap/>
            <w:vAlign w:val="center"/>
            <w:hideMark/>
          </w:tcPr>
          <w:p w:rsidRPr="00455114" w:rsidR="00272D1F" w:rsidP="00455114" w:rsidRDefault="00272D1F" w14:paraId="11363BB8" w14:textId="77777777">
            <w:pPr>
              <w:suppressAutoHyphens/>
              <w:jc w:val="center"/>
              <w:rPr>
                <w:b/>
                <w:color w:val="000000"/>
                <w:sz w:val="22"/>
                <w:szCs w:val="22"/>
              </w:rPr>
            </w:pPr>
          </w:p>
        </w:tc>
        <w:tc>
          <w:tcPr>
            <w:tcW w:w="1260" w:type="dxa"/>
            <w:tcBorders>
              <w:top w:val="single" w:color="auto" w:sz="4" w:space="0"/>
              <w:left w:val="nil"/>
              <w:bottom w:val="single" w:color="auto" w:sz="4" w:space="0"/>
              <w:right w:val="single" w:color="auto" w:sz="4" w:space="0"/>
            </w:tcBorders>
            <w:vAlign w:val="center"/>
          </w:tcPr>
          <w:p w:rsidRPr="00A855DB" w:rsidR="00272D1F" w:rsidP="00A855DB" w:rsidRDefault="00272D1F" w14:paraId="689DB997" w14:textId="77777777">
            <w:pPr>
              <w:jc w:val="center"/>
              <w:rPr>
                <w:b/>
                <w:color w:val="000000"/>
                <w:sz w:val="22"/>
                <w:szCs w:val="22"/>
              </w:rPr>
            </w:pPr>
            <w:r w:rsidRPr="00143826">
              <w:rPr>
                <w:b/>
                <w:color w:val="000000"/>
                <w:sz w:val="22"/>
                <w:szCs w:val="22"/>
              </w:rPr>
              <w:t>A</w:t>
            </w:r>
          </w:p>
        </w:tc>
        <w:tc>
          <w:tcPr>
            <w:tcW w:w="1350" w:type="dxa"/>
            <w:tcBorders>
              <w:top w:val="single" w:color="auto" w:sz="4" w:space="0"/>
              <w:left w:val="single" w:color="auto" w:sz="4" w:space="0"/>
              <w:bottom w:val="single" w:color="auto" w:sz="4" w:space="0"/>
              <w:right w:val="single" w:color="auto" w:sz="4" w:space="0"/>
            </w:tcBorders>
            <w:vAlign w:val="center"/>
          </w:tcPr>
          <w:p w:rsidRPr="00A855DB" w:rsidR="00272D1F" w:rsidP="00A855DB" w:rsidRDefault="00272D1F" w14:paraId="05E5B518" w14:textId="77777777">
            <w:pPr>
              <w:jc w:val="center"/>
              <w:rPr>
                <w:b/>
                <w:color w:val="000000"/>
                <w:sz w:val="22"/>
                <w:szCs w:val="22"/>
              </w:rPr>
            </w:pPr>
            <w:r w:rsidRPr="00143826">
              <w:rPr>
                <w:b/>
                <w:color w:val="000000"/>
                <w:sz w:val="22"/>
                <w:szCs w:val="22"/>
              </w:rPr>
              <w:t>B</w:t>
            </w:r>
          </w:p>
        </w:tc>
        <w:tc>
          <w:tcPr>
            <w:tcW w:w="1170" w:type="dxa"/>
            <w:tcBorders>
              <w:top w:val="nil"/>
              <w:left w:val="nil"/>
              <w:bottom w:val="single" w:color="auto" w:sz="4" w:space="0"/>
              <w:right w:val="single" w:color="auto" w:sz="4" w:space="0"/>
            </w:tcBorders>
            <w:shd w:val="clear" w:color="auto" w:fill="auto"/>
            <w:vAlign w:val="center"/>
            <w:hideMark/>
          </w:tcPr>
          <w:p w:rsidRPr="00A855DB" w:rsidR="00272D1F" w:rsidP="00A855DB" w:rsidRDefault="00272D1F" w14:paraId="58610806" w14:textId="77777777">
            <w:pPr>
              <w:jc w:val="center"/>
              <w:rPr>
                <w:b/>
                <w:color w:val="000000"/>
                <w:sz w:val="22"/>
                <w:szCs w:val="22"/>
              </w:rPr>
            </w:pPr>
            <w:r>
              <w:rPr>
                <w:b/>
                <w:color w:val="000000"/>
                <w:sz w:val="22"/>
                <w:szCs w:val="22"/>
              </w:rPr>
              <w:t>C</w:t>
            </w:r>
            <w:r w:rsidRPr="00143826">
              <w:rPr>
                <w:b/>
                <w:color w:val="000000"/>
                <w:sz w:val="22"/>
                <w:szCs w:val="22"/>
              </w:rPr>
              <w:t xml:space="preserve"> = A×</w:t>
            </w:r>
            <w:r>
              <w:rPr>
                <w:b/>
                <w:color w:val="000000"/>
                <w:sz w:val="22"/>
                <w:szCs w:val="22"/>
              </w:rPr>
              <w:t xml:space="preserve"> B</w:t>
            </w:r>
          </w:p>
        </w:tc>
        <w:tc>
          <w:tcPr>
            <w:tcW w:w="1620" w:type="dxa"/>
            <w:tcBorders>
              <w:top w:val="nil"/>
              <w:left w:val="nil"/>
              <w:bottom w:val="single" w:color="auto" w:sz="4" w:space="0"/>
              <w:right w:val="single" w:color="auto" w:sz="4" w:space="0"/>
            </w:tcBorders>
            <w:shd w:val="clear" w:color="auto" w:fill="auto"/>
            <w:vAlign w:val="center"/>
            <w:hideMark/>
          </w:tcPr>
          <w:p w:rsidRPr="00A855DB" w:rsidR="00272D1F" w:rsidP="00A855DB" w:rsidRDefault="00272D1F" w14:paraId="1D7DB1C3" w14:textId="77777777">
            <w:pPr>
              <w:jc w:val="center"/>
              <w:rPr>
                <w:b/>
                <w:color w:val="000000"/>
                <w:sz w:val="22"/>
                <w:szCs w:val="22"/>
              </w:rPr>
            </w:pPr>
            <w:r>
              <w:rPr>
                <w:b/>
                <w:color w:val="000000"/>
                <w:sz w:val="22"/>
                <w:szCs w:val="22"/>
              </w:rPr>
              <w:t>D</w:t>
            </w:r>
          </w:p>
        </w:tc>
        <w:tc>
          <w:tcPr>
            <w:tcW w:w="1263" w:type="dxa"/>
            <w:tcBorders>
              <w:top w:val="nil"/>
              <w:left w:val="nil"/>
              <w:bottom w:val="single" w:color="auto" w:sz="4" w:space="0"/>
              <w:right w:val="single" w:color="auto" w:sz="4" w:space="0"/>
            </w:tcBorders>
            <w:shd w:val="clear" w:color="auto" w:fill="auto"/>
            <w:vAlign w:val="center"/>
            <w:hideMark/>
          </w:tcPr>
          <w:p w:rsidRPr="00A855DB" w:rsidR="00272D1F" w:rsidP="00A855DB" w:rsidRDefault="00272D1F" w14:paraId="7A1948AC" w14:textId="77777777">
            <w:pPr>
              <w:jc w:val="center"/>
              <w:rPr>
                <w:b/>
                <w:color w:val="000000"/>
                <w:sz w:val="22"/>
                <w:szCs w:val="22"/>
              </w:rPr>
            </w:pPr>
            <w:r>
              <w:rPr>
                <w:b/>
                <w:color w:val="000000"/>
                <w:sz w:val="22"/>
                <w:szCs w:val="22"/>
              </w:rPr>
              <w:t>E = C</w:t>
            </w:r>
            <w:r w:rsidRPr="00143826">
              <w:rPr>
                <w:b/>
                <w:color w:val="000000"/>
                <w:sz w:val="22"/>
                <w:szCs w:val="22"/>
              </w:rPr>
              <w:t xml:space="preserve"> × </w:t>
            </w:r>
            <w:r>
              <w:rPr>
                <w:b/>
                <w:color w:val="000000"/>
                <w:sz w:val="22"/>
                <w:szCs w:val="22"/>
              </w:rPr>
              <w:t>D</w:t>
            </w:r>
          </w:p>
        </w:tc>
      </w:tr>
      <w:tr w:rsidR="009345BC" w:rsidTr="002965AE" w14:paraId="472A7BAF" w14:textId="77777777">
        <w:trPr>
          <w:trHeight w:val="315"/>
        </w:trPr>
        <w:tc>
          <w:tcPr>
            <w:tcW w:w="2538" w:type="dxa"/>
            <w:tcBorders>
              <w:top w:val="nil"/>
              <w:left w:val="single" w:color="auto" w:sz="4" w:space="0"/>
              <w:bottom w:val="single" w:color="auto" w:sz="4" w:space="0"/>
              <w:right w:val="single" w:color="auto" w:sz="4" w:space="0"/>
            </w:tcBorders>
            <w:shd w:val="clear" w:color="auto" w:fill="auto"/>
            <w:vAlign w:val="center"/>
            <w:hideMark/>
          </w:tcPr>
          <w:p w:rsidRPr="00A855DB" w:rsidR="009345BC" w:rsidP="009345BC" w:rsidRDefault="009345BC" w14:paraId="79C52621" w14:textId="77777777">
            <w:pPr>
              <w:suppressAutoHyphens/>
              <w:rPr>
                <w:color w:val="000000"/>
                <w:sz w:val="22"/>
                <w:szCs w:val="22"/>
              </w:rPr>
            </w:pPr>
            <w:r w:rsidRPr="00A855DB">
              <w:rPr>
                <w:color w:val="000000"/>
                <w:sz w:val="22"/>
                <w:szCs w:val="22"/>
              </w:rPr>
              <w:t>Incident Reporting Form</w:t>
            </w:r>
          </w:p>
        </w:tc>
        <w:tc>
          <w:tcPr>
            <w:tcW w:w="1260" w:type="dxa"/>
            <w:tcBorders>
              <w:top w:val="single" w:color="auto" w:sz="4" w:space="0"/>
              <w:left w:val="nil"/>
              <w:bottom w:val="single" w:color="auto" w:sz="4" w:space="0"/>
              <w:right w:val="single" w:color="auto" w:sz="4" w:space="0"/>
            </w:tcBorders>
            <w:vAlign w:val="center"/>
          </w:tcPr>
          <w:p w:rsidRPr="00A855DB" w:rsidR="009345BC" w:rsidP="009345BC" w:rsidRDefault="009345BC" w14:paraId="1B54BB9F" w14:textId="77777777">
            <w:pPr>
              <w:jc w:val="right"/>
              <w:rPr>
                <w:color w:val="000000"/>
                <w:sz w:val="22"/>
                <w:szCs w:val="22"/>
              </w:rPr>
            </w:pPr>
            <w:r>
              <w:rPr>
                <w:color w:val="000000"/>
                <w:sz w:val="22"/>
                <w:szCs w:val="22"/>
              </w:rPr>
              <w:t>26,000</w:t>
            </w:r>
          </w:p>
        </w:tc>
        <w:tc>
          <w:tcPr>
            <w:tcW w:w="1350" w:type="dxa"/>
            <w:tcBorders>
              <w:top w:val="single" w:color="auto" w:sz="4" w:space="0"/>
              <w:left w:val="single" w:color="auto" w:sz="4" w:space="0"/>
              <w:bottom w:val="single" w:color="auto" w:sz="4" w:space="0"/>
              <w:right w:val="single" w:color="auto" w:sz="4" w:space="0"/>
            </w:tcBorders>
            <w:vAlign w:val="center"/>
          </w:tcPr>
          <w:p w:rsidRPr="00A855DB" w:rsidR="009345BC" w:rsidP="009345BC" w:rsidRDefault="009345BC" w14:paraId="1CAE9184" w14:textId="77777777">
            <w:pPr>
              <w:jc w:val="right"/>
              <w:rPr>
                <w:color w:val="000000"/>
                <w:sz w:val="22"/>
                <w:szCs w:val="22"/>
              </w:rPr>
            </w:pPr>
            <w:r>
              <w:rPr>
                <w:color w:val="000000"/>
                <w:sz w:val="22"/>
                <w:szCs w:val="22"/>
              </w:rPr>
              <w:t>1</w:t>
            </w:r>
          </w:p>
        </w:tc>
        <w:tc>
          <w:tcPr>
            <w:tcW w:w="1170" w:type="dxa"/>
            <w:tcBorders>
              <w:top w:val="nil"/>
              <w:left w:val="nil"/>
              <w:bottom w:val="single" w:color="auto" w:sz="4" w:space="0"/>
              <w:right w:val="single" w:color="auto" w:sz="4" w:space="0"/>
            </w:tcBorders>
            <w:shd w:val="clear" w:color="auto" w:fill="auto"/>
            <w:noWrap/>
            <w:vAlign w:val="center"/>
            <w:hideMark/>
          </w:tcPr>
          <w:p w:rsidRPr="00A855DB" w:rsidR="009345BC" w:rsidP="009345BC" w:rsidRDefault="009345BC" w14:paraId="701124C1" w14:textId="77777777">
            <w:pPr>
              <w:jc w:val="right"/>
              <w:rPr>
                <w:color w:val="000000"/>
                <w:sz w:val="22"/>
                <w:szCs w:val="22"/>
              </w:rPr>
            </w:pPr>
            <w:r>
              <w:rPr>
                <w:color w:val="000000"/>
                <w:sz w:val="22"/>
                <w:szCs w:val="22"/>
              </w:rPr>
              <w:t>26,000</w:t>
            </w:r>
          </w:p>
        </w:tc>
        <w:tc>
          <w:tcPr>
            <w:tcW w:w="1620" w:type="dxa"/>
            <w:vMerge w:val="restart"/>
            <w:tcBorders>
              <w:top w:val="nil"/>
              <w:left w:val="nil"/>
              <w:right w:val="single" w:color="auto" w:sz="4" w:space="0"/>
            </w:tcBorders>
            <w:shd w:val="clear" w:color="auto" w:fill="auto"/>
            <w:noWrap/>
            <w:vAlign w:val="center"/>
            <w:hideMark/>
          </w:tcPr>
          <w:p w:rsidRPr="00A855DB" w:rsidR="009345BC" w:rsidP="009345BC" w:rsidRDefault="009345BC" w14:paraId="5CBBFBF8" w14:textId="247107FF">
            <w:pPr>
              <w:jc w:val="center"/>
              <w:rPr>
                <w:color w:val="000000"/>
                <w:sz w:val="22"/>
                <w:szCs w:val="22"/>
              </w:rPr>
            </w:pPr>
            <w:r>
              <w:rPr>
                <w:color w:val="000000"/>
                <w:sz w:val="22"/>
                <w:szCs w:val="22"/>
              </w:rPr>
              <w:t>$72.24</w:t>
            </w:r>
          </w:p>
        </w:tc>
        <w:tc>
          <w:tcPr>
            <w:tcW w:w="1263" w:type="dxa"/>
            <w:tcBorders>
              <w:top w:val="nil"/>
              <w:left w:val="nil"/>
              <w:bottom w:val="single" w:color="auto" w:sz="4" w:space="0"/>
              <w:right w:val="single" w:color="auto" w:sz="4" w:space="0"/>
            </w:tcBorders>
            <w:shd w:val="clear" w:color="auto" w:fill="auto"/>
            <w:noWrap/>
            <w:vAlign w:val="bottom"/>
          </w:tcPr>
          <w:p w:rsidRPr="00A855DB" w:rsidR="009345BC" w:rsidP="009345BC" w:rsidRDefault="009345BC" w14:paraId="32BE3CAD" w14:textId="5820B290">
            <w:pPr>
              <w:jc w:val="right"/>
              <w:rPr>
                <w:color w:val="000000"/>
                <w:sz w:val="22"/>
                <w:szCs w:val="22"/>
              </w:rPr>
            </w:pPr>
            <w:r>
              <w:rPr>
                <w:color w:val="000000"/>
                <w:sz w:val="22"/>
                <w:szCs w:val="22"/>
              </w:rPr>
              <w:t>$1,878,295</w:t>
            </w:r>
          </w:p>
        </w:tc>
      </w:tr>
      <w:tr w:rsidR="009345BC" w:rsidTr="002965AE" w14:paraId="57E62673" w14:textId="77777777">
        <w:trPr>
          <w:trHeight w:val="945"/>
        </w:trPr>
        <w:tc>
          <w:tcPr>
            <w:tcW w:w="2538" w:type="dxa"/>
            <w:tcBorders>
              <w:top w:val="nil"/>
              <w:left w:val="single" w:color="auto" w:sz="4" w:space="0"/>
              <w:bottom w:val="single" w:color="auto" w:sz="4" w:space="0"/>
              <w:right w:val="single" w:color="auto" w:sz="4" w:space="0"/>
            </w:tcBorders>
            <w:shd w:val="clear" w:color="auto" w:fill="auto"/>
            <w:vAlign w:val="center"/>
            <w:hideMark/>
          </w:tcPr>
          <w:p w:rsidRPr="00A855DB" w:rsidR="009345BC" w:rsidP="009345BC" w:rsidRDefault="009345BC" w14:paraId="43D7C350" w14:textId="77777777">
            <w:pPr>
              <w:suppressAutoHyphens/>
              <w:rPr>
                <w:color w:val="000000"/>
                <w:sz w:val="22"/>
                <w:szCs w:val="22"/>
              </w:rPr>
            </w:pPr>
            <w:r w:rsidRPr="00A855DB">
              <w:rPr>
                <w:color w:val="000000"/>
                <w:sz w:val="22"/>
                <w:szCs w:val="22"/>
              </w:rPr>
              <w:t>DHS Cyber Threat Indicator and Defensive Measure Submission System</w:t>
            </w:r>
          </w:p>
        </w:tc>
        <w:tc>
          <w:tcPr>
            <w:tcW w:w="1260" w:type="dxa"/>
            <w:tcBorders>
              <w:top w:val="single" w:color="auto" w:sz="4" w:space="0"/>
              <w:left w:val="nil"/>
              <w:bottom w:val="single" w:color="auto" w:sz="4" w:space="0"/>
              <w:right w:val="single" w:color="auto" w:sz="4" w:space="0"/>
            </w:tcBorders>
            <w:vAlign w:val="center"/>
          </w:tcPr>
          <w:p w:rsidRPr="00A855DB" w:rsidR="009345BC" w:rsidP="009345BC" w:rsidRDefault="009345BC" w14:paraId="476CACA1" w14:textId="77777777">
            <w:pPr>
              <w:jc w:val="right"/>
              <w:rPr>
                <w:color w:val="000000"/>
                <w:sz w:val="22"/>
                <w:szCs w:val="22"/>
              </w:rPr>
            </w:pPr>
            <w:r>
              <w:rPr>
                <w:color w:val="000000"/>
                <w:sz w:val="22"/>
                <w:szCs w:val="22"/>
              </w:rPr>
              <w:t>22,000</w:t>
            </w:r>
          </w:p>
        </w:tc>
        <w:tc>
          <w:tcPr>
            <w:tcW w:w="1350" w:type="dxa"/>
            <w:tcBorders>
              <w:top w:val="single" w:color="auto" w:sz="4" w:space="0"/>
              <w:left w:val="single" w:color="auto" w:sz="4" w:space="0"/>
              <w:bottom w:val="single" w:color="auto" w:sz="4" w:space="0"/>
              <w:right w:val="single" w:color="auto" w:sz="4" w:space="0"/>
            </w:tcBorders>
            <w:vAlign w:val="center"/>
          </w:tcPr>
          <w:p w:rsidRPr="00A855DB" w:rsidR="009345BC" w:rsidP="009345BC" w:rsidRDefault="009345BC" w14:paraId="2F276ACA" w14:textId="77777777">
            <w:pPr>
              <w:jc w:val="right"/>
              <w:rPr>
                <w:color w:val="000000"/>
                <w:sz w:val="22"/>
                <w:szCs w:val="22"/>
              </w:rPr>
            </w:pPr>
            <w:r>
              <w:rPr>
                <w:color w:val="000000"/>
                <w:sz w:val="22"/>
                <w:szCs w:val="22"/>
              </w:rPr>
              <w:t>0.0019</w:t>
            </w:r>
          </w:p>
        </w:tc>
        <w:tc>
          <w:tcPr>
            <w:tcW w:w="1170" w:type="dxa"/>
            <w:tcBorders>
              <w:top w:val="nil"/>
              <w:left w:val="nil"/>
              <w:bottom w:val="single" w:color="auto" w:sz="4" w:space="0"/>
              <w:right w:val="single" w:color="auto" w:sz="4" w:space="0"/>
            </w:tcBorders>
            <w:shd w:val="clear" w:color="auto" w:fill="auto"/>
            <w:noWrap/>
            <w:vAlign w:val="center"/>
            <w:hideMark/>
          </w:tcPr>
          <w:p w:rsidRPr="00A855DB" w:rsidR="009345BC" w:rsidP="009345BC" w:rsidRDefault="009345BC" w14:paraId="16389A1B" w14:textId="77777777">
            <w:pPr>
              <w:jc w:val="right"/>
              <w:rPr>
                <w:color w:val="000000"/>
                <w:sz w:val="22"/>
                <w:szCs w:val="22"/>
              </w:rPr>
            </w:pPr>
            <w:r w:rsidRPr="00A855DB">
              <w:rPr>
                <w:color w:val="000000"/>
                <w:sz w:val="22"/>
                <w:szCs w:val="22"/>
              </w:rPr>
              <w:t>42</w:t>
            </w:r>
          </w:p>
        </w:tc>
        <w:tc>
          <w:tcPr>
            <w:tcW w:w="1620" w:type="dxa"/>
            <w:vMerge/>
            <w:tcBorders>
              <w:left w:val="nil"/>
              <w:right w:val="single" w:color="auto" w:sz="4" w:space="0"/>
            </w:tcBorders>
            <w:shd w:val="clear" w:color="auto" w:fill="auto"/>
            <w:noWrap/>
            <w:vAlign w:val="center"/>
            <w:hideMark/>
          </w:tcPr>
          <w:p w:rsidRPr="00A855DB" w:rsidR="009345BC" w:rsidP="009345BC" w:rsidRDefault="009345BC" w14:paraId="147CC5AB" w14:textId="77777777">
            <w:pPr>
              <w:jc w:val="right"/>
              <w:rPr>
                <w:color w:val="000000"/>
                <w:sz w:val="22"/>
                <w:szCs w:val="22"/>
              </w:rPr>
            </w:pPr>
          </w:p>
        </w:tc>
        <w:tc>
          <w:tcPr>
            <w:tcW w:w="1263" w:type="dxa"/>
            <w:tcBorders>
              <w:top w:val="nil"/>
              <w:left w:val="nil"/>
              <w:bottom w:val="single" w:color="auto" w:sz="4" w:space="0"/>
              <w:right w:val="single" w:color="auto" w:sz="4" w:space="0"/>
            </w:tcBorders>
            <w:shd w:val="clear" w:color="auto" w:fill="auto"/>
            <w:noWrap/>
            <w:vAlign w:val="bottom"/>
          </w:tcPr>
          <w:p w:rsidRPr="00A855DB" w:rsidR="009345BC" w:rsidP="009345BC" w:rsidRDefault="009345BC" w14:paraId="11B7EC05" w14:textId="35A265FB">
            <w:pPr>
              <w:jc w:val="right"/>
              <w:rPr>
                <w:color w:val="000000"/>
                <w:sz w:val="22"/>
                <w:szCs w:val="22"/>
              </w:rPr>
            </w:pPr>
            <w:r>
              <w:rPr>
                <w:color w:val="000000"/>
                <w:sz w:val="22"/>
                <w:szCs w:val="22"/>
              </w:rPr>
              <w:t>$3,034</w:t>
            </w:r>
          </w:p>
        </w:tc>
      </w:tr>
      <w:tr w:rsidR="009345BC" w:rsidTr="002965AE" w14:paraId="27B07EA2" w14:textId="77777777">
        <w:trPr>
          <w:trHeight w:val="630"/>
        </w:trPr>
        <w:tc>
          <w:tcPr>
            <w:tcW w:w="2538" w:type="dxa"/>
            <w:tcBorders>
              <w:top w:val="nil"/>
              <w:left w:val="single" w:color="auto" w:sz="4" w:space="0"/>
              <w:bottom w:val="single" w:color="auto" w:sz="4" w:space="0"/>
              <w:right w:val="single" w:color="auto" w:sz="4" w:space="0"/>
            </w:tcBorders>
            <w:shd w:val="clear" w:color="auto" w:fill="auto"/>
            <w:vAlign w:val="center"/>
            <w:hideMark/>
          </w:tcPr>
          <w:p w:rsidRPr="00A855DB" w:rsidR="009345BC" w:rsidP="009345BC" w:rsidRDefault="009345BC" w14:paraId="335DF12E" w14:textId="77777777">
            <w:pPr>
              <w:suppressAutoHyphens/>
              <w:rPr>
                <w:color w:val="000000"/>
                <w:sz w:val="22"/>
                <w:szCs w:val="22"/>
              </w:rPr>
            </w:pPr>
            <w:r w:rsidRPr="00A855DB">
              <w:rPr>
                <w:color w:val="000000"/>
                <w:sz w:val="22"/>
                <w:szCs w:val="22"/>
              </w:rPr>
              <w:t>Malware Analysis Submission Form</w:t>
            </w:r>
          </w:p>
        </w:tc>
        <w:tc>
          <w:tcPr>
            <w:tcW w:w="1260" w:type="dxa"/>
            <w:tcBorders>
              <w:top w:val="single" w:color="auto" w:sz="4" w:space="0"/>
              <w:left w:val="nil"/>
              <w:bottom w:val="single" w:color="auto" w:sz="4" w:space="0"/>
              <w:right w:val="single" w:color="auto" w:sz="4" w:space="0"/>
            </w:tcBorders>
            <w:vAlign w:val="center"/>
          </w:tcPr>
          <w:p w:rsidRPr="00A855DB" w:rsidR="009345BC" w:rsidP="009345BC" w:rsidRDefault="009345BC" w14:paraId="35FA3EAA" w14:textId="77777777">
            <w:pPr>
              <w:jc w:val="right"/>
              <w:rPr>
                <w:color w:val="000000"/>
                <w:sz w:val="22"/>
                <w:szCs w:val="22"/>
              </w:rPr>
            </w:pPr>
            <w:r>
              <w:rPr>
                <w:color w:val="000000"/>
                <w:sz w:val="22"/>
                <w:szCs w:val="22"/>
              </w:rPr>
              <w:t>2,725</w:t>
            </w:r>
          </w:p>
        </w:tc>
        <w:tc>
          <w:tcPr>
            <w:tcW w:w="1350" w:type="dxa"/>
            <w:tcBorders>
              <w:top w:val="single" w:color="auto" w:sz="4" w:space="0"/>
              <w:left w:val="single" w:color="auto" w:sz="4" w:space="0"/>
              <w:bottom w:val="single" w:color="auto" w:sz="4" w:space="0"/>
              <w:right w:val="single" w:color="auto" w:sz="4" w:space="0"/>
            </w:tcBorders>
            <w:vAlign w:val="center"/>
          </w:tcPr>
          <w:p w:rsidRPr="00A855DB" w:rsidR="009345BC" w:rsidP="009345BC" w:rsidRDefault="009345BC" w14:paraId="5C42C823" w14:textId="77777777">
            <w:pPr>
              <w:jc w:val="right"/>
              <w:rPr>
                <w:color w:val="000000"/>
                <w:sz w:val="22"/>
                <w:szCs w:val="22"/>
              </w:rPr>
            </w:pPr>
            <w:r>
              <w:rPr>
                <w:color w:val="000000"/>
                <w:sz w:val="22"/>
                <w:szCs w:val="22"/>
              </w:rPr>
              <w:t>0</w:t>
            </w:r>
          </w:p>
        </w:tc>
        <w:tc>
          <w:tcPr>
            <w:tcW w:w="1170" w:type="dxa"/>
            <w:tcBorders>
              <w:top w:val="nil"/>
              <w:left w:val="nil"/>
              <w:bottom w:val="single" w:color="auto" w:sz="4" w:space="0"/>
              <w:right w:val="single" w:color="auto" w:sz="4" w:space="0"/>
            </w:tcBorders>
            <w:shd w:val="clear" w:color="auto" w:fill="auto"/>
            <w:noWrap/>
            <w:vAlign w:val="center"/>
            <w:hideMark/>
          </w:tcPr>
          <w:p w:rsidRPr="00A855DB" w:rsidR="009345BC" w:rsidP="009345BC" w:rsidRDefault="009345BC" w14:paraId="0904D264" w14:textId="77777777">
            <w:pPr>
              <w:jc w:val="right"/>
              <w:rPr>
                <w:color w:val="000000"/>
                <w:sz w:val="22"/>
                <w:szCs w:val="22"/>
              </w:rPr>
            </w:pPr>
            <w:r w:rsidRPr="00A855DB">
              <w:rPr>
                <w:color w:val="000000"/>
                <w:sz w:val="22"/>
                <w:szCs w:val="22"/>
              </w:rPr>
              <w:t>0</w:t>
            </w:r>
          </w:p>
        </w:tc>
        <w:tc>
          <w:tcPr>
            <w:tcW w:w="1620" w:type="dxa"/>
            <w:vMerge/>
            <w:tcBorders>
              <w:left w:val="nil"/>
              <w:right w:val="single" w:color="auto" w:sz="4" w:space="0"/>
            </w:tcBorders>
            <w:shd w:val="clear" w:color="auto" w:fill="auto"/>
            <w:noWrap/>
            <w:vAlign w:val="center"/>
            <w:hideMark/>
          </w:tcPr>
          <w:p w:rsidRPr="00A855DB" w:rsidR="009345BC" w:rsidP="009345BC" w:rsidRDefault="009345BC" w14:paraId="1907FA7B" w14:textId="77777777">
            <w:pPr>
              <w:jc w:val="right"/>
              <w:rPr>
                <w:color w:val="000000"/>
                <w:sz w:val="22"/>
                <w:szCs w:val="22"/>
              </w:rPr>
            </w:pPr>
          </w:p>
        </w:tc>
        <w:tc>
          <w:tcPr>
            <w:tcW w:w="1263" w:type="dxa"/>
            <w:tcBorders>
              <w:top w:val="nil"/>
              <w:left w:val="nil"/>
              <w:bottom w:val="single" w:color="auto" w:sz="4" w:space="0"/>
              <w:right w:val="single" w:color="auto" w:sz="4" w:space="0"/>
            </w:tcBorders>
            <w:shd w:val="clear" w:color="auto" w:fill="auto"/>
            <w:noWrap/>
            <w:vAlign w:val="bottom"/>
          </w:tcPr>
          <w:p w:rsidRPr="00A855DB" w:rsidR="009345BC" w:rsidP="009345BC" w:rsidRDefault="009345BC" w14:paraId="62210458" w14:textId="322F1225">
            <w:pPr>
              <w:jc w:val="right"/>
              <w:rPr>
                <w:color w:val="000000"/>
                <w:sz w:val="22"/>
                <w:szCs w:val="22"/>
              </w:rPr>
            </w:pPr>
            <w:r>
              <w:rPr>
                <w:color w:val="000000"/>
                <w:sz w:val="22"/>
                <w:szCs w:val="22"/>
              </w:rPr>
              <w:t>$0</w:t>
            </w:r>
          </w:p>
        </w:tc>
      </w:tr>
      <w:tr w:rsidR="009345BC" w:rsidTr="002965AE" w14:paraId="5DB61EBE" w14:textId="77777777">
        <w:trPr>
          <w:trHeight w:val="315"/>
        </w:trPr>
        <w:tc>
          <w:tcPr>
            <w:tcW w:w="2538" w:type="dxa"/>
            <w:tcBorders>
              <w:top w:val="nil"/>
              <w:left w:val="single" w:color="auto" w:sz="4" w:space="0"/>
              <w:bottom w:val="single" w:color="auto" w:sz="4" w:space="0"/>
              <w:right w:val="single" w:color="auto" w:sz="4" w:space="0"/>
            </w:tcBorders>
            <w:shd w:val="clear" w:color="auto" w:fill="auto"/>
            <w:vAlign w:val="center"/>
            <w:hideMark/>
          </w:tcPr>
          <w:p w:rsidRPr="00A855DB" w:rsidR="009345BC" w:rsidP="009345BC" w:rsidRDefault="009345BC" w14:paraId="38F6DE73" w14:textId="77777777">
            <w:pPr>
              <w:suppressAutoHyphens/>
              <w:rPr>
                <w:color w:val="000000"/>
                <w:sz w:val="22"/>
                <w:szCs w:val="22"/>
              </w:rPr>
            </w:pPr>
            <w:r w:rsidRPr="00A855DB">
              <w:rPr>
                <w:color w:val="000000"/>
                <w:sz w:val="22"/>
                <w:szCs w:val="22"/>
              </w:rPr>
              <w:t>Mail Lists Form</w:t>
            </w:r>
          </w:p>
        </w:tc>
        <w:tc>
          <w:tcPr>
            <w:tcW w:w="1260" w:type="dxa"/>
            <w:tcBorders>
              <w:top w:val="single" w:color="auto" w:sz="4" w:space="0"/>
              <w:left w:val="nil"/>
              <w:bottom w:val="single" w:color="auto" w:sz="4" w:space="0"/>
              <w:right w:val="single" w:color="auto" w:sz="4" w:space="0"/>
            </w:tcBorders>
            <w:vAlign w:val="center"/>
          </w:tcPr>
          <w:p w:rsidRPr="00A855DB" w:rsidR="009345BC" w:rsidP="009345BC" w:rsidRDefault="009345BC" w14:paraId="71C0B432" w14:textId="77777777">
            <w:pPr>
              <w:jc w:val="right"/>
              <w:rPr>
                <w:color w:val="000000"/>
                <w:sz w:val="22"/>
                <w:szCs w:val="22"/>
              </w:rPr>
            </w:pPr>
            <w:r>
              <w:rPr>
                <w:color w:val="000000"/>
                <w:sz w:val="22"/>
                <w:szCs w:val="22"/>
              </w:rPr>
              <w:t>75,000</w:t>
            </w:r>
          </w:p>
        </w:tc>
        <w:tc>
          <w:tcPr>
            <w:tcW w:w="1350" w:type="dxa"/>
            <w:tcBorders>
              <w:top w:val="single" w:color="auto" w:sz="4" w:space="0"/>
              <w:left w:val="single" w:color="auto" w:sz="4" w:space="0"/>
              <w:bottom w:val="single" w:color="auto" w:sz="4" w:space="0"/>
              <w:right w:val="single" w:color="auto" w:sz="4" w:space="0"/>
            </w:tcBorders>
            <w:vAlign w:val="center"/>
          </w:tcPr>
          <w:p w:rsidRPr="00A855DB" w:rsidR="009345BC" w:rsidP="009345BC" w:rsidRDefault="009345BC" w14:paraId="08CDDAE1" w14:textId="77777777">
            <w:pPr>
              <w:jc w:val="right"/>
              <w:rPr>
                <w:color w:val="000000"/>
                <w:sz w:val="22"/>
                <w:szCs w:val="22"/>
              </w:rPr>
            </w:pPr>
            <w:r>
              <w:rPr>
                <w:color w:val="000000"/>
                <w:sz w:val="22"/>
                <w:szCs w:val="22"/>
              </w:rPr>
              <w:t>0.0003</w:t>
            </w:r>
          </w:p>
        </w:tc>
        <w:tc>
          <w:tcPr>
            <w:tcW w:w="1170" w:type="dxa"/>
            <w:tcBorders>
              <w:top w:val="nil"/>
              <w:left w:val="nil"/>
              <w:bottom w:val="single" w:color="auto" w:sz="4" w:space="0"/>
              <w:right w:val="single" w:color="auto" w:sz="4" w:space="0"/>
            </w:tcBorders>
            <w:shd w:val="clear" w:color="auto" w:fill="auto"/>
            <w:noWrap/>
            <w:vAlign w:val="center"/>
            <w:hideMark/>
          </w:tcPr>
          <w:p w:rsidRPr="00A855DB" w:rsidR="009345BC" w:rsidP="009345BC" w:rsidRDefault="009345BC" w14:paraId="5C528ED4" w14:textId="77777777">
            <w:pPr>
              <w:jc w:val="right"/>
              <w:rPr>
                <w:color w:val="000000"/>
                <w:sz w:val="22"/>
                <w:szCs w:val="22"/>
              </w:rPr>
            </w:pPr>
            <w:r w:rsidRPr="00A855DB">
              <w:rPr>
                <w:color w:val="000000"/>
                <w:sz w:val="22"/>
                <w:szCs w:val="22"/>
              </w:rPr>
              <w:t>26</w:t>
            </w:r>
          </w:p>
        </w:tc>
        <w:tc>
          <w:tcPr>
            <w:tcW w:w="1620" w:type="dxa"/>
            <w:vMerge/>
            <w:tcBorders>
              <w:left w:val="nil"/>
              <w:right w:val="single" w:color="auto" w:sz="4" w:space="0"/>
            </w:tcBorders>
            <w:shd w:val="clear" w:color="auto" w:fill="auto"/>
            <w:noWrap/>
            <w:vAlign w:val="center"/>
            <w:hideMark/>
          </w:tcPr>
          <w:p w:rsidRPr="00A855DB" w:rsidR="009345BC" w:rsidP="009345BC" w:rsidRDefault="009345BC" w14:paraId="663E317B" w14:textId="77777777">
            <w:pPr>
              <w:jc w:val="right"/>
              <w:rPr>
                <w:color w:val="000000"/>
                <w:sz w:val="22"/>
                <w:szCs w:val="22"/>
              </w:rPr>
            </w:pPr>
          </w:p>
        </w:tc>
        <w:tc>
          <w:tcPr>
            <w:tcW w:w="1263" w:type="dxa"/>
            <w:tcBorders>
              <w:top w:val="nil"/>
              <w:left w:val="nil"/>
              <w:bottom w:val="single" w:color="auto" w:sz="4" w:space="0"/>
              <w:right w:val="single" w:color="auto" w:sz="4" w:space="0"/>
            </w:tcBorders>
            <w:shd w:val="clear" w:color="auto" w:fill="auto"/>
            <w:noWrap/>
            <w:vAlign w:val="bottom"/>
          </w:tcPr>
          <w:p w:rsidRPr="00A855DB" w:rsidR="009345BC" w:rsidP="009345BC" w:rsidRDefault="009345BC" w14:paraId="7AFD2D0C" w14:textId="3F909F83">
            <w:pPr>
              <w:jc w:val="right"/>
              <w:rPr>
                <w:color w:val="000000"/>
                <w:sz w:val="22"/>
                <w:szCs w:val="22"/>
              </w:rPr>
            </w:pPr>
            <w:r>
              <w:rPr>
                <w:color w:val="000000"/>
                <w:sz w:val="22"/>
                <w:szCs w:val="22"/>
              </w:rPr>
              <w:t>$1,878</w:t>
            </w:r>
          </w:p>
        </w:tc>
      </w:tr>
      <w:tr w:rsidR="009345BC" w:rsidTr="00915135" w14:paraId="6A9F7653" w14:textId="77777777">
        <w:trPr>
          <w:trHeight w:val="350"/>
        </w:trPr>
        <w:tc>
          <w:tcPr>
            <w:tcW w:w="2538" w:type="dxa"/>
            <w:tcBorders>
              <w:top w:val="nil"/>
              <w:left w:val="single" w:color="auto" w:sz="4" w:space="0"/>
              <w:bottom w:val="single" w:color="auto" w:sz="4" w:space="0"/>
              <w:right w:val="single" w:color="auto" w:sz="4" w:space="0"/>
            </w:tcBorders>
            <w:shd w:val="clear" w:color="auto" w:fill="auto"/>
            <w:vAlign w:val="center"/>
            <w:hideMark/>
          </w:tcPr>
          <w:p w:rsidRPr="00A855DB" w:rsidR="009345BC" w:rsidP="009345BC" w:rsidRDefault="009345BC" w14:paraId="2EC642C1" w14:textId="77777777">
            <w:pPr>
              <w:suppressAutoHyphens/>
              <w:rPr>
                <w:color w:val="000000"/>
                <w:sz w:val="22"/>
                <w:szCs w:val="22"/>
              </w:rPr>
            </w:pPr>
            <w:r w:rsidRPr="00A855DB">
              <w:rPr>
                <w:color w:val="000000"/>
                <w:sz w:val="22"/>
                <w:szCs w:val="22"/>
              </w:rPr>
              <w:t>CSET Download Form</w:t>
            </w:r>
          </w:p>
        </w:tc>
        <w:tc>
          <w:tcPr>
            <w:tcW w:w="1260" w:type="dxa"/>
            <w:tcBorders>
              <w:top w:val="single" w:color="auto" w:sz="4" w:space="0"/>
              <w:left w:val="nil"/>
              <w:bottom w:val="single" w:color="auto" w:sz="4" w:space="0"/>
              <w:right w:val="single" w:color="auto" w:sz="4" w:space="0"/>
            </w:tcBorders>
            <w:vAlign w:val="center"/>
          </w:tcPr>
          <w:p w:rsidRPr="00A855DB" w:rsidR="009345BC" w:rsidP="009345BC" w:rsidRDefault="009345BC" w14:paraId="06FBB6E4" w14:textId="0B0BD634">
            <w:pPr>
              <w:jc w:val="right"/>
              <w:rPr>
                <w:color w:val="000000"/>
                <w:sz w:val="22"/>
                <w:szCs w:val="22"/>
              </w:rPr>
            </w:pPr>
            <w:r>
              <w:rPr>
                <w:color w:val="000000"/>
                <w:sz w:val="22"/>
                <w:szCs w:val="22"/>
              </w:rPr>
              <w:t>13,400</w:t>
            </w:r>
          </w:p>
        </w:tc>
        <w:tc>
          <w:tcPr>
            <w:tcW w:w="1350" w:type="dxa"/>
            <w:tcBorders>
              <w:top w:val="single" w:color="auto" w:sz="4" w:space="0"/>
              <w:left w:val="single" w:color="auto" w:sz="4" w:space="0"/>
              <w:bottom w:val="single" w:color="auto" w:sz="4" w:space="0"/>
              <w:right w:val="single" w:color="auto" w:sz="4" w:space="0"/>
            </w:tcBorders>
            <w:vAlign w:val="center"/>
          </w:tcPr>
          <w:p w:rsidRPr="00A855DB" w:rsidR="009345BC" w:rsidP="009345BC" w:rsidRDefault="009345BC" w14:paraId="01A3F4F7" w14:textId="60254954">
            <w:pPr>
              <w:jc w:val="right"/>
              <w:rPr>
                <w:color w:val="000000"/>
                <w:sz w:val="22"/>
                <w:szCs w:val="22"/>
              </w:rPr>
            </w:pPr>
            <w:r>
              <w:rPr>
                <w:color w:val="000000"/>
                <w:sz w:val="22"/>
                <w:szCs w:val="22"/>
              </w:rPr>
              <w:t>0.0030</w:t>
            </w:r>
          </w:p>
        </w:tc>
        <w:tc>
          <w:tcPr>
            <w:tcW w:w="1170" w:type="dxa"/>
            <w:tcBorders>
              <w:top w:val="nil"/>
              <w:left w:val="nil"/>
              <w:bottom w:val="single" w:color="auto" w:sz="4" w:space="0"/>
              <w:right w:val="single" w:color="auto" w:sz="4" w:space="0"/>
            </w:tcBorders>
            <w:shd w:val="clear" w:color="auto" w:fill="auto"/>
            <w:noWrap/>
            <w:vAlign w:val="bottom"/>
            <w:hideMark/>
          </w:tcPr>
          <w:p w:rsidRPr="00A855DB" w:rsidR="009345BC" w:rsidP="009345BC" w:rsidRDefault="009345BC" w14:paraId="09F95AAF" w14:textId="3659E7C4">
            <w:pPr>
              <w:jc w:val="right"/>
              <w:rPr>
                <w:color w:val="000000"/>
                <w:sz w:val="22"/>
                <w:szCs w:val="22"/>
              </w:rPr>
            </w:pPr>
            <w:r>
              <w:rPr>
                <w:color w:val="000000"/>
                <w:sz w:val="22"/>
                <w:szCs w:val="22"/>
              </w:rPr>
              <w:t>40</w:t>
            </w:r>
          </w:p>
        </w:tc>
        <w:tc>
          <w:tcPr>
            <w:tcW w:w="1620" w:type="dxa"/>
            <w:vMerge/>
            <w:tcBorders>
              <w:left w:val="nil"/>
              <w:bottom w:val="single" w:color="auto" w:sz="4" w:space="0"/>
              <w:right w:val="single" w:color="auto" w:sz="4" w:space="0"/>
            </w:tcBorders>
            <w:shd w:val="clear" w:color="auto" w:fill="auto"/>
            <w:noWrap/>
            <w:vAlign w:val="bottom"/>
            <w:hideMark/>
          </w:tcPr>
          <w:p w:rsidRPr="00A855DB" w:rsidR="009345BC" w:rsidP="009345BC" w:rsidRDefault="009345BC" w14:paraId="3E18B2D5" w14:textId="77777777">
            <w:pPr>
              <w:jc w:val="right"/>
              <w:rPr>
                <w:color w:val="000000"/>
                <w:sz w:val="22"/>
                <w:szCs w:val="22"/>
              </w:rPr>
            </w:pPr>
          </w:p>
        </w:tc>
        <w:tc>
          <w:tcPr>
            <w:tcW w:w="1263" w:type="dxa"/>
            <w:tcBorders>
              <w:top w:val="nil"/>
              <w:left w:val="nil"/>
              <w:bottom w:val="single" w:color="auto" w:sz="4" w:space="0"/>
              <w:right w:val="single" w:color="auto" w:sz="4" w:space="0"/>
            </w:tcBorders>
            <w:shd w:val="clear" w:color="auto" w:fill="auto"/>
            <w:noWrap/>
            <w:vAlign w:val="bottom"/>
          </w:tcPr>
          <w:p w:rsidRPr="00A855DB" w:rsidR="009345BC" w:rsidP="009345BC" w:rsidRDefault="009345BC" w14:paraId="549170C1" w14:textId="2A443883">
            <w:pPr>
              <w:jc w:val="right"/>
              <w:rPr>
                <w:color w:val="000000"/>
                <w:sz w:val="22"/>
                <w:szCs w:val="22"/>
              </w:rPr>
            </w:pPr>
            <w:r>
              <w:rPr>
                <w:color w:val="000000"/>
                <w:sz w:val="22"/>
                <w:szCs w:val="22"/>
              </w:rPr>
              <w:t>$2,904</w:t>
            </w:r>
          </w:p>
        </w:tc>
      </w:tr>
      <w:tr w:rsidR="009345BC" w:rsidTr="00915135" w14:paraId="1219E500" w14:textId="77777777">
        <w:trPr>
          <w:trHeight w:val="315"/>
        </w:trPr>
        <w:tc>
          <w:tcPr>
            <w:tcW w:w="2538" w:type="dxa"/>
            <w:tcBorders>
              <w:top w:val="nil"/>
              <w:left w:val="single" w:color="auto" w:sz="4" w:space="0"/>
              <w:bottom w:val="single" w:color="auto" w:sz="4" w:space="0"/>
              <w:right w:val="single" w:color="auto" w:sz="4" w:space="0"/>
            </w:tcBorders>
            <w:shd w:val="clear" w:color="auto" w:fill="auto"/>
            <w:vAlign w:val="center"/>
            <w:hideMark/>
          </w:tcPr>
          <w:p w:rsidRPr="00A855DB" w:rsidR="009345BC" w:rsidP="009345BC" w:rsidRDefault="009345BC" w14:paraId="02609628" w14:textId="77777777">
            <w:pPr>
              <w:suppressAutoHyphens/>
              <w:rPr>
                <w:b/>
                <w:color w:val="000000"/>
                <w:sz w:val="22"/>
                <w:szCs w:val="22"/>
              </w:rPr>
            </w:pPr>
            <w:r w:rsidRPr="00A855DB">
              <w:rPr>
                <w:b/>
                <w:color w:val="000000"/>
                <w:sz w:val="22"/>
                <w:szCs w:val="22"/>
              </w:rPr>
              <w:t>Total</w:t>
            </w:r>
          </w:p>
        </w:tc>
        <w:tc>
          <w:tcPr>
            <w:tcW w:w="1260" w:type="dxa"/>
            <w:tcBorders>
              <w:top w:val="single" w:color="auto" w:sz="4" w:space="0"/>
              <w:left w:val="nil"/>
              <w:bottom w:val="single" w:color="auto" w:sz="4" w:space="0"/>
              <w:right w:val="single" w:color="auto" w:sz="4" w:space="0"/>
            </w:tcBorders>
            <w:vAlign w:val="center"/>
          </w:tcPr>
          <w:p w:rsidRPr="00A855DB" w:rsidR="009345BC" w:rsidP="009345BC" w:rsidRDefault="009345BC" w14:paraId="4E6D1E79" w14:textId="425A586C">
            <w:pPr>
              <w:jc w:val="right"/>
              <w:rPr>
                <w:b/>
                <w:color w:val="000000"/>
                <w:sz w:val="22"/>
                <w:szCs w:val="22"/>
              </w:rPr>
            </w:pPr>
            <w:r>
              <w:rPr>
                <w:b/>
                <w:bCs/>
                <w:color w:val="000000"/>
              </w:rPr>
              <w:t>139,125</w:t>
            </w:r>
          </w:p>
        </w:tc>
        <w:tc>
          <w:tcPr>
            <w:tcW w:w="1350" w:type="dxa"/>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rsidRPr="00A855DB" w:rsidR="009345BC" w:rsidP="009345BC" w:rsidRDefault="009345BC" w14:paraId="4B36ECAA" w14:textId="77777777">
            <w:pPr>
              <w:jc w:val="right"/>
              <w:rPr>
                <w:b/>
                <w:color w:val="000000"/>
                <w:sz w:val="22"/>
                <w:szCs w:val="22"/>
              </w:rPr>
            </w:pPr>
            <w:r>
              <w:rPr>
                <w:b/>
                <w:bCs/>
                <w:color w:val="00000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A855DB" w:rsidR="009345BC" w:rsidP="009345BC" w:rsidRDefault="009345BC" w14:paraId="15220509" w14:textId="34BFAB45">
            <w:pPr>
              <w:jc w:val="right"/>
              <w:rPr>
                <w:b/>
                <w:color w:val="000000"/>
                <w:sz w:val="22"/>
                <w:szCs w:val="22"/>
              </w:rPr>
            </w:pPr>
            <w:r>
              <w:rPr>
                <w:b/>
                <w:bCs/>
                <w:color w:val="000000"/>
                <w:sz w:val="22"/>
                <w:szCs w:val="22"/>
              </w:rPr>
              <w:t>26,108</w:t>
            </w:r>
          </w:p>
        </w:tc>
        <w:tc>
          <w:tcPr>
            <w:tcW w:w="1620" w:type="dxa"/>
            <w:tcBorders>
              <w:top w:val="single" w:color="auto" w:sz="4" w:space="0"/>
              <w:left w:val="nil"/>
              <w:bottom w:val="single" w:color="auto" w:sz="4" w:space="0"/>
              <w:right w:val="single" w:color="auto" w:sz="4" w:space="0"/>
            </w:tcBorders>
            <w:shd w:val="clear" w:color="auto" w:fill="AEAAAA" w:themeFill="background2" w:themeFillShade="BF"/>
            <w:noWrap/>
            <w:vAlign w:val="bottom"/>
            <w:hideMark/>
          </w:tcPr>
          <w:p w:rsidRPr="00A855DB" w:rsidR="009345BC" w:rsidP="009345BC" w:rsidRDefault="009345BC" w14:paraId="5527E47D" w14:textId="77777777">
            <w:pPr>
              <w:jc w:val="right"/>
              <w:rPr>
                <w:b/>
                <w:color w:val="000000"/>
                <w:sz w:val="22"/>
                <w:szCs w:val="22"/>
              </w:rPr>
            </w:pPr>
            <w:r>
              <w:rPr>
                <w:b/>
                <w:bCs/>
                <w:color w:val="000000"/>
                <w:sz w:val="22"/>
                <w:szCs w:val="22"/>
              </w:rPr>
              <w:t> </w:t>
            </w:r>
          </w:p>
        </w:tc>
        <w:tc>
          <w:tcPr>
            <w:tcW w:w="1263" w:type="dxa"/>
            <w:tcBorders>
              <w:top w:val="nil"/>
              <w:left w:val="nil"/>
              <w:bottom w:val="single" w:color="auto" w:sz="4" w:space="0"/>
              <w:right w:val="single" w:color="auto" w:sz="4" w:space="0"/>
            </w:tcBorders>
            <w:shd w:val="clear" w:color="auto" w:fill="auto"/>
            <w:noWrap/>
            <w:vAlign w:val="bottom"/>
          </w:tcPr>
          <w:p w:rsidRPr="00A855DB" w:rsidR="009345BC" w:rsidP="009345BC" w:rsidRDefault="009345BC" w14:paraId="76756E6B" w14:textId="1638BDDA">
            <w:pPr>
              <w:jc w:val="right"/>
              <w:rPr>
                <w:b/>
                <w:color w:val="000000"/>
                <w:sz w:val="22"/>
                <w:szCs w:val="22"/>
              </w:rPr>
            </w:pPr>
            <w:r>
              <w:rPr>
                <w:b/>
                <w:bCs/>
                <w:color w:val="000000"/>
                <w:sz w:val="22"/>
                <w:szCs w:val="22"/>
              </w:rPr>
              <w:t>$1,886,112</w:t>
            </w:r>
          </w:p>
        </w:tc>
      </w:tr>
    </w:tbl>
    <w:p w:rsidR="003B77E9" w:rsidP="003B77E9" w:rsidRDefault="003B77E9" w14:paraId="0672FAA9" w14:textId="77777777">
      <w:pPr>
        <w:tabs>
          <w:tab w:val="left" w:pos="-720"/>
        </w:tabs>
        <w:suppressAutoHyphens/>
      </w:pPr>
      <w:r>
        <w:t>Note:  Numbers may not total due to rounding.</w:t>
      </w:r>
    </w:p>
    <w:p w:rsidRPr="00693BFE" w:rsidR="005A4A2C" w:rsidP="005A4A2C" w:rsidRDefault="005A4A2C" w14:paraId="0406C7B7" w14:textId="77777777">
      <w:pPr>
        <w:tabs>
          <w:tab w:val="left" w:pos="-720"/>
        </w:tabs>
        <w:suppressAutoHyphens/>
        <w:jc w:val="both"/>
        <w:rPr>
          <w:spacing w:val="-3"/>
        </w:rPr>
      </w:pPr>
    </w:p>
    <w:p w:rsidR="005A4A2C" w:rsidP="005A4A2C" w:rsidRDefault="005A4A2C" w14:paraId="1328724D" w14:textId="1265A3BC">
      <w:pPr>
        <w:suppressAutoHyphens/>
        <w:jc w:val="both"/>
      </w:pPr>
      <w:r>
        <w:t>The government costs described in this section are difficult to estimate since nearly all the forms do not generate output in the form of a report but rather as input to much larger systems.  As such, the estimated $</w:t>
      </w:r>
      <w:r w:rsidR="009345BC">
        <w:t>1,886,112</w:t>
      </w:r>
      <w:r>
        <w:t xml:space="preserve"> government cost is a component of a larger cost associated with operating and maintaining the entire system.</w:t>
      </w:r>
    </w:p>
    <w:p w:rsidRPr="00596A43" w:rsidR="00333D1E" w:rsidP="000C4293" w:rsidRDefault="00333D1E" w14:paraId="11B5BE01" w14:textId="77777777">
      <w:pPr>
        <w:suppressAutoHyphens/>
        <w:jc w:val="both"/>
      </w:pPr>
    </w:p>
    <w:p w:rsidRPr="00596A43" w:rsidR="00EB5E96" w:rsidP="000C4293" w:rsidRDefault="00EB5E96" w14:paraId="0446F187" w14:textId="77777777">
      <w:pPr>
        <w:suppressAutoHyphens/>
        <w:jc w:val="both"/>
      </w:pPr>
    </w:p>
    <w:p w:rsidRPr="00596A43" w:rsidR="00EB5E96" w:rsidP="000C4293" w:rsidRDefault="00EB5E96" w14:paraId="30AC6E42"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596A43" w:rsidR="00EB5E96" w:rsidP="000C4293" w:rsidRDefault="00EB5E96" w14:paraId="620EA5E1" w14:textId="77777777">
      <w:pPr>
        <w:tabs>
          <w:tab w:val="left" w:pos="-720"/>
        </w:tabs>
        <w:suppressAutoHyphens/>
        <w:jc w:val="both"/>
      </w:pPr>
      <w:r w:rsidRPr="00596A43">
        <w:fldChar w:fldCharType="begin"/>
      </w:r>
      <w:r w:rsidRPr="00596A43">
        <w:instrText>ADVANCE \R 0.95</w:instrText>
      </w:r>
      <w:r w:rsidRPr="00596A43">
        <w:fldChar w:fldCharType="end"/>
      </w:r>
    </w:p>
    <w:p w:rsidR="009C03C5" w:rsidP="00D73BBC" w:rsidRDefault="00C3408B" w14:paraId="66FE82A6" w14:textId="66B96DF2">
      <w:pPr>
        <w:tabs>
          <w:tab w:val="left" w:pos="-720"/>
        </w:tabs>
        <w:suppressAutoHyphens/>
        <w:jc w:val="both"/>
        <w:rPr>
          <w:spacing w:val="-3"/>
        </w:rPr>
      </w:pPr>
      <w:r>
        <w:rPr>
          <w:spacing w:val="-3"/>
        </w:rPr>
        <w:t xml:space="preserve">This is a </w:t>
      </w:r>
      <w:r w:rsidR="00C77642">
        <w:rPr>
          <w:spacing w:val="-3"/>
        </w:rPr>
        <w:t>revision to an existing form</w:t>
      </w:r>
      <w:r>
        <w:rPr>
          <w:spacing w:val="-3"/>
        </w:rPr>
        <w:t xml:space="preserve">. </w:t>
      </w:r>
      <w:r w:rsidR="009C03C5">
        <w:rPr>
          <w:spacing w:val="-3"/>
        </w:rPr>
        <w:t xml:space="preserve">The changes to the collection since the previous OMB approval include:  updating the name of the Agency from NPPD to CISA, </w:t>
      </w:r>
      <w:r w:rsidR="008902BA">
        <w:rPr>
          <w:spacing w:val="-3"/>
        </w:rPr>
        <w:t>removing</w:t>
      </w:r>
      <w:r w:rsidR="002329DE">
        <w:rPr>
          <w:spacing w:val="-3"/>
        </w:rPr>
        <w:t xml:space="preserve"> the</w:t>
      </w:r>
      <w:r w:rsidR="008902BA">
        <w:rPr>
          <w:spacing w:val="-3"/>
        </w:rPr>
        <w:t xml:space="preserve"> ICSJWG Form</w:t>
      </w:r>
      <w:r w:rsidR="00CB123C">
        <w:rPr>
          <w:spacing w:val="-3"/>
        </w:rPr>
        <w:t>,</w:t>
      </w:r>
      <w:r w:rsidR="008902BA">
        <w:rPr>
          <w:spacing w:val="-3"/>
        </w:rPr>
        <w:t xml:space="preserve"> </w:t>
      </w:r>
      <w:r w:rsidR="009C03C5">
        <w:rPr>
          <w:spacing w:val="-3"/>
        </w:rPr>
        <w:t>and updating the burden</w:t>
      </w:r>
      <w:r w:rsidR="008141B7">
        <w:rPr>
          <w:spacing w:val="-3"/>
        </w:rPr>
        <w:t xml:space="preserve"> and cost</w:t>
      </w:r>
      <w:r w:rsidR="009C03C5">
        <w:rPr>
          <w:spacing w:val="-3"/>
        </w:rPr>
        <w:t xml:space="preserve"> estimates. </w:t>
      </w:r>
    </w:p>
    <w:p w:rsidR="00BB7E4A" w:rsidP="00D73BBC" w:rsidRDefault="00BB7E4A" w14:paraId="1FC74CE6" w14:textId="77777777">
      <w:pPr>
        <w:tabs>
          <w:tab w:val="left" w:pos="-720"/>
        </w:tabs>
        <w:suppressAutoHyphens/>
        <w:jc w:val="both"/>
        <w:rPr>
          <w:spacing w:val="-3"/>
        </w:rPr>
      </w:pPr>
    </w:p>
    <w:p w:rsidR="00BB7E4A" w:rsidP="00D73BBC" w:rsidRDefault="00BB7E4A" w14:paraId="3BDDCAED" w14:textId="44E806D4">
      <w:pPr>
        <w:tabs>
          <w:tab w:val="left" w:pos="-720"/>
        </w:tabs>
        <w:suppressAutoHyphens/>
        <w:jc w:val="both"/>
        <w:rPr>
          <w:spacing w:val="-3"/>
        </w:rPr>
      </w:pPr>
      <w:r>
        <w:rPr>
          <w:spacing w:val="-3"/>
        </w:rPr>
        <w:t>Based on</w:t>
      </w:r>
      <w:r w:rsidR="0052686C">
        <w:rPr>
          <w:spacing w:val="-3"/>
        </w:rPr>
        <w:t xml:space="preserve"> an increased number of respondents,</w:t>
      </w:r>
      <w:r>
        <w:rPr>
          <w:spacing w:val="-3"/>
        </w:rPr>
        <w:t xml:space="preserve"> the revisions to the form</w:t>
      </w:r>
      <w:r w:rsidR="0052686C">
        <w:rPr>
          <w:spacing w:val="-3"/>
        </w:rPr>
        <w:t>,</w:t>
      </w:r>
      <w:r w:rsidR="00F20270">
        <w:rPr>
          <w:spacing w:val="-3"/>
        </w:rPr>
        <w:t xml:space="preserve"> and </w:t>
      </w:r>
      <w:r w:rsidR="00227C47">
        <w:rPr>
          <w:spacing w:val="-3"/>
        </w:rPr>
        <w:t xml:space="preserve">the </w:t>
      </w:r>
      <w:r w:rsidR="00F20270">
        <w:rPr>
          <w:spacing w:val="-3"/>
        </w:rPr>
        <w:t>updated hourly compensation rates</w:t>
      </w:r>
      <w:r>
        <w:rPr>
          <w:spacing w:val="-3"/>
        </w:rPr>
        <w:t xml:space="preserve">, the burden and cost estimates have increased.  The burden hour estimates increased by </w:t>
      </w:r>
      <w:r w:rsidR="0052686C">
        <w:rPr>
          <w:spacing w:val="-3"/>
        </w:rPr>
        <w:t>7</w:t>
      </w:r>
      <w:r w:rsidR="00542BE9">
        <w:rPr>
          <w:spacing w:val="-3"/>
        </w:rPr>
        <w:t>,713</w:t>
      </w:r>
      <w:r>
        <w:rPr>
          <w:spacing w:val="-3"/>
        </w:rPr>
        <w:t xml:space="preserve"> hours, from </w:t>
      </w:r>
      <w:r w:rsidR="00F20270">
        <w:rPr>
          <w:spacing w:val="-3"/>
        </w:rPr>
        <w:t>6,139</w:t>
      </w:r>
      <w:r>
        <w:rPr>
          <w:spacing w:val="-3"/>
        </w:rPr>
        <w:t xml:space="preserve"> hours to </w:t>
      </w:r>
      <w:r w:rsidR="0052686C">
        <w:rPr>
          <w:spacing w:val="-3"/>
        </w:rPr>
        <w:t>13,</w:t>
      </w:r>
      <w:r w:rsidR="00542BE9">
        <w:rPr>
          <w:spacing w:val="-3"/>
        </w:rPr>
        <w:t>852</w:t>
      </w:r>
      <w:r>
        <w:rPr>
          <w:spacing w:val="-3"/>
        </w:rPr>
        <w:t xml:space="preserve"> hours.  The annual burden cost increased by $</w:t>
      </w:r>
      <w:r w:rsidR="009345BC">
        <w:rPr>
          <w:spacing w:val="-3"/>
        </w:rPr>
        <w:t>329,158</w:t>
      </w:r>
      <w:r>
        <w:rPr>
          <w:spacing w:val="-3"/>
        </w:rPr>
        <w:t>, from $</w:t>
      </w:r>
      <w:r w:rsidR="008141B7">
        <w:rPr>
          <w:spacing w:val="-3"/>
        </w:rPr>
        <w:t>214,24</w:t>
      </w:r>
      <w:r w:rsidR="00F20270">
        <w:rPr>
          <w:spacing w:val="-3"/>
        </w:rPr>
        <w:t>2</w:t>
      </w:r>
      <w:r w:rsidR="008141B7">
        <w:rPr>
          <w:spacing w:val="-3"/>
        </w:rPr>
        <w:t xml:space="preserve"> to </w:t>
      </w:r>
      <w:r w:rsidR="00F20270">
        <w:rPr>
          <w:spacing w:val="-3"/>
        </w:rPr>
        <w:t>$</w:t>
      </w:r>
      <w:r w:rsidR="009345BC">
        <w:rPr>
          <w:spacing w:val="-3"/>
        </w:rPr>
        <w:t>543,401</w:t>
      </w:r>
      <w:r w:rsidR="00F20270">
        <w:rPr>
          <w:spacing w:val="-3"/>
        </w:rPr>
        <w:t xml:space="preserve">.  </w:t>
      </w:r>
      <w:r w:rsidR="008141B7">
        <w:rPr>
          <w:spacing w:val="-3"/>
        </w:rPr>
        <w:t>T</w:t>
      </w:r>
      <w:r>
        <w:rPr>
          <w:spacing w:val="-3"/>
        </w:rPr>
        <w:t xml:space="preserve">he annual government cost increased by </w:t>
      </w:r>
      <w:r w:rsidR="0052686C">
        <w:rPr>
          <w:spacing w:val="-3"/>
        </w:rPr>
        <w:t>$</w:t>
      </w:r>
      <w:r w:rsidR="009345BC">
        <w:rPr>
          <w:spacing w:val="-3"/>
        </w:rPr>
        <w:t>1,379,156</w:t>
      </w:r>
      <w:r w:rsidR="0052686C">
        <w:rPr>
          <w:spacing w:val="-3"/>
        </w:rPr>
        <w:t xml:space="preserve">, </w:t>
      </w:r>
      <w:r>
        <w:rPr>
          <w:spacing w:val="-3"/>
        </w:rPr>
        <w:t xml:space="preserve">from $506,956 to </w:t>
      </w:r>
      <w:r w:rsidR="0052686C">
        <w:rPr>
          <w:spacing w:val="-3"/>
        </w:rPr>
        <w:t>$</w:t>
      </w:r>
      <w:r w:rsidR="009345BC">
        <w:rPr>
          <w:spacing w:val="-3"/>
        </w:rPr>
        <w:t>1,886,112</w:t>
      </w:r>
      <w:r w:rsidR="0052686C">
        <w:rPr>
          <w:spacing w:val="-3"/>
        </w:rPr>
        <w:t>.</w:t>
      </w:r>
    </w:p>
    <w:p w:rsidRPr="00693BFE" w:rsidR="009C03C5" w:rsidP="00D73BBC" w:rsidRDefault="009C03C5" w14:paraId="46BEC8DA" w14:textId="77777777">
      <w:pPr>
        <w:tabs>
          <w:tab w:val="left" w:pos="-720"/>
        </w:tabs>
        <w:suppressAutoHyphens/>
        <w:jc w:val="both"/>
        <w:rPr>
          <w:spacing w:val="-3"/>
        </w:rPr>
      </w:pPr>
    </w:p>
    <w:p w:rsidRPr="00596A43" w:rsidR="00EB5E96" w:rsidP="000C4293" w:rsidRDefault="00EB5E96" w14:paraId="202C3C79" w14:textId="77777777">
      <w:pPr>
        <w:tabs>
          <w:tab w:val="left" w:pos="-720"/>
        </w:tabs>
        <w:suppressAutoHyphens/>
        <w:jc w:val="both"/>
      </w:pPr>
    </w:p>
    <w:p w:rsidRPr="00596A43" w:rsidR="00EB5E96" w:rsidP="000C4293" w:rsidRDefault="00EB5E96" w14:paraId="5C18A94D"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596A43" w:rsidR="00EB5E96" w:rsidP="000C4293" w:rsidRDefault="00EB5E96" w14:paraId="3923C36B" w14:textId="77777777">
      <w:pPr>
        <w:suppressAutoHyphens/>
        <w:jc w:val="both"/>
      </w:pPr>
      <w:r w:rsidRPr="00596A43">
        <w:fldChar w:fldCharType="begin"/>
      </w:r>
      <w:r w:rsidRPr="00596A43">
        <w:instrText>ADVANCE \R 0.95</w:instrText>
      </w:r>
      <w:r w:rsidRPr="00596A43">
        <w:fldChar w:fldCharType="end"/>
      </w:r>
    </w:p>
    <w:p w:rsidRPr="00CD72E3" w:rsidR="00D73BBC" w:rsidP="00D73BBC" w:rsidRDefault="00C3408B" w14:paraId="2C0CAE8C" w14:textId="77777777">
      <w:pPr>
        <w:tabs>
          <w:tab w:val="left" w:pos="-720"/>
        </w:tabs>
        <w:suppressAutoHyphens/>
        <w:jc w:val="both"/>
        <w:rPr>
          <w:spacing w:val="-3"/>
        </w:rPr>
      </w:pPr>
      <w:r>
        <w:rPr>
          <w:spacing w:val="-3"/>
        </w:rPr>
        <w:t>Th</w:t>
      </w:r>
      <w:r w:rsidR="008D2B57">
        <w:rPr>
          <w:spacing w:val="-3"/>
        </w:rPr>
        <w:t xml:space="preserve">e results of the </w:t>
      </w:r>
      <w:r>
        <w:rPr>
          <w:spacing w:val="-3"/>
        </w:rPr>
        <w:t xml:space="preserve">information collection will not be published for statistical purposes. </w:t>
      </w:r>
    </w:p>
    <w:p w:rsidRPr="00596A43" w:rsidR="007F61EC" w:rsidP="0077056F" w:rsidRDefault="007F61EC" w14:paraId="7D91000E" w14:textId="77777777">
      <w:pPr>
        <w:jc w:val="both"/>
      </w:pPr>
    </w:p>
    <w:p w:rsidRPr="00596A43" w:rsidR="00EB5E96" w:rsidP="000C4293" w:rsidRDefault="00EB5E96" w14:paraId="3EBC1910" w14:textId="77777777">
      <w:pPr>
        <w:suppressAutoHyphens/>
        <w:jc w:val="both"/>
      </w:pPr>
    </w:p>
    <w:p w:rsidRPr="00596A43" w:rsidR="00EB5E96" w:rsidP="000C4293" w:rsidRDefault="00EB5E96" w14:paraId="511A5DF1"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Pr="00654846" w:rsidR="00EB5E96" w:rsidP="000C4293" w:rsidRDefault="00EB5E96" w14:paraId="7B92CC4D" w14:textId="77777777">
      <w:pPr>
        <w:tabs>
          <w:tab w:val="left" w:pos="-720"/>
        </w:tabs>
        <w:suppressAutoHyphens/>
        <w:jc w:val="both"/>
      </w:pPr>
      <w:r w:rsidRPr="00654846">
        <w:fldChar w:fldCharType="begin"/>
      </w:r>
      <w:r w:rsidRPr="00654846">
        <w:instrText>ADVANCE \R 0.95</w:instrText>
      </w:r>
      <w:r w:rsidRPr="00654846">
        <w:fldChar w:fldCharType="end"/>
      </w:r>
      <w:r w:rsidRPr="00654846" w:rsidR="00CD72E3">
        <w:t xml:space="preserve"> </w:t>
      </w:r>
    </w:p>
    <w:p w:rsidRPr="00654846" w:rsidR="00CD72E3" w:rsidP="00CD72E3" w:rsidRDefault="00C3408B" w14:paraId="49B49970" w14:textId="77777777">
      <w:pPr>
        <w:tabs>
          <w:tab w:val="left" w:pos="-720"/>
        </w:tabs>
        <w:suppressAutoHyphens/>
        <w:jc w:val="both"/>
        <w:rPr>
          <w:spacing w:val="-3"/>
        </w:rPr>
      </w:pPr>
      <w:r>
        <w:rPr>
          <w:spacing w:val="-3"/>
        </w:rPr>
        <w:t xml:space="preserve">DHS will display the expiration date for OMB approval of this information collection. </w:t>
      </w:r>
    </w:p>
    <w:p w:rsidRPr="00654846" w:rsidR="00447C3A" w:rsidP="000C4293" w:rsidRDefault="00447C3A" w14:paraId="306F3415" w14:textId="77777777">
      <w:pPr>
        <w:tabs>
          <w:tab w:val="left" w:pos="-720"/>
        </w:tabs>
        <w:suppressAutoHyphens/>
        <w:jc w:val="both"/>
      </w:pPr>
    </w:p>
    <w:p w:rsidRPr="00654846" w:rsidR="0077056F" w:rsidP="000C4293" w:rsidRDefault="00EB5E96" w14:paraId="352DCDAA" w14:textId="77777777">
      <w:pPr>
        <w:shd w:val="pct25" w:color="auto" w:fill="auto"/>
        <w:tabs>
          <w:tab w:val="left" w:pos="-720"/>
        </w:tabs>
        <w:suppressAutoHyphens/>
        <w:jc w:val="both"/>
      </w:pPr>
      <w:r w:rsidRPr="00654846">
        <w:fldChar w:fldCharType="begin"/>
      </w:r>
      <w:r w:rsidRPr="00654846">
        <w:instrText>ADVANCE \R 0.95</w:instrText>
      </w:r>
      <w:r w:rsidRPr="00654846">
        <w:fldChar w:fldCharType="end"/>
      </w:r>
      <w:r w:rsidRPr="00654846">
        <w:t>18.  Explain each exception to the certification statement identified in Item 19 “Certification for Paperwork Reduction Act Submissions,” of OMB Form 83-I.</w:t>
      </w:r>
    </w:p>
    <w:p w:rsidRPr="00654846" w:rsidR="0077056F" w:rsidP="0077056F" w:rsidRDefault="0077056F" w14:paraId="3937C9E6" w14:textId="77777777">
      <w:pPr>
        <w:tabs>
          <w:tab w:val="left" w:pos="-720"/>
        </w:tabs>
        <w:suppressAutoHyphens/>
        <w:jc w:val="both"/>
      </w:pPr>
    </w:p>
    <w:p w:rsidR="00FC3522" w:rsidRDefault="00C3408B" w14:paraId="1DC04F3E" w14:textId="77777777">
      <w:pPr>
        <w:rPr>
          <w:sz w:val="20"/>
          <w:szCs w:val="20"/>
        </w:rPr>
      </w:pPr>
      <w:r>
        <w:rPr>
          <w:spacing w:val="-3"/>
        </w:rPr>
        <w:t xml:space="preserve">DHS does not request an exception to the certificate of this information collection. </w:t>
      </w:r>
      <w:r w:rsidRPr="00596A43" w:rsidR="00915135">
        <w:cr/>
      </w:r>
    </w:p>
    <w:sectPr w:rsidR="00FC3522" w:rsidSect="00460234">
      <w:footerReference w:type="even" r:id="rId12"/>
      <w:footerReference w:type="default" r:id="rId13"/>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62D46" w14:textId="77777777" w:rsidR="00D57D5D" w:rsidRDefault="00D57D5D">
      <w:r>
        <w:separator/>
      </w:r>
      <w:r>
        <w:cr/>
      </w:r>
    </w:p>
  </w:endnote>
  <w:endnote w:type="continuationSeparator" w:id="0">
    <w:p w14:paraId="695AE7FF" w14:textId="77777777" w:rsidR="00D57D5D" w:rsidRDefault="00D57D5D">
      <w:r>
        <w:continuationSeparator/>
      </w:r>
      <w:r>
        <w:cr/>
      </w:r>
    </w:p>
  </w:endnote>
  <w:endnote w:type="continuationNotice" w:id="1">
    <w:p w14:paraId="42C79D06" w14:textId="77777777" w:rsidR="00D57D5D" w:rsidRDefault="00D57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sight print">
    <w:altName w:val="Insight print"/>
    <w:panose1 w:val="00000000000000000000"/>
    <w:charset w:val="00"/>
    <w:family w:val="swiss"/>
    <w:notTrueType/>
    <w:pitch w:val="default"/>
    <w:sig w:usb0="00000003" w:usb1="00000000" w:usb2="00000000" w:usb3="00000000" w:csb0="00000001" w:csb1="00000000"/>
  </w:font>
  <w:font w:name="Joanna MT">
    <w:altName w:val="Cambria"/>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10B1C" w14:textId="77777777" w:rsidR="00AD350D" w:rsidRDefault="00AD350D">
    <w:r>
      <w:rPr>
        <w:rStyle w:val="PageNumber"/>
      </w:rPr>
      <w:fldChar w:fldCharType="begin"/>
    </w:r>
    <w:r>
      <w:rPr>
        <w:rStyle w:val="PageNumber"/>
      </w:rPr>
      <w:instrText xml:space="preserve">PAGE  </w:instrText>
    </w:r>
    <w:r>
      <w:rPr>
        <w:rStyle w:val="PageNumber"/>
      </w:rPr>
      <w:fldChar w:fldCharType="end"/>
    </w:r>
    <w:r>
      <w:rPr>
        <w:rStyle w:val="PageNumber"/>
      </w:rPr>
      <w:cr/>
    </w:r>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2848" w14:textId="20657166" w:rsidR="00AD350D" w:rsidRDefault="00AD350D">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r>
      <w:rPr>
        <w:rStyle w:val="PageNumber"/>
      </w:rPr>
      <w:cr/>
    </w:r>
    <w:r>
      <w:tab/>
    </w: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B0741" w14:textId="77777777" w:rsidR="00D57D5D" w:rsidRDefault="00D57D5D">
      <w:r>
        <w:separator/>
      </w:r>
      <w:r>
        <w:cr/>
      </w:r>
    </w:p>
  </w:footnote>
  <w:footnote w:type="continuationSeparator" w:id="0">
    <w:p w14:paraId="1BF30C43" w14:textId="77777777" w:rsidR="00D57D5D" w:rsidRDefault="00D57D5D">
      <w:r>
        <w:continuationSeparator/>
      </w:r>
      <w:r>
        <w:cr/>
      </w:r>
    </w:p>
  </w:footnote>
  <w:footnote w:type="continuationNotice" w:id="1">
    <w:p w14:paraId="2C324A4D" w14:textId="77777777" w:rsidR="00D57D5D" w:rsidRDefault="00D57D5D"/>
  </w:footnote>
  <w:footnote w:id="2">
    <w:p w14:paraId="1E03EFAA" w14:textId="7C2F4B2E" w:rsidR="00AD350D" w:rsidRDefault="00AD350D" w:rsidP="0046350D">
      <w:pPr>
        <w:pStyle w:val="FootnoteText"/>
      </w:pPr>
      <w:r>
        <w:rPr>
          <w:rStyle w:val="FootnoteReference"/>
        </w:rPr>
        <w:footnoteRef/>
      </w:r>
      <w:r>
        <w:t xml:space="preserve"> BLS. Occupational Employment Statistics. May </w:t>
      </w:r>
      <w:r w:rsidR="009345BC">
        <w:t>2020</w:t>
      </w:r>
      <w:r>
        <w:t xml:space="preserve">. All Occupations (00-0000). </w:t>
      </w:r>
      <w:hyperlink r:id="rId1" w:history="1">
        <w:r w:rsidR="009345BC" w:rsidRPr="009345BC">
          <w:rPr>
            <w:rStyle w:val="Hyperlink"/>
          </w:rPr>
          <w:t>https://www.bls.gov/oes/2020/may/oes_nat.htm#00-0000</w:t>
        </w:r>
      </w:hyperlink>
      <w:r>
        <w:tab/>
      </w:r>
    </w:p>
  </w:footnote>
  <w:footnote w:id="3">
    <w:p w14:paraId="180E12F8" w14:textId="13279BC9" w:rsidR="00AD350D" w:rsidRDefault="00AD350D" w:rsidP="00BB79EA">
      <w:pPr>
        <w:pStyle w:val="FootnoteText"/>
        <w:suppressAutoHyphens/>
      </w:pPr>
      <w:r>
        <w:rPr>
          <w:rStyle w:val="FootnoteReference"/>
        </w:rPr>
        <w:footnoteRef/>
      </w:r>
      <w:r>
        <w:t xml:space="preserve"> </w:t>
      </w:r>
      <w:r w:rsidRPr="00D8074F">
        <w:t xml:space="preserve">BLS Employer Cost for Employee Compensation </w:t>
      </w:r>
      <w:r w:rsidR="009345BC">
        <w:t xml:space="preserve">- June2021, released on September 16, 2021 </w:t>
      </w:r>
      <w:r w:rsidR="009345BC" w:rsidRPr="009345BC">
        <w:t>https://www.bls.gov/news.release/pdf/ecec</w:t>
      </w:r>
      <w:r w:rsidR="009345BC">
        <w:t>_06172021</w:t>
      </w:r>
      <w:r w:rsidR="009345BC" w:rsidRPr="009345BC">
        <w:t>.pdf</w:t>
      </w:r>
      <w:r w:rsidRPr="00D8074F">
        <w:t xml:space="preserve">. Based on the values </w:t>
      </w:r>
      <w:r>
        <w:t>for</w:t>
      </w:r>
      <w:r w:rsidRPr="00D8074F">
        <w:t xml:space="preserve"> </w:t>
      </w:r>
      <w:r>
        <w:t>civilian workers</w:t>
      </w:r>
      <w:r w:rsidRPr="00D8074F">
        <w:t>, t</w:t>
      </w:r>
      <w:r>
        <w:t>he compensation factor of 1.</w:t>
      </w:r>
      <w:r w:rsidR="009345BC">
        <w:t>4492</w:t>
      </w:r>
      <w:r w:rsidR="009345BC" w:rsidRPr="00D8074F">
        <w:t xml:space="preserve"> </w:t>
      </w:r>
      <w:r w:rsidRPr="00D8074F">
        <w:t>is estimated by div</w:t>
      </w:r>
      <w:r>
        <w:t>iding total compensation ($</w:t>
      </w:r>
      <w:r w:rsidR="009345BC">
        <w:t>38.91</w:t>
      </w:r>
      <w:r w:rsidRPr="00D8074F">
        <w:t>) by wages and salar</w:t>
      </w:r>
      <w:r>
        <w:t>ies ($</w:t>
      </w:r>
      <w:r w:rsidR="009345BC">
        <w:t>26.85</w:t>
      </w:r>
      <w:r w:rsidRPr="00D8074F">
        <w:t>).</w:t>
      </w:r>
    </w:p>
  </w:footnote>
  <w:footnote w:id="4">
    <w:p w14:paraId="6EFA6F22" w14:textId="71903593" w:rsidR="00AD350D" w:rsidRDefault="00AD350D" w:rsidP="00797265">
      <w:pPr>
        <w:pStyle w:val="FootnoteText"/>
      </w:pPr>
      <w:r>
        <w:rPr>
          <w:rStyle w:val="FootnoteReference"/>
        </w:rPr>
        <w:footnoteRef/>
      </w:r>
      <w:r>
        <w:t xml:space="preserve"> </w:t>
      </w:r>
      <w:r w:rsidRPr="00AB6095">
        <w:t xml:space="preserve">Office of Personnel Management. Salary Table </w:t>
      </w:r>
      <w:r w:rsidR="009345BC" w:rsidRPr="00AB6095">
        <w:t>20</w:t>
      </w:r>
      <w:r w:rsidR="009345BC">
        <w:t>21</w:t>
      </w:r>
      <w:r w:rsidRPr="00AB6095">
        <w:t>-DCB.</w:t>
      </w:r>
      <w:r>
        <w:t xml:space="preserve"> Average hourly wage rate for GS-13, Step 1 for the locality pay area of Washington-Baltimore-Arlington, DC-MD-VA-WV-PA</w:t>
      </w:r>
      <w:r w:rsidR="009345BC">
        <w:t xml:space="preserve"> (Annual salary of $103,690 divided by 2,080 hours per year = hourly salary of $49.85</w:t>
      </w:r>
      <w:r w:rsidRPr="00AB6095">
        <w:t xml:space="preserve">. </w:t>
      </w:r>
      <w:hyperlink r:id="rId2" w:history="1">
        <w:r w:rsidR="009345BC">
          <w:rPr>
            <w:rStyle w:val="Hyperlink"/>
          </w:rPr>
          <w:t>Pay &amp; Leave : Salaries &amp; Wages - OPM.gov</w:t>
        </w:r>
      </w:hyperlink>
    </w:p>
  </w:footnote>
  <w:footnote w:id="5">
    <w:p w14:paraId="188670A7" w14:textId="08E0A363" w:rsidR="00AD350D" w:rsidRDefault="00AD350D" w:rsidP="00BB79EA">
      <w:pPr>
        <w:pStyle w:val="FootnoteText"/>
        <w:suppressAutoHyphens/>
      </w:pPr>
      <w:r>
        <w:rPr>
          <w:rStyle w:val="FootnoteReference"/>
        </w:rPr>
        <w:footnoteRef/>
      </w:r>
      <w:r w:rsidR="009345BC">
        <w:t xml:space="preserve"> </w:t>
      </w:r>
      <w:r w:rsidR="009345BC" w:rsidRPr="00D8074F">
        <w:t xml:space="preserve">BLS Employer Cost for Employee Compensation </w:t>
      </w:r>
      <w:r w:rsidR="009345BC">
        <w:t xml:space="preserve">- June2021, released on September 16, 2021 </w:t>
      </w:r>
      <w:r w:rsidR="009345BC" w:rsidRPr="009345BC">
        <w:t>https://www.bls.gov/news.release/pdf/ecec</w:t>
      </w:r>
      <w:r w:rsidR="009345BC">
        <w:t>_06172021</w:t>
      </w:r>
      <w:r w:rsidR="009345BC" w:rsidRPr="009345BC">
        <w:t>.pdf</w:t>
      </w:r>
      <w:r w:rsidR="009345BC" w:rsidRPr="00D8074F">
        <w:t xml:space="preserve">. Based on the values </w:t>
      </w:r>
      <w:r w:rsidR="009345BC">
        <w:t>for</w:t>
      </w:r>
      <w:r w:rsidR="009345BC" w:rsidRPr="00D8074F">
        <w:t xml:space="preserve"> </w:t>
      </w:r>
      <w:r w:rsidR="009345BC">
        <w:t>civilian workers</w:t>
      </w:r>
      <w:r w:rsidR="009345BC" w:rsidRPr="00D8074F">
        <w:t>, t</w:t>
      </w:r>
      <w:r w:rsidR="009345BC">
        <w:t>he compensation factor of 1.4492</w:t>
      </w:r>
      <w:r w:rsidR="009345BC" w:rsidRPr="00D8074F">
        <w:t xml:space="preserve"> is estimated by div</w:t>
      </w:r>
      <w:r w:rsidR="009345BC">
        <w:t>iding total compensation ($38.91</w:t>
      </w:r>
      <w:r w:rsidR="009345BC" w:rsidRPr="00D8074F">
        <w:t>) by wages and salar</w:t>
      </w:r>
      <w:r w:rsidR="009345BC">
        <w:t>ies ($26.85</w:t>
      </w:r>
      <w:r w:rsidR="009345BC" w:rsidRPr="00D8074F">
        <w:t>).</w:t>
      </w:r>
      <w:r>
        <w:t xml:space="preserve"> </w:t>
      </w:r>
      <w:r w:rsidR="009345B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4B39A1"/>
    <w:multiLevelType w:val="hybridMultilevel"/>
    <w:tmpl w:val="01962D4E"/>
    <w:lvl w:ilvl="0" w:tplc="F370D8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C2D3C"/>
    <w:multiLevelType w:val="hybridMultilevel"/>
    <w:tmpl w:val="43FC682E"/>
    <w:lvl w:ilvl="0" w:tplc="C764DA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15:restartNumberingAfterBreak="0">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8"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15:restartNumberingAfterBreak="0">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15:restartNumberingAfterBreak="0">
    <w:nsid w:val="35B93D46"/>
    <w:multiLevelType w:val="multilevel"/>
    <w:tmpl w:val="DA76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15:restartNumberingAfterBreak="0">
    <w:nsid w:val="3B6C6392"/>
    <w:multiLevelType w:val="hybridMultilevel"/>
    <w:tmpl w:val="475E4140"/>
    <w:lvl w:ilvl="0" w:tplc="4FFAB932">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4" w15:restartNumberingAfterBreak="0">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21E94"/>
    <w:multiLevelType w:val="multilevel"/>
    <w:tmpl w:val="70DE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15:restartNumberingAfterBreak="0">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8" w15:restartNumberingAfterBreak="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9" w15:restartNumberingAfterBreak="0">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0" w15:restartNumberingAfterBreak="0">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597103"/>
    <w:multiLevelType w:val="hybridMultilevel"/>
    <w:tmpl w:val="1EECB71E"/>
    <w:lvl w:ilvl="0" w:tplc="F2847896">
      <w:start w:val="1"/>
      <w:numFmt w:val="bullet"/>
      <w:lvlText w:val=""/>
      <w:lvlJc w:val="left"/>
      <w:pPr>
        <w:tabs>
          <w:tab w:val="num" w:pos="360"/>
        </w:tabs>
        <w:ind w:left="360" w:hanging="360"/>
      </w:pPr>
      <w:rPr>
        <w:rFonts w:ascii="Symbol" w:hAnsi="Symbol" w:hint="default"/>
      </w:rPr>
    </w:lvl>
    <w:lvl w:ilvl="1" w:tplc="9440D448">
      <w:numFmt w:val="decimal"/>
      <w:lvlText w:val=""/>
      <w:lvlJc w:val="left"/>
    </w:lvl>
    <w:lvl w:ilvl="2" w:tplc="7C9603DE">
      <w:numFmt w:val="decimal"/>
      <w:lvlText w:val=""/>
      <w:lvlJc w:val="left"/>
    </w:lvl>
    <w:lvl w:ilvl="3" w:tplc="DCE6E998">
      <w:numFmt w:val="decimal"/>
      <w:lvlText w:val=""/>
      <w:lvlJc w:val="left"/>
    </w:lvl>
    <w:lvl w:ilvl="4" w:tplc="EC6476CC">
      <w:numFmt w:val="decimal"/>
      <w:lvlText w:val=""/>
      <w:lvlJc w:val="left"/>
    </w:lvl>
    <w:lvl w:ilvl="5" w:tplc="FD30CFC0">
      <w:numFmt w:val="decimal"/>
      <w:lvlText w:val=""/>
      <w:lvlJc w:val="left"/>
    </w:lvl>
    <w:lvl w:ilvl="6" w:tplc="7B34F426">
      <w:numFmt w:val="decimal"/>
      <w:lvlText w:val=""/>
      <w:lvlJc w:val="left"/>
    </w:lvl>
    <w:lvl w:ilvl="7" w:tplc="F96675EC">
      <w:numFmt w:val="decimal"/>
      <w:lvlText w:val=""/>
      <w:lvlJc w:val="left"/>
    </w:lvl>
    <w:lvl w:ilvl="8" w:tplc="6ABAC970">
      <w:numFmt w:val="decimal"/>
      <w:lvlText w:val=""/>
      <w:lvlJc w:val="left"/>
    </w:lvl>
  </w:abstractNum>
  <w:abstractNum w:abstractNumId="22" w15:restartNumberingAfterBreak="0">
    <w:nsid w:val="55224B55"/>
    <w:multiLevelType w:val="hybridMultilevel"/>
    <w:tmpl w:val="82B4DD2E"/>
    <w:lvl w:ilvl="0" w:tplc="5C129A94">
      <w:start w:val="1"/>
      <w:numFmt w:val="decimal"/>
      <w:lvlText w:val="(%1)"/>
      <w:lvlJc w:val="left"/>
      <w:pPr>
        <w:tabs>
          <w:tab w:val="num" w:pos="1440"/>
        </w:tabs>
        <w:ind w:left="1440" w:hanging="720"/>
      </w:pPr>
      <w:rPr>
        <w:rFonts w:hint="default"/>
      </w:rPr>
    </w:lvl>
    <w:lvl w:ilvl="1" w:tplc="B9044964">
      <w:numFmt w:val="decimal"/>
      <w:lvlText w:val=""/>
      <w:lvlJc w:val="left"/>
    </w:lvl>
    <w:lvl w:ilvl="2" w:tplc="1416D244">
      <w:numFmt w:val="decimal"/>
      <w:lvlText w:val=""/>
      <w:lvlJc w:val="left"/>
    </w:lvl>
    <w:lvl w:ilvl="3" w:tplc="268664A6">
      <w:numFmt w:val="decimal"/>
      <w:lvlText w:val=""/>
      <w:lvlJc w:val="left"/>
    </w:lvl>
    <w:lvl w:ilvl="4" w:tplc="AC48BEA4">
      <w:numFmt w:val="decimal"/>
      <w:lvlText w:val=""/>
      <w:lvlJc w:val="left"/>
    </w:lvl>
    <w:lvl w:ilvl="5" w:tplc="44D2A154">
      <w:numFmt w:val="decimal"/>
      <w:lvlText w:val=""/>
      <w:lvlJc w:val="left"/>
    </w:lvl>
    <w:lvl w:ilvl="6" w:tplc="B2F60A2C">
      <w:numFmt w:val="decimal"/>
      <w:lvlText w:val=""/>
      <w:lvlJc w:val="left"/>
    </w:lvl>
    <w:lvl w:ilvl="7" w:tplc="753025FE">
      <w:numFmt w:val="decimal"/>
      <w:lvlText w:val=""/>
      <w:lvlJc w:val="left"/>
    </w:lvl>
    <w:lvl w:ilvl="8" w:tplc="D67A917E">
      <w:numFmt w:val="decimal"/>
      <w:lvlText w:val=""/>
      <w:lvlJc w:val="left"/>
    </w:lvl>
  </w:abstractNum>
  <w:abstractNum w:abstractNumId="23" w15:restartNumberingAfterBreak="0">
    <w:nsid w:val="56F71A6F"/>
    <w:multiLevelType w:val="hybridMultilevel"/>
    <w:tmpl w:val="A4C6B1C0"/>
    <w:lvl w:ilvl="0" w:tplc="38DA4DBC">
      <w:start w:val="1"/>
      <w:numFmt w:val="decimal"/>
      <w:lvlText w:val="%1."/>
      <w:lvlJc w:val="left"/>
      <w:pPr>
        <w:tabs>
          <w:tab w:val="num" w:pos="870"/>
        </w:tabs>
        <w:ind w:left="870" w:hanging="360"/>
      </w:pPr>
      <w:rPr>
        <w:rFonts w:hint="default"/>
      </w:rPr>
    </w:lvl>
    <w:lvl w:ilvl="1" w:tplc="BB7C2372">
      <w:numFmt w:val="decimal"/>
      <w:lvlText w:val=""/>
      <w:lvlJc w:val="left"/>
    </w:lvl>
    <w:lvl w:ilvl="2" w:tplc="272AE1F0">
      <w:numFmt w:val="decimal"/>
      <w:lvlText w:val=""/>
      <w:lvlJc w:val="left"/>
    </w:lvl>
    <w:lvl w:ilvl="3" w:tplc="7192894E">
      <w:numFmt w:val="decimal"/>
      <w:lvlText w:val=""/>
      <w:lvlJc w:val="left"/>
    </w:lvl>
    <w:lvl w:ilvl="4" w:tplc="E528E44A">
      <w:numFmt w:val="decimal"/>
      <w:lvlText w:val=""/>
      <w:lvlJc w:val="left"/>
    </w:lvl>
    <w:lvl w:ilvl="5" w:tplc="6C905906">
      <w:numFmt w:val="decimal"/>
      <w:lvlText w:val=""/>
      <w:lvlJc w:val="left"/>
    </w:lvl>
    <w:lvl w:ilvl="6" w:tplc="BC28E0D4">
      <w:numFmt w:val="decimal"/>
      <w:lvlText w:val=""/>
      <w:lvlJc w:val="left"/>
    </w:lvl>
    <w:lvl w:ilvl="7" w:tplc="B22A8948">
      <w:numFmt w:val="decimal"/>
      <w:lvlText w:val=""/>
      <w:lvlJc w:val="left"/>
    </w:lvl>
    <w:lvl w:ilvl="8" w:tplc="0554D798">
      <w:numFmt w:val="decimal"/>
      <w:lvlText w:val=""/>
      <w:lvlJc w:val="left"/>
    </w:lvl>
  </w:abstractNum>
  <w:abstractNum w:abstractNumId="24" w15:restartNumberingAfterBreak="0">
    <w:nsid w:val="5B05244D"/>
    <w:multiLevelType w:val="hybridMultilevel"/>
    <w:tmpl w:val="0696E2FC"/>
    <w:lvl w:ilvl="0" w:tplc="8EEC569A">
      <w:start w:val="1"/>
      <w:numFmt w:val="bullet"/>
      <w:lvlText w:val=""/>
      <w:lvlJc w:val="left"/>
      <w:pPr>
        <w:tabs>
          <w:tab w:val="num" w:pos="1080"/>
        </w:tabs>
        <w:ind w:left="864" w:hanging="144"/>
      </w:pPr>
      <w:rPr>
        <w:rFonts w:ascii="Symbol" w:hAnsi="Symbol" w:hint="default"/>
      </w:rPr>
    </w:lvl>
    <w:lvl w:ilvl="1" w:tplc="E6DE5782">
      <w:numFmt w:val="decimal"/>
      <w:lvlText w:val=""/>
      <w:lvlJc w:val="left"/>
    </w:lvl>
    <w:lvl w:ilvl="2" w:tplc="775C91B2">
      <w:numFmt w:val="decimal"/>
      <w:lvlText w:val=""/>
      <w:lvlJc w:val="left"/>
    </w:lvl>
    <w:lvl w:ilvl="3" w:tplc="BF4C5D96">
      <w:numFmt w:val="decimal"/>
      <w:lvlText w:val=""/>
      <w:lvlJc w:val="left"/>
    </w:lvl>
    <w:lvl w:ilvl="4" w:tplc="C49E9A8A">
      <w:numFmt w:val="decimal"/>
      <w:lvlText w:val=""/>
      <w:lvlJc w:val="left"/>
    </w:lvl>
    <w:lvl w:ilvl="5" w:tplc="30EAD04E">
      <w:numFmt w:val="decimal"/>
      <w:lvlText w:val=""/>
      <w:lvlJc w:val="left"/>
    </w:lvl>
    <w:lvl w:ilvl="6" w:tplc="E33E6744">
      <w:numFmt w:val="decimal"/>
      <w:lvlText w:val=""/>
      <w:lvlJc w:val="left"/>
    </w:lvl>
    <w:lvl w:ilvl="7" w:tplc="17F80308">
      <w:numFmt w:val="decimal"/>
      <w:lvlText w:val=""/>
      <w:lvlJc w:val="left"/>
    </w:lvl>
    <w:lvl w:ilvl="8" w:tplc="998CF6C6">
      <w:numFmt w:val="decimal"/>
      <w:lvlText w:val=""/>
      <w:lvlJc w:val="left"/>
    </w:lvl>
  </w:abstractNum>
  <w:abstractNum w:abstractNumId="25" w15:restartNumberingAfterBreak="0">
    <w:nsid w:val="5B3076FC"/>
    <w:multiLevelType w:val="hybridMultilevel"/>
    <w:tmpl w:val="D3EEEA92"/>
    <w:lvl w:ilvl="0" w:tplc="B2085BD6">
      <w:start w:val="1"/>
      <w:numFmt w:val="decimal"/>
      <w:lvlText w:val="(%1)"/>
      <w:lvlJc w:val="left"/>
      <w:pPr>
        <w:tabs>
          <w:tab w:val="num" w:pos="1440"/>
        </w:tabs>
        <w:ind w:left="1440" w:hanging="720"/>
      </w:pPr>
      <w:rPr>
        <w:rFonts w:hint="default"/>
      </w:rPr>
    </w:lvl>
    <w:lvl w:ilvl="1" w:tplc="AD366EF4">
      <w:numFmt w:val="decimal"/>
      <w:lvlText w:val=""/>
      <w:lvlJc w:val="left"/>
    </w:lvl>
    <w:lvl w:ilvl="2" w:tplc="F5184626">
      <w:numFmt w:val="decimal"/>
      <w:lvlText w:val=""/>
      <w:lvlJc w:val="left"/>
    </w:lvl>
    <w:lvl w:ilvl="3" w:tplc="8D4634D6">
      <w:numFmt w:val="decimal"/>
      <w:lvlText w:val=""/>
      <w:lvlJc w:val="left"/>
    </w:lvl>
    <w:lvl w:ilvl="4" w:tplc="6DA0FCBA">
      <w:numFmt w:val="decimal"/>
      <w:lvlText w:val=""/>
      <w:lvlJc w:val="left"/>
    </w:lvl>
    <w:lvl w:ilvl="5" w:tplc="07386DBC">
      <w:numFmt w:val="decimal"/>
      <w:lvlText w:val=""/>
      <w:lvlJc w:val="left"/>
    </w:lvl>
    <w:lvl w:ilvl="6" w:tplc="481856EE">
      <w:numFmt w:val="decimal"/>
      <w:lvlText w:val=""/>
      <w:lvlJc w:val="left"/>
    </w:lvl>
    <w:lvl w:ilvl="7" w:tplc="69BA5F4E">
      <w:numFmt w:val="decimal"/>
      <w:lvlText w:val=""/>
      <w:lvlJc w:val="left"/>
    </w:lvl>
    <w:lvl w:ilvl="8" w:tplc="D1FA124C">
      <w:numFmt w:val="decimal"/>
      <w:lvlText w:val=""/>
      <w:lvlJc w:val="left"/>
    </w:lvl>
  </w:abstractNum>
  <w:abstractNum w:abstractNumId="26" w15:restartNumberingAfterBreak="0">
    <w:nsid w:val="5D000DF6"/>
    <w:multiLevelType w:val="hybridMultilevel"/>
    <w:tmpl w:val="1EECB71E"/>
    <w:lvl w:ilvl="0" w:tplc="490A7ECC">
      <w:start w:val="1"/>
      <w:numFmt w:val="bullet"/>
      <w:lvlText w:val=""/>
      <w:lvlJc w:val="left"/>
      <w:pPr>
        <w:tabs>
          <w:tab w:val="num" w:pos="360"/>
        </w:tabs>
        <w:ind w:left="360" w:hanging="360"/>
      </w:pPr>
      <w:rPr>
        <w:rFonts w:ascii="Symbol" w:hAnsi="Symbol" w:hint="default"/>
      </w:rPr>
    </w:lvl>
    <w:lvl w:ilvl="1" w:tplc="E682C5FC">
      <w:numFmt w:val="decimal"/>
      <w:lvlText w:val=""/>
      <w:lvlJc w:val="left"/>
    </w:lvl>
    <w:lvl w:ilvl="2" w:tplc="D818AF96">
      <w:numFmt w:val="decimal"/>
      <w:lvlText w:val=""/>
      <w:lvlJc w:val="left"/>
    </w:lvl>
    <w:lvl w:ilvl="3" w:tplc="7A685054">
      <w:numFmt w:val="decimal"/>
      <w:lvlText w:val=""/>
      <w:lvlJc w:val="left"/>
    </w:lvl>
    <w:lvl w:ilvl="4" w:tplc="2144AC0C">
      <w:numFmt w:val="decimal"/>
      <w:lvlText w:val=""/>
      <w:lvlJc w:val="left"/>
    </w:lvl>
    <w:lvl w:ilvl="5" w:tplc="EB26A7E2">
      <w:numFmt w:val="decimal"/>
      <w:lvlText w:val=""/>
      <w:lvlJc w:val="left"/>
    </w:lvl>
    <w:lvl w:ilvl="6" w:tplc="030E8758">
      <w:numFmt w:val="decimal"/>
      <w:lvlText w:val=""/>
      <w:lvlJc w:val="left"/>
    </w:lvl>
    <w:lvl w:ilvl="7" w:tplc="9EEA0026">
      <w:numFmt w:val="decimal"/>
      <w:lvlText w:val=""/>
      <w:lvlJc w:val="left"/>
    </w:lvl>
    <w:lvl w:ilvl="8" w:tplc="0686A47E">
      <w:numFmt w:val="decimal"/>
      <w:lvlText w:val=""/>
      <w:lvlJc w:val="left"/>
    </w:lvl>
  </w:abstractNum>
  <w:abstractNum w:abstractNumId="27" w15:restartNumberingAfterBreak="0">
    <w:nsid w:val="68863B9A"/>
    <w:multiLevelType w:val="hybridMultilevel"/>
    <w:tmpl w:val="7A4065D4"/>
    <w:lvl w:ilvl="0" w:tplc="11D2FC4C">
      <w:start w:val="2"/>
      <w:numFmt w:val="lowerLetter"/>
      <w:lvlText w:val="%1."/>
      <w:lvlJc w:val="left"/>
      <w:pPr>
        <w:tabs>
          <w:tab w:val="num" w:pos="1080"/>
        </w:tabs>
        <w:ind w:left="1080" w:hanging="360"/>
      </w:pPr>
      <w:rPr>
        <w:rFonts w:hint="default"/>
      </w:rPr>
    </w:lvl>
    <w:lvl w:ilvl="1" w:tplc="BB8EDDD0">
      <w:numFmt w:val="decimal"/>
      <w:lvlText w:val=""/>
      <w:lvlJc w:val="left"/>
    </w:lvl>
    <w:lvl w:ilvl="2" w:tplc="2F3C9130">
      <w:numFmt w:val="decimal"/>
      <w:lvlText w:val=""/>
      <w:lvlJc w:val="left"/>
    </w:lvl>
    <w:lvl w:ilvl="3" w:tplc="59BE55F2">
      <w:numFmt w:val="decimal"/>
      <w:lvlText w:val=""/>
      <w:lvlJc w:val="left"/>
    </w:lvl>
    <w:lvl w:ilvl="4" w:tplc="AA167C7C">
      <w:numFmt w:val="decimal"/>
      <w:lvlText w:val=""/>
      <w:lvlJc w:val="left"/>
    </w:lvl>
    <w:lvl w:ilvl="5" w:tplc="44224990">
      <w:numFmt w:val="decimal"/>
      <w:lvlText w:val=""/>
      <w:lvlJc w:val="left"/>
    </w:lvl>
    <w:lvl w:ilvl="6" w:tplc="9C665AD8">
      <w:numFmt w:val="decimal"/>
      <w:lvlText w:val=""/>
      <w:lvlJc w:val="left"/>
    </w:lvl>
    <w:lvl w:ilvl="7" w:tplc="9000D1B4">
      <w:numFmt w:val="decimal"/>
      <w:lvlText w:val=""/>
      <w:lvlJc w:val="left"/>
    </w:lvl>
    <w:lvl w:ilvl="8" w:tplc="8870B1CE">
      <w:numFmt w:val="decimal"/>
      <w:lvlText w:val=""/>
      <w:lvlJc w:val="left"/>
    </w:lvl>
  </w:abstractNum>
  <w:abstractNum w:abstractNumId="28" w15:restartNumberingAfterBreak="0">
    <w:nsid w:val="6E144BE8"/>
    <w:multiLevelType w:val="hybridMultilevel"/>
    <w:tmpl w:val="0696E2FC"/>
    <w:lvl w:ilvl="0" w:tplc="99667C58">
      <w:start w:val="1"/>
      <w:numFmt w:val="bullet"/>
      <w:lvlText w:val=""/>
      <w:lvlJc w:val="left"/>
      <w:pPr>
        <w:tabs>
          <w:tab w:val="num" w:pos="1080"/>
        </w:tabs>
        <w:ind w:left="864" w:hanging="144"/>
      </w:pPr>
      <w:rPr>
        <w:rFonts w:ascii="Symbol" w:hAnsi="Symbol" w:hint="default"/>
      </w:rPr>
    </w:lvl>
    <w:lvl w:ilvl="1" w:tplc="C2DE74FE">
      <w:numFmt w:val="decimal"/>
      <w:lvlText w:val=""/>
      <w:lvlJc w:val="left"/>
    </w:lvl>
    <w:lvl w:ilvl="2" w:tplc="AC4C8264">
      <w:numFmt w:val="decimal"/>
      <w:lvlText w:val=""/>
      <w:lvlJc w:val="left"/>
    </w:lvl>
    <w:lvl w:ilvl="3" w:tplc="D3921BDE">
      <w:numFmt w:val="decimal"/>
      <w:lvlText w:val=""/>
      <w:lvlJc w:val="left"/>
    </w:lvl>
    <w:lvl w:ilvl="4" w:tplc="864A6CEA">
      <w:numFmt w:val="decimal"/>
      <w:lvlText w:val=""/>
      <w:lvlJc w:val="left"/>
    </w:lvl>
    <w:lvl w:ilvl="5" w:tplc="CB006C76">
      <w:numFmt w:val="decimal"/>
      <w:lvlText w:val=""/>
      <w:lvlJc w:val="left"/>
    </w:lvl>
    <w:lvl w:ilvl="6" w:tplc="56324B2E">
      <w:numFmt w:val="decimal"/>
      <w:lvlText w:val=""/>
      <w:lvlJc w:val="left"/>
    </w:lvl>
    <w:lvl w:ilvl="7" w:tplc="82965572">
      <w:numFmt w:val="decimal"/>
      <w:lvlText w:val=""/>
      <w:lvlJc w:val="left"/>
    </w:lvl>
    <w:lvl w:ilvl="8" w:tplc="82046990">
      <w:numFmt w:val="decimal"/>
      <w:lvlText w:val=""/>
      <w:lvlJc w:val="left"/>
    </w:lvl>
  </w:abstractNum>
  <w:abstractNum w:abstractNumId="29" w15:restartNumberingAfterBreak="0">
    <w:nsid w:val="6EB572E7"/>
    <w:multiLevelType w:val="hybridMultilevel"/>
    <w:tmpl w:val="990CE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2D07D8"/>
    <w:multiLevelType w:val="hybridMultilevel"/>
    <w:tmpl w:val="32EC0CEE"/>
    <w:lvl w:ilvl="0" w:tplc="104A3938">
      <w:start w:val="1"/>
      <w:numFmt w:val="bullet"/>
      <w:lvlText w:val=""/>
      <w:lvlJc w:val="left"/>
      <w:pPr>
        <w:tabs>
          <w:tab w:val="num" w:pos="720"/>
        </w:tabs>
        <w:ind w:left="720" w:hanging="360"/>
      </w:pPr>
      <w:rPr>
        <w:rFonts w:ascii="Symbol" w:hAnsi="Symbol" w:hint="default"/>
        <w:sz w:val="20"/>
      </w:rPr>
    </w:lvl>
    <w:lvl w:ilvl="1" w:tplc="ABCE7064" w:tentative="1">
      <w:start w:val="1"/>
      <w:numFmt w:val="bullet"/>
      <w:lvlText w:val="o"/>
      <w:lvlJc w:val="left"/>
      <w:pPr>
        <w:tabs>
          <w:tab w:val="num" w:pos="1440"/>
        </w:tabs>
        <w:ind w:left="1440" w:hanging="360"/>
      </w:pPr>
      <w:rPr>
        <w:rFonts w:ascii="Courier New" w:hAnsi="Courier New" w:hint="default"/>
        <w:sz w:val="20"/>
      </w:rPr>
    </w:lvl>
    <w:lvl w:ilvl="2" w:tplc="3B849B9E" w:tentative="1">
      <w:start w:val="1"/>
      <w:numFmt w:val="bullet"/>
      <w:lvlText w:val=""/>
      <w:lvlJc w:val="left"/>
      <w:pPr>
        <w:tabs>
          <w:tab w:val="num" w:pos="2160"/>
        </w:tabs>
        <w:ind w:left="2160" w:hanging="360"/>
      </w:pPr>
      <w:rPr>
        <w:rFonts w:ascii="Wingdings" w:hAnsi="Wingdings" w:hint="default"/>
        <w:sz w:val="20"/>
      </w:rPr>
    </w:lvl>
    <w:lvl w:ilvl="3" w:tplc="9F1C63DA" w:tentative="1">
      <w:start w:val="1"/>
      <w:numFmt w:val="bullet"/>
      <w:lvlText w:val=""/>
      <w:lvlJc w:val="left"/>
      <w:pPr>
        <w:tabs>
          <w:tab w:val="num" w:pos="2880"/>
        </w:tabs>
        <w:ind w:left="2880" w:hanging="360"/>
      </w:pPr>
      <w:rPr>
        <w:rFonts w:ascii="Wingdings" w:hAnsi="Wingdings" w:hint="default"/>
        <w:sz w:val="20"/>
      </w:rPr>
    </w:lvl>
    <w:lvl w:ilvl="4" w:tplc="0C522B40" w:tentative="1">
      <w:start w:val="1"/>
      <w:numFmt w:val="bullet"/>
      <w:lvlText w:val=""/>
      <w:lvlJc w:val="left"/>
      <w:pPr>
        <w:tabs>
          <w:tab w:val="num" w:pos="3600"/>
        </w:tabs>
        <w:ind w:left="3600" w:hanging="360"/>
      </w:pPr>
      <w:rPr>
        <w:rFonts w:ascii="Wingdings" w:hAnsi="Wingdings" w:hint="default"/>
        <w:sz w:val="20"/>
      </w:rPr>
    </w:lvl>
    <w:lvl w:ilvl="5" w:tplc="83586B2A" w:tentative="1">
      <w:start w:val="1"/>
      <w:numFmt w:val="bullet"/>
      <w:lvlText w:val=""/>
      <w:lvlJc w:val="left"/>
      <w:pPr>
        <w:tabs>
          <w:tab w:val="num" w:pos="4320"/>
        </w:tabs>
        <w:ind w:left="4320" w:hanging="360"/>
      </w:pPr>
      <w:rPr>
        <w:rFonts w:ascii="Wingdings" w:hAnsi="Wingdings" w:hint="default"/>
        <w:sz w:val="20"/>
      </w:rPr>
    </w:lvl>
    <w:lvl w:ilvl="6" w:tplc="B91C1B1C" w:tentative="1">
      <w:start w:val="1"/>
      <w:numFmt w:val="bullet"/>
      <w:lvlText w:val=""/>
      <w:lvlJc w:val="left"/>
      <w:pPr>
        <w:tabs>
          <w:tab w:val="num" w:pos="5040"/>
        </w:tabs>
        <w:ind w:left="5040" w:hanging="360"/>
      </w:pPr>
      <w:rPr>
        <w:rFonts w:ascii="Wingdings" w:hAnsi="Wingdings" w:hint="default"/>
        <w:sz w:val="20"/>
      </w:rPr>
    </w:lvl>
    <w:lvl w:ilvl="7" w:tplc="78804C4E" w:tentative="1">
      <w:start w:val="1"/>
      <w:numFmt w:val="bullet"/>
      <w:lvlText w:val=""/>
      <w:lvlJc w:val="left"/>
      <w:pPr>
        <w:tabs>
          <w:tab w:val="num" w:pos="5760"/>
        </w:tabs>
        <w:ind w:left="5760" w:hanging="360"/>
      </w:pPr>
      <w:rPr>
        <w:rFonts w:ascii="Wingdings" w:hAnsi="Wingdings" w:hint="default"/>
        <w:sz w:val="20"/>
      </w:rPr>
    </w:lvl>
    <w:lvl w:ilvl="8" w:tplc="B13A90B0"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E460A0"/>
    <w:multiLevelType w:val="hybridMultilevel"/>
    <w:tmpl w:val="51A2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77458B"/>
    <w:multiLevelType w:val="multilevel"/>
    <w:tmpl w:val="0696E2FC"/>
    <w:lvl w:ilvl="0">
      <w:start w:val="1"/>
      <w:numFmt w:val="bullet"/>
      <w:lvlText w:val=""/>
      <w:lvlJc w:val="left"/>
      <w:pPr>
        <w:tabs>
          <w:tab w:val="num" w:pos="1080"/>
        </w:tabs>
        <w:ind w:left="864" w:hanging="144"/>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2"/>
  </w:num>
  <w:num w:numId="3">
    <w:abstractNumId w:val="25"/>
  </w:num>
  <w:num w:numId="4">
    <w:abstractNumId w:val="13"/>
  </w:num>
  <w:num w:numId="5">
    <w:abstractNumId w:val="17"/>
  </w:num>
  <w:num w:numId="6">
    <w:abstractNumId w:val="23"/>
  </w:num>
  <w:num w:numId="7">
    <w:abstractNumId w:val="24"/>
  </w:num>
  <w:num w:numId="8">
    <w:abstractNumId w:val="19"/>
  </w:num>
  <w:num w:numId="9">
    <w:abstractNumId w:val="9"/>
  </w:num>
  <w:num w:numId="10">
    <w:abstractNumId w:val="28"/>
  </w:num>
  <w:num w:numId="11">
    <w:abstractNumId w:val="16"/>
  </w:num>
  <w:num w:numId="12">
    <w:abstractNumId w:val="8"/>
  </w:num>
  <w:num w:numId="13">
    <w:abstractNumId w:val="32"/>
  </w:num>
  <w:num w:numId="14">
    <w:abstractNumId w:val="6"/>
  </w:num>
  <w:num w:numId="15">
    <w:abstractNumId w:val="18"/>
  </w:num>
  <w:num w:numId="16">
    <w:abstractNumId w:val="11"/>
  </w:num>
  <w:num w:numId="17">
    <w:abstractNumId w:val="27"/>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21"/>
  </w:num>
  <w:num w:numId="20">
    <w:abstractNumId w:val="26"/>
  </w:num>
  <w:num w:numId="21">
    <w:abstractNumId w:val="20"/>
  </w:num>
  <w:num w:numId="22">
    <w:abstractNumId w:val="14"/>
  </w:num>
  <w:num w:numId="23">
    <w:abstractNumId w:val="3"/>
  </w:num>
  <w:num w:numId="24">
    <w:abstractNumId w:val="2"/>
  </w:num>
  <w:num w:numId="25">
    <w:abstractNumId w:val="1"/>
  </w:num>
  <w:num w:numId="26">
    <w:abstractNumId w:val="4"/>
  </w:num>
  <w:num w:numId="27">
    <w:abstractNumId w:val="12"/>
  </w:num>
  <w:num w:numId="28">
    <w:abstractNumId w:val="29"/>
  </w:num>
  <w:num w:numId="29">
    <w:abstractNumId w:val="5"/>
  </w:num>
  <w:num w:numId="30">
    <w:abstractNumId w:val="31"/>
  </w:num>
  <w:num w:numId="31">
    <w:abstractNumId w:val="10"/>
  </w:num>
  <w:num w:numId="32">
    <w:abstractNumId w:val="3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D6"/>
    <w:rsid w:val="0000103A"/>
    <w:rsid w:val="0000442D"/>
    <w:rsid w:val="00006463"/>
    <w:rsid w:val="00007D6C"/>
    <w:rsid w:val="00010BCD"/>
    <w:rsid w:val="00012FBC"/>
    <w:rsid w:val="000202B1"/>
    <w:rsid w:val="00031497"/>
    <w:rsid w:val="00031863"/>
    <w:rsid w:val="000319C5"/>
    <w:rsid w:val="000335C8"/>
    <w:rsid w:val="000343D4"/>
    <w:rsid w:val="00035CE2"/>
    <w:rsid w:val="00037550"/>
    <w:rsid w:val="00042924"/>
    <w:rsid w:val="0004715C"/>
    <w:rsid w:val="00047173"/>
    <w:rsid w:val="000472FB"/>
    <w:rsid w:val="0005023F"/>
    <w:rsid w:val="00051FDA"/>
    <w:rsid w:val="00053802"/>
    <w:rsid w:val="000542F7"/>
    <w:rsid w:val="00055A58"/>
    <w:rsid w:val="00055B2E"/>
    <w:rsid w:val="000562BC"/>
    <w:rsid w:val="00056CB4"/>
    <w:rsid w:val="0007051E"/>
    <w:rsid w:val="00070632"/>
    <w:rsid w:val="0007275E"/>
    <w:rsid w:val="00074465"/>
    <w:rsid w:val="00074696"/>
    <w:rsid w:val="000751C2"/>
    <w:rsid w:val="00076EF2"/>
    <w:rsid w:val="00092237"/>
    <w:rsid w:val="00093D64"/>
    <w:rsid w:val="00094370"/>
    <w:rsid w:val="000968B8"/>
    <w:rsid w:val="00097F0E"/>
    <w:rsid w:val="000A06E5"/>
    <w:rsid w:val="000A21D4"/>
    <w:rsid w:val="000A4447"/>
    <w:rsid w:val="000A6FC5"/>
    <w:rsid w:val="000B548C"/>
    <w:rsid w:val="000B6DBA"/>
    <w:rsid w:val="000C04BA"/>
    <w:rsid w:val="000C2988"/>
    <w:rsid w:val="000C4293"/>
    <w:rsid w:val="000C4472"/>
    <w:rsid w:val="000D26F2"/>
    <w:rsid w:val="000D3637"/>
    <w:rsid w:val="000D5644"/>
    <w:rsid w:val="000E1455"/>
    <w:rsid w:val="000E26FA"/>
    <w:rsid w:val="000E7B5C"/>
    <w:rsid w:val="000F5AF7"/>
    <w:rsid w:val="000F5D83"/>
    <w:rsid w:val="00100393"/>
    <w:rsid w:val="00100555"/>
    <w:rsid w:val="00106C69"/>
    <w:rsid w:val="00107BDE"/>
    <w:rsid w:val="001114AE"/>
    <w:rsid w:val="001130E8"/>
    <w:rsid w:val="001137C6"/>
    <w:rsid w:val="00117048"/>
    <w:rsid w:val="00120842"/>
    <w:rsid w:val="00122E51"/>
    <w:rsid w:val="00124D01"/>
    <w:rsid w:val="00126E0F"/>
    <w:rsid w:val="00127B83"/>
    <w:rsid w:val="00127D20"/>
    <w:rsid w:val="00130DE9"/>
    <w:rsid w:val="001334B0"/>
    <w:rsid w:val="001339FA"/>
    <w:rsid w:val="0013430F"/>
    <w:rsid w:val="001351FC"/>
    <w:rsid w:val="00136B20"/>
    <w:rsid w:val="001408DE"/>
    <w:rsid w:val="00141549"/>
    <w:rsid w:val="00141A7D"/>
    <w:rsid w:val="00141C5C"/>
    <w:rsid w:val="00145AC6"/>
    <w:rsid w:val="001505CE"/>
    <w:rsid w:val="001528A4"/>
    <w:rsid w:val="00155B2D"/>
    <w:rsid w:val="00162982"/>
    <w:rsid w:val="00163710"/>
    <w:rsid w:val="0016687E"/>
    <w:rsid w:val="00166DEC"/>
    <w:rsid w:val="00171BBC"/>
    <w:rsid w:val="00172267"/>
    <w:rsid w:val="0018192F"/>
    <w:rsid w:val="00183534"/>
    <w:rsid w:val="001869D2"/>
    <w:rsid w:val="00191158"/>
    <w:rsid w:val="00192556"/>
    <w:rsid w:val="00192973"/>
    <w:rsid w:val="00194A62"/>
    <w:rsid w:val="0019549C"/>
    <w:rsid w:val="00197251"/>
    <w:rsid w:val="001A199D"/>
    <w:rsid w:val="001A1B2D"/>
    <w:rsid w:val="001A22A5"/>
    <w:rsid w:val="001A2C95"/>
    <w:rsid w:val="001B1A10"/>
    <w:rsid w:val="001B2CED"/>
    <w:rsid w:val="001B64F7"/>
    <w:rsid w:val="001B6DF0"/>
    <w:rsid w:val="001B6F76"/>
    <w:rsid w:val="001C18B1"/>
    <w:rsid w:val="001C2A02"/>
    <w:rsid w:val="001C4B22"/>
    <w:rsid w:val="001C4CC1"/>
    <w:rsid w:val="001C5A4D"/>
    <w:rsid w:val="001D3A78"/>
    <w:rsid w:val="001D6743"/>
    <w:rsid w:val="001E1231"/>
    <w:rsid w:val="001E6E04"/>
    <w:rsid w:val="001F3A2D"/>
    <w:rsid w:val="00201E65"/>
    <w:rsid w:val="002030D4"/>
    <w:rsid w:val="0020431B"/>
    <w:rsid w:val="0021147F"/>
    <w:rsid w:val="0022164A"/>
    <w:rsid w:val="00222489"/>
    <w:rsid w:val="0022270F"/>
    <w:rsid w:val="002234B0"/>
    <w:rsid w:val="0022399E"/>
    <w:rsid w:val="00226FE9"/>
    <w:rsid w:val="00227C47"/>
    <w:rsid w:val="00231776"/>
    <w:rsid w:val="002329DE"/>
    <w:rsid w:val="00233A53"/>
    <w:rsid w:val="00235123"/>
    <w:rsid w:val="002366B4"/>
    <w:rsid w:val="00237711"/>
    <w:rsid w:val="00241495"/>
    <w:rsid w:val="002468C7"/>
    <w:rsid w:val="00247A30"/>
    <w:rsid w:val="0025122C"/>
    <w:rsid w:val="00251725"/>
    <w:rsid w:val="00252374"/>
    <w:rsid w:val="00253D45"/>
    <w:rsid w:val="00254B0B"/>
    <w:rsid w:val="00260CBC"/>
    <w:rsid w:val="00263FA8"/>
    <w:rsid w:val="00264251"/>
    <w:rsid w:val="00264743"/>
    <w:rsid w:val="00270100"/>
    <w:rsid w:val="0027013C"/>
    <w:rsid w:val="00272CF0"/>
    <w:rsid w:val="00272D1F"/>
    <w:rsid w:val="002771A9"/>
    <w:rsid w:val="0027733D"/>
    <w:rsid w:val="00277C6A"/>
    <w:rsid w:val="0028152C"/>
    <w:rsid w:val="002865D9"/>
    <w:rsid w:val="0029074D"/>
    <w:rsid w:val="00290AAB"/>
    <w:rsid w:val="002965AE"/>
    <w:rsid w:val="00297C37"/>
    <w:rsid w:val="002A0852"/>
    <w:rsid w:val="002A106D"/>
    <w:rsid w:val="002A229B"/>
    <w:rsid w:val="002A2F30"/>
    <w:rsid w:val="002A3DF6"/>
    <w:rsid w:val="002A58E5"/>
    <w:rsid w:val="002A7031"/>
    <w:rsid w:val="002B0649"/>
    <w:rsid w:val="002B0BDA"/>
    <w:rsid w:val="002B341C"/>
    <w:rsid w:val="002B483D"/>
    <w:rsid w:val="002B4BF6"/>
    <w:rsid w:val="002C05B0"/>
    <w:rsid w:val="002C2275"/>
    <w:rsid w:val="002C2322"/>
    <w:rsid w:val="002C237C"/>
    <w:rsid w:val="002C511A"/>
    <w:rsid w:val="002C6C07"/>
    <w:rsid w:val="002D6219"/>
    <w:rsid w:val="002E0AB9"/>
    <w:rsid w:val="002E1609"/>
    <w:rsid w:val="002E1A9C"/>
    <w:rsid w:val="002E2BB5"/>
    <w:rsid w:val="002E2BEB"/>
    <w:rsid w:val="002E7D1C"/>
    <w:rsid w:val="002F28E3"/>
    <w:rsid w:val="002F2A01"/>
    <w:rsid w:val="002F76D7"/>
    <w:rsid w:val="00303765"/>
    <w:rsid w:val="003040D3"/>
    <w:rsid w:val="00312237"/>
    <w:rsid w:val="0031327A"/>
    <w:rsid w:val="00316440"/>
    <w:rsid w:val="00317BCE"/>
    <w:rsid w:val="00331C9B"/>
    <w:rsid w:val="00332322"/>
    <w:rsid w:val="00332A4A"/>
    <w:rsid w:val="00333D1E"/>
    <w:rsid w:val="00340862"/>
    <w:rsid w:val="00341049"/>
    <w:rsid w:val="0034148A"/>
    <w:rsid w:val="00345659"/>
    <w:rsid w:val="00345ED8"/>
    <w:rsid w:val="00352659"/>
    <w:rsid w:val="00352B2F"/>
    <w:rsid w:val="00361145"/>
    <w:rsid w:val="00362B14"/>
    <w:rsid w:val="00364EE8"/>
    <w:rsid w:val="003666E3"/>
    <w:rsid w:val="00367AB5"/>
    <w:rsid w:val="00370570"/>
    <w:rsid w:val="00371242"/>
    <w:rsid w:val="00373CF9"/>
    <w:rsid w:val="00373DCC"/>
    <w:rsid w:val="00374B88"/>
    <w:rsid w:val="00377D10"/>
    <w:rsid w:val="00381F93"/>
    <w:rsid w:val="00383A50"/>
    <w:rsid w:val="00385D04"/>
    <w:rsid w:val="0039325E"/>
    <w:rsid w:val="00394081"/>
    <w:rsid w:val="003A1E50"/>
    <w:rsid w:val="003A2A34"/>
    <w:rsid w:val="003A3B94"/>
    <w:rsid w:val="003A4655"/>
    <w:rsid w:val="003B0AEE"/>
    <w:rsid w:val="003B2233"/>
    <w:rsid w:val="003B5E20"/>
    <w:rsid w:val="003B68FA"/>
    <w:rsid w:val="003B77E9"/>
    <w:rsid w:val="003C04F3"/>
    <w:rsid w:val="003C0C25"/>
    <w:rsid w:val="003C1532"/>
    <w:rsid w:val="003C3F85"/>
    <w:rsid w:val="003C4DEC"/>
    <w:rsid w:val="003C5F1F"/>
    <w:rsid w:val="003D106B"/>
    <w:rsid w:val="003D51A2"/>
    <w:rsid w:val="003D64C9"/>
    <w:rsid w:val="003E0D23"/>
    <w:rsid w:val="003E24B6"/>
    <w:rsid w:val="003E2CC1"/>
    <w:rsid w:val="003E4418"/>
    <w:rsid w:val="003E474E"/>
    <w:rsid w:val="003E6DD8"/>
    <w:rsid w:val="003F30FA"/>
    <w:rsid w:val="003F6662"/>
    <w:rsid w:val="0040367D"/>
    <w:rsid w:val="00403C61"/>
    <w:rsid w:val="00404655"/>
    <w:rsid w:val="00406155"/>
    <w:rsid w:val="004076BD"/>
    <w:rsid w:val="00407866"/>
    <w:rsid w:val="00410B44"/>
    <w:rsid w:val="00410EF9"/>
    <w:rsid w:val="00413E8E"/>
    <w:rsid w:val="00416752"/>
    <w:rsid w:val="00417015"/>
    <w:rsid w:val="004178F4"/>
    <w:rsid w:val="00425E61"/>
    <w:rsid w:val="00426275"/>
    <w:rsid w:val="00434E43"/>
    <w:rsid w:val="00437C77"/>
    <w:rsid w:val="00441B42"/>
    <w:rsid w:val="004433E1"/>
    <w:rsid w:val="00446EAA"/>
    <w:rsid w:val="00446EFD"/>
    <w:rsid w:val="00447C3A"/>
    <w:rsid w:val="00451427"/>
    <w:rsid w:val="00451ECF"/>
    <w:rsid w:val="004522B0"/>
    <w:rsid w:val="00455114"/>
    <w:rsid w:val="00455B29"/>
    <w:rsid w:val="00460234"/>
    <w:rsid w:val="00462C47"/>
    <w:rsid w:val="0046350D"/>
    <w:rsid w:val="004679E9"/>
    <w:rsid w:val="004700DD"/>
    <w:rsid w:val="00472960"/>
    <w:rsid w:val="00482F9B"/>
    <w:rsid w:val="00485031"/>
    <w:rsid w:val="00487AE1"/>
    <w:rsid w:val="0049217A"/>
    <w:rsid w:val="00493356"/>
    <w:rsid w:val="004962A0"/>
    <w:rsid w:val="00497567"/>
    <w:rsid w:val="004A0DE6"/>
    <w:rsid w:val="004A37EE"/>
    <w:rsid w:val="004A42B4"/>
    <w:rsid w:val="004B2860"/>
    <w:rsid w:val="004B62D9"/>
    <w:rsid w:val="004B7E96"/>
    <w:rsid w:val="004C1411"/>
    <w:rsid w:val="004C21F8"/>
    <w:rsid w:val="004C6F0C"/>
    <w:rsid w:val="004D32F7"/>
    <w:rsid w:val="004D51AD"/>
    <w:rsid w:val="004D77CF"/>
    <w:rsid w:val="004E29DC"/>
    <w:rsid w:val="004E3950"/>
    <w:rsid w:val="004E73D3"/>
    <w:rsid w:val="004E74A3"/>
    <w:rsid w:val="004F19C6"/>
    <w:rsid w:val="005003AB"/>
    <w:rsid w:val="005014E5"/>
    <w:rsid w:val="00501969"/>
    <w:rsid w:val="00506797"/>
    <w:rsid w:val="00506B77"/>
    <w:rsid w:val="0051005D"/>
    <w:rsid w:val="00515467"/>
    <w:rsid w:val="00517220"/>
    <w:rsid w:val="005202D4"/>
    <w:rsid w:val="00523D55"/>
    <w:rsid w:val="005245F3"/>
    <w:rsid w:val="00524F16"/>
    <w:rsid w:val="005250C7"/>
    <w:rsid w:val="00526143"/>
    <w:rsid w:val="0052686C"/>
    <w:rsid w:val="00526F84"/>
    <w:rsid w:val="005309AB"/>
    <w:rsid w:val="00530B29"/>
    <w:rsid w:val="005315E8"/>
    <w:rsid w:val="00534145"/>
    <w:rsid w:val="005372DD"/>
    <w:rsid w:val="005420D3"/>
    <w:rsid w:val="00542BE9"/>
    <w:rsid w:val="005448DF"/>
    <w:rsid w:val="0055002E"/>
    <w:rsid w:val="00550B78"/>
    <w:rsid w:val="00550FCB"/>
    <w:rsid w:val="0055368D"/>
    <w:rsid w:val="00555672"/>
    <w:rsid w:val="005577AB"/>
    <w:rsid w:val="00562B0C"/>
    <w:rsid w:val="00564407"/>
    <w:rsid w:val="0057005A"/>
    <w:rsid w:val="005705BA"/>
    <w:rsid w:val="00573B59"/>
    <w:rsid w:val="005751DE"/>
    <w:rsid w:val="005776A6"/>
    <w:rsid w:val="00580426"/>
    <w:rsid w:val="00580711"/>
    <w:rsid w:val="005817B5"/>
    <w:rsid w:val="00583109"/>
    <w:rsid w:val="00583DE0"/>
    <w:rsid w:val="00584664"/>
    <w:rsid w:val="00587455"/>
    <w:rsid w:val="005924FE"/>
    <w:rsid w:val="00592EA8"/>
    <w:rsid w:val="00594F6D"/>
    <w:rsid w:val="00596337"/>
    <w:rsid w:val="00596A43"/>
    <w:rsid w:val="005972D2"/>
    <w:rsid w:val="005A0C14"/>
    <w:rsid w:val="005A4A2C"/>
    <w:rsid w:val="005A72A2"/>
    <w:rsid w:val="005B204A"/>
    <w:rsid w:val="005B396F"/>
    <w:rsid w:val="005B3F5E"/>
    <w:rsid w:val="005B52D1"/>
    <w:rsid w:val="005C2859"/>
    <w:rsid w:val="005C3DCA"/>
    <w:rsid w:val="005C6D79"/>
    <w:rsid w:val="005C7058"/>
    <w:rsid w:val="005D0717"/>
    <w:rsid w:val="005D2E93"/>
    <w:rsid w:val="005D3929"/>
    <w:rsid w:val="005D577A"/>
    <w:rsid w:val="005D6326"/>
    <w:rsid w:val="005D6EC2"/>
    <w:rsid w:val="005D7769"/>
    <w:rsid w:val="005D781B"/>
    <w:rsid w:val="005E276E"/>
    <w:rsid w:val="005E30B3"/>
    <w:rsid w:val="005E619A"/>
    <w:rsid w:val="005E6E13"/>
    <w:rsid w:val="005F09A3"/>
    <w:rsid w:val="006011C5"/>
    <w:rsid w:val="00607620"/>
    <w:rsid w:val="0060769A"/>
    <w:rsid w:val="00607DFF"/>
    <w:rsid w:val="00610C12"/>
    <w:rsid w:val="0061298A"/>
    <w:rsid w:val="006145D1"/>
    <w:rsid w:val="0061469D"/>
    <w:rsid w:val="00614B86"/>
    <w:rsid w:val="00614CF6"/>
    <w:rsid w:val="00615DFD"/>
    <w:rsid w:val="006207DB"/>
    <w:rsid w:val="00621D61"/>
    <w:rsid w:val="00624364"/>
    <w:rsid w:val="00625391"/>
    <w:rsid w:val="006358B5"/>
    <w:rsid w:val="00640D04"/>
    <w:rsid w:val="00644D71"/>
    <w:rsid w:val="00654318"/>
    <w:rsid w:val="00654846"/>
    <w:rsid w:val="006553FC"/>
    <w:rsid w:val="00657184"/>
    <w:rsid w:val="00657687"/>
    <w:rsid w:val="00657FD3"/>
    <w:rsid w:val="006651B2"/>
    <w:rsid w:val="006726EF"/>
    <w:rsid w:val="006749D4"/>
    <w:rsid w:val="00675584"/>
    <w:rsid w:val="00675806"/>
    <w:rsid w:val="00677CFC"/>
    <w:rsid w:val="006806D1"/>
    <w:rsid w:val="0068258B"/>
    <w:rsid w:val="0068289B"/>
    <w:rsid w:val="00686357"/>
    <w:rsid w:val="00693BFE"/>
    <w:rsid w:val="006A0B1C"/>
    <w:rsid w:val="006A1756"/>
    <w:rsid w:val="006A1FEA"/>
    <w:rsid w:val="006A26CA"/>
    <w:rsid w:val="006A7FF1"/>
    <w:rsid w:val="006B4394"/>
    <w:rsid w:val="006B4994"/>
    <w:rsid w:val="006C50B1"/>
    <w:rsid w:val="006C78B8"/>
    <w:rsid w:val="006D00B6"/>
    <w:rsid w:val="006D0E62"/>
    <w:rsid w:val="006D11F2"/>
    <w:rsid w:val="006D5C5C"/>
    <w:rsid w:val="006D5CCE"/>
    <w:rsid w:val="006D6502"/>
    <w:rsid w:val="006D7166"/>
    <w:rsid w:val="006D785E"/>
    <w:rsid w:val="006E1821"/>
    <w:rsid w:val="006E2E2C"/>
    <w:rsid w:val="006E32D9"/>
    <w:rsid w:val="006E4084"/>
    <w:rsid w:val="006E6F47"/>
    <w:rsid w:val="006F3F74"/>
    <w:rsid w:val="006F5001"/>
    <w:rsid w:val="007070EB"/>
    <w:rsid w:val="007108E2"/>
    <w:rsid w:val="00711A48"/>
    <w:rsid w:val="007130F7"/>
    <w:rsid w:val="00715500"/>
    <w:rsid w:val="00715780"/>
    <w:rsid w:val="007277A8"/>
    <w:rsid w:val="00730686"/>
    <w:rsid w:val="00730B9F"/>
    <w:rsid w:val="0073158C"/>
    <w:rsid w:val="00735A20"/>
    <w:rsid w:val="00741B83"/>
    <w:rsid w:val="007423AF"/>
    <w:rsid w:val="00742F2D"/>
    <w:rsid w:val="007443F3"/>
    <w:rsid w:val="00746077"/>
    <w:rsid w:val="007514CB"/>
    <w:rsid w:val="00752D76"/>
    <w:rsid w:val="007535E3"/>
    <w:rsid w:val="007535EC"/>
    <w:rsid w:val="007554E0"/>
    <w:rsid w:val="00761C2E"/>
    <w:rsid w:val="00762A06"/>
    <w:rsid w:val="007652E0"/>
    <w:rsid w:val="0077052A"/>
    <w:rsid w:val="0077056F"/>
    <w:rsid w:val="00774B5B"/>
    <w:rsid w:val="00774D1D"/>
    <w:rsid w:val="007756EE"/>
    <w:rsid w:val="00777BA4"/>
    <w:rsid w:val="00777DF1"/>
    <w:rsid w:val="007823EC"/>
    <w:rsid w:val="00784C9C"/>
    <w:rsid w:val="00795F1F"/>
    <w:rsid w:val="00797265"/>
    <w:rsid w:val="007A784A"/>
    <w:rsid w:val="007B56FB"/>
    <w:rsid w:val="007B5A8A"/>
    <w:rsid w:val="007B63A7"/>
    <w:rsid w:val="007B6D4E"/>
    <w:rsid w:val="007C0C05"/>
    <w:rsid w:val="007C34A4"/>
    <w:rsid w:val="007C66CE"/>
    <w:rsid w:val="007D0399"/>
    <w:rsid w:val="007D067C"/>
    <w:rsid w:val="007D30A0"/>
    <w:rsid w:val="007D4A80"/>
    <w:rsid w:val="007D5985"/>
    <w:rsid w:val="007D6CCB"/>
    <w:rsid w:val="007E1CA5"/>
    <w:rsid w:val="007E1FC3"/>
    <w:rsid w:val="007F1761"/>
    <w:rsid w:val="007F2024"/>
    <w:rsid w:val="007F4759"/>
    <w:rsid w:val="007F61EC"/>
    <w:rsid w:val="007F73D2"/>
    <w:rsid w:val="007F75DB"/>
    <w:rsid w:val="007F79EE"/>
    <w:rsid w:val="007F7B9E"/>
    <w:rsid w:val="00801162"/>
    <w:rsid w:val="00803A45"/>
    <w:rsid w:val="00804DD3"/>
    <w:rsid w:val="00806B01"/>
    <w:rsid w:val="00814020"/>
    <w:rsid w:val="008141B7"/>
    <w:rsid w:val="00817CC1"/>
    <w:rsid w:val="00820752"/>
    <w:rsid w:val="00824406"/>
    <w:rsid w:val="008273D8"/>
    <w:rsid w:val="008308FB"/>
    <w:rsid w:val="00833138"/>
    <w:rsid w:val="00833D27"/>
    <w:rsid w:val="00835A17"/>
    <w:rsid w:val="00836E47"/>
    <w:rsid w:val="00840338"/>
    <w:rsid w:val="00840B27"/>
    <w:rsid w:val="008419A6"/>
    <w:rsid w:val="0084209A"/>
    <w:rsid w:val="00844E31"/>
    <w:rsid w:val="00845931"/>
    <w:rsid w:val="00847251"/>
    <w:rsid w:val="008500FB"/>
    <w:rsid w:val="00851BF1"/>
    <w:rsid w:val="008561C9"/>
    <w:rsid w:val="0086268B"/>
    <w:rsid w:val="00867A91"/>
    <w:rsid w:val="008718D6"/>
    <w:rsid w:val="008719E8"/>
    <w:rsid w:val="00871C7D"/>
    <w:rsid w:val="00873586"/>
    <w:rsid w:val="008738B0"/>
    <w:rsid w:val="00875586"/>
    <w:rsid w:val="0087637A"/>
    <w:rsid w:val="008804CB"/>
    <w:rsid w:val="00882707"/>
    <w:rsid w:val="008845DA"/>
    <w:rsid w:val="00887178"/>
    <w:rsid w:val="008902BA"/>
    <w:rsid w:val="008924F0"/>
    <w:rsid w:val="00895D4D"/>
    <w:rsid w:val="00896006"/>
    <w:rsid w:val="0089665E"/>
    <w:rsid w:val="008A0E18"/>
    <w:rsid w:val="008A165F"/>
    <w:rsid w:val="008A221D"/>
    <w:rsid w:val="008A2D83"/>
    <w:rsid w:val="008A3D5A"/>
    <w:rsid w:val="008A698A"/>
    <w:rsid w:val="008A7721"/>
    <w:rsid w:val="008B2081"/>
    <w:rsid w:val="008B38E5"/>
    <w:rsid w:val="008B3DF5"/>
    <w:rsid w:val="008B524B"/>
    <w:rsid w:val="008B6065"/>
    <w:rsid w:val="008B706C"/>
    <w:rsid w:val="008B7403"/>
    <w:rsid w:val="008C27C3"/>
    <w:rsid w:val="008C3983"/>
    <w:rsid w:val="008C5CAC"/>
    <w:rsid w:val="008D0B84"/>
    <w:rsid w:val="008D2B57"/>
    <w:rsid w:val="008D5238"/>
    <w:rsid w:val="008D61ED"/>
    <w:rsid w:val="008D66F8"/>
    <w:rsid w:val="008D6757"/>
    <w:rsid w:val="008D744F"/>
    <w:rsid w:val="008E1CB8"/>
    <w:rsid w:val="008E283E"/>
    <w:rsid w:val="008E4152"/>
    <w:rsid w:val="008E53FE"/>
    <w:rsid w:val="008F03EB"/>
    <w:rsid w:val="008F2F44"/>
    <w:rsid w:val="00901F51"/>
    <w:rsid w:val="00913A27"/>
    <w:rsid w:val="00914DD8"/>
    <w:rsid w:val="00915135"/>
    <w:rsid w:val="00915A5A"/>
    <w:rsid w:val="0091640E"/>
    <w:rsid w:val="00920B48"/>
    <w:rsid w:val="009220FD"/>
    <w:rsid w:val="00922AD0"/>
    <w:rsid w:val="00923277"/>
    <w:rsid w:val="00924C84"/>
    <w:rsid w:val="00926260"/>
    <w:rsid w:val="00926B21"/>
    <w:rsid w:val="00927D1A"/>
    <w:rsid w:val="009320B0"/>
    <w:rsid w:val="009345BC"/>
    <w:rsid w:val="00934DA1"/>
    <w:rsid w:val="0093542A"/>
    <w:rsid w:val="009407EA"/>
    <w:rsid w:val="00942617"/>
    <w:rsid w:val="0094330F"/>
    <w:rsid w:val="0094389A"/>
    <w:rsid w:val="00944494"/>
    <w:rsid w:val="00944D91"/>
    <w:rsid w:val="00947E5A"/>
    <w:rsid w:val="00950027"/>
    <w:rsid w:val="009501B2"/>
    <w:rsid w:val="009539A8"/>
    <w:rsid w:val="009543CA"/>
    <w:rsid w:val="0095498F"/>
    <w:rsid w:val="00955A06"/>
    <w:rsid w:val="00956BFD"/>
    <w:rsid w:val="00956C13"/>
    <w:rsid w:val="0096010B"/>
    <w:rsid w:val="0096060D"/>
    <w:rsid w:val="00961908"/>
    <w:rsid w:val="00961FD6"/>
    <w:rsid w:val="0096453F"/>
    <w:rsid w:val="009653B5"/>
    <w:rsid w:val="0096736F"/>
    <w:rsid w:val="009746B0"/>
    <w:rsid w:val="009761BD"/>
    <w:rsid w:val="0097656D"/>
    <w:rsid w:val="00977A09"/>
    <w:rsid w:val="009800D5"/>
    <w:rsid w:val="00980A1E"/>
    <w:rsid w:val="009815E2"/>
    <w:rsid w:val="009815EE"/>
    <w:rsid w:val="0098394B"/>
    <w:rsid w:val="009874D1"/>
    <w:rsid w:val="00990F0B"/>
    <w:rsid w:val="00991E28"/>
    <w:rsid w:val="00993F06"/>
    <w:rsid w:val="00995211"/>
    <w:rsid w:val="00995AD2"/>
    <w:rsid w:val="00997D5A"/>
    <w:rsid w:val="009A2072"/>
    <w:rsid w:val="009A2A4A"/>
    <w:rsid w:val="009A3421"/>
    <w:rsid w:val="009A7B24"/>
    <w:rsid w:val="009B064D"/>
    <w:rsid w:val="009B1354"/>
    <w:rsid w:val="009B17F8"/>
    <w:rsid w:val="009B2497"/>
    <w:rsid w:val="009B2998"/>
    <w:rsid w:val="009B39DC"/>
    <w:rsid w:val="009B4A68"/>
    <w:rsid w:val="009C03C5"/>
    <w:rsid w:val="009C218D"/>
    <w:rsid w:val="009C4719"/>
    <w:rsid w:val="009D0EDC"/>
    <w:rsid w:val="009D116C"/>
    <w:rsid w:val="009D20C9"/>
    <w:rsid w:val="009D3109"/>
    <w:rsid w:val="009D325A"/>
    <w:rsid w:val="009D440D"/>
    <w:rsid w:val="009E25F7"/>
    <w:rsid w:val="009E4C4B"/>
    <w:rsid w:val="009E73E9"/>
    <w:rsid w:val="009F03F8"/>
    <w:rsid w:val="009F06EB"/>
    <w:rsid w:val="009F5E5D"/>
    <w:rsid w:val="009F5E61"/>
    <w:rsid w:val="00A00007"/>
    <w:rsid w:val="00A01840"/>
    <w:rsid w:val="00A02906"/>
    <w:rsid w:val="00A0400B"/>
    <w:rsid w:val="00A0781B"/>
    <w:rsid w:val="00A1091D"/>
    <w:rsid w:val="00A11BE2"/>
    <w:rsid w:val="00A13965"/>
    <w:rsid w:val="00A13D1A"/>
    <w:rsid w:val="00A14F65"/>
    <w:rsid w:val="00A16567"/>
    <w:rsid w:val="00A20C16"/>
    <w:rsid w:val="00A25464"/>
    <w:rsid w:val="00A32F88"/>
    <w:rsid w:val="00A3712D"/>
    <w:rsid w:val="00A41871"/>
    <w:rsid w:val="00A42A18"/>
    <w:rsid w:val="00A4338E"/>
    <w:rsid w:val="00A44651"/>
    <w:rsid w:val="00A46864"/>
    <w:rsid w:val="00A476E8"/>
    <w:rsid w:val="00A52E63"/>
    <w:rsid w:val="00A54BD5"/>
    <w:rsid w:val="00A556A3"/>
    <w:rsid w:val="00A57055"/>
    <w:rsid w:val="00A57454"/>
    <w:rsid w:val="00A6394B"/>
    <w:rsid w:val="00A63F3B"/>
    <w:rsid w:val="00A720A2"/>
    <w:rsid w:val="00A74F6B"/>
    <w:rsid w:val="00A76198"/>
    <w:rsid w:val="00A76763"/>
    <w:rsid w:val="00A855DB"/>
    <w:rsid w:val="00A856C6"/>
    <w:rsid w:val="00AA2320"/>
    <w:rsid w:val="00AA31B5"/>
    <w:rsid w:val="00AA3F82"/>
    <w:rsid w:val="00AA6813"/>
    <w:rsid w:val="00AB151E"/>
    <w:rsid w:val="00AB61C2"/>
    <w:rsid w:val="00AC21AD"/>
    <w:rsid w:val="00AC33E7"/>
    <w:rsid w:val="00AC3FDB"/>
    <w:rsid w:val="00AC4C87"/>
    <w:rsid w:val="00AD3373"/>
    <w:rsid w:val="00AD350D"/>
    <w:rsid w:val="00AD4676"/>
    <w:rsid w:val="00AE0D1F"/>
    <w:rsid w:val="00AE3E72"/>
    <w:rsid w:val="00AE41B7"/>
    <w:rsid w:val="00AF2EEC"/>
    <w:rsid w:val="00AF4918"/>
    <w:rsid w:val="00B003B6"/>
    <w:rsid w:val="00B02152"/>
    <w:rsid w:val="00B02E8E"/>
    <w:rsid w:val="00B10C58"/>
    <w:rsid w:val="00B127D8"/>
    <w:rsid w:val="00B139CF"/>
    <w:rsid w:val="00B17D05"/>
    <w:rsid w:val="00B23450"/>
    <w:rsid w:val="00B26A17"/>
    <w:rsid w:val="00B35A9A"/>
    <w:rsid w:val="00B410FE"/>
    <w:rsid w:val="00B426EA"/>
    <w:rsid w:val="00B435F0"/>
    <w:rsid w:val="00B468EE"/>
    <w:rsid w:val="00B5356E"/>
    <w:rsid w:val="00B57157"/>
    <w:rsid w:val="00B575DD"/>
    <w:rsid w:val="00B67664"/>
    <w:rsid w:val="00B81D21"/>
    <w:rsid w:val="00B91395"/>
    <w:rsid w:val="00B924D3"/>
    <w:rsid w:val="00B9557D"/>
    <w:rsid w:val="00BA11D1"/>
    <w:rsid w:val="00BA17BC"/>
    <w:rsid w:val="00BA2768"/>
    <w:rsid w:val="00BB3B0E"/>
    <w:rsid w:val="00BB5FD3"/>
    <w:rsid w:val="00BB66FB"/>
    <w:rsid w:val="00BB79EA"/>
    <w:rsid w:val="00BB7E4A"/>
    <w:rsid w:val="00BC0228"/>
    <w:rsid w:val="00BC3616"/>
    <w:rsid w:val="00BC447F"/>
    <w:rsid w:val="00BC4542"/>
    <w:rsid w:val="00BD43A3"/>
    <w:rsid w:val="00BD54AD"/>
    <w:rsid w:val="00BE0CD8"/>
    <w:rsid w:val="00BE48AB"/>
    <w:rsid w:val="00BE4B9B"/>
    <w:rsid w:val="00BE4EA4"/>
    <w:rsid w:val="00BE4F97"/>
    <w:rsid w:val="00BE7747"/>
    <w:rsid w:val="00BE7793"/>
    <w:rsid w:val="00BF1853"/>
    <w:rsid w:val="00BF4F19"/>
    <w:rsid w:val="00BF53A4"/>
    <w:rsid w:val="00BF5D43"/>
    <w:rsid w:val="00BF5D5D"/>
    <w:rsid w:val="00BF5E53"/>
    <w:rsid w:val="00BF7D32"/>
    <w:rsid w:val="00C01CC8"/>
    <w:rsid w:val="00C0232B"/>
    <w:rsid w:val="00C02C5F"/>
    <w:rsid w:val="00C02EE9"/>
    <w:rsid w:val="00C076CF"/>
    <w:rsid w:val="00C07D0E"/>
    <w:rsid w:val="00C10ACB"/>
    <w:rsid w:val="00C12A39"/>
    <w:rsid w:val="00C12FF9"/>
    <w:rsid w:val="00C138AA"/>
    <w:rsid w:val="00C14C6F"/>
    <w:rsid w:val="00C16B12"/>
    <w:rsid w:val="00C234A4"/>
    <w:rsid w:val="00C276BB"/>
    <w:rsid w:val="00C2796A"/>
    <w:rsid w:val="00C3085F"/>
    <w:rsid w:val="00C33EA2"/>
    <w:rsid w:val="00C3408B"/>
    <w:rsid w:val="00C3419E"/>
    <w:rsid w:val="00C34620"/>
    <w:rsid w:val="00C36D39"/>
    <w:rsid w:val="00C41A39"/>
    <w:rsid w:val="00C42473"/>
    <w:rsid w:val="00C443A2"/>
    <w:rsid w:val="00C46D56"/>
    <w:rsid w:val="00C50A96"/>
    <w:rsid w:val="00C520DC"/>
    <w:rsid w:val="00C527FD"/>
    <w:rsid w:val="00C53FF5"/>
    <w:rsid w:val="00C5705B"/>
    <w:rsid w:val="00C6107B"/>
    <w:rsid w:val="00C63F14"/>
    <w:rsid w:val="00C65751"/>
    <w:rsid w:val="00C72C01"/>
    <w:rsid w:val="00C756FA"/>
    <w:rsid w:val="00C75797"/>
    <w:rsid w:val="00C767ED"/>
    <w:rsid w:val="00C77539"/>
    <w:rsid w:val="00C77642"/>
    <w:rsid w:val="00C80729"/>
    <w:rsid w:val="00C82EDD"/>
    <w:rsid w:val="00C857C5"/>
    <w:rsid w:val="00C85B07"/>
    <w:rsid w:val="00C9162E"/>
    <w:rsid w:val="00C97D1E"/>
    <w:rsid w:val="00CA51E1"/>
    <w:rsid w:val="00CA72C7"/>
    <w:rsid w:val="00CA7815"/>
    <w:rsid w:val="00CA7AF8"/>
    <w:rsid w:val="00CB123C"/>
    <w:rsid w:val="00CB199B"/>
    <w:rsid w:val="00CB34AF"/>
    <w:rsid w:val="00CB35FA"/>
    <w:rsid w:val="00CB6507"/>
    <w:rsid w:val="00CB6CBD"/>
    <w:rsid w:val="00CB7507"/>
    <w:rsid w:val="00CC08E5"/>
    <w:rsid w:val="00CC2967"/>
    <w:rsid w:val="00CC3BAA"/>
    <w:rsid w:val="00CC4852"/>
    <w:rsid w:val="00CC517D"/>
    <w:rsid w:val="00CC7C86"/>
    <w:rsid w:val="00CD10AF"/>
    <w:rsid w:val="00CD2DFE"/>
    <w:rsid w:val="00CD4E15"/>
    <w:rsid w:val="00CD72E3"/>
    <w:rsid w:val="00CD755D"/>
    <w:rsid w:val="00CE14C5"/>
    <w:rsid w:val="00CE3D0D"/>
    <w:rsid w:val="00CE7533"/>
    <w:rsid w:val="00CF39D5"/>
    <w:rsid w:val="00CF45CF"/>
    <w:rsid w:val="00CF51D3"/>
    <w:rsid w:val="00CF7855"/>
    <w:rsid w:val="00D028A7"/>
    <w:rsid w:val="00D04C05"/>
    <w:rsid w:val="00D06BE6"/>
    <w:rsid w:val="00D10BE4"/>
    <w:rsid w:val="00D16A3C"/>
    <w:rsid w:val="00D20A38"/>
    <w:rsid w:val="00D26043"/>
    <w:rsid w:val="00D30931"/>
    <w:rsid w:val="00D329F1"/>
    <w:rsid w:val="00D32A4E"/>
    <w:rsid w:val="00D3411B"/>
    <w:rsid w:val="00D3486F"/>
    <w:rsid w:val="00D42163"/>
    <w:rsid w:val="00D42751"/>
    <w:rsid w:val="00D45753"/>
    <w:rsid w:val="00D45E53"/>
    <w:rsid w:val="00D57D5D"/>
    <w:rsid w:val="00D64884"/>
    <w:rsid w:val="00D67FCF"/>
    <w:rsid w:val="00D73BBC"/>
    <w:rsid w:val="00D7732F"/>
    <w:rsid w:val="00D81E30"/>
    <w:rsid w:val="00D84771"/>
    <w:rsid w:val="00D85377"/>
    <w:rsid w:val="00D93372"/>
    <w:rsid w:val="00D93841"/>
    <w:rsid w:val="00DA0337"/>
    <w:rsid w:val="00DA0968"/>
    <w:rsid w:val="00DA1DC1"/>
    <w:rsid w:val="00DA3118"/>
    <w:rsid w:val="00DA35BD"/>
    <w:rsid w:val="00DA4788"/>
    <w:rsid w:val="00DA57E6"/>
    <w:rsid w:val="00DB0532"/>
    <w:rsid w:val="00DB123B"/>
    <w:rsid w:val="00DB286C"/>
    <w:rsid w:val="00DB5A3B"/>
    <w:rsid w:val="00DB5CF5"/>
    <w:rsid w:val="00DB6B31"/>
    <w:rsid w:val="00DB6BCE"/>
    <w:rsid w:val="00DB7C80"/>
    <w:rsid w:val="00DB7DE7"/>
    <w:rsid w:val="00DC11F4"/>
    <w:rsid w:val="00DC4093"/>
    <w:rsid w:val="00DC5A1F"/>
    <w:rsid w:val="00DC677C"/>
    <w:rsid w:val="00DC6E79"/>
    <w:rsid w:val="00DD0835"/>
    <w:rsid w:val="00DD0A79"/>
    <w:rsid w:val="00DD300E"/>
    <w:rsid w:val="00DD5939"/>
    <w:rsid w:val="00DD6682"/>
    <w:rsid w:val="00DE0787"/>
    <w:rsid w:val="00DE31F2"/>
    <w:rsid w:val="00DE3935"/>
    <w:rsid w:val="00DE4B5A"/>
    <w:rsid w:val="00DE553B"/>
    <w:rsid w:val="00DE55A8"/>
    <w:rsid w:val="00DE564B"/>
    <w:rsid w:val="00DE71D2"/>
    <w:rsid w:val="00DE7541"/>
    <w:rsid w:val="00DF287E"/>
    <w:rsid w:val="00DF57B1"/>
    <w:rsid w:val="00DF5F2E"/>
    <w:rsid w:val="00DF5F4D"/>
    <w:rsid w:val="00E0468D"/>
    <w:rsid w:val="00E10476"/>
    <w:rsid w:val="00E12104"/>
    <w:rsid w:val="00E1210A"/>
    <w:rsid w:val="00E12564"/>
    <w:rsid w:val="00E134AB"/>
    <w:rsid w:val="00E147FD"/>
    <w:rsid w:val="00E15987"/>
    <w:rsid w:val="00E17CAD"/>
    <w:rsid w:val="00E220FF"/>
    <w:rsid w:val="00E22E38"/>
    <w:rsid w:val="00E2481E"/>
    <w:rsid w:val="00E24D32"/>
    <w:rsid w:val="00E269F4"/>
    <w:rsid w:val="00E30766"/>
    <w:rsid w:val="00E31193"/>
    <w:rsid w:val="00E344B8"/>
    <w:rsid w:val="00E37781"/>
    <w:rsid w:val="00E45634"/>
    <w:rsid w:val="00E456FD"/>
    <w:rsid w:val="00E476EF"/>
    <w:rsid w:val="00E54996"/>
    <w:rsid w:val="00E56C3A"/>
    <w:rsid w:val="00E60D82"/>
    <w:rsid w:val="00E61B54"/>
    <w:rsid w:val="00E73B0A"/>
    <w:rsid w:val="00E7773E"/>
    <w:rsid w:val="00E81F9F"/>
    <w:rsid w:val="00E95CC1"/>
    <w:rsid w:val="00E97D09"/>
    <w:rsid w:val="00EB0589"/>
    <w:rsid w:val="00EB165B"/>
    <w:rsid w:val="00EB1A68"/>
    <w:rsid w:val="00EB2AA6"/>
    <w:rsid w:val="00EB5C5D"/>
    <w:rsid w:val="00EB5E96"/>
    <w:rsid w:val="00EC5B13"/>
    <w:rsid w:val="00EC6B3C"/>
    <w:rsid w:val="00ED62DE"/>
    <w:rsid w:val="00ED7D52"/>
    <w:rsid w:val="00EE101D"/>
    <w:rsid w:val="00EE15AB"/>
    <w:rsid w:val="00EE36B6"/>
    <w:rsid w:val="00EE4629"/>
    <w:rsid w:val="00EE4F4A"/>
    <w:rsid w:val="00EE69C2"/>
    <w:rsid w:val="00EF73D7"/>
    <w:rsid w:val="00F020D6"/>
    <w:rsid w:val="00F049F5"/>
    <w:rsid w:val="00F17227"/>
    <w:rsid w:val="00F20270"/>
    <w:rsid w:val="00F20A28"/>
    <w:rsid w:val="00F213DB"/>
    <w:rsid w:val="00F22142"/>
    <w:rsid w:val="00F24156"/>
    <w:rsid w:val="00F2765E"/>
    <w:rsid w:val="00F32EBA"/>
    <w:rsid w:val="00F33B1A"/>
    <w:rsid w:val="00F37F32"/>
    <w:rsid w:val="00F415B7"/>
    <w:rsid w:val="00F43B82"/>
    <w:rsid w:val="00F4411A"/>
    <w:rsid w:val="00F55EB2"/>
    <w:rsid w:val="00F7096F"/>
    <w:rsid w:val="00F711FC"/>
    <w:rsid w:val="00F723FB"/>
    <w:rsid w:val="00F74907"/>
    <w:rsid w:val="00F761B9"/>
    <w:rsid w:val="00F80988"/>
    <w:rsid w:val="00F80D89"/>
    <w:rsid w:val="00F8319D"/>
    <w:rsid w:val="00F85C16"/>
    <w:rsid w:val="00F863CF"/>
    <w:rsid w:val="00F930EE"/>
    <w:rsid w:val="00F971F4"/>
    <w:rsid w:val="00FA3749"/>
    <w:rsid w:val="00FA4FE7"/>
    <w:rsid w:val="00FB0EEB"/>
    <w:rsid w:val="00FC02CC"/>
    <w:rsid w:val="00FC28F3"/>
    <w:rsid w:val="00FC2DE0"/>
    <w:rsid w:val="00FC3522"/>
    <w:rsid w:val="00FD19AC"/>
    <w:rsid w:val="00FD1C74"/>
    <w:rsid w:val="00FD2846"/>
    <w:rsid w:val="00FD3AA4"/>
    <w:rsid w:val="00FD4A27"/>
    <w:rsid w:val="00FD57D0"/>
    <w:rsid w:val="00FD601A"/>
    <w:rsid w:val="00FD7716"/>
    <w:rsid w:val="00FE5940"/>
    <w:rsid w:val="00FF1073"/>
    <w:rsid w:val="00FF39AE"/>
    <w:rsid w:val="00FF4980"/>
    <w:rsid w:val="00FF5735"/>
    <w:rsid w:val="00FF6AC7"/>
    <w:rsid w:val="00FF76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9FD33"/>
  <w15:chartTrackingRefBased/>
  <w15:docId w15:val="{476623DD-01D7-496D-85E4-DACDD20D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uiPriority w:val="99"/>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2DD"/>
    <w:pPr>
      <w:autoSpaceDE w:val="0"/>
      <w:autoSpaceDN w:val="0"/>
      <w:adjustRightInd w:val="0"/>
    </w:pPr>
    <w:rPr>
      <w:color w:val="000000"/>
      <w:sz w:val="24"/>
      <w:szCs w:val="24"/>
    </w:rPr>
  </w:style>
  <w:style w:type="paragraph" w:styleId="FootnoteText">
    <w:name w:val="footnote text"/>
    <w:aliases w:val="Footnote Text Char2,Footnote Text Char3,Footnote Text Char4,Footnote Text Char5"/>
    <w:basedOn w:val="Normal"/>
    <w:link w:val="FootnoteTextChar"/>
    <w:rsid w:val="00EB5C5D"/>
    <w:rPr>
      <w:sz w:val="20"/>
      <w:szCs w:val="20"/>
    </w:rPr>
  </w:style>
  <w:style w:type="character" w:customStyle="1" w:styleId="FootnoteTextChar">
    <w:name w:val="Footnote Text Char"/>
    <w:aliases w:val="Footnote Text Char2 Char,Footnote Text Char3 Char,Footnote Text Char4 Char,Footnote Text Char5 Char"/>
    <w:basedOn w:val="DefaultParagraphFont"/>
    <w:link w:val="FootnoteText"/>
    <w:rsid w:val="00EB5C5D"/>
  </w:style>
  <w:style w:type="character" w:styleId="FootnoteReference">
    <w:name w:val="footnote reference"/>
    <w:rsid w:val="00EB5C5D"/>
    <w:rPr>
      <w:vertAlign w:val="superscript"/>
    </w:rPr>
  </w:style>
  <w:style w:type="character" w:customStyle="1" w:styleId="privacy1">
    <w:name w:val="privacy1"/>
    <w:rsid w:val="00352659"/>
    <w:rPr>
      <w:rFonts w:ascii="Consolas" w:hAnsi="Consolas" w:cs="Consolas" w:hint="default"/>
    </w:rPr>
  </w:style>
  <w:style w:type="character" w:styleId="FollowedHyperlink">
    <w:name w:val="FollowedHyperlink"/>
    <w:rsid w:val="003040D3"/>
    <w:rPr>
      <w:color w:val="954F72"/>
      <w:u w:val="single"/>
    </w:rPr>
  </w:style>
  <w:style w:type="paragraph" w:styleId="Revision">
    <w:name w:val="Revision"/>
    <w:hidden/>
    <w:uiPriority w:val="99"/>
    <w:semiHidden/>
    <w:rsid w:val="00D7732F"/>
    <w:rPr>
      <w:sz w:val="24"/>
      <w:szCs w:val="24"/>
    </w:rPr>
  </w:style>
  <w:style w:type="paragraph" w:customStyle="1" w:styleId="Pa4">
    <w:name w:val="Pa4"/>
    <w:basedOn w:val="Normal"/>
    <w:next w:val="Normal"/>
    <w:uiPriority w:val="99"/>
    <w:rsid w:val="007B56FB"/>
    <w:pPr>
      <w:autoSpaceDE w:val="0"/>
      <w:autoSpaceDN w:val="0"/>
      <w:adjustRightInd w:val="0"/>
      <w:spacing w:line="201" w:lineRule="atLeast"/>
    </w:pPr>
    <w:rPr>
      <w:rFonts w:ascii="Insight print" w:hAnsi="Insight print"/>
    </w:rPr>
  </w:style>
  <w:style w:type="paragraph" w:styleId="ListParagraph">
    <w:name w:val="List Paragraph"/>
    <w:basedOn w:val="Normal"/>
    <w:uiPriority w:val="34"/>
    <w:qFormat/>
    <w:rsid w:val="005B204A"/>
    <w:pPr>
      <w:ind w:left="720"/>
    </w:pPr>
  </w:style>
  <w:style w:type="character" w:styleId="UnresolvedMention">
    <w:name w:val="Unresolved Mention"/>
    <w:basedOn w:val="DefaultParagraphFont"/>
    <w:uiPriority w:val="99"/>
    <w:semiHidden/>
    <w:unhideWhenUsed/>
    <w:rsid w:val="00934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5999">
      <w:bodyDiv w:val="1"/>
      <w:marLeft w:val="0"/>
      <w:marRight w:val="0"/>
      <w:marTop w:val="0"/>
      <w:marBottom w:val="0"/>
      <w:divBdr>
        <w:top w:val="none" w:sz="0" w:space="0" w:color="auto"/>
        <w:left w:val="none" w:sz="0" w:space="0" w:color="auto"/>
        <w:bottom w:val="none" w:sz="0" w:space="0" w:color="auto"/>
        <w:right w:val="none" w:sz="0" w:space="0" w:color="auto"/>
      </w:divBdr>
    </w:div>
    <w:div w:id="319384171">
      <w:bodyDiv w:val="1"/>
      <w:marLeft w:val="0"/>
      <w:marRight w:val="0"/>
      <w:marTop w:val="0"/>
      <w:marBottom w:val="0"/>
      <w:divBdr>
        <w:top w:val="none" w:sz="0" w:space="0" w:color="auto"/>
        <w:left w:val="none" w:sz="0" w:space="0" w:color="auto"/>
        <w:bottom w:val="none" w:sz="0" w:space="0" w:color="auto"/>
        <w:right w:val="none" w:sz="0" w:space="0" w:color="auto"/>
      </w:divBdr>
    </w:div>
    <w:div w:id="545680340">
      <w:bodyDiv w:val="1"/>
      <w:marLeft w:val="0"/>
      <w:marRight w:val="0"/>
      <w:marTop w:val="0"/>
      <w:marBottom w:val="0"/>
      <w:divBdr>
        <w:top w:val="none" w:sz="0" w:space="0" w:color="auto"/>
        <w:left w:val="none" w:sz="0" w:space="0" w:color="auto"/>
        <w:bottom w:val="none" w:sz="0" w:space="0" w:color="auto"/>
        <w:right w:val="none" w:sz="0" w:space="0" w:color="auto"/>
      </w:divBdr>
    </w:div>
    <w:div w:id="745491786">
      <w:bodyDiv w:val="1"/>
      <w:marLeft w:val="0"/>
      <w:marRight w:val="0"/>
      <w:marTop w:val="0"/>
      <w:marBottom w:val="0"/>
      <w:divBdr>
        <w:top w:val="none" w:sz="0" w:space="0" w:color="auto"/>
        <w:left w:val="none" w:sz="0" w:space="0" w:color="auto"/>
        <w:bottom w:val="none" w:sz="0" w:space="0" w:color="auto"/>
        <w:right w:val="none" w:sz="0" w:space="0" w:color="auto"/>
      </w:divBdr>
    </w:div>
    <w:div w:id="844367391">
      <w:bodyDiv w:val="1"/>
      <w:marLeft w:val="0"/>
      <w:marRight w:val="0"/>
      <w:marTop w:val="0"/>
      <w:marBottom w:val="0"/>
      <w:divBdr>
        <w:top w:val="none" w:sz="0" w:space="0" w:color="auto"/>
        <w:left w:val="none" w:sz="0" w:space="0" w:color="auto"/>
        <w:bottom w:val="none" w:sz="0" w:space="0" w:color="auto"/>
        <w:right w:val="none" w:sz="0" w:space="0" w:color="auto"/>
      </w:divBdr>
    </w:div>
    <w:div w:id="122009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21Tables/html/DCB.aspx" TargetMode="External"/><Relationship Id="rId1" Type="http://schemas.openxmlformats.org/officeDocument/2006/relationships/hyperlink" Target="https://www.bls.gov/oes/2020/may/oes_nat.htm#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DE54704D225943A95A5C65FADE43E5" ma:contentTypeVersion="2" ma:contentTypeDescription="Create a new document." ma:contentTypeScope="" ma:versionID="3dcf3eb7615906fb397228a3a938dbbf">
  <xsd:schema xmlns:xsd="http://www.w3.org/2001/XMLSchema" xmlns:xs="http://www.w3.org/2001/XMLSchema" xmlns:p="http://schemas.microsoft.com/office/2006/metadata/properties" xmlns:ns2="975268f3-bf70-419e-a49f-bac05cee2310" targetNamespace="http://schemas.microsoft.com/office/2006/metadata/properties" ma:root="true" ma:fieldsID="aaddd8c902c2379f2a56ab29ded51b9d" ns2:_="">
    <xsd:import namespace="975268f3-bf70-419e-a49f-bac05cee23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268f3-bf70-419e-a49f-bac05cee2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B5BF3-5268-427F-8CF7-C74747221F21}">
  <ds:schemaRefs>
    <ds:schemaRef ds:uri="http://schemas.microsoft.com/office/2006/metadata/longProperties"/>
  </ds:schemaRefs>
</ds:datastoreItem>
</file>

<file path=customXml/itemProps2.xml><?xml version="1.0" encoding="utf-8"?>
<ds:datastoreItem xmlns:ds="http://schemas.openxmlformats.org/officeDocument/2006/customXml" ds:itemID="{6218DF73-139D-4416-B398-7C0DC3E9A7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17FD26-DA2F-4C52-94F7-5879C907C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268f3-bf70-419e-a49f-bac05cee2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61DB7-3226-4F8F-B712-B2CF8B00AFBA}">
  <ds:schemaRefs>
    <ds:schemaRef ds:uri="http://schemas.microsoft.com/sharepoint/v3/contenttype/forms"/>
  </ds:schemaRefs>
</ds:datastoreItem>
</file>

<file path=customXml/itemProps5.xml><?xml version="1.0" encoding="utf-8"?>
<ds:datastoreItem xmlns:ds="http://schemas.openxmlformats.org/officeDocument/2006/customXml" ds:itemID="{7264EB89-51AB-4718-9B1F-0F634713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4681</Words>
  <Characters>26687</Characters>
  <Application>Microsoft Office Word</Application>
  <DocSecurity>0</DocSecurity>
  <Lines>222</Lines>
  <Paragraphs>62</Paragraphs>
  <ScaleCrop>false</ScaleCrop>
  <Company>FEMA</Company>
  <LinksUpToDate>false</LinksUpToDate>
  <CharactersWithSpaces>31306</CharactersWithSpaces>
  <SharedDoc>false</SharedDoc>
  <HLinks>
    <vt:vector size="24" baseType="variant">
      <vt:variant>
        <vt:i4>720963</vt:i4>
      </vt:variant>
      <vt:variant>
        <vt:i4>9</vt:i4>
      </vt:variant>
      <vt:variant>
        <vt:i4>0</vt:i4>
      </vt:variant>
      <vt:variant>
        <vt:i4>5</vt:i4>
      </vt:variant>
      <vt:variant>
        <vt:lpwstr>https://www.cbo.gov/publication/52637</vt:lpwstr>
      </vt:variant>
      <vt:variant>
        <vt:lpwstr/>
      </vt:variant>
      <vt:variant>
        <vt:i4>4522109</vt:i4>
      </vt:variant>
      <vt:variant>
        <vt:i4>6</vt:i4>
      </vt:variant>
      <vt:variant>
        <vt:i4>0</vt:i4>
      </vt:variant>
      <vt:variant>
        <vt:i4>5</vt:i4>
      </vt:variant>
      <vt:variant>
        <vt:lpwstr>https://www.opm.gov/policy-data-oversight/pay-leave/salaries-wages/salary-tables/pdf/2019/DCB_h.pdf</vt:lpwstr>
      </vt:variant>
      <vt:variant>
        <vt:lpwstr/>
      </vt:variant>
      <vt:variant>
        <vt:i4>3080220</vt:i4>
      </vt:variant>
      <vt:variant>
        <vt:i4>3</vt:i4>
      </vt:variant>
      <vt:variant>
        <vt:i4>0</vt:i4>
      </vt:variant>
      <vt:variant>
        <vt:i4>5</vt:i4>
      </vt:variant>
      <vt:variant>
        <vt:lpwstr>https://www.bls.gov/news.release/archives/ecec_06182019.pdf</vt:lpwstr>
      </vt:variant>
      <vt:variant>
        <vt:lpwstr/>
      </vt:variant>
      <vt:variant>
        <vt:i4>3080210</vt:i4>
      </vt:variant>
      <vt:variant>
        <vt:i4>0</vt:i4>
      </vt:variant>
      <vt:variant>
        <vt:i4>0</vt:i4>
      </vt:variant>
      <vt:variant>
        <vt:i4>5</vt:i4>
      </vt:variant>
      <vt:variant>
        <vt:lpwstr>https://www.bls.gov/oes/2018/may/oes_nat.htm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subject/>
  <dc:creator>fema user</dc:creator>
  <cp:keywords/>
  <cp:lastModifiedBy>Ross, Castronando</cp:lastModifiedBy>
  <cp:revision>3</cp:revision>
  <cp:lastPrinted>2008-09-19T19:45:00Z</cp:lastPrinted>
  <dcterms:created xsi:type="dcterms:W3CDTF">2021-09-26T17:32:00Z</dcterms:created>
  <dcterms:modified xsi:type="dcterms:W3CDTF">2021-09-27T06:05:00Z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ContentTypeId">
    <vt:lpwstr>0x010100E1DE54704D225943A95A5C65FADE43E5</vt:lpwstr>
  </property>
  <property fmtid="{D5CDD505-2E9C-101B-9397-08002B2CF9AE}" pid="7" name="MSIP_Label_a2eef23d-2e95-4428-9a3c-2526d95b164a_Enabled">
    <vt:lpwstr>True</vt:lpwstr>
  </property>
  <property fmtid="{D5CDD505-2E9C-101B-9397-08002B2CF9AE}" pid="8" name="MSIP_Label_a2eef23d-2e95-4428-9a3c-2526d95b164a_SiteId">
    <vt:lpwstr>3ccde76c-946d-4a12-bb7a-fc9d0842354a</vt:lpwstr>
  </property>
  <property fmtid="{D5CDD505-2E9C-101B-9397-08002B2CF9AE}" pid="9" name="MSIP_Label_a2eef23d-2e95-4428-9a3c-2526d95b164a_ActionId">
    <vt:lpwstr>c5eb3e87-9a5f-42d1-a779-76042151c600</vt:lpwstr>
  </property>
  <property fmtid="{D5CDD505-2E9C-101B-9397-08002B2CF9AE}" pid="10" name="MSIP_Label_a2eef23d-2e95-4428-9a3c-2526d95b164a_Method">
    <vt:lpwstr>Standard</vt:lpwstr>
  </property>
  <property fmtid="{D5CDD505-2E9C-101B-9397-08002B2CF9AE}" pid="11" name="MSIP_Label_a2eef23d-2e95-4428-9a3c-2526d95b164a_SetDate">
    <vt:lpwstr>2021-06-01T20:32:34Z</vt:lpwstr>
  </property>
  <property fmtid="{D5CDD505-2E9C-101B-9397-08002B2CF9AE}" pid="12" name="MSIP_Label_a2eef23d-2e95-4428-9a3c-2526d95b164a_Name">
    <vt:lpwstr>For Official Use Only (FOUO)</vt:lpwstr>
  </property>
  <property fmtid="{D5CDD505-2E9C-101B-9397-08002B2CF9AE}" pid="13" name="MSIP_Label_a2eef23d-2e95-4428-9a3c-2526d95b164a_ContentBits">
    <vt:lpwstr>0</vt:lpwstr>
  </property>
</Properties>
</file>