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D18F2" w14:textId="77777777" w:rsidR="000733F4" w:rsidRDefault="000733F4" w:rsidP="00091C3E">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U. S. Department of Education</w:t>
      </w:r>
    </w:p>
    <w:p w14:paraId="4876993A" w14:textId="77777777" w:rsidR="000733F4" w:rsidRDefault="000733F4" w:rsidP="00091C3E">
      <w:pPr>
        <w:spacing w:after="0" w:line="240" w:lineRule="auto"/>
        <w:jc w:val="center"/>
        <w:rPr>
          <w:rFonts w:ascii="Times New Roman" w:hAnsi="Times New Roman"/>
          <w:b/>
          <w:sz w:val="24"/>
          <w:szCs w:val="24"/>
        </w:rPr>
      </w:pPr>
      <w:r>
        <w:rPr>
          <w:rFonts w:ascii="Times New Roman" w:hAnsi="Times New Roman"/>
          <w:b/>
          <w:sz w:val="24"/>
          <w:szCs w:val="24"/>
        </w:rPr>
        <w:t>Office of Career, Technical, and Adult Education</w:t>
      </w:r>
    </w:p>
    <w:p w14:paraId="672A6659" w14:textId="77777777" w:rsidR="000733F4" w:rsidRDefault="000733F4" w:rsidP="00091C3E">
      <w:pPr>
        <w:spacing w:after="0" w:line="240" w:lineRule="auto"/>
        <w:jc w:val="center"/>
        <w:rPr>
          <w:rFonts w:ascii="Times New Roman" w:hAnsi="Times New Roman"/>
          <w:b/>
          <w:sz w:val="24"/>
          <w:szCs w:val="24"/>
        </w:rPr>
      </w:pPr>
    </w:p>
    <w:p w14:paraId="4A9A6305" w14:textId="77777777" w:rsidR="000733F4" w:rsidRDefault="000733F4" w:rsidP="00091C3E">
      <w:pPr>
        <w:spacing w:after="0" w:line="240" w:lineRule="auto"/>
        <w:jc w:val="center"/>
        <w:rPr>
          <w:rFonts w:ascii="Times New Roman" w:hAnsi="Times New Roman"/>
          <w:b/>
          <w:sz w:val="24"/>
          <w:szCs w:val="24"/>
        </w:rPr>
      </w:pPr>
      <w:r>
        <w:rPr>
          <w:rFonts w:ascii="Times New Roman" w:hAnsi="Times New Roman"/>
          <w:b/>
          <w:sz w:val="24"/>
          <w:szCs w:val="24"/>
        </w:rPr>
        <w:t xml:space="preserve">Responses to Public Comments on the </w:t>
      </w:r>
    </w:p>
    <w:p w14:paraId="39BFEFD5" w14:textId="77777777" w:rsidR="000733F4" w:rsidRDefault="000733F4" w:rsidP="00091C3E">
      <w:pPr>
        <w:spacing w:after="0" w:line="240" w:lineRule="auto"/>
        <w:jc w:val="center"/>
        <w:rPr>
          <w:rFonts w:ascii="Times New Roman" w:hAnsi="Times New Roman"/>
          <w:b/>
          <w:sz w:val="24"/>
          <w:szCs w:val="24"/>
        </w:rPr>
      </w:pPr>
      <w:r>
        <w:rPr>
          <w:rFonts w:ascii="Times New Roman" w:hAnsi="Times New Roman"/>
          <w:b/>
          <w:sz w:val="24"/>
          <w:szCs w:val="24"/>
        </w:rPr>
        <w:t>Perkins V Consolidated Annual Report (CAR) Guide</w:t>
      </w:r>
    </w:p>
    <w:p w14:paraId="0A37501D" w14:textId="77777777" w:rsidR="00220386" w:rsidRPr="000733F4" w:rsidRDefault="00220386" w:rsidP="00091C3E">
      <w:pPr>
        <w:spacing w:after="0" w:line="240" w:lineRule="auto"/>
        <w:jc w:val="center"/>
        <w:rPr>
          <w:rFonts w:ascii="Times New Roman" w:hAnsi="Times New Roman"/>
          <w:b/>
          <w:sz w:val="24"/>
          <w:szCs w:val="24"/>
        </w:rPr>
      </w:pPr>
    </w:p>
    <w:p w14:paraId="6A13A2A8" w14:textId="77777777" w:rsidR="000733F4" w:rsidRDefault="005353A4" w:rsidP="00FE4058">
      <w:pPr>
        <w:pStyle w:val="BodyText"/>
        <w:ind w:right="119"/>
        <w:rPr>
          <w:rFonts w:ascii="Times New Roman" w:hAnsi="Times New Roman" w:cs="Times New Roman"/>
          <w:sz w:val="24"/>
          <w:szCs w:val="24"/>
        </w:rPr>
      </w:pPr>
      <w:r>
        <w:rPr>
          <w:rFonts w:ascii="Times New Roman" w:hAnsi="Times New Roman" w:cs="Times New Roman"/>
          <w:sz w:val="24"/>
          <w:szCs w:val="24"/>
        </w:rPr>
        <w:t>P</w:t>
      </w:r>
      <w:r w:rsidR="000733F4">
        <w:rPr>
          <w:rFonts w:ascii="Times New Roman" w:hAnsi="Times New Roman" w:cs="Times New Roman"/>
          <w:sz w:val="24"/>
          <w:szCs w:val="24"/>
        </w:rPr>
        <w:t xml:space="preserve">ublic comments were received </w:t>
      </w:r>
      <w:r>
        <w:rPr>
          <w:rFonts w:ascii="Times New Roman" w:hAnsi="Times New Roman" w:cs="Times New Roman"/>
          <w:sz w:val="24"/>
          <w:szCs w:val="24"/>
        </w:rPr>
        <w:t xml:space="preserve">from twelve groups and individuals </w:t>
      </w:r>
      <w:r w:rsidR="000733F4">
        <w:rPr>
          <w:rFonts w:ascii="Times New Roman" w:hAnsi="Times New Roman" w:cs="Times New Roman"/>
          <w:sz w:val="24"/>
          <w:szCs w:val="24"/>
        </w:rPr>
        <w:t xml:space="preserve">on the U. S. Department of Education’s (Department’s) </w:t>
      </w:r>
      <w:r w:rsidR="00FE4058" w:rsidRPr="00FE4058">
        <w:rPr>
          <w:rFonts w:ascii="Times New Roman" w:hAnsi="Times New Roman" w:cs="Times New Roman"/>
          <w:sz w:val="24"/>
          <w:szCs w:val="24"/>
        </w:rPr>
        <w:t>Carl D. Perkins Career and Technical Education Act of 2006</w:t>
      </w:r>
      <w:r w:rsidR="00FE4058">
        <w:rPr>
          <w:rFonts w:ascii="Times New Roman" w:hAnsi="Times New Roman" w:cs="Times New Roman"/>
          <w:sz w:val="24"/>
          <w:szCs w:val="24"/>
        </w:rPr>
        <w:t xml:space="preserve">, as </w:t>
      </w:r>
      <w:r w:rsidR="00FE4058" w:rsidRPr="00FE4058">
        <w:rPr>
          <w:rFonts w:ascii="Times New Roman" w:hAnsi="Times New Roman" w:cs="Times New Roman"/>
          <w:sz w:val="24"/>
          <w:szCs w:val="24"/>
        </w:rPr>
        <w:t>amended by the Strengthening Career and Technical</w:t>
      </w:r>
      <w:r w:rsidR="00FE4058">
        <w:rPr>
          <w:rFonts w:ascii="Times New Roman" w:hAnsi="Times New Roman" w:cs="Times New Roman"/>
          <w:sz w:val="24"/>
          <w:szCs w:val="24"/>
        </w:rPr>
        <w:t xml:space="preserve"> </w:t>
      </w:r>
      <w:r w:rsidR="00FE4058" w:rsidRPr="00FE4058">
        <w:rPr>
          <w:rFonts w:ascii="Times New Roman" w:hAnsi="Times New Roman" w:cs="Times New Roman"/>
          <w:sz w:val="24"/>
          <w:szCs w:val="24"/>
        </w:rPr>
        <w:t>Education for the 21st Century Act</w:t>
      </w:r>
      <w:r w:rsidR="00FE4058">
        <w:rPr>
          <w:rFonts w:ascii="Times New Roman" w:hAnsi="Times New Roman" w:cs="Times New Roman"/>
          <w:sz w:val="24"/>
          <w:szCs w:val="24"/>
        </w:rPr>
        <w:t xml:space="preserve"> (</w:t>
      </w:r>
      <w:r w:rsidR="000733F4">
        <w:rPr>
          <w:rFonts w:ascii="Times New Roman" w:hAnsi="Times New Roman" w:cs="Times New Roman"/>
          <w:sz w:val="24"/>
          <w:szCs w:val="24"/>
        </w:rPr>
        <w:t>Perkins V</w:t>
      </w:r>
      <w:r w:rsidR="00FE4058">
        <w:rPr>
          <w:rFonts w:ascii="Times New Roman" w:hAnsi="Times New Roman" w:cs="Times New Roman"/>
          <w:sz w:val="24"/>
          <w:szCs w:val="24"/>
        </w:rPr>
        <w:t>)</w:t>
      </w:r>
      <w:r w:rsidR="000733F4">
        <w:rPr>
          <w:rFonts w:ascii="Times New Roman" w:hAnsi="Times New Roman" w:cs="Times New Roman"/>
          <w:sz w:val="24"/>
          <w:szCs w:val="24"/>
        </w:rPr>
        <w:t xml:space="preserve"> Consolidated Annual Report (CAR) Guide during the sixty (60) day period from November 8, 2018 – January 7, 2019.  The Department’s responses to those comments, as provided below, are organized by the Table of Contents for the guide.  Verbatim comments are provided in quotes.</w:t>
      </w:r>
    </w:p>
    <w:p w14:paraId="5DAB6C7B" w14:textId="77777777" w:rsidR="000733F4" w:rsidRDefault="000733F4" w:rsidP="00091C3E">
      <w:pPr>
        <w:pStyle w:val="BodyText"/>
        <w:ind w:right="119"/>
        <w:rPr>
          <w:rFonts w:ascii="Times New Roman" w:hAnsi="Times New Roman" w:cs="Times New Roman"/>
          <w:sz w:val="24"/>
          <w:szCs w:val="24"/>
        </w:rPr>
      </w:pPr>
    </w:p>
    <w:p w14:paraId="0D64AD8F" w14:textId="77777777" w:rsidR="000733F4" w:rsidRPr="000733F4" w:rsidRDefault="000733F4" w:rsidP="00091C3E">
      <w:pPr>
        <w:pStyle w:val="BodyText"/>
        <w:ind w:right="119"/>
        <w:rPr>
          <w:rFonts w:ascii="Times New Roman" w:hAnsi="Times New Roman" w:cs="Times New Roman"/>
          <w:b/>
          <w:sz w:val="24"/>
          <w:szCs w:val="24"/>
        </w:rPr>
      </w:pPr>
      <w:r w:rsidRPr="000733F4">
        <w:rPr>
          <w:rFonts w:ascii="Times New Roman" w:hAnsi="Times New Roman" w:cs="Times New Roman"/>
          <w:b/>
          <w:sz w:val="24"/>
          <w:szCs w:val="24"/>
        </w:rPr>
        <w:t>OVERARCHING</w:t>
      </w:r>
    </w:p>
    <w:p w14:paraId="02EB378F" w14:textId="77777777" w:rsidR="000733F4" w:rsidRDefault="000733F4" w:rsidP="00091C3E">
      <w:pPr>
        <w:pStyle w:val="BodyText"/>
        <w:ind w:right="119"/>
        <w:rPr>
          <w:rFonts w:ascii="Times New Roman" w:hAnsi="Times New Roman" w:cs="Times New Roman"/>
          <w:sz w:val="24"/>
          <w:szCs w:val="24"/>
        </w:rPr>
      </w:pPr>
    </w:p>
    <w:p w14:paraId="396224AF" w14:textId="77777777" w:rsidR="000733F4" w:rsidRDefault="000733F4" w:rsidP="00091C3E">
      <w:pPr>
        <w:pStyle w:val="BodyText"/>
        <w:ind w:right="119"/>
        <w:rPr>
          <w:rFonts w:ascii="Times New Roman" w:hAnsi="Times New Roman" w:cs="Times New Roman"/>
          <w:sz w:val="24"/>
          <w:szCs w:val="24"/>
        </w:rPr>
      </w:pPr>
      <w:r>
        <w:rPr>
          <w:rFonts w:ascii="Times New Roman" w:hAnsi="Times New Roman" w:cs="Times New Roman"/>
          <w:sz w:val="24"/>
          <w:szCs w:val="24"/>
        </w:rPr>
        <w:t>Several commenters expressed appreciation to the Department for taking a thoughtful and thorough approach to developing the reporting system for eligible agencies under the newly enacted Perkins V statute.  Several commenters indicated that the guide is clear and does not impose unnecessary burden on eligible agencies.</w:t>
      </w:r>
    </w:p>
    <w:p w14:paraId="6A05A809" w14:textId="77777777" w:rsidR="003F5740" w:rsidRDefault="003F5740" w:rsidP="00091C3E">
      <w:pPr>
        <w:pStyle w:val="BodyText"/>
        <w:ind w:right="119"/>
        <w:rPr>
          <w:rFonts w:ascii="Times New Roman" w:hAnsi="Times New Roman" w:cs="Times New Roman"/>
          <w:sz w:val="24"/>
          <w:szCs w:val="24"/>
        </w:rPr>
      </w:pPr>
    </w:p>
    <w:p w14:paraId="625C55D3" w14:textId="77777777" w:rsidR="003F5740" w:rsidRDefault="003F5740" w:rsidP="00091C3E">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sidR="001E17E8">
        <w:rPr>
          <w:rFonts w:ascii="Times New Roman" w:hAnsi="Times New Roman" w:cs="Times New Roman"/>
          <w:sz w:val="24"/>
          <w:szCs w:val="24"/>
        </w:rPr>
        <w:t>:  We appreciate the commenter</w:t>
      </w:r>
      <w:r>
        <w:rPr>
          <w:rFonts w:ascii="Times New Roman" w:hAnsi="Times New Roman" w:cs="Times New Roman"/>
          <w:sz w:val="24"/>
          <w:szCs w:val="24"/>
        </w:rPr>
        <w:t>s</w:t>
      </w:r>
      <w:r w:rsidR="001E17E8">
        <w:rPr>
          <w:rFonts w:ascii="Times New Roman" w:hAnsi="Times New Roman" w:cs="Times New Roman"/>
          <w:sz w:val="24"/>
          <w:szCs w:val="24"/>
        </w:rPr>
        <w:t>’</w:t>
      </w:r>
      <w:r>
        <w:rPr>
          <w:rFonts w:ascii="Times New Roman" w:hAnsi="Times New Roman" w:cs="Times New Roman"/>
          <w:sz w:val="24"/>
          <w:szCs w:val="24"/>
        </w:rPr>
        <w:t xml:space="preserve"> perspectives and feedback.</w:t>
      </w:r>
    </w:p>
    <w:p w14:paraId="5A39BBE3" w14:textId="77777777" w:rsidR="003F5740" w:rsidRDefault="003F5740" w:rsidP="00091C3E">
      <w:pPr>
        <w:pStyle w:val="BodyText"/>
        <w:ind w:right="119"/>
        <w:rPr>
          <w:rFonts w:ascii="Times New Roman" w:hAnsi="Times New Roman" w:cs="Times New Roman"/>
          <w:sz w:val="24"/>
          <w:szCs w:val="24"/>
        </w:rPr>
      </w:pPr>
    </w:p>
    <w:p w14:paraId="12347B4C" w14:textId="77777777" w:rsidR="003F5740" w:rsidRDefault="003F5740" w:rsidP="00091C3E">
      <w:pPr>
        <w:pStyle w:val="BodyText"/>
        <w:ind w:right="119"/>
        <w:rPr>
          <w:rFonts w:ascii="Times New Roman" w:hAnsi="Times New Roman" w:cs="Times New Roman"/>
          <w:sz w:val="24"/>
          <w:szCs w:val="24"/>
        </w:rPr>
      </w:pPr>
      <w:r>
        <w:rPr>
          <w:rFonts w:ascii="Times New Roman" w:hAnsi="Times New Roman" w:cs="Times New Roman"/>
          <w:sz w:val="24"/>
          <w:szCs w:val="24"/>
        </w:rPr>
        <w:t xml:space="preserve">Several commenters noted </w:t>
      </w:r>
      <w:r w:rsidR="00714253">
        <w:rPr>
          <w:rFonts w:ascii="Times New Roman" w:hAnsi="Times New Roman" w:cs="Times New Roman"/>
          <w:sz w:val="24"/>
          <w:szCs w:val="24"/>
        </w:rPr>
        <w:t xml:space="preserve">non-substantive </w:t>
      </w:r>
      <w:r>
        <w:rPr>
          <w:rFonts w:ascii="Times New Roman" w:hAnsi="Times New Roman" w:cs="Times New Roman"/>
          <w:sz w:val="24"/>
          <w:szCs w:val="24"/>
        </w:rPr>
        <w:t>errors in item lettering and line numbering in various sections of the guide.</w:t>
      </w:r>
    </w:p>
    <w:p w14:paraId="41C8F396" w14:textId="77777777" w:rsidR="003F5740" w:rsidRDefault="003F5740" w:rsidP="00091C3E">
      <w:pPr>
        <w:pStyle w:val="BodyText"/>
        <w:ind w:right="119"/>
        <w:rPr>
          <w:rFonts w:ascii="Times New Roman" w:hAnsi="Times New Roman" w:cs="Times New Roman"/>
          <w:sz w:val="24"/>
          <w:szCs w:val="24"/>
        </w:rPr>
      </w:pPr>
    </w:p>
    <w:p w14:paraId="77B0F084" w14:textId="77777777" w:rsidR="003F5740" w:rsidRDefault="003F5740" w:rsidP="00091C3E">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sidR="001E17E8">
        <w:rPr>
          <w:rFonts w:ascii="Times New Roman" w:hAnsi="Times New Roman" w:cs="Times New Roman"/>
          <w:sz w:val="24"/>
          <w:szCs w:val="24"/>
        </w:rPr>
        <w:t>:  We appreciate the commenter</w:t>
      </w:r>
      <w:r>
        <w:rPr>
          <w:rFonts w:ascii="Times New Roman" w:hAnsi="Times New Roman" w:cs="Times New Roman"/>
          <w:sz w:val="24"/>
          <w:szCs w:val="24"/>
        </w:rPr>
        <w:t>s</w:t>
      </w:r>
      <w:r w:rsidR="001E17E8">
        <w:rPr>
          <w:rFonts w:ascii="Times New Roman" w:hAnsi="Times New Roman" w:cs="Times New Roman"/>
          <w:sz w:val="24"/>
          <w:szCs w:val="24"/>
        </w:rPr>
        <w:t>’</w:t>
      </w:r>
      <w:r>
        <w:rPr>
          <w:rFonts w:ascii="Times New Roman" w:hAnsi="Times New Roman" w:cs="Times New Roman"/>
          <w:sz w:val="24"/>
          <w:szCs w:val="24"/>
        </w:rPr>
        <w:t xml:space="preserve"> input and have made all needed corrections.</w:t>
      </w:r>
    </w:p>
    <w:p w14:paraId="72A3D3EC" w14:textId="77777777" w:rsidR="005353A4" w:rsidRDefault="005353A4" w:rsidP="00091C3E">
      <w:pPr>
        <w:pStyle w:val="BodyText"/>
        <w:ind w:left="540" w:right="119"/>
        <w:rPr>
          <w:rFonts w:ascii="Times New Roman" w:hAnsi="Times New Roman" w:cs="Times New Roman"/>
          <w:sz w:val="24"/>
          <w:szCs w:val="24"/>
        </w:rPr>
      </w:pPr>
    </w:p>
    <w:p w14:paraId="39FDD9CC" w14:textId="77777777" w:rsidR="000733F4" w:rsidRDefault="00190D03" w:rsidP="00091C3E">
      <w:pPr>
        <w:pStyle w:val="BodyText"/>
        <w:ind w:right="119"/>
        <w:rPr>
          <w:rFonts w:ascii="Times New Roman" w:hAnsi="Times New Roman" w:cs="Times New Roman"/>
          <w:b/>
          <w:sz w:val="24"/>
          <w:szCs w:val="24"/>
        </w:rPr>
      </w:pPr>
      <w:r>
        <w:rPr>
          <w:rFonts w:ascii="Times New Roman" w:hAnsi="Times New Roman" w:cs="Times New Roman"/>
          <w:b/>
          <w:sz w:val="24"/>
          <w:szCs w:val="24"/>
        </w:rPr>
        <w:t>INTRODUCTION AND SUBMISSION REQUIREMENTS</w:t>
      </w:r>
    </w:p>
    <w:p w14:paraId="0D0B940D" w14:textId="77777777" w:rsidR="00190D03" w:rsidRDefault="00190D03" w:rsidP="00091C3E">
      <w:pPr>
        <w:pStyle w:val="BodyText"/>
        <w:ind w:right="119"/>
        <w:rPr>
          <w:rFonts w:ascii="Times New Roman" w:hAnsi="Times New Roman" w:cs="Times New Roman"/>
          <w:b/>
          <w:sz w:val="24"/>
          <w:szCs w:val="24"/>
        </w:rPr>
      </w:pPr>
    </w:p>
    <w:p w14:paraId="2C1C37F4" w14:textId="77777777" w:rsidR="00190D03" w:rsidRPr="00190D03" w:rsidRDefault="00190D03" w:rsidP="00091C3E">
      <w:pPr>
        <w:pStyle w:val="BodyText"/>
        <w:ind w:right="119"/>
        <w:rPr>
          <w:rFonts w:ascii="Times New Roman" w:hAnsi="Times New Roman" w:cs="Times New Roman"/>
          <w:sz w:val="24"/>
          <w:szCs w:val="24"/>
        </w:rPr>
      </w:pPr>
      <w:r>
        <w:rPr>
          <w:rFonts w:ascii="Times New Roman" w:hAnsi="Times New Roman" w:cs="Times New Roman"/>
          <w:sz w:val="24"/>
          <w:szCs w:val="24"/>
        </w:rPr>
        <w:t xml:space="preserve">Several commenters expressed concerns with the requirement for eligible agencies to report postsecondary career and technical education (CTE) data through the Department’s EDFacts Submission System (ESS). </w:t>
      </w:r>
      <w:r w:rsidR="00F50385">
        <w:rPr>
          <w:rFonts w:ascii="Times New Roman" w:hAnsi="Times New Roman" w:cs="Times New Roman"/>
          <w:sz w:val="24"/>
          <w:szCs w:val="24"/>
        </w:rPr>
        <w:t xml:space="preserve"> Specific</w:t>
      </w:r>
      <w:r>
        <w:rPr>
          <w:rFonts w:ascii="Times New Roman" w:hAnsi="Times New Roman" w:cs="Times New Roman"/>
          <w:sz w:val="24"/>
          <w:szCs w:val="24"/>
        </w:rPr>
        <w:t xml:space="preserve"> concern</w:t>
      </w:r>
      <w:r w:rsidR="00B70318">
        <w:rPr>
          <w:rFonts w:ascii="Times New Roman" w:hAnsi="Times New Roman" w:cs="Times New Roman"/>
          <w:sz w:val="24"/>
          <w:szCs w:val="24"/>
        </w:rPr>
        <w:t>s</w:t>
      </w:r>
      <w:r>
        <w:rPr>
          <w:rFonts w:ascii="Times New Roman" w:hAnsi="Times New Roman" w:cs="Times New Roman"/>
          <w:sz w:val="24"/>
          <w:szCs w:val="24"/>
        </w:rPr>
        <w:t xml:space="preserve"> </w:t>
      </w:r>
      <w:r w:rsidR="00F50385">
        <w:rPr>
          <w:rFonts w:ascii="Times New Roman" w:hAnsi="Times New Roman" w:cs="Times New Roman"/>
          <w:sz w:val="24"/>
          <w:szCs w:val="24"/>
        </w:rPr>
        <w:t>identified by commenters included</w:t>
      </w:r>
      <w:r w:rsidR="00B70318">
        <w:rPr>
          <w:rFonts w:ascii="Times New Roman" w:hAnsi="Times New Roman" w:cs="Times New Roman"/>
          <w:sz w:val="24"/>
          <w:szCs w:val="24"/>
        </w:rPr>
        <w:t xml:space="preserve"> privacy protections associated with transferring data to the State agency (State Education Agency or SEA) for submission to the ESS</w:t>
      </w:r>
      <w:r w:rsidR="00F50385">
        <w:rPr>
          <w:rFonts w:ascii="Times New Roman" w:hAnsi="Times New Roman" w:cs="Times New Roman"/>
          <w:sz w:val="24"/>
          <w:szCs w:val="24"/>
        </w:rPr>
        <w:t>,</w:t>
      </w:r>
      <w:r w:rsidR="00B70318">
        <w:rPr>
          <w:rFonts w:ascii="Times New Roman" w:hAnsi="Times New Roman" w:cs="Times New Roman"/>
          <w:sz w:val="24"/>
          <w:szCs w:val="24"/>
        </w:rPr>
        <w:t xml:space="preserve"> and </w:t>
      </w:r>
      <w:r w:rsidR="00F50385">
        <w:rPr>
          <w:rFonts w:ascii="Times New Roman" w:hAnsi="Times New Roman" w:cs="Times New Roman"/>
          <w:sz w:val="24"/>
          <w:szCs w:val="24"/>
        </w:rPr>
        <w:t xml:space="preserve">additional </w:t>
      </w:r>
      <w:r w:rsidR="00B70318">
        <w:rPr>
          <w:rFonts w:ascii="Times New Roman" w:hAnsi="Times New Roman" w:cs="Times New Roman"/>
          <w:sz w:val="24"/>
          <w:szCs w:val="24"/>
        </w:rPr>
        <w:t>costs associated with reprogramming data files to meet EdFacts specifications.  The</w:t>
      </w:r>
      <w:r w:rsidR="00F50385">
        <w:rPr>
          <w:rFonts w:ascii="Times New Roman" w:hAnsi="Times New Roman" w:cs="Times New Roman"/>
          <w:sz w:val="24"/>
          <w:szCs w:val="24"/>
        </w:rPr>
        <w:t>se</w:t>
      </w:r>
      <w:r w:rsidR="00B70318">
        <w:rPr>
          <w:rFonts w:ascii="Times New Roman" w:hAnsi="Times New Roman" w:cs="Times New Roman"/>
          <w:sz w:val="24"/>
          <w:szCs w:val="24"/>
        </w:rPr>
        <w:t xml:space="preserve"> commenters recommended that the Department </w:t>
      </w:r>
      <w:r w:rsidR="00F50385">
        <w:rPr>
          <w:rFonts w:ascii="Times New Roman" w:hAnsi="Times New Roman" w:cs="Times New Roman"/>
          <w:sz w:val="24"/>
          <w:szCs w:val="24"/>
        </w:rPr>
        <w:t xml:space="preserve">address such concerns by </w:t>
      </w:r>
      <w:r w:rsidR="00B70318">
        <w:rPr>
          <w:rFonts w:ascii="Times New Roman" w:hAnsi="Times New Roman" w:cs="Times New Roman"/>
          <w:sz w:val="24"/>
          <w:szCs w:val="24"/>
        </w:rPr>
        <w:t>eliminat</w:t>
      </w:r>
      <w:r w:rsidR="00F50385">
        <w:rPr>
          <w:rFonts w:ascii="Times New Roman" w:hAnsi="Times New Roman" w:cs="Times New Roman"/>
          <w:sz w:val="24"/>
          <w:szCs w:val="24"/>
        </w:rPr>
        <w:t>ing</w:t>
      </w:r>
      <w:r w:rsidR="00B70318">
        <w:rPr>
          <w:rFonts w:ascii="Times New Roman" w:hAnsi="Times New Roman" w:cs="Times New Roman"/>
          <w:sz w:val="24"/>
          <w:szCs w:val="24"/>
        </w:rPr>
        <w:t xml:space="preserve"> this requirement from the CAR.</w:t>
      </w:r>
    </w:p>
    <w:p w14:paraId="0E27B00A" w14:textId="77777777" w:rsidR="00190D03" w:rsidRDefault="00190D03" w:rsidP="00091C3E">
      <w:pPr>
        <w:pStyle w:val="BodyText"/>
        <w:ind w:right="119"/>
        <w:rPr>
          <w:rFonts w:ascii="Times New Roman" w:hAnsi="Times New Roman" w:cs="Times New Roman"/>
          <w:sz w:val="24"/>
          <w:szCs w:val="24"/>
        </w:rPr>
      </w:pPr>
    </w:p>
    <w:p w14:paraId="6E727E18" w14:textId="77777777" w:rsidR="00F11218" w:rsidRDefault="00B70318" w:rsidP="00091C3E">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xml:space="preserve">:  After review of the comments </w:t>
      </w:r>
      <w:r w:rsidR="001D5274">
        <w:rPr>
          <w:rFonts w:ascii="Times New Roman" w:hAnsi="Times New Roman" w:cs="Times New Roman"/>
          <w:sz w:val="24"/>
          <w:szCs w:val="24"/>
        </w:rPr>
        <w:t xml:space="preserve">in response </w:t>
      </w:r>
      <w:r>
        <w:rPr>
          <w:rFonts w:ascii="Times New Roman" w:hAnsi="Times New Roman" w:cs="Times New Roman"/>
          <w:sz w:val="24"/>
          <w:szCs w:val="24"/>
        </w:rPr>
        <w:t>to this information collection, as well as similar comments submitted to the Department’s EdFacts information collection (ED-2018-ICCD-0117), we have eliminated the requirement for eligible agencies to submit their postsecondary CTE data through the ESS</w:t>
      </w:r>
      <w:r w:rsidR="00F50385">
        <w:rPr>
          <w:rFonts w:ascii="Times New Roman" w:hAnsi="Times New Roman" w:cs="Times New Roman"/>
          <w:sz w:val="24"/>
          <w:szCs w:val="24"/>
        </w:rPr>
        <w:t xml:space="preserve"> from the CAR</w:t>
      </w:r>
      <w:r>
        <w:rPr>
          <w:rFonts w:ascii="Times New Roman" w:hAnsi="Times New Roman" w:cs="Times New Roman"/>
          <w:sz w:val="24"/>
          <w:szCs w:val="24"/>
        </w:rPr>
        <w:t xml:space="preserve">.  Moreover, upon considering similar feedback received over the past several years from State CTE accountability directors and staff regarding the submission of their secondary CTE data via the ESS, we are providing eligible agencies with the option to submit their </w:t>
      </w:r>
      <w:r>
        <w:rPr>
          <w:rFonts w:ascii="Times New Roman" w:hAnsi="Times New Roman" w:cs="Times New Roman"/>
          <w:sz w:val="24"/>
          <w:szCs w:val="24"/>
        </w:rPr>
        <w:lastRenderedPageBreak/>
        <w:t>data via the ESS or Perkins CAR portal.</w:t>
      </w:r>
      <w:r w:rsidR="00F11218">
        <w:rPr>
          <w:rFonts w:ascii="Times New Roman" w:hAnsi="Times New Roman" w:cs="Times New Roman"/>
          <w:sz w:val="24"/>
          <w:szCs w:val="24"/>
        </w:rPr>
        <w:t xml:space="preserve">  We have made corresponding changes to the Submission Portal</w:t>
      </w:r>
      <w:r w:rsidR="00F50385">
        <w:rPr>
          <w:rFonts w:ascii="Times New Roman" w:hAnsi="Times New Roman" w:cs="Times New Roman"/>
          <w:sz w:val="24"/>
          <w:szCs w:val="24"/>
        </w:rPr>
        <w:t>s</w:t>
      </w:r>
      <w:r w:rsidR="00F11218">
        <w:rPr>
          <w:rFonts w:ascii="Times New Roman" w:hAnsi="Times New Roman" w:cs="Times New Roman"/>
          <w:sz w:val="24"/>
          <w:szCs w:val="24"/>
        </w:rPr>
        <w:t xml:space="preserve"> and Protocols portion of the Instructions and Submission Requirements.</w:t>
      </w:r>
    </w:p>
    <w:p w14:paraId="60061E4C" w14:textId="77777777" w:rsidR="00F11218" w:rsidRDefault="00F11218" w:rsidP="00091C3E">
      <w:pPr>
        <w:pStyle w:val="BodyText"/>
        <w:ind w:left="540" w:right="119"/>
        <w:rPr>
          <w:rFonts w:ascii="Times New Roman" w:hAnsi="Times New Roman" w:cs="Times New Roman"/>
          <w:sz w:val="24"/>
          <w:szCs w:val="24"/>
        </w:rPr>
      </w:pPr>
    </w:p>
    <w:p w14:paraId="17D1BFBF" w14:textId="77777777" w:rsidR="00F11218" w:rsidRPr="00F11218" w:rsidRDefault="00F11218" w:rsidP="001B1AA4">
      <w:pPr>
        <w:pStyle w:val="BodyText"/>
        <w:numPr>
          <w:ilvl w:val="0"/>
          <w:numId w:val="8"/>
        </w:numPr>
        <w:ind w:left="540" w:right="119" w:hanging="540"/>
        <w:rPr>
          <w:rFonts w:ascii="Times New Roman" w:hAnsi="Times New Roman" w:cs="Times New Roman"/>
          <w:sz w:val="24"/>
          <w:szCs w:val="24"/>
        </w:rPr>
      </w:pPr>
      <w:r>
        <w:rPr>
          <w:rFonts w:ascii="Times New Roman" w:hAnsi="Times New Roman" w:cs="Times New Roman"/>
          <w:b/>
          <w:sz w:val="24"/>
          <w:szCs w:val="24"/>
        </w:rPr>
        <w:t>Cover Page</w:t>
      </w:r>
    </w:p>
    <w:p w14:paraId="29D6B04F" w14:textId="77777777" w:rsidR="00B70318" w:rsidRDefault="00F11218" w:rsidP="00091C3E">
      <w:pPr>
        <w:pStyle w:val="BodyText"/>
        <w:ind w:right="119"/>
        <w:rPr>
          <w:rFonts w:ascii="Times New Roman" w:hAnsi="Times New Roman" w:cs="Times New Roman"/>
          <w:sz w:val="24"/>
          <w:szCs w:val="24"/>
        </w:rPr>
      </w:pPr>
      <w:r>
        <w:rPr>
          <w:rFonts w:ascii="Times New Roman" w:hAnsi="Times New Roman" w:cs="Times New Roman"/>
          <w:sz w:val="24"/>
          <w:szCs w:val="24"/>
        </w:rPr>
        <w:t xml:space="preserve"> </w:t>
      </w:r>
    </w:p>
    <w:p w14:paraId="5FBC3F2C" w14:textId="77777777" w:rsidR="00B70318" w:rsidRDefault="00F11218" w:rsidP="00091C3E">
      <w:pPr>
        <w:pStyle w:val="BodyText"/>
        <w:ind w:right="119"/>
        <w:rPr>
          <w:rFonts w:ascii="Times New Roman" w:hAnsi="Times New Roman" w:cs="Times New Roman"/>
          <w:sz w:val="24"/>
          <w:szCs w:val="24"/>
        </w:rPr>
      </w:pPr>
      <w:r>
        <w:rPr>
          <w:rFonts w:ascii="Times New Roman" w:hAnsi="Times New Roman" w:cs="Times New Roman"/>
          <w:sz w:val="24"/>
          <w:szCs w:val="24"/>
        </w:rPr>
        <w:t>No comments were received on this section of the guide.</w:t>
      </w:r>
    </w:p>
    <w:p w14:paraId="44EAFD9C" w14:textId="77777777" w:rsidR="00F11218" w:rsidRDefault="00F11218" w:rsidP="00091C3E">
      <w:pPr>
        <w:pStyle w:val="BodyText"/>
        <w:ind w:right="119"/>
        <w:rPr>
          <w:rFonts w:ascii="Times New Roman" w:hAnsi="Times New Roman" w:cs="Times New Roman"/>
          <w:sz w:val="24"/>
          <w:szCs w:val="24"/>
        </w:rPr>
      </w:pPr>
    </w:p>
    <w:p w14:paraId="5EDA0B7B" w14:textId="77777777" w:rsidR="00F11218" w:rsidRDefault="00F11218" w:rsidP="001B1AA4">
      <w:pPr>
        <w:pStyle w:val="BodyText"/>
        <w:numPr>
          <w:ilvl w:val="0"/>
          <w:numId w:val="8"/>
        </w:numPr>
        <w:ind w:left="540" w:right="119" w:hanging="540"/>
        <w:rPr>
          <w:rFonts w:ascii="Times New Roman" w:hAnsi="Times New Roman" w:cs="Times New Roman"/>
          <w:sz w:val="24"/>
          <w:szCs w:val="24"/>
        </w:rPr>
      </w:pPr>
      <w:r>
        <w:rPr>
          <w:rFonts w:ascii="Times New Roman" w:hAnsi="Times New Roman" w:cs="Times New Roman"/>
          <w:b/>
          <w:sz w:val="24"/>
          <w:szCs w:val="24"/>
        </w:rPr>
        <w:t>Narrative Performance Report</w:t>
      </w:r>
    </w:p>
    <w:p w14:paraId="4B94D5A5" w14:textId="77777777" w:rsidR="00F11218" w:rsidRDefault="00F11218" w:rsidP="00091C3E">
      <w:pPr>
        <w:pStyle w:val="BodyText"/>
        <w:ind w:right="119"/>
        <w:rPr>
          <w:rFonts w:ascii="Times New Roman" w:hAnsi="Times New Roman" w:cs="Times New Roman"/>
          <w:sz w:val="24"/>
          <w:szCs w:val="24"/>
        </w:rPr>
      </w:pPr>
    </w:p>
    <w:p w14:paraId="0B08008C" w14:textId="77777777" w:rsidR="00F11218" w:rsidRDefault="00F11218" w:rsidP="00091C3E">
      <w:pPr>
        <w:pStyle w:val="BodyText"/>
        <w:ind w:right="119"/>
        <w:rPr>
          <w:rFonts w:ascii="Times New Roman" w:hAnsi="Times New Roman" w:cs="Times New Roman"/>
          <w:sz w:val="24"/>
          <w:szCs w:val="24"/>
        </w:rPr>
      </w:pPr>
      <w:r>
        <w:rPr>
          <w:rFonts w:ascii="Times New Roman" w:hAnsi="Times New Roman" w:cs="Times New Roman"/>
          <w:sz w:val="24"/>
          <w:szCs w:val="24"/>
        </w:rPr>
        <w:t>Several commenters noted duplication in Items 1.b and 1.c.ii</w:t>
      </w:r>
      <w:r w:rsidR="00F50385">
        <w:rPr>
          <w:rFonts w:ascii="Times New Roman" w:hAnsi="Times New Roman" w:cs="Times New Roman"/>
          <w:sz w:val="24"/>
          <w:szCs w:val="24"/>
        </w:rPr>
        <w:t>, involving the requirement</w:t>
      </w:r>
      <w:r>
        <w:rPr>
          <w:rFonts w:ascii="Times New Roman" w:hAnsi="Times New Roman" w:cs="Times New Roman"/>
          <w:sz w:val="24"/>
          <w:szCs w:val="24"/>
        </w:rPr>
        <w:t xml:space="preserve"> that </w:t>
      </w:r>
      <w:r w:rsidR="00F50385">
        <w:rPr>
          <w:rFonts w:ascii="Times New Roman" w:hAnsi="Times New Roman" w:cs="Times New Roman"/>
          <w:sz w:val="24"/>
          <w:szCs w:val="24"/>
        </w:rPr>
        <w:t xml:space="preserve">eligible agency’s provide </w:t>
      </w:r>
      <w:r>
        <w:rPr>
          <w:rFonts w:ascii="Times New Roman" w:hAnsi="Times New Roman" w:cs="Times New Roman"/>
          <w:sz w:val="24"/>
          <w:szCs w:val="24"/>
        </w:rPr>
        <w:t>a description of</w:t>
      </w:r>
      <w:r w:rsidR="00F50385">
        <w:rPr>
          <w:rFonts w:ascii="Times New Roman" w:hAnsi="Times New Roman" w:cs="Times New Roman"/>
          <w:sz w:val="24"/>
          <w:szCs w:val="24"/>
        </w:rPr>
        <w:t xml:space="preserve"> any </w:t>
      </w:r>
      <w:r>
        <w:rPr>
          <w:rFonts w:ascii="Times New Roman" w:hAnsi="Times New Roman" w:cs="Times New Roman"/>
          <w:sz w:val="24"/>
          <w:szCs w:val="24"/>
        </w:rPr>
        <w:t xml:space="preserve">major accomplishments </w:t>
      </w:r>
      <w:r w:rsidR="00F50385">
        <w:rPr>
          <w:rFonts w:ascii="Times New Roman" w:hAnsi="Times New Roman" w:cs="Times New Roman"/>
          <w:sz w:val="24"/>
          <w:szCs w:val="24"/>
        </w:rPr>
        <w:t>resulting</w:t>
      </w:r>
      <w:r>
        <w:rPr>
          <w:rFonts w:ascii="Times New Roman" w:hAnsi="Times New Roman" w:cs="Times New Roman"/>
          <w:sz w:val="24"/>
          <w:szCs w:val="24"/>
        </w:rPr>
        <w:t xml:space="preserve"> </w:t>
      </w:r>
      <w:r w:rsidR="00F50385">
        <w:rPr>
          <w:rFonts w:ascii="Times New Roman" w:hAnsi="Times New Roman" w:cs="Times New Roman"/>
          <w:sz w:val="24"/>
          <w:szCs w:val="24"/>
        </w:rPr>
        <w:t>from the use of</w:t>
      </w:r>
      <w:r>
        <w:rPr>
          <w:rFonts w:ascii="Times New Roman" w:hAnsi="Times New Roman" w:cs="Times New Roman"/>
          <w:sz w:val="24"/>
          <w:szCs w:val="24"/>
        </w:rPr>
        <w:t xml:space="preserve"> State leadership funds for individuals in State institutions.</w:t>
      </w:r>
    </w:p>
    <w:p w14:paraId="3DEEC669" w14:textId="77777777" w:rsidR="00F11218" w:rsidRDefault="00F11218" w:rsidP="00091C3E">
      <w:pPr>
        <w:pStyle w:val="BodyText"/>
        <w:ind w:right="119"/>
        <w:rPr>
          <w:rFonts w:ascii="Times New Roman" w:hAnsi="Times New Roman" w:cs="Times New Roman"/>
          <w:sz w:val="24"/>
          <w:szCs w:val="24"/>
        </w:rPr>
      </w:pPr>
    </w:p>
    <w:p w14:paraId="268B9C1B" w14:textId="77777777" w:rsidR="00F11218" w:rsidRPr="00F11218" w:rsidRDefault="00F11218" w:rsidP="00091C3E">
      <w:pPr>
        <w:pStyle w:val="BodyText"/>
        <w:tabs>
          <w:tab w:val="left" w:pos="540"/>
        </w:tabs>
        <w:ind w:left="540" w:right="119"/>
        <w:rPr>
          <w:rFonts w:ascii="Times New Roman" w:hAnsi="Times New Roman" w:cs="Times New Roman"/>
          <w:sz w:val="24"/>
          <w:szCs w:val="24"/>
        </w:rPr>
      </w:pPr>
      <w:r w:rsidRPr="00472774">
        <w:rPr>
          <w:rFonts w:ascii="Times New Roman" w:hAnsi="Times New Roman" w:cs="Times New Roman"/>
          <w:sz w:val="24"/>
          <w:szCs w:val="24"/>
          <w:u w:val="single"/>
        </w:rPr>
        <w:t>Department’s Response</w:t>
      </w:r>
      <w:r>
        <w:rPr>
          <w:rFonts w:ascii="Times New Roman" w:hAnsi="Times New Roman" w:cs="Times New Roman"/>
          <w:sz w:val="24"/>
          <w:szCs w:val="24"/>
        </w:rPr>
        <w:t xml:space="preserve">:  We agree with the commenters </w:t>
      </w:r>
      <w:r w:rsidR="00F50385">
        <w:rPr>
          <w:rFonts w:ascii="Times New Roman" w:hAnsi="Times New Roman" w:cs="Times New Roman"/>
          <w:sz w:val="24"/>
          <w:szCs w:val="24"/>
        </w:rPr>
        <w:t xml:space="preserve">that these items are duplicative, </w:t>
      </w:r>
      <w:r>
        <w:rPr>
          <w:rFonts w:ascii="Times New Roman" w:hAnsi="Times New Roman" w:cs="Times New Roman"/>
          <w:sz w:val="24"/>
          <w:szCs w:val="24"/>
        </w:rPr>
        <w:t xml:space="preserve">and have eliminated this </w:t>
      </w:r>
      <w:r w:rsidR="00F50385">
        <w:rPr>
          <w:rFonts w:ascii="Times New Roman" w:hAnsi="Times New Roman" w:cs="Times New Roman"/>
          <w:sz w:val="24"/>
          <w:szCs w:val="24"/>
        </w:rPr>
        <w:t>language</w:t>
      </w:r>
      <w:r>
        <w:rPr>
          <w:rFonts w:ascii="Times New Roman" w:hAnsi="Times New Roman" w:cs="Times New Roman"/>
          <w:sz w:val="24"/>
          <w:szCs w:val="24"/>
        </w:rPr>
        <w:t xml:space="preserve"> as part of Item 1.b in Section </w:t>
      </w:r>
      <w:r w:rsidR="0016326C">
        <w:rPr>
          <w:rFonts w:ascii="Times New Roman" w:hAnsi="Times New Roman" w:cs="Times New Roman"/>
          <w:sz w:val="24"/>
          <w:szCs w:val="24"/>
        </w:rPr>
        <w:t>II.</w:t>
      </w:r>
      <w:r>
        <w:rPr>
          <w:rFonts w:ascii="Times New Roman" w:hAnsi="Times New Roman" w:cs="Times New Roman"/>
          <w:sz w:val="24"/>
          <w:szCs w:val="24"/>
        </w:rPr>
        <w:t>B: Narrative Performance Report Form—Implementation of State Leadership Activities.</w:t>
      </w:r>
    </w:p>
    <w:p w14:paraId="0A6959E7" w14:textId="77777777" w:rsidR="00F11218" w:rsidRDefault="00F11218" w:rsidP="00091C3E">
      <w:pPr>
        <w:pStyle w:val="BodyText"/>
        <w:ind w:right="119"/>
        <w:rPr>
          <w:rFonts w:ascii="Times New Roman" w:hAnsi="Times New Roman" w:cs="Times New Roman"/>
          <w:sz w:val="24"/>
          <w:szCs w:val="24"/>
        </w:rPr>
      </w:pPr>
      <w:r>
        <w:rPr>
          <w:rFonts w:ascii="Times New Roman" w:hAnsi="Times New Roman" w:cs="Times New Roman"/>
          <w:sz w:val="24"/>
          <w:szCs w:val="24"/>
        </w:rPr>
        <w:t xml:space="preserve"> </w:t>
      </w:r>
    </w:p>
    <w:p w14:paraId="02582994" w14:textId="77777777" w:rsidR="00F11218" w:rsidRDefault="00F11218" w:rsidP="00091C3E">
      <w:pPr>
        <w:pStyle w:val="BodyText"/>
        <w:ind w:right="119"/>
        <w:rPr>
          <w:rFonts w:ascii="Times New Roman" w:hAnsi="Times New Roman" w:cs="Times New Roman"/>
          <w:sz w:val="24"/>
          <w:szCs w:val="24"/>
        </w:rPr>
      </w:pPr>
      <w:r>
        <w:rPr>
          <w:rFonts w:ascii="Times New Roman" w:hAnsi="Times New Roman" w:cs="Times New Roman"/>
          <w:sz w:val="24"/>
          <w:szCs w:val="24"/>
        </w:rPr>
        <w:t xml:space="preserve">Several commenters expressed concern with the requirement in B.1.e to describe, in the FY 2019 CAR submission, the effectiveness of the use of State leadership funds in achieving the goals and State-determined performance levels established in the State plan.  The commenters indicated that data required for such determinations will not be available, at a minimum, </w:t>
      </w:r>
      <w:r w:rsidR="00472774">
        <w:rPr>
          <w:rFonts w:ascii="Times New Roman" w:hAnsi="Times New Roman" w:cs="Times New Roman"/>
          <w:sz w:val="24"/>
          <w:szCs w:val="24"/>
        </w:rPr>
        <w:t xml:space="preserve">until </w:t>
      </w:r>
      <w:r>
        <w:rPr>
          <w:rFonts w:ascii="Times New Roman" w:hAnsi="Times New Roman" w:cs="Times New Roman"/>
          <w:sz w:val="24"/>
          <w:szCs w:val="24"/>
        </w:rPr>
        <w:t xml:space="preserve">the 2020-21 </w:t>
      </w:r>
      <w:r w:rsidR="00472774">
        <w:rPr>
          <w:rFonts w:ascii="Times New Roman" w:hAnsi="Times New Roman" w:cs="Times New Roman"/>
          <w:sz w:val="24"/>
          <w:szCs w:val="24"/>
        </w:rPr>
        <w:t>school year—the first year for which States will be held accountable for achieving their State determined performance levels (SDPLs)</w:t>
      </w:r>
      <w:r>
        <w:rPr>
          <w:rFonts w:ascii="Times New Roman" w:hAnsi="Times New Roman" w:cs="Times New Roman"/>
          <w:sz w:val="24"/>
          <w:szCs w:val="24"/>
        </w:rPr>
        <w:t>.</w:t>
      </w:r>
    </w:p>
    <w:p w14:paraId="3656B9AB" w14:textId="77777777" w:rsidR="00472774" w:rsidRDefault="00472774" w:rsidP="00091C3E">
      <w:pPr>
        <w:pStyle w:val="BodyText"/>
        <w:ind w:right="119"/>
        <w:rPr>
          <w:rFonts w:ascii="Times New Roman" w:hAnsi="Times New Roman" w:cs="Times New Roman"/>
          <w:sz w:val="24"/>
          <w:szCs w:val="24"/>
        </w:rPr>
      </w:pPr>
    </w:p>
    <w:p w14:paraId="728B3DC3" w14:textId="77777777" w:rsidR="00472774" w:rsidRPr="00472774" w:rsidRDefault="00472774" w:rsidP="00091C3E">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We agree with the commenters and have eliminated this requirement f</w:t>
      </w:r>
      <w:r w:rsidR="003150D9">
        <w:rPr>
          <w:rFonts w:ascii="Times New Roman" w:hAnsi="Times New Roman" w:cs="Times New Roman"/>
          <w:sz w:val="24"/>
          <w:szCs w:val="24"/>
        </w:rPr>
        <w:t>rom</w:t>
      </w:r>
      <w:r>
        <w:rPr>
          <w:rFonts w:ascii="Times New Roman" w:hAnsi="Times New Roman" w:cs="Times New Roman"/>
          <w:sz w:val="24"/>
          <w:szCs w:val="24"/>
        </w:rPr>
        <w:t xml:space="preserve"> the FY 2019 CAR submission.  </w:t>
      </w:r>
    </w:p>
    <w:p w14:paraId="45FB0818" w14:textId="77777777" w:rsidR="00F11218" w:rsidRDefault="00F11218" w:rsidP="00091C3E">
      <w:pPr>
        <w:pStyle w:val="BodyText"/>
        <w:ind w:right="119"/>
        <w:rPr>
          <w:rFonts w:ascii="Times New Roman" w:hAnsi="Times New Roman" w:cs="Times New Roman"/>
          <w:sz w:val="24"/>
          <w:szCs w:val="24"/>
        </w:rPr>
      </w:pPr>
    </w:p>
    <w:p w14:paraId="59BBD437" w14:textId="77777777" w:rsidR="00F11218" w:rsidRDefault="00F34C29" w:rsidP="00091C3E">
      <w:pPr>
        <w:pStyle w:val="BodyText"/>
        <w:ind w:right="119"/>
        <w:rPr>
          <w:rFonts w:ascii="Times New Roman" w:hAnsi="Times New Roman" w:cs="Times New Roman"/>
          <w:sz w:val="24"/>
          <w:szCs w:val="24"/>
        </w:rPr>
      </w:pPr>
      <w:r>
        <w:rPr>
          <w:rFonts w:ascii="Times New Roman" w:hAnsi="Times New Roman" w:cs="Times New Roman"/>
          <w:sz w:val="24"/>
          <w:szCs w:val="24"/>
        </w:rPr>
        <w:t>One commenter expressed concern with the requirement in Item B.2 to explain when enrollment changes by more than 25 percent.  The commenter indicated that that this threshold is arbitrary and not required in legislation.  The commenter asked the Department to consider having States determine what percentage is considered a significant change and provide an explanation only when that threshold is met.</w:t>
      </w:r>
    </w:p>
    <w:p w14:paraId="049F31CB" w14:textId="77777777" w:rsidR="00F34C29" w:rsidRDefault="00F34C29" w:rsidP="00091C3E">
      <w:pPr>
        <w:pStyle w:val="BodyText"/>
        <w:ind w:right="119"/>
        <w:rPr>
          <w:rFonts w:ascii="Times New Roman" w:hAnsi="Times New Roman" w:cs="Times New Roman"/>
          <w:sz w:val="24"/>
          <w:szCs w:val="24"/>
        </w:rPr>
      </w:pPr>
    </w:p>
    <w:p w14:paraId="4F512111" w14:textId="77777777" w:rsidR="00F34C29" w:rsidRDefault="00F34C29" w:rsidP="00091C3E">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sidR="0078656A">
        <w:rPr>
          <w:rFonts w:ascii="Times New Roman" w:hAnsi="Times New Roman" w:cs="Times New Roman"/>
          <w:sz w:val="24"/>
          <w:szCs w:val="24"/>
        </w:rPr>
        <w:t xml:space="preserve">:  </w:t>
      </w:r>
      <w:r w:rsidR="00076578">
        <w:rPr>
          <w:rFonts w:ascii="Times New Roman" w:hAnsi="Times New Roman" w:cs="Times New Roman"/>
          <w:sz w:val="24"/>
          <w:szCs w:val="24"/>
        </w:rPr>
        <w:t>We</w:t>
      </w:r>
      <w:r>
        <w:rPr>
          <w:rFonts w:ascii="Times New Roman" w:hAnsi="Times New Roman" w:cs="Times New Roman"/>
          <w:sz w:val="24"/>
          <w:szCs w:val="24"/>
        </w:rPr>
        <w:t xml:space="preserve"> appreciate the commenter’s input</w:t>
      </w:r>
      <w:r w:rsidR="00076578">
        <w:rPr>
          <w:rFonts w:ascii="Times New Roman" w:hAnsi="Times New Roman" w:cs="Times New Roman"/>
          <w:sz w:val="24"/>
          <w:szCs w:val="24"/>
        </w:rPr>
        <w:t xml:space="preserve"> and after reconsideration, have eliminated this requirement from the FY 2019 CAR submission</w:t>
      </w:r>
      <w:r>
        <w:rPr>
          <w:rFonts w:ascii="Times New Roman" w:hAnsi="Times New Roman" w:cs="Times New Roman"/>
          <w:sz w:val="24"/>
          <w:szCs w:val="24"/>
        </w:rPr>
        <w:t>.</w:t>
      </w:r>
    </w:p>
    <w:p w14:paraId="53128261" w14:textId="77777777" w:rsidR="0078656A" w:rsidRDefault="0078656A" w:rsidP="00091C3E">
      <w:pPr>
        <w:pStyle w:val="BodyText"/>
        <w:ind w:right="119"/>
        <w:rPr>
          <w:rFonts w:ascii="Times New Roman" w:hAnsi="Times New Roman" w:cs="Times New Roman"/>
          <w:sz w:val="24"/>
          <w:szCs w:val="24"/>
        </w:rPr>
      </w:pPr>
    </w:p>
    <w:p w14:paraId="1699CE30" w14:textId="77777777" w:rsidR="0078656A" w:rsidRDefault="00436746" w:rsidP="00091C3E">
      <w:pPr>
        <w:pStyle w:val="BodyText"/>
        <w:ind w:right="119"/>
        <w:rPr>
          <w:rFonts w:ascii="Times New Roman" w:hAnsi="Times New Roman" w:cs="Times New Roman"/>
          <w:sz w:val="24"/>
          <w:szCs w:val="24"/>
        </w:rPr>
      </w:pPr>
      <w:r>
        <w:rPr>
          <w:rFonts w:ascii="Times New Roman" w:hAnsi="Times New Roman" w:cs="Times New Roman"/>
          <w:sz w:val="24"/>
          <w:szCs w:val="24"/>
        </w:rPr>
        <w:t>One commenter recommended that several items in B.1 be subdivided for reporting purposes.  The commenter indicated that combining items into single questions does not give adequate attention to its required subparts.</w:t>
      </w:r>
    </w:p>
    <w:p w14:paraId="62486C05" w14:textId="77777777" w:rsidR="00436746" w:rsidRDefault="00436746" w:rsidP="00091C3E">
      <w:pPr>
        <w:pStyle w:val="BodyText"/>
        <w:ind w:right="119"/>
        <w:rPr>
          <w:rFonts w:ascii="Times New Roman" w:hAnsi="Times New Roman" w:cs="Times New Roman"/>
          <w:sz w:val="24"/>
          <w:szCs w:val="24"/>
        </w:rPr>
      </w:pPr>
    </w:p>
    <w:p w14:paraId="2516C4B6" w14:textId="77777777" w:rsidR="00467BFD" w:rsidRDefault="00436746" w:rsidP="00091C3E">
      <w:pPr>
        <w:pStyle w:val="BodyText"/>
        <w:ind w:left="63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xml:space="preserve">:  While we appreciate the commenter’s input, no changes have been made.  In this section and throughout the guide, we have generally only used statutory requirements and verbatim language from Perkins V, which does not include </w:t>
      </w:r>
    </w:p>
    <w:p w14:paraId="4101652C" w14:textId="77777777" w:rsidR="00467BFD" w:rsidRDefault="00467BFD">
      <w:pPr>
        <w:spacing w:after="0" w:line="240" w:lineRule="auto"/>
        <w:rPr>
          <w:rFonts w:ascii="Times New Roman" w:hAnsi="Times New Roman"/>
          <w:sz w:val="24"/>
          <w:szCs w:val="24"/>
          <w:lang w:bidi="en-US"/>
        </w:rPr>
      </w:pPr>
      <w:r>
        <w:rPr>
          <w:rFonts w:ascii="Times New Roman" w:hAnsi="Times New Roman"/>
          <w:sz w:val="24"/>
          <w:szCs w:val="24"/>
        </w:rPr>
        <w:br w:type="page"/>
      </w:r>
    </w:p>
    <w:p w14:paraId="509887B2" w14:textId="77777777" w:rsidR="00436746" w:rsidRPr="00436746" w:rsidRDefault="00436746" w:rsidP="00091C3E">
      <w:pPr>
        <w:pStyle w:val="BodyText"/>
        <w:ind w:left="630" w:right="119"/>
        <w:rPr>
          <w:rFonts w:ascii="Times New Roman" w:hAnsi="Times New Roman" w:cs="Times New Roman"/>
          <w:sz w:val="24"/>
          <w:szCs w:val="24"/>
        </w:rPr>
      </w:pPr>
      <w:r>
        <w:rPr>
          <w:rFonts w:ascii="Times New Roman" w:hAnsi="Times New Roman" w:cs="Times New Roman"/>
          <w:sz w:val="24"/>
          <w:szCs w:val="24"/>
        </w:rPr>
        <w:lastRenderedPageBreak/>
        <w:t xml:space="preserve">such subdivisions.  </w:t>
      </w:r>
      <w:r w:rsidR="00155E38">
        <w:rPr>
          <w:rFonts w:ascii="Times New Roman" w:hAnsi="Times New Roman" w:cs="Times New Roman"/>
          <w:sz w:val="24"/>
          <w:szCs w:val="24"/>
        </w:rPr>
        <w:t xml:space="preserve">That said, the Department will </w:t>
      </w:r>
      <w:r>
        <w:rPr>
          <w:rFonts w:ascii="Times New Roman" w:hAnsi="Times New Roman" w:cs="Times New Roman"/>
          <w:sz w:val="24"/>
          <w:szCs w:val="24"/>
        </w:rPr>
        <w:t>thoroughly review</w:t>
      </w:r>
      <w:r w:rsidR="00155E38">
        <w:rPr>
          <w:rFonts w:ascii="Times New Roman" w:hAnsi="Times New Roman" w:cs="Times New Roman"/>
          <w:sz w:val="24"/>
          <w:szCs w:val="24"/>
        </w:rPr>
        <w:t xml:space="preserve"> each eligible agency’s </w:t>
      </w:r>
      <w:r>
        <w:rPr>
          <w:rFonts w:ascii="Times New Roman" w:hAnsi="Times New Roman" w:cs="Times New Roman"/>
          <w:sz w:val="24"/>
          <w:szCs w:val="24"/>
        </w:rPr>
        <w:t xml:space="preserve">responses to all </w:t>
      </w:r>
      <w:r w:rsidR="00155E38">
        <w:rPr>
          <w:rFonts w:ascii="Times New Roman" w:hAnsi="Times New Roman" w:cs="Times New Roman"/>
          <w:sz w:val="24"/>
          <w:szCs w:val="24"/>
        </w:rPr>
        <w:t xml:space="preserve">narrative </w:t>
      </w:r>
      <w:r>
        <w:rPr>
          <w:rFonts w:ascii="Times New Roman" w:hAnsi="Times New Roman" w:cs="Times New Roman"/>
          <w:sz w:val="24"/>
          <w:szCs w:val="24"/>
        </w:rPr>
        <w:t xml:space="preserve">items and ensure that all portions </w:t>
      </w:r>
      <w:r w:rsidR="00155E38">
        <w:rPr>
          <w:rFonts w:ascii="Times New Roman" w:hAnsi="Times New Roman" w:cs="Times New Roman"/>
          <w:sz w:val="24"/>
          <w:szCs w:val="24"/>
        </w:rPr>
        <w:t xml:space="preserve">of the items </w:t>
      </w:r>
      <w:r>
        <w:rPr>
          <w:rFonts w:ascii="Times New Roman" w:hAnsi="Times New Roman" w:cs="Times New Roman"/>
          <w:sz w:val="24"/>
          <w:szCs w:val="24"/>
        </w:rPr>
        <w:t>are fully addressed.</w:t>
      </w:r>
    </w:p>
    <w:p w14:paraId="4B99056E" w14:textId="77777777" w:rsidR="00B70318" w:rsidRDefault="00B70318" w:rsidP="00091C3E">
      <w:pPr>
        <w:pStyle w:val="BodyText"/>
        <w:ind w:right="119"/>
        <w:rPr>
          <w:rFonts w:ascii="Times New Roman" w:hAnsi="Times New Roman" w:cs="Times New Roman"/>
          <w:sz w:val="24"/>
          <w:szCs w:val="24"/>
        </w:rPr>
      </w:pPr>
    </w:p>
    <w:p w14:paraId="1734C954" w14:textId="77777777" w:rsidR="00155E38" w:rsidRPr="00155E38" w:rsidRDefault="00155E38" w:rsidP="00091C3E">
      <w:pPr>
        <w:pStyle w:val="BodyText"/>
        <w:numPr>
          <w:ilvl w:val="0"/>
          <w:numId w:val="8"/>
        </w:numPr>
        <w:ind w:left="540" w:right="119" w:firstLine="0"/>
        <w:rPr>
          <w:rFonts w:ascii="Times New Roman" w:hAnsi="Times New Roman" w:cs="Times New Roman"/>
          <w:b/>
          <w:sz w:val="24"/>
          <w:szCs w:val="24"/>
        </w:rPr>
      </w:pPr>
      <w:r>
        <w:rPr>
          <w:rFonts w:ascii="Times New Roman" w:hAnsi="Times New Roman" w:cs="Times New Roman"/>
          <w:b/>
          <w:sz w:val="24"/>
          <w:szCs w:val="24"/>
        </w:rPr>
        <w:t>FINANCIAL STATUS REPORTS</w:t>
      </w:r>
    </w:p>
    <w:p w14:paraId="1299C43A" w14:textId="77777777" w:rsidR="00335C9F" w:rsidRDefault="00335C9F" w:rsidP="00091C3E">
      <w:pPr>
        <w:pStyle w:val="BodyText"/>
        <w:ind w:right="119"/>
        <w:rPr>
          <w:rFonts w:ascii="Times New Roman" w:hAnsi="Times New Roman" w:cs="Times New Roman"/>
          <w:sz w:val="24"/>
          <w:szCs w:val="24"/>
        </w:rPr>
      </w:pPr>
    </w:p>
    <w:p w14:paraId="014C2EED" w14:textId="77777777" w:rsidR="00335C9F" w:rsidRDefault="00155E38" w:rsidP="00091C3E">
      <w:pPr>
        <w:pStyle w:val="BodyText"/>
        <w:ind w:right="119"/>
        <w:rPr>
          <w:rFonts w:ascii="Times New Roman" w:hAnsi="Times New Roman" w:cs="Times New Roman"/>
          <w:sz w:val="24"/>
          <w:szCs w:val="24"/>
        </w:rPr>
      </w:pPr>
      <w:r>
        <w:rPr>
          <w:rFonts w:ascii="Times New Roman" w:hAnsi="Times New Roman" w:cs="Times New Roman"/>
          <w:sz w:val="24"/>
          <w:szCs w:val="24"/>
        </w:rPr>
        <w:t>Several commenters noted errors and inconsistencies with Perkins V statutory language in the Instructions for the Financial Status Reports.</w:t>
      </w:r>
    </w:p>
    <w:p w14:paraId="4DDBEF00" w14:textId="77777777" w:rsidR="00155E38" w:rsidRDefault="00155E38" w:rsidP="00091C3E">
      <w:pPr>
        <w:pStyle w:val="BodyText"/>
        <w:ind w:right="119"/>
        <w:rPr>
          <w:rFonts w:ascii="Times New Roman" w:hAnsi="Times New Roman" w:cs="Times New Roman"/>
          <w:sz w:val="24"/>
          <w:szCs w:val="24"/>
        </w:rPr>
      </w:pPr>
    </w:p>
    <w:p w14:paraId="5AE92413" w14:textId="77777777" w:rsidR="00155E38" w:rsidRDefault="00155E38" w:rsidP="00091C3E">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We appreciate the</w:t>
      </w:r>
      <w:r w:rsidR="004E0667">
        <w:rPr>
          <w:rFonts w:ascii="Times New Roman" w:hAnsi="Times New Roman" w:cs="Times New Roman"/>
          <w:sz w:val="24"/>
          <w:szCs w:val="24"/>
        </w:rPr>
        <w:t xml:space="preserve"> </w:t>
      </w:r>
      <w:r w:rsidR="00D230A8">
        <w:rPr>
          <w:rFonts w:ascii="Times New Roman" w:hAnsi="Times New Roman" w:cs="Times New Roman"/>
          <w:sz w:val="24"/>
          <w:szCs w:val="24"/>
        </w:rPr>
        <w:t>commenters’ input and have made changes to Item 2.a: Completing Row Items A-N, F</w:t>
      </w:r>
      <w:r w:rsidR="0049317C">
        <w:rPr>
          <w:rFonts w:ascii="Times New Roman" w:hAnsi="Times New Roman" w:cs="Times New Roman"/>
          <w:sz w:val="24"/>
          <w:szCs w:val="24"/>
        </w:rPr>
        <w:t>u</w:t>
      </w:r>
      <w:r w:rsidR="00D230A8">
        <w:rPr>
          <w:rFonts w:ascii="Times New Roman" w:hAnsi="Times New Roman" w:cs="Times New Roman"/>
          <w:sz w:val="24"/>
          <w:szCs w:val="24"/>
        </w:rPr>
        <w:t>nds for Local Distribution in Section III.A: Instructions for Financial Status Reports (FSR)</w:t>
      </w:r>
      <w:r w:rsidR="00750943">
        <w:rPr>
          <w:rFonts w:ascii="Times New Roman" w:hAnsi="Times New Roman" w:cs="Times New Roman"/>
          <w:sz w:val="24"/>
          <w:szCs w:val="24"/>
        </w:rPr>
        <w:t xml:space="preserve"> so that they more </w:t>
      </w:r>
      <w:r w:rsidR="00F62AAB">
        <w:rPr>
          <w:rFonts w:ascii="Times New Roman" w:hAnsi="Times New Roman" w:cs="Times New Roman"/>
          <w:sz w:val="24"/>
          <w:szCs w:val="24"/>
        </w:rPr>
        <w:t xml:space="preserve">closely </w:t>
      </w:r>
      <w:r w:rsidR="00750943">
        <w:rPr>
          <w:rFonts w:ascii="Times New Roman" w:hAnsi="Times New Roman" w:cs="Times New Roman"/>
          <w:sz w:val="24"/>
          <w:szCs w:val="24"/>
        </w:rPr>
        <w:t xml:space="preserve">match </w:t>
      </w:r>
      <w:r w:rsidR="00F62AAB">
        <w:rPr>
          <w:rFonts w:ascii="Times New Roman" w:hAnsi="Times New Roman" w:cs="Times New Roman"/>
          <w:sz w:val="24"/>
          <w:szCs w:val="24"/>
        </w:rPr>
        <w:t xml:space="preserve">the </w:t>
      </w:r>
      <w:r w:rsidR="00750943">
        <w:rPr>
          <w:rFonts w:ascii="Times New Roman" w:hAnsi="Times New Roman" w:cs="Times New Roman"/>
          <w:sz w:val="24"/>
          <w:szCs w:val="24"/>
        </w:rPr>
        <w:t>statutory text</w:t>
      </w:r>
      <w:r w:rsidR="00D230A8">
        <w:rPr>
          <w:rFonts w:ascii="Times New Roman" w:hAnsi="Times New Roman" w:cs="Times New Roman"/>
          <w:sz w:val="24"/>
          <w:szCs w:val="24"/>
        </w:rPr>
        <w:t>.</w:t>
      </w:r>
    </w:p>
    <w:p w14:paraId="3461D779" w14:textId="77777777" w:rsidR="00D230A8" w:rsidRDefault="00D230A8" w:rsidP="00091C3E">
      <w:pPr>
        <w:pStyle w:val="BodyText"/>
        <w:ind w:right="119"/>
        <w:rPr>
          <w:rFonts w:ascii="Times New Roman" w:hAnsi="Times New Roman" w:cs="Times New Roman"/>
          <w:sz w:val="24"/>
          <w:szCs w:val="24"/>
        </w:rPr>
      </w:pPr>
    </w:p>
    <w:p w14:paraId="41ED0B28" w14:textId="77777777" w:rsidR="00D230A8" w:rsidRDefault="00405F33" w:rsidP="00091C3E">
      <w:pPr>
        <w:pStyle w:val="BodyText"/>
        <w:ind w:right="119"/>
        <w:rPr>
          <w:rFonts w:ascii="Times New Roman" w:hAnsi="Times New Roman" w:cs="Times New Roman"/>
          <w:sz w:val="24"/>
          <w:szCs w:val="24"/>
        </w:rPr>
      </w:pPr>
      <w:r>
        <w:rPr>
          <w:rFonts w:ascii="Times New Roman" w:hAnsi="Times New Roman" w:cs="Times New Roman"/>
          <w:sz w:val="24"/>
          <w:szCs w:val="24"/>
        </w:rPr>
        <w:t>One commenter encouraged the Department to collapse the reserve fund requirements under Row</w:t>
      </w:r>
      <w:r w:rsidR="00FE704E">
        <w:rPr>
          <w:rFonts w:ascii="Times New Roman" w:hAnsi="Times New Roman" w:cs="Times New Roman"/>
          <w:sz w:val="24"/>
          <w:szCs w:val="24"/>
        </w:rPr>
        <w:t>s</w:t>
      </w:r>
      <w:r>
        <w:rPr>
          <w:rFonts w:ascii="Times New Roman" w:hAnsi="Times New Roman" w:cs="Times New Roman"/>
          <w:sz w:val="24"/>
          <w:szCs w:val="24"/>
        </w:rPr>
        <w:t xml:space="preserve"> A and B, or to add an additional row to reflect reserve fund allocations to partnerships between secondary and postsecondary recipients.</w:t>
      </w:r>
    </w:p>
    <w:p w14:paraId="3CF2D8B6" w14:textId="77777777" w:rsidR="00405F33" w:rsidRDefault="00405F33" w:rsidP="00091C3E">
      <w:pPr>
        <w:pStyle w:val="BodyText"/>
        <w:ind w:right="119"/>
        <w:rPr>
          <w:rFonts w:ascii="Times New Roman" w:hAnsi="Times New Roman" w:cs="Times New Roman"/>
          <w:sz w:val="24"/>
          <w:szCs w:val="24"/>
        </w:rPr>
      </w:pPr>
    </w:p>
    <w:p w14:paraId="75E469A1" w14:textId="2C3C0E0C" w:rsidR="00405F33" w:rsidRDefault="3D825622" w:rsidP="3D825622">
      <w:pPr>
        <w:pStyle w:val="BodyText"/>
        <w:ind w:left="540" w:right="119"/>
        <w:rPr>
          <w:rFonts w:ascii="Times New Roman" w:hAnsi="Times New Roman" w:cs="Times New Roman"/>
          <w:sz w:val="24"/>
          <w:szCs w:val="24"/>
        </w:rPr>
      </w:pPr>
      <w:r w:rsidRPr="3D825622">
        <w:rPr>
          <w:rFonts w:ascii="Times New Roman" w:hAnsi="Times New Roman" w:cs="Times New Roman"/>
          <w:sz w:val="24"/>
          <w:szCs w:val="24"/>
          <w:u w:val="single"/>
        </w:rPr>
        <w:t>Department’s Response</w:t>
      </w:r>
      <w:r w:rsidRPr="3D825622">
        <w:rPr>
          <w:rFonts w:ascii="Times New Roman" w:hAnsi="Times New Roman" w:cs="Times New Roman"/>
          <w:sz w:val="24"/>
          <w:szCs w:val="24"/>
        </w:rPr>
        <w:t xml:space="preserve">:  While we appreciate the commenter’s input, no changes have been made.  We support and encourage collaboration in the use of reserve funds for joint CTE programs and initiatives between secondary and postsecondary recipients, but section 112(a)(1) of Perkins V states that the eligible agency will distribute local funds, including reserve funds, to eligible recipients under either section 131 (allocation to secondary recipients) </w:t>
      </w:r>
      <w:r w:rsidRPr="3D825622">
        <w:rPr>
          <w:rFonts w:ascii="Times New Roman" w:hAnsi="Times New Roman" w:cs="Times New Roman"/>
          <w:b/>
          <w:bCs/>
          <w:i/>
          <w:iCs/>
          <w:sz w:val="24"/>
          <w:szCs w:val="24"/>
        </w:rPr>
        <w:t>or</w:t>
      </w:r>
      <w:r w:rsidRPr="3D825622">
        <w:rPr>
          <w:rFonts w:ascii="Times New Roman" w:hAnsi="Times New Roman" w:cs="Times New Roman"/>
          <w:sz w:val="24"/>
          <w:szCs w:val="24"/>
        </w:rPr>
        <w:t xml:space="preserve"> section 132 (allocation to postsecondary recipients) of Perkins V.</w:t>
      </w:r>
    </w:p>
    <w:p w14:paraId="0FB78278" w14:textId="77777777" w:rsidR="00405F33" w:rsidRDefault="00405F33" w:rsidP="00091C3E">
      <w:pPr>
        <w:pStyle w:val="BodyText"/>
        <w:ind w:right="119"/>
        <w:rPr>
          <w:rFonts w:ascii="Times New Roman" w:hAnsi="Times New Roman" w:cs="Times New Roman"/>
          <w:sz w:val="24"/>
          <w:szCs w:val="24"/>
        </w:rPr>
      </w:pPr>
    </w:p>
    <w:p w14:paraId="141FE9DA" w14:textId="77777777" w:rsidR="00405F33" w:rsidRPr="00405F33" w:rsidRDefault="00405F33" w:rsidP="00982701">
      <w:pPr>
        <w:pStyle w:val="BodyText"/>
        <w:numPr>
          <w:ilvl w:val="0"/>
          <w:numId w:val="8"/>
        </w:numPr>
        <w:ind w:left="0" w:right="119" w:firstLine="0"/>
        <w:rPr>
          <w:rFonts w:ascii="Times New Roman" w:hAnsi="Times New Roman" w:cs="Times New Roman"/>
          <w:sz w:val="24"/>
          <w:szCs w:val="24"/>
        </w:rPr>
      </w:pPr>
      <w:r w:rsidRPr="00405F33">
        <w:rPr>
          <w:rFonts w:ascii="Times New Roman" w:hAnsi="Times New Roman" w:cs="Times New Roman"/>
          <w:b/>
          <w:sz w:val="24"/>
          <w:szCs w:val="24"/>
        </w:rPr>
        <w:t>PERFORMANCE DATA REPORTS</w:t>
      </w:r>
    </w:p>
    <w:p w14:paraId="1FC39945" w14:textId="77777777" w:rsidR="00405F33" w:rsidRPr="00405F33" w:rsidRDefault="00405F33" w:rsidP="00091C3E">
      <w:pPr>
        <w:pStyle w:val="BodyText"/>
        <w:ind w:left="540" w:right="119"/>
        <w:rPr>
          <w:rFonts w:ascii="Times New Roman" w:hAnsi="Times New Roman" w:cs="Times New Roman"/>
          <w:sz w:val="24"/>
          <w:szCs w:val="24"/>
        </w:rPr>
      </w:pPr>
    </w:p>
    <w:p w14:paraId="22415500" w14:textId="77777777" w:rsidR="00405F33" w:rsidRDefault="00405F33" w:rsidP="00091C3E">
      <w:pPr>
        <w:pStyle w:val="BodyText"/>
        <w:ind w:right="119"/>
        <w:rPr>
          <w:rFonts w:ascii="Times New Roman" w:hAnsi="Times New Roman" w:cs="Times New Roman"/>
          <w:sz w:val="24"/>
          <w:szCs w:val="24"/>
        </w:rPr>
      </w:pPr>
      <w:r>
        <w:rPr>
          <w:rFonts w:ascii="Times New Roman" w:hAnsi="Times New Roman" w:cs="Times New Roman"/>
          <w:sz w:val="24"/>
          <w:szCs w:val="24"/>
        </w:rPr>
        <w:t>Several commenters noted that</w:t>
      </w:r>
      <w:r w:rsidR="00B4061B">
        <w:rPr>
          <w:rFonts w:ascii="Times New Roman" w:hAnsi="Times New Roman" w:cs="Times New Roman"/>
          <w:sz w:val="24"/>
          <w:szCs w:val="24"/>
        </w:rPr>
        <w:t xml:space="preserve">, due </w:t>
      </w:r>
      <w:r w:rsidR="002B155D">
        <w:rPr>
          <w:rFonts w:ascii="Times New Roman" w:hAnsi="Times New Roman" w:cs="Times New Roman"/>
          <w:sz w:val="24"/>
          <w:szCs w:val="24"/>
        </w:rPr>
        <w:t xml:space="preserve">to </w:t>
      </w:r>
      <w:r w:rsidR="00B4061B">
        <w:rPr>
          <w:rFonts w:ascii="Times New Roman" w:hAnsi="Times New Roman" w:cs="Times New Roman"/>
          <w:sz w:val="24"/>
          <w:szCs w:val="24"/>
        </w:rPr>
        <w:t xml:space="preserve">age specifications and </w:t>
      </w:r>
      <w:r w:rsidR="00FE704E">
        <w:rPr>
          <w:rFonts w:ascii="Times New Roman" w:hAnsi="Times New Roman" w:cs="Times New Roman"/>
          <w:sz w:val="24"/>
          <w:szCs w:val="24"/>
        </w:rPr>
        <w:t>certain definitions</w:t>
      </w:r>
      <w:r w:rsidR="00B4061B">
        <w:rPr>
          <w:rFonts w:ascii="Times New Roman" w:hAnsi="Times New Roman" w:cs="Times New Roman"/>
          <w:sz w:val="24"/>
          <w:szCs w:val="24"/>
        </w:rPr>
        <w:t>,</w:t>
      </w:r>
      <w:r>
        <w:rPr>
          <w:rFonts w:ascii="Times New Roman" w:hAnsi="Times New Roman" w:cs="Times New Roman"/>
          <w:sz w:val="24"/>
          <w:szCs w:val="24"/>
        </w:rPr>
        <w:t xml:space="preserve"> several subpopulation categories are not appropriate for, or applicable to, the secondary or postsecondary core indicators</w:t>
      </w:r>
      <w:r w:rsidR="00B4061B">
        <w:rPr>
          <w:rFonts w:ascii="Times New Roman" w:hAnsi="Times New Roman" w:cs="Times New Roman"/>
          <w:sz w:val="24"/>
          <w:szCs w:val="24"/>
        </w:rPr>
        <w:t xml:space="preserve">.  For example, “out of workforce individuals” are not served at the secondary level and “youth in foster care” are not served at the postsecondary level.    </w:t>
      </w:r>
      <w:r>
        <w:rPr>
          <w:rFonts w:ascii="Times New Roman" w:hAnsi="Times New Roman" w:cs="Times New Roman"/>
          <w:sz w:val="24"/>
          <w:szCs w:val="24"/>
        </w:rPr>
        <w:t xml:space="preserve"> </w:t>
      </w:r>
    </w:p>
    <w:p w14:paraId="0562CB0E" w14:textId="77777777" w:rsidR="00405F33" w:rsidRDefault="00405F33" w:rsidP="00091C3E">
      <w:pPr>
        <w:pStyle w:val="BodyText"/>
        <w:ind w:left="100" w:right="119"/>
        <w:rPr>
          <w:rFonts w:ascii="Times New Roman" w:hAnsi="Times New Roman" w:cs="Times New Roman"/>
          <w:sz w:val="24"/>
          <w:szCs w:val="24"/>
        </w:rPr>
      </w:pPr>
    </w:p>
    <w:p w14:paraId="5B7F6201" w14:textId="77777777" w:rsidR="00B4061B" w:rsidRDefault="00B4061B" w:rsidP="00091C3E">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While we appreciate the commenters’ input, no cha</w:t>
      </w:r>
      <w:r w:rsidR="00711933">
        <w:rPr>
          <w:rFonts w:ascii="Times New Roman" w:hAnsi="Times New Roman" w:cs="Times New Roman"/>
          <w:sz w:val="24"/>
          <w:szCs w:val="24"/>
        </w:rPr>
        <w:t>nges have been made</w:t>
      </w:r>
      <w:r>
        <w:rPr>
          <w:rFonts w:ascii="Times New Roman" w:hAnsi="Times New Roman" w:cs="Times New Roman"/>
          <w:sz w:val="24"/>
          <w:szCs w:val="24"/>
        </w:rPr>
        <w:t>.  In this section and throughout the guide, we have</w:t>
      </w:r>
      <w:r w:rsidR="00711933">
        <w:rPr>
          <w:rFonts w:ascii="Times New Roman" w:hAnsi="Times New Roman" w:cs="Times New Roman"/>
          <w:sz w:val="24"/>
          <w:szCs w:val="24"/>
        </w:rPr>
        <w:t xml:space="preserve"> generally only</w:t>
      </w:r>
      <w:r>
        <w:rPr>
          <w:rFonts w:ascii="Times New Roman" w:hAnsi="Times New Roman" w:cs="Times New Roman"/>
          <w:sz w:val="24"/>
          <w:szCs w:val="24"/>
        </w:rPr>
        <w:t xml:space="preserve"> included the statutory provisions of Perkins V, which require the eligible agency to report on all subpopulation categories for all indicators.  In the case where an eligible agency does not serve individuals from a particular category, or has no such individuals enrolled in a given year, the eligible agency should report students using the coding system outlined in Item 1.</w:t>
      </w:r>
      <w:r w:rsidR="0016326C">
        <w:rPr>
          <w:rFonts w:ascii="Times New Roman" w:hAnsi="Times New Roman" w:cs="Times New Roman"/>
          <w:sz w:val="24"/>
          <w:szCs w:val="24"/>
        </w:rPr>
        <w:t>b</w:t>
      </w:r>
      <w:r>
        <w:rPr>
          <w:rFonts w:ascii="Times New Roman" w:hAnsi="Times New Roman" w:cs="Times New Roman"/>
          <w:sz w:val="24"/>
          <w:szCs w:val="24"/>
        </w:rPr>
        <w:t xml:space="preserve">.vii: CTE </w:t>
      </w:r>
      <w:r w:rsidR="0016326C">
        <w:rPr>
          <w:rFonts w:ascii="Times New Roman" w:hAnsi="Times New Roman" w:cs="Times New Roman"/>
          <w:sz w:val="24"/>
          <w:szCs w:val="24"/>
        </w:rPr>
        <w:t xml:space="preserve">Participant and </w:t>
      </w:r>
      <w:r>
        <w:rPr>
          <w:rFonts w:ascii="Times New Roman" w:hAnsi="Times New Roman" w:cs="Times New Roman"/>
          <w:sz w:val="24"/>
          <w:szCs w:val="24"/>
        </w:rPr>
        <w:t xml:space="preserve">Concentrator </w:t>
      </w:r>
      <w:r w:rsidR="0016326C">
        <w:rPr>
          <w:rFonts w:ascii="Times New Roman" w:hAnsi="Times New Roman" w:cs="Times New Roman"/>
          <w:sz w:val="24"/>
          <w:szCs w:val="24"/>
        </w:rPr>
        <w:t xml:space="preserve">Enrollment </w:t>
      </w:r>
      <w:r>
        <w:rPr>
          <w:rFonts w:ascii="Times New Roman" w:hAnsi="Times New Roman" w:cs="Times New Roman"/>
          <w:sz w:val="24"/>
          <w:szCs w:val="24"/>
        </w:rPr>
        <w:t>Forms in Section IV.A: Instruction</w:t>
      </w:r>
      <w:r w:rsidR="009E1BCC">
        <w:rPr>
          <w:rFonts w:ascii="Times New Roman" w:hAnsi="Times New Roman" w:cs="Times New Roman"/>
          <w:sz w:val="24"/>
          <w:szCs w:val="24"/>
        </w:rPr>
        <w:t>s</w:t>
      </w:r>
      <w:r>
        <w:rPr>
          <w:rFonts w:ascii="Times New Roman" w:hAnsi="Times New Roman" w:cs="Times New Roman"/>
          <w:sz w:val="24"/>
          <w:szCs w:val="24"/>
        </w:rPr>
        <w:t xml:space="preserve"> for Performance Data Reports.</w:t>
      </w:r>
    </w:p>
    <w:p w14:paraId="34CE0A41" w14:textId="77777777" w:rsidR="00B4061B" w:rsidRDefault="00B4061B" w:rsidP="00091C3E">
      <w:pPr>
        <w:pStyle w:val="BodyText"/>
        <w:ind w:left="100" w:right="119"/>
        <w:rPr>
          <w:rFonts w:ascii="Times New Roman" w:hAnsi="Times New Roman" w:cs="Times New Roman"/>
          <w:sz w:val="24"/>
          <w:szCs w:val="24"/>
        </w:rPr>
      </w:pPr>
    </w:p>
    <w:p w14:paraId="3E63C78C" w14:textId="77777777" w:rsidR="00B4061B" w:rsidRDefault="00E170A7" w:rsidP="00091C3E">
      <w:pPr>
        <w:pStyle w:val="BodyText"/>
        <w:ind w:right="119"/>
        <w:rPr>
          <w:rFonts w:ascii="Times New Roman" w:hAnsi="Times New Roman" w:cs="Times New Roman"/>
          <w:sz w:val="24"/>
          <w:szCs w:val="24"/>
        </w:rPr>
      </w:pPr>
      <w:r>
        <w:rPr>
          <w:rFonts w:ascii="Times New Roman" w:hAnsi="Times New Roman" w:cs="Times New Roman"/>
          <w:sz w:val="24"/>
          <w:szCs w:val="24"/>
        </w:rPr>
        <w:t xml:space="preserve">Several commenters noted that the CAR did not include under core indicator 3S1: </w:t>
      </w:r>
      <w:r w:rsidR="00904991">
        <w:rPr>
          <w:rFonts w:ascii="Times New Roman" w:hAnsi="Times New Roman" w:cs="Times New Roman"/>
          <w:sz w:val="24"/>
          <w:szCs w:val="24"/>
        </w:rPr>
        <w:t>S</w:t>
      </w:r>
      <w:r>
        <w:rPr>
          <w:rFonts w:ascii="Times New Roman" w:hAnsi="Times New Roman" w:cs="Times New Roman"/>
          <w:sz w:val="24"/>
          <w:szCs w:val="24"/>
        </w:rPr>
        <w:t>econdary Placement the option for eligible agencies to report on students who were “accepted and/or enrolled in postsecondary education” as provided in the EdFacts file specifications.  The commenters recommended that this option be available in the CAR.</w:t>
      </w:r>
    </w:p>
    <w:p w14:paraId="62EBF3C5" w14:textId="77777777" w:rsidR="00E170A7" w:rsidRDefault="00E170A7" w:rsidP="00091C3E">
      <w:pPr>
        <w:pStyle w:val="BodyText"/>
        <w:ind w:left="100" w:right="119"/>
        <w:rPr>
          <w:rFonts w:ascii="Times New Roman" w:hAnsi="Times New Roman" w:cs="Times New Roman"/>
          <w:sz w:val="24"/>
          <w:szCs w:val="24"/>
        </w:rPr>
      </w:pPr>
    </w:p>
    <w:p w14:paraId="30467FD3" w14:textId="16C5DB00" w:rsidR="00C731BD" w:rsidRPr="00C731BD" w:rsidRDefault="3D825622" w:rsidP="3D825622">
      <w:pPr>
        <w:pStyle w:val="BodyText"/>
        <w:ind w:left="540" w:right="119"/>
        <w:rPr>
          <w:rFonts w:ascii="Times New Roman" w:hAnsi="Times New Roman" w:cs="Times New Roman"/>
          <w:sz w:val="24"/>
          <w:szCs w:val="24"/>
        </w:rPr>
      </w:pPr>
      <w:r w:rsidRPr="3D825622">
        <w:rPr>
          <w:rFonts w:ascii="Times New Roman" w:hAnsi="Times New Roman" w:cs="Times New Roman"/>
          <w:sz w:val="24"/>
          <w:szCs w:val="24"/>
          <w:u w:val="single"/>
        </w:rPr>
        <w:t>Department’s Response</w:t>
      </w:r>
      <w:r w:rsidRPr="3D825622">
        <w:rPr>
          <w:rFonts w:ascii="Times New Roman" w:hAnsi="Times New Roman" w:cs="Times New Roman"/>
          <w:sz w:val="24"/>
          <w:szCs w:val="24"/>
        </w:rPr>
        <w:t>:  While we appreciate the commenters’ input, no changes have been made.  We do not agree that “accepted in” postsecondary education should be considered equivalent to enrollment in postsecondary education.  Research on the phenomenon described as “summer melt” indicates that between 15 and 22 percent of high school students who are accepted by an institution of higher education fail to enroll in postsecondary education in the fall after high school graduation.  “Summer melt” is as high as 40 percent for high school students who intend to enroll in community college. See Castleman, Benjamin L. and Page, Lindsay C. (2014) A Trickle or a Torrent? Understanding the Extent of Summer “Melt” Among College-Intending High School</w:t>
      </w:r>
    </w:p>
    <w:p w14:paraId="5F3AE239" w14:textId="77777777" w:rsidR="00711933" w:rsidRPr="00711933" w:rsidRDefault="00C731BD" w:rsidP="00C731BD">
      <w:pPr>
        <w:pStyle w:val="BodyText"/>
        <w:ind w:left="540" w:right="119"/>
        <w:rPr>
          <w:rFonts w:ascii="Times New Roman" w:hAnsi="Times New Roman" w:cs="Times New Roman"/>
          <w:sz w:val="24"/>
          <w:szCs w:val="24"/>
        </w:rPr>
      </w:pPr>
      <w:r w:rsidRPr="00C731BD">
        <w:rPr>
          <w:rFonts w:ascii="Times New Roman" w:hAnsi="Times New Roman" w:cs="Times New Roman"/>
          <w:sz w:val="24"/>
          <w:szCs w:val="24"/>
        </w:rPr>
        <w:t>Graduates</w:t>
      </w:r>
      <w:r>
        <w:rPr>
          <w:rFonts w:ascii="Times New Roman" w:hAnsi="Times New Roman" w:cs="Times New Roman"/>
          <w:sz w:val="24"/>
          <w:szCs w:val="24"/>
        </w:rPr>
        <w:t xml:space="preserve">. Social Science Quarterly, </w:t>
      </w:r>
      <w:r w:rsidRPr="00C731BD">
        <w:rPr>
          <w:rFonts w:ascii="Times New Roman" w:hAnsi="Times New Roman" w:cs="Times New Roman"/>
          <w:sz w:val="24"/>
          <w:szCs w:val="24"/>
        </w:rPr>
        <w:t>Volume 95, Number 1, March 2014</w:t>
      </w:r>
      <w:r>
        <w:rPr>
          <w:rFonts w:ascii="Times New Roman" w:hAnsi="Times New Roman" w:cs="Times New Roman"/>
          <w:sz w:val="24"/>
          <w:szCs w:val="24"/>
        </w:rPr>
        <w:t xml:space="preserve">. </w:t>
      </w:r>
      <w:r w:rsidR="0068686C">
        <w:rPr>
          <w:rFonts w:ascii="Times New Roman" w:hAnsi="Times New Roman" w:cs="Times New Roman"/>
          <w:sz w:val="24"/>
          <w:szCs w:val="24"/>
        </w:rPr>
        <w:t xml:space="preserve"> </w:t>
      </w:r>
      <w:r w:rsidR="00711933">
        <w:rPr>
          <w:rFonts w:ascii="Times New Roman" w:hAnsi="Times New Roman" w:cs="Times New Roman"/>
          <w:sz w:val="24"/>
          <w:szCs w:val="24"/>
        </w:rPr>
        <w:t>Accordingly, we have removed th</w:t>
      </w:r>
      <w:r>
        <w:rPr>
          <w:rFonts w:ascii="Times New Roman" w:hAnsi="Times New Roman" w:cs="Times New Roman"/>
          <w:sz w:val="24"/>
          <w:szCs w:val="24"/>
        </w:rPr>
        <w:t>e</w:t>
      </w:r>
      <w:r w:rsidR="00711933">
        <w:rPr>
          <w:rFonts w:ascii="Times New Roman" w:hAnsi="Times New Roman" w:cs="Times New Roman"/>
          <w:sz w:val="24"/>
          <w:szCs w:val="24"/>
        </w:rPr>
        <w:t xml:space="preserve"> option </w:t>
      </w:r>
      <w:r w:rsidR="00904991">
        <w:rPr>
          <w:rFonts w:ascii="Times New Roman" w:hAnsi="Times New Roman" w:cs="Times New Roman"/>
          <w:sz w:val="24"/>
          <w:szCs w:val="24"/>
        </w:rPr>
        <w:t xml:space="preserve">to report on students who were “accepted” </w:t>
      </w:r>
      <w:r w:rsidR="00711933">
        <w:rPr>
          <w:rFonts w:ascii="Times New Roman" w:hAnsi="Times New Roman" w:cs="Times New Roman"/>
          <w:sz w:val="24"/>
          <w:szCs w:val="24"/>
        </w:rPr>
        <w:t>from the EdFacts file specifications.</w:t>
      </w:r>
    </w:p>
    <w:p w14:paraId="6D98A12B" w14:textId="77777777" w:rsidR="00E170A7" w:rsidRPr="00B4061B" w:rsidRDefault="00E170A7" w:rsidP="00091C3E">
      <w:pPr>
        <w:pStyle w:val="BodyText"/>
        <w:ind w:left="100" w:right="119"/>
        <w:rPr>
          <w:rFonts w:ascii="Times New Roman" w:hAnsi="Times New Roman" w:cs="Times New Roman"/>
          <w:sz w:val="24"/>
          <w:szCs w:val="24"/>
        </w:rPr>
      </w:pPr>
    </w:p>
    <w:p w14:paraId="071DE799" w14:textId="77777777" w:rsidR="00B4061B" w:rsidRDefault="00FA53CC" w:rsidP="00091C3E">
      <w:pPr>
        <w:pStyle w:val="BodyText"/>
        <w:ind w:right="119"/>
        <w:rPr>
          <w:rFonts w:ascii="Times New Roman" w:hAnsi="Times New Roman" w:cs="Times New Roman"/>
          <w:sz w:val="24"/>
          <w:szCs w:val="24"/>
        </w:rPr>
      </w:pPr>
      <w:r>
        <w:rPr>
          <w:rFonts w:ascii="Times New Roman" w:hAnsi="Times New Roman" w:cs="Times New Roman"/>
          <w:sz w:val="24"/>
          <w:szCs w:val="24"/>
        </w:rPr>
        <w:t>Several commenters noted that the category “military” is combined with other categories (national or community service and Peace Corps) under the secondary and postsecondary placement indicators, 3S1 and 1P1, respectively.  They recommended that, consistent with reporting under the prior Perkins IV statute, “military” be reported separately.</w:t>
      </w:r>
    </w:p>
    <w:p w14:paraId="2946DB82" w14:textId="77777777" w:rsidR="00FA53CC" w:rsidRDefault="00FA53CC" w:rsidP="00091C3E">
      <w:pPr>
        <w:pStyle w:val="BodyText"/>
        <w:ind w:left="100" w:right="119"/>
        <w:rPr>
          <w:rFonts w:ascii="Times New Roman" w:hAnsi="Times New Roman" w:cs="Times New Roman"/>
          <w:sz w:val="24"/>
          <w:szCs w:val="24"/>
        </w:rPr>
      </w:pPr>
    </w:p>
    <w:p w14:paraId="52533FDC" w14:textId="77777777" w:rsidR="00FA53CC" w:rsidRDefault="00FA53CC" w:rsidP="00091C3E">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We appreciate the commenters’ input and have made corresponding changes to the Performance Data Forms for 3S1 and IP1 in Section IV.B.</w:t>
      </w:r>
    </w:p>
    <w:p w14:paraId="5997CC1D" w14:textId="77777777" w:rsidR="00FA53CC" w:rsidRDefault="00FA53CC" w:rsidP="00091C3E">
      <w:pPr>
        <w:pStyle w:val="BodyText"/>
        <w:ind w:left="100" w:right="119"/>
        <w:rPr>
          <w:rFonts w:ascii="Times New Roman" w:hAnsi="Times New Roman" w:cs="Times New Roman"/>
          <w:sz w:val="24"/>
          <w:szCs w:val="24"/>
        </w:rPr>
      </w:pPr>
    </w:p>
    <w:p w14:paraId="2097A312" w14:textId="77777777" w:rsidR="00B41D9A" w:rsidRDefault="00B41D9A" w:rsidP="00091C3E">
      <w:pPr>
        <w:pStyle w:val="BodyText"/>
        <w:ind w:right="119"/>
        <w:rPr>
          <w:rFonts w:ascii="Times New Roman" w:hAnsi="Times New Roman" w:cs="Times New Roman"/>
          <w:sz w:val="24"/>
          <w:szCs w:val="24"/>
        </w:rPr>
      </w:pPr>
      <w:r>
        <w:rPr>
          <w:rFonts w:ascii="Times New Roman" w:hAnsi="Times New Roman" w:cs="Times New Roman"/>
          <w:sz w:val="24"/>
          <w:szCs w:val="24"/>
        </w:rPr>
        <w:t>One commenter requested a definition for “advanced training” for the secondary and postsecondary placement indicators 3S1 and 1P1, respectively.</w:t>
      </w:r>
      <w:r w:rsidR="00C3780B">
        <w:rPr>
          <w:rFonts w:ascii="Times New Roman" w:hAnsi="Times New Roman" w:cs="Times New Roman"/>
          <w:sz w:val="24"/>
          <w:szCs w:val="24"/>
        </w:rPr>
        <w:t xml:space="preserve"> </w:t>
      </w:r>
    </w:p>
    <w:p w14:paraId="110FFD37" w14:textId="77777777" w:rsidR="00C3780B" w:rsidRDefault="00C3780B" w:rsidP="00091C3E">
      <w:pPr>
        <w:pStyle w:val="BodyText"/>
        <w:ind w:left="100" w:right="119"/>
        <w:rPr>
          <w:rFonts w:ascii="Times New Roman" w:hAnsi="Times New Roman" w:cs="Times New Roman"/>
          <w:sz w:val="24"/>
          <w:szCs w:val="24"/>
        </w:rPr>
      </w:pPr>
    </w:p>
    <w:p w14:paraId="6B699379" w14:textId="5276923F" w:rsidR="00FA53CC" w:rsidRPr="00FA53CC" w:rsidRDefault="3D825622" w:rsidP="3D825622">
      <w:pPr>
        <w:pStyle w:val="BodyText"/>
        <w:ind w:left="540" w:right="119"/>
        <w:rPr>
          <w:rFonts w:ascii="Times New Roman" w:hAnsi="Times New Roman" w:cs="Times New Roman"/>
          <w:sz w:val="24"/>
          <w:szCs w:val="24"/>
        </w:rPr>
      </w:pPr>
      <w:r w:rsidRPr="3D825622">
        <w:rPr>
          <w:rFonts w:ascii="Times New Roman" w:hAnsi="Times New Roman" w:cs="Times New Roman"/>
          <w:sz w:val="24"/>
          <w:szCs w:val="24"/>
          <w:u w:val="single"/>
        </w:rPr>
        <w:t>Department’s Response</w:t>
      </w:r>
      <w:r w:rsidRPr="3D825622">
        <w:rPr>
          <w:rFonts w:ascii="Times New Roman" w:hAnsi="Times New Roman" w:cs="Times New Roman"/>
          <w:sz w:val="24"/>
          <w:szCs w:val="24"/>
        </w:rPr>
        <w:t xml:space="preserve">:  While we appreciate the commenter’s request, no changes have been made.  We note that “advanced training” is not defined in the Perkins V statute or other related statutes, including the Workforce Innovation and Opportunities Act (WIOA).  Therefore, the eligible agency has full discretion and authority to define this term.  As one possibility, an eligible agency may define “advanced training” to mean occupational skills training that is provided by an entity that is not an institution of higher education, such as an employer, an apprenticeship, a Job Corps Center, or a non-profit organization funded by the WIOA Title I Youth Program.  </w:t>
      </w:r>
    </w:p>
    <w:p w14:paraId="56AC44EC" w14:textId="2E010EF7" w:rsidR="3D825622" w:rsidRDefault="3D825622" w:rsidP="3D825622">
      <w:pPr>
        <w:pStyle w:val="BodyText"/>
        <w:ind w:left="540" w:right="119"/>
        <w:rPr>
          <w:rFonts w:ascii="Times New Roman" w:hAnsi="Times New Roman" w:cs="Times New Roman"/>
          <w:sz w:val="24"/>
          <w:szCs w:val="24"/>
        </w:rPr>
      </w:pPr>
    </w:p>
    <w:p w14:paraId="35D914CF" w14:textId="77777777" w:rsidR="009766E8" w:rsidRDefault="009766E8" w:rsidP="00091C3E">
      <w:pPr>
        <w:pStyle w:val="BodyText"/>
        <w:ind w:right="119"/>
        <w:rPr>
          <w:rFonts w:ascii="Times New Roman" w:hAnsi="Times New Roman" w:cs="Times New Roman"/>
          <w:sz w:val="24"/>
          <w:szCs w:val="24"/>
        </w:rPr>
      </w:pPr>
      <w:r>
        <w:rPr>
          <w:rFonts w:ascii="Times New Roman" w:hAnsi="Times New Roman" w:cs="Times New Roman"/>
          <w:sz w:val="24"/>
          <w:szCs w:val="24"/>
        </w:rPr>
        <w:t xml:space="preserve">One commenter expressed concern that disaggregated data by levels of education (certificate, associate degree, and baccalaureate degree) for the placement measures 3S1 and 1P1 may not be readily available and, therefore the total number of students reported in the disaggregated data may not equal the total number of students placed on these measures.  </w:t>
      </w:r>
    </w:p>
    <w:p w14:paraId="3FE9F23F" w14:textId="77777777" w:rsidR="009766E8" w:rsidRDefault="009766E8" w:rsidP="00091C3E">
      <w:pPr>
        <w:pStyle w:val="BodyText"/>
        <w:ind w:left="100" w:right="119"/>
        <w:rPr>
          <w:rFonts w:ascii="Times New Roman" w:hAnsi="Times New Roman" w:cs="Times New Roman"/>
          <w:sz w:val="24"/>
          <w:szCs w:val="24"/>
        </w:rPr>
      </w:pPr>
    </w:p>
    <w:p w14:paraId="1F72F646" w14:textId="705EC5CD" w:rsidR="00467BFD" w:rsidRDefault="4C99B01F" w:rsidP="4C99B01F">
      <w:pPr>
        <w:pStyle w:val="BodyText"/>
        <w:ind w:left="540" w:right="119"/>
        <w:rPr>
          <w:rFonts w:ascii="Times New Roman" w:hAnsi="Times New Roman"/>
          <w:sz w:val="24"/>
          <w:szCs w:val="24"/>
        </w:rPr>
      </w:pPr>
      <w:r w:rsidRPr="4C99B01F">
        <w:rPr>
          <w:rFonts w:ascii="Times New Roman" w:hAnsi="Times New Roman" w:cs="Times New Roman"/>
          <w:sz w:val="24"/>
          <w:szCs w:val="24"/>
          <w:u w:val="single"/>
        </w:rPr>
        <w:t>Department’s Response</w:t>
      </w:r>
      <w:r w:rsidRPr="4C99B01F">
        <w:rPr>
          <w:rFonts w:ascii="Times New Roman" w:hAnsi="Times New Roman" w:cs="Times New Roman"/>
          <w:sz w:val="24"/>
          <w:szCs w:val="24"/>
        </w:rPr>
        <w:t xml:space="preserve">:  While we appreciate the commenter’s input, no changes have been made.  In this section and throughout the guide, we have generally only used statutory requirements, which provide in section 113(b)(3)(C)(ii)(III) of Perkins V that an eligible agency disaggregate placement data for CTE concentrators by postsecondary award level, to the extent that such data is available.  In cases where no data are available, </w:t>
      </w:r>
      <w:r w:rsidR="00467BFD" w:rsidRPr="4C99B01F">
        <w:rPr>
          <w:rFonts w:ascii="Times New Roman" w:hAnsi="Times New Roman"/>
          <w:sz w:val="24"/>
          <w:szCs w:val="24"/>
        </w:rPr>
        <w:br w:type="page"/>
      </w:r>
    </w:p>
    <w:p w14:paraId="44E7ADB6" w14:textId="77777777" w:rsidR="00DD1961" w:rsidRDefault="00DD1961" w:rsidP="00091C3E">
      <w:pPr>
        <w:pStyle w:val="BodyText"/>
        <w:ind w:left="540" w:right="119"/>
        <w:rPr>
          <w:rFonts w:ascii="Times New Roman" w:hAnsi="Times New Roman" w:cs="Times New Roman"/>
          <w:sz w:val="24"/>
          <w:szCs w:val="24"/>
        </w:rPr>
      </w:pPr>
      <w:r>
        <w:rPr>
          <w:rFonts w:ascii="Times New Roman" w:hAnsi="Times New Roman" w:cs="Times New Roman"/>
          <w:sz w:val="24"/>
          <w:szCs w:val="24"/>
        </w:rPr>
        <w:t>an eligible agency should report students using the coding system outlined in Item 1.</w:t>
      </w:r>
      <w:r w:rsidR="006D25C9">
        <w:rPr>
          <w:rFonts w:ascii="Times New Roman" w:hAnsi="Times New Roman" w:cs="Times New Roman"/>
          <w:sz w:val="24"/>
          <w:szCs w:val="24"/>
        </w:rPr>
        <w:t>c</w:t>
      </w:r>
      <w:r>
        <w:rPr>
          <w:rFonts w:ascii="Times New Roman" w:hAnsi="Times New Roman" w:cs="Times New Roman"/>
          <w:sz w:val="24"/>
          <w:szCs w:val="24"/>
        </w:rPr>
        <w:t>.vii: Instructions for CTE Concentrator Forms in Section IV.A: Instruction</w:t>
      </w:r>
      <w:r w:rsidR="00091C3E">
        <w:rPr>
          <w:rFonts w:ascii="Times New Roman" w:hAnsi="Times New Roman" w:cs="Times New Roman"/>
          <w:sz w:val="24"/>
          <w:szCs w:val="24"/>
        </w:rPr>
        <w:t>s</w:t>
      </w:r>
      <w:r>
        <w:rPr>
          <w:rFonts w:ascii="Times New Roman" w:hAnsi="Times New Roman" w:cs="Times New Roman"/>
          <w:sz w:val="24"/>
          <w:szCs w:val="24"/>
        </w:rPr>
        <w:t xml:space="preserve"> for Performance Data Reports.</w:t>
      </w:r>
    </w:p>
    <w:p w14:paraId="08CE6F91" w14:textId="77777777" w:rsidR="009766E8" w:rsidRPr="009766E8" w:rsidRDefault="009766E8" w:rsidP="00091C3E">
      <w:pPr>
        <w:pStyle w:val="BodyText"/>
        <w:ind w:left="540" w:right="119"/>
        <w:rPr>
          <w:rFonts w:ascii="Times New Roman" w:hAnsi="Times New Roman" w:cs="Times New Roman"/>
          <w:sz w:val="24"/>
          <w:szCs w:val="24"/>
        </w:rPr>
      </w:pPr>
    </w:p>
    <w:p w14:paraId="75840E5F" w14:textId="77777777" w:rsidR="004A58B6" w:rsidRDefault="00FA2E12" w:rsidP="00091C3E">
      <w:pPr>
        <w:pStyle w:val="BodyText"/>
        <w:ind w:right="119"/>
        <w:rPr>
          <w:rFonts w:ascii="Times New Roman" w:hAnsi="Times New Roman" w:cs="Times New Roman"/>
          <w:sz w:val="24"/>
          <w:szCs w:val="24"/>
        </w:rPr>
      </w:pPr>
      <w:r>
        <w:rPr>
          <w:rFonts w:ascii="Times New Roman" w:hAnsi="Times New Roman" w:cs="Times New Roman"/>
          <w:sz w:val="24"/>
          <w:szCs w:val="24"/>
        </w:rPr>
        <w:t>One commenter noted concern that items 21 to 25</w:t>
      </w:r>
      <w:r w:rsidR="004A58B6">
        <w:rPr>
          <w:rFonts w:ascii="Times New Roman" w:hAnsi="Times New Roman" w:cs="Times New Roman"/>
          <w:sz w:val="24"/>
          <w:szCs w:val="24"/>
        </w:rPr>
        <w:t xml:space="preserve"> on the forms for the secondary and postsecondary placement indicators 3S1 and 1P1, respectively, require a denominator, which is different from the requirements under Perkins </w:t>
      </w:r>
      <w:r w:rsidR="00904991">
        <w:rPr>
          <w:rFonts w:ascii="Times New Roman" w:hAnsi="Times New Roman" w:cs="Times New Roman"/>
          <w:sz w:val="24"/>
          <w:szCs w:val="24"/>
        </w:rPr>
        <w:t>I</w:t>
      </w:r>
      <w:r w:rsidR="004A58B6">
        <w:rPr>
          <w:rFonts w:ascii="Times New Roman" w:hAnsi="Times New Roman" w:cs="Times New Roman"/>
          <w:sz w:val="24"/>
          <w:szCs w:val="24"/>
        </w:rPr>
        <w:t>V that require</w:t>
      </w:r>
      <w:r w:rsidR="00904991">
        <w:rPr>
          <w:rFonts w:ascii="Times New Roman" w:hAnsi="Times New Roman" w:cs="Times New Roman"/>
          <w:sz w:val="24"/>
          <w:szCs w:val="24"/>
        </w:rPr>
        <w:t>d</w:t>
      </w:r>
      <w:r w:rsidR="004A58B6">
        <w:rPr>
          <w:rFonts w:ascii="Times New Roman" w:hAnsi="Times New Roman" w:cs="Times New Roman"/>
          <w:sz w:val="24"/>
          <w:szCs w:val="24"/>
        </w:rPr>
        <w:t xml:space="preserve"> only a numerator.  </w:t>
      </w:r>
    </w:p>
    <w:p w14:paraId="61CDCEAD" w14:textId="77777777" w:rsidR="004A58B6" w:rsidRDefault="004A58B6" w:rsidP="00091C3E">
      <w:pPr>
        <w:pStyle w:val="BodyText"/>
        <w:ind w:left="100" w:right="119"/>
        <w:rPr>
          <w:rFonts w:ascii="Times New Roman" w:hAnsi="Times New Roman" w:cs="Times New Roman"/>
          <w:sz w:val="24"/>
          <w:szCs w:val="24"/>
        </w:rPr>
      </w:pPr>
    </w:p>
    <w:p w14:paraId="032CD78D" w14:textId="77777777" w:rsidR="009766E8" w:rsidRPr="00C40E1F" w:rsidRDefault="004A58B6" w:rsidP="00091C3E">
      <w:pPr>
        <w:pStyle w:val="BodyText"/>
        <w:ind w:left="540" w:right="119"/>
        <w:rPr>
          <w:rFonts w:ascii="Times New Roman" w:hAnsi="Times New Roman" w:cs="Times New Roman"/>
          <w:sz w:val="24"/>
          <w:szCs w:val="24"/>
        </w:rPr>
      </w:pPr>
      <w:r w:rsidRPr="00C40E1F">
        <w:rPr>
          <w:rFonts w:ascii="Times New Roman" w:hAnsi="Times New Roman" w:cs="Times New Roman"/>
          <w:sz w:val="24"/>
          <w:szCs w:val="24"/>
          <w:u w:val="single"/>
        </w:rPr>
        <w:t>Department’s Response</w:t>
      </w:r>
      <w:r w:rsidRPr="00C40E1F">
        <w:rPr>
          <w:rFonts w:ascii="Times New Roman" w:hAnsi="Times New Roman" w:cs="Times New Roman"/>
          <w:sz w:val="24"/>
          <w:szCs w:val="24"/>
        </w:rPr>
        <w:t>:  We appreciate the commenter’</w:t>
      </w:r>
      <w:r w:rsidR="00C40E1F">
        <w:rPr>
          <w:rFonts w:ascii="Times New Roman" w:hAnsi="Times New Roman" w:cs="Times New Roman"/>
          <w:sz w:val="24"/>
          <w:szCs w:val="24"/>
        </w:rPr>
        <w:t xml:space="preserve">s input and have </w:t>
      </w:r>
      <w:r w:rsidRPr="00C40E1F">
        <w:rPr>
          <w:rFonts w:ascii="Times New Roman" w:hAnsi="Times New Roman" w:cs="Times New Roman"/>
          <w:sz w:val="24"/>
          <w:szCs w:val="24"/>
        </w:rPr>
        <w:t>removed the requirement for a denominator</w:t>
      </w:r>
      <w:r w:rsidR="00C40E1F">
        <w:rPr>
          <w:rFonts w:ascii="Times New Roman" w:hAnsi="Times New Roman" w:cs="Times New Roman"/>
          <w:sz w:val="24"/>
          <w:szCs w:val="24"/>
        </w:rPr>
        <w:t xml:space="preserve"> on</w:t>
      </w:r>
      <w:r w:rsidR="00904991">
        <w:rPr>
          <w:rFonts w:ascii="Times New Roman" w:hAnsi="Times New Roman" w:cs="Times New Roman"/>
          <w:sz w:val="24"/>
          <w:szCs w:val="24"/>
        </w:rPr>
        <w:t xml:space="preserve"> renumbered lines 40-42 on</w:t>
      </w:r>
      <w:r w:rsidR="00C40E1F">
        <w:rPr>
          <w:rFonts w:ascii="Times New Roman" w:hAnsi="Times New Roman" w:cs="Times New Roman"/>
          <w:sz w:val="24"/>
          <w:szCs w:val="24"/>
        </w:rPr>
        <w:t xml:space="preserve"> the P</w:t>
      </w:r>
      <w:r w:rsidRPr="00C40E1F">
        <w:rPr>
          <w:rFonts w:ascii="Times New Roman" w:hAnsi="Times New Roman" w:cs="Times New Roman"/>
          <w:sz w:val="24"/>
          <w:szCs w:val="24"/>
        </w:rPr>
        <w:t xml:space="preserve">erformance Data Forms </w:t>
      </w:r>
      <w:r w:rsidR="00C40E1F">
        <w:rPr>
          <w:rFonts w:ascii="Times New Roman" w:hAnsi="Times New Roman" w:cs="Times New Roman"/>
          <w:sz w:val="24"/>
          <w:szCs w:val="24"/>
        </w:rPr>
        <w:t xml:space="preserve">for 3S1 and 1P1 </w:t>
      </w:r>
      <w:r w:rsidRPr="00C40E1F">
        <w:rPr>
          <w:rFonts w:ascii="Times New Roman" w:hAnsi="Times New Roman" w:cs="Times New Roman"/>
          <w:sz w:val="24"/>
          <w:szCs w:val="24"/>
        </w:rPr>
        <w:t xml:space="preserve">in Section IV.B. </w:t>
      </w:r>
    </w:p>
    <w:p w14:paraId="6BB9E253" w14:textId="77777777" w:rsidR="004A58B6" w:rsidRPr="00C40E1F" w:rsidRDefault="004A58B6" w:rsidP="00091C3E">
      <w:pPr>
        <w:pStyle w:val="BodyText"/>
        <w:ind w:left="100" w:right="119"/>
        <w:rPr>
          <w:rFonts w:ascii="Times New Roman" w:hAnsi="Times New Roman" w:cs="Times New Roman"/>
          <w:sz w:val="24"/>
          <w:szCs w:val="24"/>
        </w:rPr>
      </w:pPr>
    </w:p>
    <w:p w14:paraId="059A4A11" w14:textId="77777777" w:rsidR="00D96A11" w:rsidRDefault="00D96A11" w:rsidP="00091C3E">
      <w:pPr>
        <w:pStyle w:val="BodyText"/>
        <w:ind w:right="119"/>
        <w:rPr>
          <w:rFonts w:ascii="Times New Roman" w:hAnsi="Times New Roman" w:cs="Times New Roman"/>
          <w:sz w:val="24"/>
          <w:szCs w:val="24"/>
        </w:rPr>
      </w:pPr>
      <w:r>
        <w:rPr>
          <w:rFonts w:ascii="Times New Roman" w:hAnsi="Times New Roman" w:cs="Times New Roman"/>
          <w:sz w:val="24"/>
          <w:szCs w:val="24"/>
        </w:rPr>
        <w:t xml:space="preserve">Several commenters expressed concern about the structure for reporting aggregate and disaggregated data on individuals enrolled in postsecondary education for </w:t>
      </w:r>
      <w:r w:rsidR="00CA2E47">
        <w:rPr>
          <w:rFonts w:ascii="Times New Roman" w:hAnsi="Times New Roman" w:cs="Times New Roman"/>
          <w:sz w:val="24"/>
          <w:szCs w:val="24"/>
        </w:rPr>
        <w:t xml:space="preserve">the </w:t>
      </w:r>
      <w:r>
        <w:rPr>
          <w:rFonts w:ascii="Times New Roman" w:hAnsi="Times New Roman" w:cs="Times New Roman"/>
          <w:sz w:val="24"/>
          <w:szCs w:val="24"/>
        </w:rPr>
        <w:t>3S1 and 1P1</w:t>
      </w:r>
      <w:r w:rsidR="00CA2E47">
        <w:rPr>
          <w:rFonts w:ascii="Times New Roman" w:hAnsi="Times New Roman" w:cs="Times New Roman"/>
          <w:sz w:val="24"/>
          <w:szCs w:val="24"/>
        </w:rPr>
        <w:t xml:space="preserve"> core indicators</w:t>
      </w:r>
      <w:r>
        <w:rPr>
          <w:rFonts w:ascii="Times New Roman" w:hAnsi="Times New Roman" w:cs="Times New Roman"/>
          <w:sz w:val="24"/>
          <w:szCs w:val="24"/>
        </w:rPr>
        <w:t>.  They suggested adding a separate line for “enrolled in postsecondary education” and adding a notation that data be “reported to the extent such data is available.”</w:t>
      </w:r>
    </w:p>
    <w:p w14:paraId="23DE523C" w14:textId="77777777" w:rsidR="00D96A11" w:rsidRDefault="00D96A11" w:rsidP="00091C3E">
      <w:pPr>
        <w:pStyle w:val="BodyText"/>
        <w:ind w:left="100" w:right="119"/>
        <w:rPr>
          <w:rFonts w:ascii="Times New Roman" w:hAnsi="Times New Roman" w:cs="Times New Roman"/>
          <w:sz w:val="24"/>
          <w:szCs w:val="24"/>
        </w:rPr>
      </w:pPr>
    </w:p>
    <w:p w14:paraId="0AB6FBA1" w14:textId="77777777" w:rsidR="00D96A11" w:rsidRDefault="00D96A11" w:rsidP="00091C3E">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We appreciate the commenters’ input and have made the corresponding changes to the Performance Data Forms for 3S1 and 1P1 in Section IV.B.</w:t>
      </w:r>
    </w:p>
    <w:p w14:paraId="52E56223" w14:textId="77777777" w:rsidR="00555D6F" w:rsidRDefault="00555D6F" w:rsidP="00091C3E">
      <w:pPr>
        <w:pStyle w:val="BodyText"/>
        <w:ind w:right="119"/>
        <w:rPr>
          <w:rFonts w:ascii="Times New Roman" w:hAnsi="Times New Roman" w:cs="Times New Roman"/>
          <w:sz w:val="24"/>
          <w:szCs w:val="24"/>
          <w:u w:val="single"/>
        </w:rPr>
      </w:pPr>
    </w:p>
    <w:p w14:paraId="3F963490" w14:textId="77777777" w:rsidR="00555D6F" w:rsidRDefault="00CA2E47" w:rsidP="00091C3E">
      <w:pPr>
        <w:pStyle w:val="BodyText"/>
        <w:ind w:right="119"/>
        <w:rPr>
          <w:rFonts w:ascii="Times New Roman" w:hAnsi="Times New Roman" w:cs="Times New Roman"/>
          <w:sz w:val="24"/>
          <w:szCs w:val="24"/>
        </w:rPr>
      </w:pPr>
      <w:r>
        <w:rPr>
          <w:rFonts w:ascii="Times New Roman" w:hAnsi="Times New Roman" w:cs="Times New Roman"/>
          <w:sz w:val="24"/>
          <w:szCs w:val="24"/>
        </w:rPr>
        <w:t>One commenter suggested that we disaggregate data for the postsecondary credential indicator, 2P1, by the categories reported under the prior Perkins IV CAR:  credential, certificate, and degree.</w:t>
      </w:r>
    </w:p>
    <w:p w14:paraId="07547A01" w14:textId="77777777" w:rsidR="00CA2E47" w:rsidRDefault="00CA2E47" w:rsidP="00091C3E">
      <w:pPr>
        <w:pStyle w:val="BodyText"/>
        <w:ind w:right="119"/>
        <w:rPr>
          <w:rFonts w:ascii="Times New Roman" w:hAnsi="Times New Roman" w:cs="Times New Roman"/>
          <w:sz w:val="24"/>
          <w:szCs w:val="24"/>
        </w:rPr>
      </w:pPr>
    </w:p>
    <w:p w14:paraId="5B5A960D" w14:textId="77777777" w:rsidR="00CA2E47" w:rsidRDefault="00CA2E47" w:rsidP="00091C3E">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While we appreciate the commenter’s input, no changes have been made.  In this section and throughout the guide, we have generally only used statutory requirements, which do not include these disaggregation categories for the postsecondary credential indicator, 2P1.</w:t>
      </w:r>
    </w:p>
    <w:p w14:paraId="5043CB0F" w14:textId="77777777" w:rsidR="00CA2E47" w:rsidRDefault="00CA2E47" w:rsidP="00091C3E">
      <w:pPr>
        <w:pStyle w:val="BodyText"/>
        <w:ind w:right="119"/>
        <w:rPr>
          <w:rFonts w:ascii="Times New Roman" w:hAnsi="Times New Roman" w:cs="Times New Roman"/>
          <w:sz w:val="24"/>
          <w:szCs w:val="24"/>
        </w:rPr>
      </w:pPr>
    </w:p>
    <w:p w14:paraId="67E03B0C" w14:textId="77777777" w:rsidR="00CA2E47" w:rsidRDefault="00CA2E47" w:rsidP="00091C3E">
      <w:pPr>
        <w:pStyle w:val="BodyText"/>
        <w:ind w:right="119"/>
        <w:rPr>
          <w:rFonts w:ascii="Times New Roman" w:hAnsi="Times New Roman" w:cs="Times New Roman"/>
          <w:sz w:val="24"/>
          <w:szCs w:val="24"/>
        </w:rPr>
      </w:pPr>
      <w:r>
        <w:rPr>
          <w:rFonts w:ascii="Times New Roman" w:hAnsi="Times New Roman" w:cs="Times New Roman"/>
          <w:sz w:val="24"/>
          <w:szCs w:val="24"/>
        </w:rPr>
        <w:t>Several commenters indicated that the requirement in Item 1.a.1 for data to be reported for the “preceding program year” does not apply to all indicators.  One commenter indicated, “</w:t>
      </w:r>
      <w:r w:rsidR="00510816">
        <w:rPr>
          <w:rFonts w:ascii="Times New Roman" w:hAnsi="Times New Roman" w:cs="Times New Roman"/>
          <w:sz w:val="24"/>
          <w:szCs w:val="24"/>
        </w:rPr>
        <w:t>f</w:t>
      </w:r>
      <w:r>
        <w:rPr>
          <w:rFonts w:ascii="Times New Roman" w:hAnsi="Times New Roman" w:cs="Times New Roman"/>
          <w:sz w:val="24"/>
          <w:szCs w:val="24"/>
        </w:rPr>
        <w:t>or example, in its December 31, 2020, CAR submission, an eligible agency must report performance data for the program year covering July 1, 2019, through June 30, 2020.”  The commenter further states that this reporting timeline will not allow States adequate time to collect employment data for the 2</w:t>
      </w:r>
      <w:r w:rsidRPr="00CA2E47">
        <w:rPr>
          <w:rFonts w:ascii="Times New Roman" w:hAnsi="Times New Roman" w:cs="Times New Roman"/>
          <w:sz w:val="24"/>
          <w:szCs w:val="24"/>
          <w:vertAlign w:val="superscript"/>
        </w:rPr>
        <w:t>nd</w:t>
      </w:r>
      <w:r>
        <w:rPr>
          <w:rFonts w:ascii="Times New Roman" w:hAnsi="Times New Roman" w:cs="Times New Roman"/>
          <w:sz w:val="24"/>
          <w:szCs w:val="24"/>
        </w:rPr>
        <w:t xml:space="preserve"> quarter after exit</w:t>
      </w:r>
      <w:r w:rsidR="00510816">
        <w:rPr>
          <w:rFonts w:ascii="Times New Roman" w:hAnsi="Times New Roman" w:cs="Times New Roman"/>
          <w:sz w:val="24"/>
          <w:szCs w:val="24"/>
        </w:rPr>
        <w:t>,</w:t>
      </w:r>
      <w:r>
        <w:rPr>
          <w:rFonts w:ascii="Times New Roman" w:hAnsi="Times New Roman" w:cs="Times New Roman"/>
          <w:sz w:val="24"/>
          <w:szCs w:val="24"/>
        </w:rPr>
        <w:t xml:space="preserve"> no</w:t>
      </w:r>
      <w:r w:rsidR="00510816">
        <w:rPr>
          <w:rFonts w:ascii="Times New Roman" w:hAnsi="Times New Roman" w:cs="Times New Roman"/>
          <w:sz w:val="24"/>
          <w:szCs w:val="24"/>
        </w:rPr>
        <w:t>r</w:t>
      </w:r>
      <w:r>
        <w:rPr>
          <w:rFonts w:ascii="Times New Roman" w:hAnsi="Times New Roman" w:cs="Times New Roman"/>
          <w:sz w:val="24"/>
          <w:szCs w:val="24"/>
        </w:rPr>
        <w:t xml:space="preserve"> will it allow </w:t>
      </w:r>
      <w:r w:rsidR="00510816">
        <w:rPr>
          <w:rFonts w:ascii="Times New Roman" w:hAnsi="Times New Roman" w:cs="Times New Roman"/>
          <w:sz w:val="24"/>
          <w:szCs w:val="24"/>
        </w:rPr>
        <w:t>S</w:t>
      </w:r>
      <w:r>
        <w:rPr>
          <w:rFonts w:ascii="Times New Roman" w:hAnsi="Times New Roman" w:cs="Times New Roman"/>
          <w:sz w:val="24"/>
          <w:szCs w:val="24"/>
        </w:rPr>
        <w:t>tates to collect postsecondary credentials 1 year after exit.</w:t>
      </w:r>
    </w:p>
    <w:p w14:paraId="07459315" w14:textId="77777777" w:rsidR="00CA2E47" w:rsidRDefault="00CA2E47" w:rsidP="00091C3E">
      <w:pPr>
        <w:pStyle w:val="BodyText"/>
        <w:ind w:right="119"/>
        <w:rPr>
          <w:rFonts w:ascii="Times New Roman" w:hAnsi="Times New Roman" w:cs="Times New Roman"/>
          <w:sz w:val="24"/>
          <w:szCs w:val="24"/>
        </w:rPr>
      </w:pPr>
    </w:p>
    <w:p w14:paraId="2DA79FC1" w14:textId="77777777" w:rsidR="00CA2E47" w:rsidRPr="00557DFC" w:rsidRDefault="00CA2E47" w:rsidP="00091C3E">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sidR="00557DFC">
        <w:rPr>
          <w:rFonts w:ascii="Times New Roman" w:hAnsi="Times New Roman" w:cs="Times New Roman"/>
          <w:sz w:val="24"/>
          <w:szCs w:val="24"/>
        </w:rPr>
        <w:t>:  We app</w:t>
      </w:r>
      <w:r w:rsidR="001E17E8">
        <w:rPr>
          <w:rFonts w:ascii="Times New Roman" w:hAnsi="Times New Roman" w:cs="Times New Roman"/>
          <w:sz w:val="24"/>
          <w:szCs w:val="24"/>
        </w:rPr>
        <w:t>reciate the commenter</w:t>
      </w:r>
      <w:r w:rsidR="00557DFC">
        <w:rPr>
          <w:rFonts w:ascii="Times New Roman" w:hAnsi="Times New Roman" w:cs="Times New Roman"/>
          <w:sz w:val="24"/>
          <w:szCs w:val="24"/>
        </w:rPr>
        <w:t>s</w:t>
      </w:r>
      <w:r w:rsidR="001E17E8">
        <w:rPr>
          <w:rFonts w:ascii="Times New Roman" w:hAnsi="Times New Roman" w:cs="Times New Roman"/>
          <w:sz w:val="24"/>
          <w:szCs w:val="24"/>
        </w:rPr>
        <w:t>’</w:t>
      </w:r>
      <w:r w:rsidR="00557DFC">
        <w:rPr>
          <w:rFonts w:ascii="Times New Roman" w:hAnsi="Times New Roman" w:cs="Times New Roman"/>
          <w:sz w:val="24"/>
          <w:szCs w:val="24"/>
        </w:rPr>
        <w:t xml:space="preserve"> input and have clarified the reporting instructions </w:t>
      </w:r>
      <w:r w:rsidR="00200368">
        <w:rPr>
          <w:rFonts w:ascii="Times New Roman" w:hAnsi="Times New Roman" w:cs="Times New Roman"/>
          <w:sz w:val="24"/>
          <w:szCs w:val="24"/>
        </w:rPr>
        <w:t xml:space="preserve">and timelines </w:t>
      </w:r>
      <w:r w:rsidR="00557DFC">
        <w:rPr>
          <w:rFonts w:ascii="Times New Roman" w:hAnsi="Times New Roman" w:cs="Times New Roman"/>
          <w:sz w:val="24"/>
          <w:szCs w:val="24"/>
        </w:rPr>
        <w:t>for Item 1.a.1 in Section IV.A: Instructions for Performance Data Reports.</w:t>
      </w:r>
    </w:p>
    <w:p w14:paraId="6537F28F" w14:textId="77777777" w:rsidR="00CA2E47" w:rsidRPr="00CA2E47" w:rsidRDefault="00CA2E47" w:rsidP="00091C3E">
      <w:pPr>
        <w:pStyle w:val="BodyText"/>
        <w:ind w:right="119"/>
        <w:rPr>
          <w:rFonts w:ascii="Times New Roman" w:hAnsi="Times New Roman" w:cs="Times New Roman"/>
          <w:sz w:val="24"/>
          <w:szCs w:val="24"/>
        </w:rPr>
      </w:pPr>
    </w:p>
    <w:p w14:paraId="5E550DC4" w14:textId="14A27BB9" w:rsidR="0036478B" w:rsidRDefault="4E2D4D2B" w:rsidP="4E2D4D2B">
      <w:pPr>
        <w:pStyle w:val="BodyText"/>
        <w:ind w:right="119"/>
        <w:rPr>
          <w:rFonts w:ascii="Times New Roman" w:hAnsi="Times New Roman" w:cs="Times New Roman"/>
          <w:sz w:val="24"/>
          <w:szCs w:val="24"/>
        </w:rPr>
      </w:pPr>
      <w:r w:rsidRPr="4E2D4D2B">
        <w:rPr>
          <w:rFonts w:ascii="Times New Roman" w:hAnsi="Times New Roman" w:cs="Times New Roman"/>
          <w:sz w:val="24"/>
          <w:szCs w:val="24"/>
        </w:rPr>
        <w:t>Several commenters indicated that Item 1.a.ii suggests that “data must be reported on all students participating in publicly funded CTE in the State, regardless of whether institutions receive Perkins funds.”  These commenters expressed concern that there is nothing in the law that compels school districts and postsecondary institutions who do not accept Perkins funding to submit the required performance data.</w:t>
      </w:r>
    </w:p>
    <w:p w14:paraId="6DFB9E20" w14:textId="77777777" w:rsidR="0036478B" w:rsidRDefault="0036478B" w:rsidP="00091C3E">
      <w:pPr>
        <w:pStyle w:val="BodyText"/>
        <w:ind w:left="100" w:right="119"/>
        <w:rPr>
          <w:rFonts w:ascii="Times New Roman" w:hAnsi="Times New Roman" w:cs="Times New Roman"/>
          <w:sz w:val="24"/>
          <w:szCs w:val="24"/>
        </w:rPr>
      </w:pPr>
    </w:p>
    <w:p w14:paraId="59970320" w14:textId="77777777" w:rsidR="00200368" w:rsidRDefault="00200368" w:rsidP="00091C3E">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xml:space="preserve">:  We appreciate the commenters’ input and have clarified Item 1.a.ii in Section IV.A: Instructions for Performance Data Reports to note that data must be reported on all students participating in CTE programs </w:t>
      </w:r>
      <w:r w:rsidR="00236539">
        <w:rPr>
          <w:rFonts w:ascii="Times New Roman" w:hAnsi="Times New Roman" w:cs="Times New Roman"/>
          <w:sz w:val="24"/>
          <w:szCs w:val="24"/>
        </w:rPr>
        <w:t>within eligible agencies that receive Perkins funds</w:t>
      </w:r>
      <w:r w:rsidR="00236539" w:rsidRPr="0096581A">
        <w:rPr>
          <w:rFonts w:ascii="Times New Roman" w:hAnsi="Times New Roman" w:cs="Times New Roman"/>
          <w:sz w:val="24"/>
          <w:szCs w:val="24"/>
        </w:rPr>
        <w:t xml:space="preserve">.  </w:t>
      </w:r>
    </w:p>
    <w:p w14:paraId="70DF9E56" w14:textId="77777777" w:rsidR="00200368" w:rsidRPr="00200368" w:rsidRDefault="00200368" w:rsidP="00091C3E">
      <w:pPr>
        <w:pStyle w:val="BodyText"/>
        <w:ind w:left="100" w:right="119"/>
        <w:rPr>
          <w:rFonts w:ascii="Times New Roman" w:hAnsi="Times New Roman" w:cs="Times New Roman"/>
          <w:sz w:val="24"/>
          <w:szCs w:val="24"/>
        </w:rPr>
      </w:pPr>
    </w:p>
    <w:p w14:paraId="2968D92A" w14:textId="77777777" w:rsidR="009A7B52" w:rsidRDefault="009A7B52" w:rsidP="00091C3E">
      <w:pPr>
        <w:pStyle w:val="BodyText"/>
        <w:ind w:right="119"/>
        <w:rPr>
          <w:rFonts w:ascii="Times New Roman" w:hAnsi="Times New Roman" w:cs="Times New Roman"/>
          <w:sz w:val="24"/>
          <w:szCs w:val="24"/>
        </w:rPr>
      </w:pPr>
      <w:r>
        <w:rPr>
          <w:rFonts w:ascii="Times New Roman" w:hAnsi="Times New Roman" w:cs="Times New Roman"/>
          <w:sz w:val="24"/>
          <w:szCs w:val="24"/>
        </w:rPr>
        <w:t xml:space="preserve">Several commenters suggested requiring an unduplicated count of CTE participants overall and by gender, but allowing a duplicate count of students by career cluster.  The commenters indicated that allowing students to be counted in as many career clusters as applicable would support a truer picture of the </w:t>
      </w:r>
      <w:r w:rsidR="00091C3E">
        <w:rPr>
          <w:rFonts w:ascii="Times New Roman" w:hAnsi="Times New Roman" w:cs="Times New Roman"/>
          <w:sz w:val="24"/>
          <w:szCs w:val="24"/>
        </w:rPr>
        <w:t>preparation of students and the pipeline of individuals prepared for postsecondary education and the workforce within the career areas.</w:t>
      </w:r>
    </w:p>
    <w:p w14:paraId="44E871BC" w14:textId="77777777" w:rsidR="00091C3E" w:rsidRDefault="00091C3E" w:rsidP="00091C3E">
      <w:pPr>
        <w:pStyle w:val="BodyText"/>
        <w:ind w:left="100" w:right="119"/>
        <w:rPr>
          <w:rFonts w:ascii="Times New Roman" w:hAnsi="Times New Roman" w:cs="Times New Roman"/>
          <w:sz w:val="24"/>
          <w:szCs w:val="24"/>
        </w:rPr>
      </w:pPr>
    </w:p>
    <w:p w14:paraId="3DA590CF" w14:textId="77777777" w:rsidR="00091C3E" w:rsidRPr="00091C3E" w:rsidRDefault="00091C3E" w:rsidP="00091C3E">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sidR="001E17E8">
        <w:rPr>
          <w:rFonts w:ascii="Times New Roman" w:hAnsi="Times New Roman" w:cs="Times New Roman"/>
          <w:sz w:val="24"/>
          <w:szCs w:val="24"/>
        </w:rPr>
        <w:t>:  We appreciate the commenter</w:t>
      </w:r>
      <w:r>
        <w:rPr>
          <w:rFonts w:ascii="Times New Roman" w:hAnsi="Times New Roman" w:cs="Times New Roman"/>
          <w:sz w:val="24"/>
          <w:szCs w:val="24"/>
        </w:rPr>
        <w:t>s</w:t>
      </w:r>
      <w:r w:rsidR="001E17E8">
        <w:rPr>
          <w:rFonts w:ascii="Times New Roman" w:hAnsi="Times New Roman" w:cs="Times New Roman"/>
          <w:sz w:val="24"/>
          <w:szCs w:val="24"/>
        </w:rPr>
        <w:t>’</w:t>
      </w:r>
      <w:r>
        <w:rPr>
          <w:rFonts w:ascii="Times New Roman" w:hAnsi="Times New Roman" w:cs="Times New Roman"/>
          <w:sz w:val="24"/>
          <w:szCs w:val="24"/>
        </w:rPr>
        <w:t xml:space="preserve"> input and have made the corresponding changes to the Basic Reporting Instructions in Section IV.A: Instructions for Performance Data Reports.</w:t>
      </w:r>
    </w:p>
    <w:p w14:paraId="144A5D23" w14:textId="77777777" w:rsidR="009A7B52" w:rsidRDefault="009A7B52" w:rsidP="00091C3E">
      <w:pPr>
        <w:pStyle w:val="BodyText"/>
        <w:ind w:left="100" w:right="119"/>
        <w:rPr>
          <w:rFonts w:ascii="Times New Roman" w:hAnsi="Times New Roman" w:cs="Times New Roman"/>
          <w:sz w:val="24"/>
          <w:szCs w:val="24"/>
        </w:rPr>
      </w:pPr>
    </w:p>
    <w:p w14:paraId="5E86E2AE" w14:textId="77777777" w:rsidR="008D6E00" w:rsidRDefault="00C4452A" w:rsidP="00C4452A">
      <w:pPr>
        <w:pStyle w:val="BodyText"/>
        <w:ind w:right="119"/>
        <w:rPr>
          <w:rFonts w:ascii="Times New Roman" w:hAnsi="Times New Roman" w:cs="Times New Roman"/>
          <w:sz w:val="24"/>
          <w:szCs w:val="24"/>
        </w:rPr>
      </w:pPr>
      <w:r>
        <w:rPr>
          <w:rFonts w:ascii="Times New Roman" w:hAnsi="Times New Roman" w:cs="Times New Roman"/>
          <w:sz w:val="24"/>
          <w:szCs w:val="24"/>
        </w:rPr>
        <w:t xml:space="preserve">Several commenters expressed concern that the definition of “CTE concentrator” </w:t>
      </w:r>
      <w:r w:rsidR="00D16E8B">
        <w:rPr>
          <w:rFonts w:ascii="Times New Roman" w:hAnsi="Times New Roman" w:cs="Times New Roman"/>
          <w:sz w:val="24"/>
          <w:szCs w:val="24"/>
        </w:rPr>
        <w:t xml:space="preserve">at the secondary level </w:t>
      </w:r>
      <w:r>
        <w:rPr>
          <w:rFonts w:ascii="Times New Roman" w:hAnsi="Times New Roman" w:cs="Times New Roman"/>
          <w:sz w:val="24"/>
          <w:szCs w:val="24"/>
        </w:rPr>
        <w:t xml:space="preserve">includes students who take only two CTE courses and, therefore, there will not be much differentiation between the data collected under Perkins V and that collected under the ESEA.  </w:t>
      </w:r>
      <w:r w:rsidR="008D6E00">
        <w:rPr>
          <w:rFonts w:ascii="Times New Roman" w:hAnsi="Times New Roman" w:cs="Times New Roman"/>
          <w:sz w:val="24"/>
          <w:szCs w:val="24"/>
        </w:rPr>
        <w:t xml:space="preserve">The </w:t>
      </w:r>
      <w:r>
        <w:rPr>
          <w:rFonts w:ascii="Times New Roman" w:hAnsi="Times New Roman" w:cs="Times New Roman"/>
          <w:sz w:val="24"/>
          <w:szCs w:val="24"/>
        </w:rPr>
        <w:t>commenter</w:t>
      </w:r>
      <w:r w:rsidR="008D6E00">
        <w:rPr>
          <w:rFonts w:ascii="Times New Roman" w:hAnsi="Times New Roman" w:cs="Times New Roman"/>
          <w:sz w:val="24"/>
          <w:szCs w:val="24"/>
        </w:rPr>
        <w:t xml:space="preserve">s </w:t>
      </w:r>
      <w:r w:rsidR="008E6ECB">
        <w:rPr>
          <w:rFonts w:ascii="Times New Roman" w:hAnsi="Times New Roman" w:cs="Times New Roman"/>
          <w:sz w:val="24"/>
          <w:szCs w:val="24"/>
        </w:rPr>
        <w:t>noted that “</w:t>
      </w:r>
      <w:r>
        <w:rPr>
          <w:rFonts w:ascii="Times New Roman" w:hAnsi="Times New Roman" w:cs="Times New Roman"/>
          <w:sz w:val="24"/>
          <w:szCs w:val="24"/>
        </w:rPr>
        <w:t>most high school students enroll in at least one CTE course so a sequence of two courses is an insufficient threshold for true CTE concentration</w:t>
      </w:r>
      <w:r w:rsidR="008D6E00">
        <w:rPr>
          <w:rFonts w:ascii="Times New Roman" w:hAnsi="Times New Roman" w:cs="Times New Roman"/>
          <w:sz w:val="24"/>
          <w:szCs w:val="24"/>
        </w:rPr>
        <w:t>.</w:t>
      </w:r>
      <w:r>
        <w:rPr>
          <w:rFonts w:ascii="Times New Roman" w:hAnsi="Times New Roman" w:cs="Times New Roman"/>
          <w:sz w:val="24"/>
          <w:szCs w:val="24"/>
        </w:rPr>
        <w:t>”</w:t>
      </w:r>
      <w:r w:rsidR="008D6E00">
        <w:rPr>
          <w:rFonts w:ascii="Times New Roman" w:hAnsi="Times New Roman" w:cs="Times New Roman"/>
          <w:sz w:val="24"/>
          <w:szCs w:val="24"/>
        </w:rPr>
        <w:t xml:space="preserve">  </w:t>
      </w:r>
      <w:r w:rsidR="006A62B4">
        <w:rPr>
          <w:rFonts w:ascii="Times New Roman" w:hAnsi="Times New Roman" w:cs="Times New Roman"/>
          <w:sz w:val="24"/>
          <w:szCs w:val="24"/>
        </w:rPr>
        <w:t xml:space="preserve">The commenters recommended that the Department permit States to define concentrators as “students who complete three or four courses in a program </w:t>
      </w:r>
      <w:r w:rsidR="00510816">
        <w:rPr>
          <w:rFonts w:ascii="Times New Roman" w:hAnsi="Times New Roman" w:cs="Times New Roman"/>
          <w:sz w:val="24"/>
          <w:szCs w:val="24"/>
        </w:rPr>
        <w:t>o</w:t>
      </w:r>
      <w:r w:rsidR="006A62B4">
        <w:rPr>
          <w:rFonts w:ascii="Times New Roman" w:hAnsi="Times New Roman" w:cs="Times New Roman"/>
          <w:sz w:val="24"/>
          <w:szCs w:val="24"/>
        </w:rPr>
        <w:t>f study.”</w:t>
      </w:r>
      <w:r w:rsidR="00225097">
        <w:rPr>
          <w:rFonts w:ascii="Times New Roman" w:hAnsi="Times New Roman" w:cs="Times New Roman"/>
          <w:sz w:val="24"/>
          <w:szCs w:val="24"/>
        </w:rPr>
        <w:t xml:space="preserve">  </w:t>
      </w:r>
    </w:p>
    <w:p w14:paraId="738610EB" w14:textId="77777777" w:rsidR="008D6E00" w:rsidRDefault="008D6E00" w:rsidP="00C4452A">
      <w:pPr>
        <w:pStyle w:val="BodyText"/>
        <w:ind w:right="119"/>
        <w:rPr>
          <w:rFonts w:ascii="Times New Roman" w:hAnsi="Times New Roman" w:cs="Times New Roman"/>
          <w:sz w:val="24"/>
          <w:szCs w:val="24"/>
        </w:rPr>
      </w:pPr>
    </w:p>
    <w:p w14:paraId="51472BA8" w14:textId="77777777" w:rsidR="008E6ECB" w:rsidRPr="008E6ECB" w:rsidRDefault="008E6ECB" w:rsidP="007E6C86">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Wh</w:t>
      </w:r>
      <w:r w:rsidR="001E17E8">
        <w:rPr>
          <w:rFonts w:ascii="Times New Roman" w:hAnsi="Times New Roman" w:cs="Times New Roman"/>
          <w:sz w:val="24"/>
          <w:szCs w:val="24"/>
        </w:rPr>
        <w:t>ile we appreciate the commenter</w:t>
      </w:r>
      <w:r>
        <w:rPr>
          <w:rFonts w:ascii="Times New Roman" w:hAnsi="Times New Roman" w:cs="Times New Roman"/>
          <w:sz w:val="24"/>
          <w:szCs w:val="24"/>
        </w:rPr>
        <w:t>s</w:t>
      </w:r>
      <w:r w:rsidR="001E17E8">
        <w:rPr>
          <w:rFonts w:ascii="Times New Roman" w:hAnsi="Times New Roman" w:cs="Times New Roman"/>
          <w:sz w:val="24"/>
          <w:szCs w:val="24"/>
        </w:rPr>
        <w:t>’</w:t>
      </w:r>
      <w:r>
        <w:rPr>
          <w:rFonts w:ascii="Times New Roman" w:hAnsi="Times New Roman" w:cs="Times New Roman"/>
          <w:sz w:val="24"/>
          <w:szCs w:val="24"/>
        </w:rPr>
        <w:t xml:space="preserve"> input, no changes have been made.  In this section and throughout the guide, we have generally included statutory requirements and verbatim language from Perkins V</w:t>
      </w:r>
      <w:r w:rsidR="00D16E8B">
        <w:rPr>
          <w:rFonts w:ascii="Times New Roman" w:hAnsi="Times New Roman" w:cs="Times New Roman"/>
          <w:sz w:val="24"/>
          <w:szCs w:val="24"/>
        </w:rPr>
        <w:t>, which defines CTE concentrator at the secondary level in section 3(12)(A)</w:t>
      </w:r>
      <w:r w:rsidR="0016326C">
        <w:rPr>
          <w:rFonts w:ascii="Times New Roman" w:hAnsi="Times New Roman" w:cs="Times New Roman"/>
          <w:sz w:val="24"/>
          <w:szCs w:val="24"/>
        </w:rPr>
        <w:t xml:space="preserve">, as </w:t>
      </w:r>
      <w:r w:rsidR="00D16E8B">
        <w:rPr>
          <w:rFonts w:ascii="Times New Roman" w:hAnsi="Times New Roman" w:cs="Times New Roman"/>
          <w:sz w:val="24"/>
          <w:szCs w:val="24"/>
        </w:rPr>
        <w:t xml:space="preserve">“a student served by an eligible recipient who has completed at least 2 courses in a single career and technical education program or program of study.”  The statutory definition is clear and the Perkins V statute does not provide, either in the definition or </w:t>
      </w:r>
      <w:r w:rsidR="00510816">
        <w:rPr>
          <w:rFonts w:ascii="Times New Roman" w:hAnsi="Times New Roman" w:cs="Times New Roman"/>
          <w:sz w:val="24"/>
          <w:szCs w:val="24"/>
        </w:rPr>
        <w:t xml:space="preserve">elsewhere in </w:t>
      </w:r>
      <w:r w:rsidR="00D16E8B">
        <w:rPr>
          <w:rFonts w:ascii="Times New Roman" w:hAnsi="Times New Roman" w:cs="Times New Roman"/>
          <w:sz w:val="24"/>
          <w:szCs w:val="24"/>
        </w:rPr>
        <w:t xml:space="preserve">the statute, an eligible agency the flexibility to </w:t>
      </w:r>
      <w:r w:rsidR="006A62B4">
        <w:rPr>
          <w:rFonts w:ascii="Times New Roman" w:hAnsi="Times New Roman" w:cs="Times New Roman"/>
          <w:sz w:val="24"/>
          <w:szCs w:val="24"/>
        </w:rPr>
        <w:t xml:space="preserve">develop </w:t>
      </w:r>
      <w:r w:rsidR="00510816">
        <w:rPr>
          <w:rFonts w:ascii="Times New Roman" w:hAnsi="Times New Roman" w:cs="Times New Roman"/>
          <w:sz w:val="24"/>
          <w:szCs w:val="24"/>
        </w:rPr>
        <w:t>a different</w:t>
      </w:r>
      <w:r w:rsidR="00CE1E52">
        <w:rPr>
          <w:rFonts w:ascii="Times New Roman" w:hAnsi="Times New Roman" w:cs="Times New Roman"/>
          <w:sz w:val="24"/>
          <w:szCs w:val="24"/>
        </w:rPr>
        <w:t xml:space="preserve"> </w:t>
      </w:r>
      <w:r w:rsidR="006A62B4">
        <w:rPr>
          <w:rFonts w:ascii="Times New Roman" w:hAnsi="Times New Roman" w:cs="Times New Roman"/>
          <w:sz w:val="24"/>
          <w:szCs w:val="24"/>
        </w:rPr>
        <w:t xml:space="preserve">definition for </w:t>
      </w:r>
      <w:r w:rsidR="00510816">
        <w:rPr>
          <w:rFonts w:ascii="Times New Roman" w:hAnsi="Times New Roman" w:cs="Times New Roman"/>
          <w:sz w:val="24"/>
          <w:szCs w:val="24"/>
        </w:rPr>
        <w:t>the term “</w:t>
      </w:r>
      <w:r w:rsidR="006A62B4">
        <w:rPr>
          <w:rFonts w:ascii="Times New Roman" w:hAnsi="Times New Roman" w:cs="Times New Roman"/>
          <w:sz w:val="24"/>
          <w:szCs w:val="24"/>
        </w:rPr>
        <w:t>CTE concentrator</w:t>
      </w:r>
      <w:r w:rsidR="00D16E8B">
        <w:rPr>
          <w:rFonts w:ascii="Times New Roman" w:hAnsi="Times New Roman" w:cs="Times New Roman"/>
          <w:sz w:val="24"/>
          <w:szCs w:val="24"/>
        </w:rPr>
        <w:t>.</w:t>
      </w:r>
      <w:r w:rsidR="00510816">
        <w:rPr>
          <w:rFonts w:ascii="Times New Roman" w:hAnsi="Times New Roman" w:cs="Times New Roman"/>
          <w:sz w:val="24"/>
          <w:szCs w:val="24"/>
        </w:rPr>
        <w:t>”</w:t>
      </w:r>
    </w:p>
    <w:p w14:paraId="637805D2" w14:textId="77777777" w:rsidR="00C4452A" w:rsidRDefault="00C4452A" w:rsidP="00091C3E">
      <w:pPr>
        <w:pStyle w:val="BodyText"/>
        <w:ind w:left="100" w:right="119"/>
        <w:rPr>
          <w:rFonts w:ascii="Times New Roman" w:hAnsi="Times New Roman" w:cs="Times New Roman"/>
          <w:sz w:val="24"/>
          <w:szCs w:val="24"/>
        </w:rPr>
      </w:pPr>
    </w:p>
    <w:p w14:paraId="64942590" w14:textId="77777777" w:rsidR="00225097" w:rsidRDefault="00225097" w:rsidP="00225097">
      <w:pPr>
        <w:pStyle w:val="BodyText"/>
        <w:ind w:right="119"/>
        <w:rPr>
          <w:rFonts w:ascii="Times New Roman" w:hAnsi="Times New Roman" w:cs="Times New Roman"/>
          <w:sz w:val="24"/>
          <w:szCs w:val="24"/>
        </w:rPr>
      </w:pPr>
      <w:r>
        <w:rPr>
          <w:rFonts w:ascii="Times New Roman" w:hAnsi="Times New Roman" w:cs="Times New Roman"/>
          <w:sz w:val="24"/>
          <w:szCs w:val="24"/>
        </w:rPr>
        <w:t>Another commenter indicated that the</w:t>
      </w:r>
      <w:r w:rsidR="00CE1E52">
        <w:rPr>
          <w:rFonts w:ascii="Times New Roman" w:hAnsi="Times New Roman" w:cs="Times New Roman"/>
          <w:sz w:val="24"/>
          <w:szCs w:val="24"/>
        </w:rPr>
        <w:t xml:space="preserve"> statutory</w:t>
      </w:r>
      <w:r>
        <w:rPr>
          <w:rFonts w:ascii="Times New Roman" w:hAnsi="Times New Roman" w:cs="Times New Roman"/>
          <w:sz w:val="24"/>
          <w:szCs w:val="24"/>
        </w:rPr>
        <w:t xml:space="preserve"> language </w:t>
      </w:r>
      <w:r w:rsidR="00CE1E52">
        <w:rPr>
          <w:rFonts w:ascii="Times New Roman" w:hAnsi="Times New Roman" w:cs="Times New Roman"/>
          <w:sz w:val="24"/>
          <w:szCs w:val="24"/>
        </w:rPr>
        <w:t xml:space="preserve">for a CTE concentrator </w:t>
      </w:r>
      <w:r>
        <w:rPr>
          <w:rFonts w:ascii="Times New Roman" w:hAnsi="Times New Roman" w:cs="Times New Roman"/>
          <w:sz w:val="24"/>
          <w:szCs w:val="24"/>
        </w:rPr>
        <w:t xml:space="preserve">does not define “course” and, as such, it could be any number of actual credits/time.  The commenter further </w:t>
      </w:r>
      <w:r w:rsidR="00510816">
        <w:rPr>
          <w:rFonts w:ascii="Times New Roman" w:hAnsi="Times New Roman" w:cs="Times New Roman"/>
          <w:sz w:val="24"/>
          <w:szCs w:val="24"/>
        </w:rPr>
        <w:t>recommend</w:t>
      </w:r>
      <w:r>
        <w:rPr>
          <w:rFonts w:ascii="Times New Roman" w:hAnsi="Times New Roman" w:cs="Times New Roman"/>
          <w:sz w:val="24"/>
          <w:szCs w:val="24"/>
        </w:rPr>
        <w:t xml:space="preserve">ed that language be “two years of courses in the proper sequence and in an approved CTE program.”  </w:t>
      </w:r>
      <w:r w:rsidR="00DA35B3">
        <w:rPr>
          <w:rFonts w:ascii="Times New Roman" w:hAnsi="Times New Roman" w:cs="Times New Roman"/>
          <w:sz w:val="24"/>
          <w:szCs w:val="24"/>
        </w:rPr>
        <w:t xml:space="preserve">This commenter </w:t>
      </w:r>
      <w:r>
        <w:rPr>
          <w:rFonts w:ascii="Times New Roman" w:hAnsi="Times New Roman" w:cs="Times New Roman"/>
          <w:sz w:val="24"/>
          <w:szCs w:val="24"/>
        </w:rPr>
        <w:t>further recommended the addition of “12</w:t>
      </w:r>
      <w:r w:rsidRPr="006A62B4">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students who have completed…” to alleviate counting students more than once throughout their high school years.</w:t>
      </w:r>
    </w:p>
    <w:p w14:paraId="463F29E8" w14:textId="77777777" w:rsidR="00225097" w:rsidRDefault="00225097" w:rsidP="00225097">
      <w:pPr>
        <w:pStyle w:val="BodyText"/>
        <w:ind w:right="119"/>
        <w:rPr>
          <w:rFonts w:ascii="Times New Roman" w:hAnsi="Times New Roman" w:cs="Times New Roman"/>
          <w:sz w:val="24"/>
          <w:szCs w:val="24"/>
        </w:rPr>
      </w:pPr>
    </w:p>
    <w:p w14:paraId="40E48CD4" w14:textId="77777777" w:rsidR="00225097" w:rsidRPr="008E6ECB" w:rsidRDefault="00225097" w:rsidP="00225097">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While we appreciate the commenter’s input, no changes have been made.  In this section and throughout the guide, we have generally included statutory requirements and verbatim language from Perkins V, which defines CTE concentrator at the secondary level in section 3(12)(A)</w:t>
      </w:r>
      <w:r w:rsidR="00510816">
        <w:rPr>
          <w:rFonts w:ascii="Times New Roman" w:hAnsi="Times New Roman" w:cs="Times New Roman"/>
          <w:sz w:val="24"/>
          <w:szCs w:val="24"/>
        </w:rPr>
        <w:t>, as a</w:t>
      </w:r>
      <w:r>
        <w:rPr>
          <w:rFonts w:ascii="Times New Roman" w:hAnsi="Times New Roman" w:cs="Times New Roman"/>
          <w:sz w:val="24"/>
          <w:szCs w:val="24"/>
        </w:rPr>
        <w:t xml:space="preserve"> “a student served by an eligible recipient who has completed at least 2 courses in a single career and technical education program or program of study.”  The statutory definition is clear and the Perkins V statute does not provide, either in the definition or </w:t>
      </w:r>
      <w:r w:rsidR="00510816">
        <w:rPr>
          <w:rFonts w:ascii="Times New Roman" w:hAnsi="Times New Roman" w:cs="Times New Roman"/>
          <w:sz w:val="24"/>
          <w:szCs w:val="24"/>
        </w:rPr>
        <w:t>else</w:t>
      </w:r>
      <w:r>
        <w:rPr>
          <w:rFonts w:ascii="Times New Roman" w:hAnsi="Times New Roman" w:cs="Times New Roman"/>
          <w:sz w:val="24"/>
          <w:szCs w:val="24"/>
        </w:rPr>
        <w:t>where</w:t>
      </w:r>
      <w:r w:rsidR="00510816">
        <w:rPr>
          <w:rFonts w:ascii="Times New Roman" w:hAnsi="Times New Roman" w:cs="Times New Roman"/>
          <w:sz w:val="24"/>
          <w:szCs w:val="24"/>
        </w:rPr>
        <w:t xml:space="preserve"> in</w:t>
      </w:r>
      <w:r>
        <w:rPr>
          <w:rFonts w:ascii="Times New Roman" w:hAnsi="Times New Roman" w:cs="Times New Roman"/>
          <w:sz w:val="24"/>
          <w:szCs w:val="24"/>
        </w:rPr>
        <w:t xml:space="preserve"> the statute, an eligible agency the flexibility to develop its </w:t>
      </w:r>
      <w:r w:rsidR="00510816">
        <w:rPr>
          <w:rFonts w:ascii="Times New Roman" w:hAnsi="Times New Roman" w:cs="Times New Roman"/>
          <w:sz w:val="24"/>
          <w:szCs w:val="24"/>
        </w:rPr>
        <w:t xml:space="preserve">own </w:t>
      </w:r>
      <w:r>
        <w:rPr>
          <w:rFonts w:ascii="Times New Roman" w:hAnsi="Times New Roman" w:cs="Times New Roman"/>
          <w:sz w:val="24"/>
          <w:szCs w:val="24"/>
        </w:rPr>
        <w:t xml:space="preserve">definition for </w:t>
      </w:r>
      <w:r w:rsidR="00510816">
        <w:rPr>
          <w:rFonts w:ascii="Times New Roman" w:hAnsi="Times New Roman" w:cs="Times New Roman"/>
          <w:sz w:val="24"/>
          <w:szCs w:val="24"/>
        </w:rPr>
        <w:t>the term</w:t>
      </w:r>
      <w:r>
        <w:rPr>
          <w:rFonts w:ascii="Times New Roman" w:hAnsi="Times New Roman" w:cs="Times New Roman"/>
          <w:sz w:val="24"/>
          <w:szCs w:val="24"/>
        </w:rPr>
        <w:t xml:space="preserve"> </w:t>
      </w:r>
      <w:r w:rsidR="00510816">
        <w:rPr>
          <w:rFonts w:ascii="Times New Roman" w:hAnsi="Times New Roman" w:cs="Times New Roman"/>
          <w:sz w:val="24"/>
          <w:szCs w:val="24"/>
        </w:rPr>
        <w:t>“</w:t>
      </w:r>
      <w:r>
        <w:rPr>
          <w:rFonts w:ascii="Times New Roman" w:hAnsi="Times New Roman" w:cs="Times New Roman"/>
          <w:sz w:val="24"/>
          <w:szCs w:val="24"/>
        </w:rPr>
        <w:t>CTE concentrator.</w:t>
      </w:r>
      <w:r w:rsidR="00510816">
        <w:rPr>
          <w:rFonts w:ascii="Times New Roman" w:hAnsi="Times New Roman" w:cs="Times New Roman"/>
          <w:sz w:val="24"/>
          <w:szCs w:val="24"/>
        </w:rPr>
        <w:t>”</w:t>
      </w:r>
    </w:p>
    <w:p w14:paraId="3B7B4B86" w14:textId="77777777" w:rsidR="00225097" w:rsidRDefault="00225097" w:rsidP="00091C3E">
      <w:pPr>
        <w:pStyle w:val="BodyText"/>
        <w:ind w:left="100" w:right="119"/>
        <w:rPr>
          <w:rFonts w:ascii="Times New Roman" w:hAnsi="Times New Roman" w:cs="Times New Roman"/>
          <w:sz w:val="24"/>
          <w:szCs w:val="24"/>
        </w:rPr>
      </w:pPr>
    </w:p>
    <w:p w14:paraId="61697381" w14:textId="77777777" w:rsidR="00BD0C9D" w:rsidRDefault="00BD0C9D" w:rsidP="00E6158F">
      <w:pPr>
        <w:pStyle w:val="BodyText"/>
        <w:ind w:right="119"/>
        <w:rPr>
          <w:rFonts w:ascii="Times New Roman" w:hAnsi="Times New Roman" w:cs="Times New Roman"/>
          <w:sz w:val="24"/>
          <w:szCs w:val="24"/>
        </w:rPr>
      </w:pPr>
      <w:r>
        <w:rPr>
          <w:rFonts w:ascii="Times New Roman" w:hAnsi="Times New Roman" w:cs="Times New Roman"/>
          <w:sz w:val="24"/>
          <w:szCs w:val="24"/>
        </w:rPr>
        <w:t>One commenter requested clarification on whether “completed a course” in the definition of a CTE concentrator requires the student to have achieved a certain grade or to have passed the course.</w:t>
      </w:r>
    </w:p>
    <w:p w14:paraId="3A0FF5F2" w14:textId="77777777" w:rsidR="00BD0C9D" w:rsidRDefault="00BD0C9D" w:rsidP="00E6158F">
      <w:pPr>
        <w:pStyle w:val="BodyText"/>
        <w:ind w:right="119"/>
        <w:rPr>
          <w:rFonts w:ascii="Times New Roman" w:hAnsi="Times New Roman" w:cs="Times New Roman"/>
          <w:sz w:val="24"/>
          <w:szCs w:val="24"/>
        </w:rPr>
      </w:pPr>
    </w:p>
    <w:p w14:paraId="4A72D1BE" w14:textId="77777777" w:rsidR="00BD0C9D" w:rsidRDefault="00BD0C9D" w:rsidP="00BD0C9D">
      <w:pPr>
        <w:spacing w:after="0" w:line="240" w:lineRule="auto"/>
        <w:ind w:left="540"/>
        <w:rPr>
          <w:rFonts w:ascii="Times New Roman" w:hAnsi="Times New Roman"/>
          <w:sz w:val="24"/>
          <w:szCs w:val="24"/>
        </w:rPr>
      </w:pPr>
      <w:r>
        <w:rPr>
          <w:rFonts w:ascii="Times New Roman" w:hAnsi="Times New Roman"/>
          <w:sz w:val="24"/>
          <w:szCs w:val="24"/>
          <w:u w:val="single"/>
        </w:rPr>
        <w:t>Department’s Response</w:t>
      </w:r>
      <w:r>
        <w:rPr>
          <w:rFonts w:ascii="Times New Roman" w:hAnsi="Times New Roman"/>
          <w:sz w:val="24"/>
          <w:szCs w:val="24"/>
        </w:rPr>
        <w:t>:  While we appreciate the commenter’s input, no changes have been made.  In this section and throughout the guide, we have generally used statutory requirement</w:t>
      </w:r>
      <w:r w:rsidR="00CB4D39">
        <w:rPr>
          <w:rFonts w:ascii="Times New Roman" w:hAnsi="Times New Roman"/>
          <w:sz w:val="24"/>
          <w:szCs w:val="24"/>
        </w:rPr>
        <w:t>s</w:t>
      </w:r>
      <w:r>
        <w:rPr>
          <w:rFonts w:ascii="Times New Roman" w:hAnsi="Times New Roman"/>
          <w:sz w:val="24"/>
          <w:szCs w:val="24"/>
        </w:rPr>
        <w:t xml:space="preserve"> and verbatim language </w:t>
      </w:r>
      <w:r w:rsidR="00CB4D39">
        <w:rPr>
          <w:rFonts w:ascii="Times New Roman" w:hAnsi="Times New Roman"/>
          <w:sz w:val="24"/>
          <w:szCs w:val="24"/>
        </w:rPr>
        <w:t xml:space="preserve">from </w:t>
      </w:r>
      <w:r>
        <w:rPr>
          <w:rFonts w:ascii="Times New Roman" w:hAnsi="Times New Roman"/>
          <w:sz w:val="24"/>
          <w:szCs w:val="24"/>
        </w:rPr>
        <w:t>Perkins V, which do</w:t>
      </w:r>
      <w:r w:rsidR="00CB4D39">
        <w:rPr>
          <w:rFonts w:ascii="Times New Roman" w:hAnsi="Times New Roman"/>
          <w:sz w:val="24"/>
          <w:szCs w:val="24"/>
        </w:rPr>
        <w:t>es</w:t>
      </w:r>
      <w:r>
        <w:rPr>
          <w:rFonts w:ascii="Times New Roman" w:hAnsi="Times New Roman"/>
          <w:sz w:val="24"/>
          <w:szCs w:val="24"/>
        </w:rPr>
        <w:t xml:space="preserve"> not define the parameters for a student to “complete a course.”  </w:t>
      </w:r>
      <w:r w:rsidR="00CB4D39">
        <w:rPr>
          <w:rFonts w:ascii="Times New Roman" w:hAnsi="Times New Roman"/>
          <w:sz w:val="24"/>
          <w:szCs w:val="24"/>
        </w:rPr>
        <w:t>Therefore</w:t>
      </w:r>
      <w:r>
        <w:rPr>
          <w:rFonts w:ascii="Times New Roman" w:hAnsi="Times New Roman"/>
          <w:sz w:val="24"/>
          <w:szCs w:val="24"/>
        </w:rPr>
        <w:t>, an eligible agency has full authority and discretion to define those parameters.</w:t>
      </w:r>
    </w:p>
    <w:p w14:paraId="5630AD66" w14:textId="77777777" w:rsidR="00BD0C9D" w:rsidRDefault="00BD0C9D" w:rsidP="00BD0C9D">
      <w:pPr>
        <w:spacing w:after="0" w:line="240" w:lineRule="auto"/>
        <w:rPr>
          <w:rFonts w:ascii="Times New Roman" w:hAnsi="Times New Roman"/>
          <w:sz w:val="24"/>
          <w:szCs w:val="24"/>
        </w:rPr>
      </w:pPr>
    </w:p>
    <w:p w14:paraId="6AB1FE5C" w14:textId="77777777" w:rsidR="00E6158F" w:rsidRDefault="00E6158F" w:rsidP="00E6158F">
      <w:pPr>
        <w:pStyle w:val="BodyText"/>
        <w:ind w:right="119"/>
        <w:rPr>
          <w:rFonts w:ascii="Times New Roman" w:hAnsi="Times New Roman" w:cs="Times New Roman"/>
          <w:sz w:val="24"/>
          <w:szCs w:val="24"/>
        </w:rPr>
      </w:pPr>
      <w:r>
        <w:rPr>
          <w:rFonts w:ascii="Times New Roman" w:hAnsi="Times New Roman" w:cs="Times New Roman"/>
          <w:sz w:val="24"/>
          <w:szCs w:val="24"/>
        </w:rPr>
        <w:t>One commenter requested clarification on the following statement in the guide:  “The disaggregation of data is not required when the number of students in a category is insufficient to yield statistically reliable information or when the results would reveal personally identifiable information about an individual student.”  The commenter indicated that their understanding was that States should not report data that results in small cell sizes.</w:t>
      </w:r>
    </w:p>
    <w:p w14:paraId="61829076" w14:textId="77777777" w:rsidR="00E6158F" w:rsidRDefault="00E6158F" w:rsidP="00E6158F">
      <w:pPr>
        <w:pStyle w:val="BodyText"/>
        <w:ind w:right="119"/>
        <w:rPr>
          <w:rFonts w:ascii="Times New Roman" w:hAnsi="Times New Roman" w:cs="Times New Roman"/>
          <w:sz w:val="24"/>
          <w:szCs w:val="24"/>
        </w:rPr>
      </w:pPr>
    </w:p>
    <w:p w14:paraId="12E9FB94" w14:textId="77777777" w:rsidR="00E6158F" w:rsidRDefault="00E6158F" w:rsidP="001B1AA4">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We appreciate the commenter’s request and have added a notation to Item 1.d.vi in Section IV.A: Instructions for Performance Data Reports to confirm tha</w:t>
      </w:r>
      <w:r w:rsidR="001B1AA4">
        <w:rPr>
          <w:rFonts w:ascii="Times New Roman" w:hAnsi="Times New Roman" w:cs="Times New Roman"/>
          <w:sz w:val="24"/>
          <w:szCs w:val="24"/>
        </w:rPr>
        <w:t>t</w:t>
      </w:r>
      <w:r>
        <w:rPr>
          <w:rFonts w:ascii="Times New Roman" w:hAnsi="Times New Roman" w:cs="Times New Roman"/>
          <w:sz w:val="24"/>
          <w:szCs w:val="24"/>
        </w:rPr>
        <w:t xml:space="preserve"> an eligible agency does not need to submit data that meets its State-defined small cell size.</w:t>
      </w:r>
    </w:p>
    <w:p w14:paraId="2BA226A1" w14:textId="77777777" w:rsidR="001B1AA4" w:rsidRDefault="001B1AA4" w:rsidP="00E6158F">
      <w:pPr>
        <w:pStyle w:val="BodyText"/>
        <w:ind w:right="119"/>
        <w:rPr>
          <w:rFonts w:ascii="Times New Roman" w:hAnsi="Times New Roman" w:cs="Times New Roman"/>
          <w:sz w:val="24"/>
          <w:szCs w:val="24"/>
        </w:rPr>
      </w:pPr>
    </w:p>
    <w:p w14:paraId="244E355D" w14:textId="77777777" w:rsidR="001B1AA4" w:rsidRDefault="001B1AA4" w:rsidP="00E6158F">
      <w:pPr>
        <w:pStyle w:val="BodyText"/>
        <w:ind w:right="119"/>
        <w:rPr>
          <w:rFonts w:ascii="Times New Roman" w:hAnsi="Times New Roman" w:cs="Times New Roman"/>
          <w:sz w:val="24"/>
          <w:szCs w:val="24"/>
        </w:rPr>
      </w:pPr>
      <w:r>
        <w:rPr>
          <w:rFonts w:ascii="Times New Roman" w:hAnsi="Times New Roman" w:cs="Times New Roman"/>
          <w:sz w:val="24"/>
          <w:szCs w:val="24"/>
        </w:rPr>
        <w:t>One commenter requested clarification that participant and concentrator enrollment data for the FY 2019 (July 1, 2019 – June 30, 2020) is to be disaggregated only by gender and career clusters.</w:t>
      </w:r>
    </w:p>
    <w:p w14:paraId="17AD93B2" w14:textId="77777777" w:rsidR="001B1AA4" w:rsidRDefault="001B1AA4" w:rsidP="00E6158F">
      <w:pPr>
        <w:pStyle w:val="BodyText"/>
        <w:ind w:right="119"/>
        <w:rPr>
          <w:rFonts w:ascii="Times New Roman" w:hAnsi="Times New Roman" w:cs="Times New Roman"/>
          <w:sz w:val="24"/>
          <w:szCs w:val="24"/>
        </w:rPr>
      </w:pPr>
    </w:p>
    <w:p w14:paraId="3F655B83" w14:textId="77777777" w:rsidR="001B1AA4" w:rsidRDefault="001B1AA4" w:rsidP="00612885">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xml:space="preserve">:  We appreciate the commenter’s request and confirm that </w:t>
      </w:r>
      <w:r w:rsidR="00612885">
        <w:rPr>
          <w:rFonts w:ascii="Times New Roman" w:hAnsi="Times New Roman" w:cs="Times New Roman"/>
          <w:sz w:val="24"/>
          <w:szCs w:val="24"/>
        </w:rPr>
        <w:t>participant and concentrator enrollment data is to be disaggregated only by gender and career clusters.</w:t>
      </w:r>
    </w:p>
    <w:p w14:paraId="0DE4B5B7" w14:textId="77777777" w:rsidR="00612885" w:rsidRPr="001B1AA4" w:rsidRDefault="00612885" w:rsidP="00612885">
      <w:pPr>
        <w:pStyle w:val="BodyText"/>
        <w:ind w:left="540" w:right="119"/>
        <w:rPr>
          <w:rFonts w:ascii="Times New Roman" w:hAnsi="Times New Roman" w:cs="Times New Roman"/>
          <w:sz w:val="24"/>
          <w:szCs w:val="24"/>
        </w:rPr>
      </w:pPr>
    </w:p>
    <w:p w14:paraId="330B866A" w14:textId="77777777" w:rsidR="00E6158F" w:rsidRDefault="00612885" w:rsidP="00E6158F">
      <w:pPr>
        <w:pStyle w:val="BodyText"/>
        <w:ind w:right="119"/>
        <w:rPr>
          <w:rFonts w:ascii="Times New Roman" w:hAnsi="Times New Roman" w:cs="Times New Roman"/>
          <w:sz w:val="24"/>
          <w:szCs w:val="24"/>
        </w:rPr>
      </w:pPr>
      <w:r>
        <w:rPr>
          <w:rFonts w:ascii="Times New Roman" w:hAnsi="Times New Roman" w:cs="Times New Roman"/>
          <w:sz w:val="24"/>
          <w:szCs w:val="24"/>
        </w:rPr>
        <w:t xml:space="preserve">One commenter encouraged the Department to include a data chart template that highlights gaps in the performance measures and ensures that States consistently report the disparities or gaps in performance.  </w:t>
      </w:r>
    </w:p>
    <w:p w14:paraId="66204FF1" w14:textId="77777777" w:rsidR="00612885" w:rsidRDefault="00612885" w:rsidP="00E6158F">
      <w:pPr>
        <w:pStyle w:val="BodyText"/>
        <w:ind w:right="119"/>
        <w:rPr>
          <w:rFonts w:ascii="Times New Roman" w:hAnsi="Times New Roman" w:cs="Times New Roman"/>
          <w:sz w:val="24"/>
          <w:szCs w:val="24"/>
        </w:rPr>
      </w:pPr>
    </w:p>
    <w:p w14:paraId="5A426D8C" w14:textId="77777777" w:rsidR="00612885" w:rsidRPr="00612885" w:rsidRDefault="00612885" w:rsidP="00612885">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While we appreciate the commenter’s input, no changes have been made.  In this section and throughout the guide, we have general included only statutory requirements from Perkins V, which does not specify the manner in which eligible agencies identify and report disparities in performance.  That said, an eligible agency has full discretion and authority to include such data chart in its CAR submission.</w:t>
      </w:r>
    </w:p>
    <w:p w14:paraId="2DBF0D7D" w14:textId="77777777" w:rsidR="00E6158F" w:rsidRDefault="00E6158F" w:rsidP="00E6158F">
      <w:pPr>
        <w:pStyle w:val="BodyText"/>
        <w:ind w:right="119"/>
        <w:rPr>
          <w:rFonts w:ascii="Times New Roman" w:hAnsi="Times New Roman" w:cs="Times New Roman"/>
          <w:sz w:val="24"/>
          <w:szCs w:val="24"/>
        </w:rPr>
      </w:pPr>
    </w:p>
    <w:p w14:paraId="3F6B11B4" w14:textId="77777777" w:rsidR="001E6B34" w:rsidRDefault="001E6B34" w:rsidP="00E6158F">
      <w:pPr>
        <w:pStyle w:val="BodyText"/>
        <w:ind w:right="119"/>
        <w:rPr>
          <w:rFonts w:ascii="Times New Roman" w:hAnsi="Times New Roman" w:cs="Times New Roman"/>
          <w:sz w:val="24"/>
          <w:szCs w:val="24"/>
        </w:rPr>
      </w:pPr>
      <w:r>
        <w:rPr>
          <w:rFonts w:ascii="Times New Roman" w:hAnsi="Times New Roman" w:cs="Times New Roman"/>
          <w:sz w:val="24"/>
          <w:szCs w:val="24"/>
        </w:rPr>
        <w:t>One commenter suggested that we define the age limits for “youth in the foster care system” and “youth with a parent in active military duty” as individuals aged 14-24, which is consistent with reporting under WIOA.</w:t>
      </w:r>
    </w:p>
    <w:p w14:paraId="6B62F1B3" w14:textId="77777777" w:rsidR="001E6B34" w:rsidRDefault="001E6B34" w:rsidP="00E6158F">
      <w:pPr>
        <w:pStyle w:val="BodyText"/>
        <w:ind w:right="119"/>
        <w:rPr>
          <w:rFonts w:ascii="Times New Roman" w:hAnsi="Times New Roman" w:cs="Times New Roman"/>
          <w:sz w:val="24"/>
          <w:szCs w:val="24"/>
        </w:rPr>
      </w:pPr>
    </w:p>
    <w:p w14:paraId="3A3620B8" w14:textId="77777777" w:rsidR="001E6B34" w:rsidRPr="001E6B34" w:rsidRDefault="001E6B34" w:rsidP="00982701">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xml:space="preserve">:  </w:t>
      </w:r>
      <w:r w:rsidR="006051E7">
        <w:rPr>
          <w:rFonts w:ascii="Times New Roman" w:hAnsi="Times New Roman" w:cs="Times New Roman"/>
          <w:sz w:val="24"/>
          <w:szCs w:val="24"/>
        </w:rPr>
        <w:t>While we appreciate the commenter’s input, no changes have been made.  In this section and throughout the guide, we have general included only statutory requirements from Perkins V, which does not specify the age parameters for the terms “youth in foster care” and “youth with a parent in active military duty.”  That said, an eligible agency has full discretion and authority to further define these terms for data gathering and reporting purposes.</w:t>
      </w:r>
    </w:p>
    <w:p w14:paraId="02F2C34E" w14:textId="77777777" w:rsidR="001E6B34" w:rsidRDefault="001E6B34" w:rsidP="00E6158F">
      <w:pPr>
        <w:pStyle w:val="BodyText"/>
        <w:ind w:right="119"/>
        <w:rPr>
          <w:rFonts w:ascii="Times New Roman" w:hAnsi="Times New Roman" w:cs="Times New Roman"/>
          <w:sz w:val="24"/>
          <w:szCs w:val="24"/>
        </w:rPr>
      </w:pPr>
    </w:p>
    <w:p w14:paraId="62D1AC77" w14:textId="77777777" w:rsidR="003B1EAB" w:rsidRDefault="003B1EAB" w:rsidP="00E6158F">
      <w:pPr>
        <w:pStyle w:val="BodyText"/>
        <w:ind w:right="119"/>
        <w:rPr>
          <w:rFonts w:ascii="Times New Roman" w:hAnsi="Times New Roman" w:cs="Times New Roman"/>
          <w:sz w:val="24"/>
          <w:szCs w:val="24"/>
        </w:rPr>
      </w:pPr>
      <w:r>
        <w:rPr>
          <w:rFonts w:ascii="Times New Roman" w:hAnsi="Times New Roman" w:cs="Times New Roman"/>
          <w:sz w:val="24"/>
          <w:szCs w:val="24"/>
        </w:rPr>
        <w:t>One commenter encouraged the Department to require States to report disaggregated data on CTE participants and concentrators by race and special population subgroup, not just by gender and career cluster.  The commenter indicated that “these disaggregated data would be helpful for States as part of their gap analyses whereby they can compare and benchmark enrollment and concentrator trends across states.”</w:t>
      </w:r>
    </w:p>
    <w:p w14:paraId="680A4E5D" w14:textId="77777777" w:rsidR="003B1EAB" w:rsidRDefault="003B1EAB" w:rsidP="00E6158F">
      <w:pPr>
        <w:pStyle w:val="BodyText"/>
        <w:ind w:right="119"/>
        <w:rPr>
          <w:rFonts w:ascii="Times New Roman" w:hAnsi="Times New Roman" w:cs="Times New Roman"/>
          <w:sz w:val="24"/>
          <w:szCs w:val="24"/>
        </w:rPr>
      </w:pPr>
    </w:p>
    <w:p w14:paraId="0E30BDBE" w14:textId="77777777" w:rsidR="003B1EAB" w:rsidRDefault="003B1EAB" w:rsidP="00CE5011">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xml:space="preserve">:  </w:t>
      </w:r>
      <w:r w:rsidR="006051E7">
        <w:rPr>
          <w:rFonts w:ascii="Times New Roman" w:hAnsi="Times New Roman" w:cs="Times New Roman"/>
          <w:sz w:val="24"/>
          <w:szCs w:val="24"/>
        </w:rPr>
        <w:t>W</w:t>
      </w:r>
      <w:r>
        <w:rPr>
          <w:rFonts w:ascii="Times New Roman" w:hAnsi="Times New Roman" w:cs="Times New Roman"/>
          <w:sz w:val="24"/>
          <w:szCs w:val="24"/>
        </w:rPr>
        <w:t>e appreciate the commenter’s input</w:t>
      </w:r>
      <w:r w:rsidR="006051E7">
        <w:rPr>
          <w:rFonts w:ascii="Times New Roman" w:hAnsi="Times New Roman" w:cs="Times New Roman"/>
          <w:sz w:val="24"/>
          <w:szCs w:val="24"/>
        </w:rPr>
        <w:t xml:space="preserve"> and have added the categories for race/ethnicity and special populations to the CTE Participant and Enrollment Forms in Section IV.B</w:t>
      </w:r>
      <w:r w:rsidR="00CE5011">
        <w:rPr>
          <w:rFonts w:ascii="Times New Roman" w:hAnsi="Times New Roman" w:cs="Times New Roman"/>
          <w:sz w:val="24"/>
          <w:szCs w:val="24"/>
        </w:rPr>
        <w:t>.</w:t>
      </w:r>
    </w:p>
    <w:p w14:paraId="19219836" w14:textId="77777777" w:rsidR="003B1EAB" w:rsidRPr="003B1EAB" w:rsidRDefault="003B1EAB" w:rsidP="00E6158F">
      <w:pPr>
        <w:pStyle w:val="BodyText"/>
        <w:ind w:right="119"/>
        <w:rPr>
          <w:rFonts w:ascii="Times New Roman" w:hAnsi="Times New Roman" w:cs="Times New Roman"/>
          <w:sz w:val="24"/>
          <w:szCs w:val="24"/>
        </w:rPr>
      </w:pPr>
    </w:p>
    <w:p w14:paraId="17F13A1A" w14:textId="77777777" w:rsidR="00480D1C" w:rsidRDefault="00480D1C" w:rsidP="00E6158F">
      <w:pPr>
        <w:pStyle w:val="BodyText"/>
        <w:ind w:right="119"/>
        <w:rPr>
          <w:rFonts w:ascii="Times New Roman" w:hAnsi="Times New Roman" w:cs="Times New Roman"/>
          <w:sz w:val="24"/>
          <w:szCs w:val="24"/>
        </w:rPr>
      </w:pPr>
      <w:r>
        <w:rPr>
          <w:rFonts w:ascii="Times New Roman" w:hAnsi="Times New Roman" w:cs="Times New Roman"/>
          <w:sz w:val="24"/>
          <w:szCs w:val="24"/>
        </w:rPr>
        <w:t xml:space="preserve">One commenter requested that we add rows to the performance data reports for the nontraditional indicators, 4S1 and 3P1, that enable States to report separately on their nontraditional program concentration for males </w:t>
      </w:r>
      <w:r w:rsidR="00075D61">
        <w:rPr>
          <w:rFonts w:ascii="Times New Roman" w:hAnsi="Times New Roman" w:cs="Times New Roman"/>
          <w:sz w:val="24"/>
          <w:szCs w:val="24"/>
        </w:rPr>
        <w:t>and</w:t>
      </w:r>
      <w:r>
        <w:rPr>
          <w:rFonts w:ascii="Times New Roman" w:hAnsi="Times New Roman" w:cs="Times New Roman"/>
          <w:sz w:val="24"/>
          <w:szCs w:val="24"/>
        </w:rPr>
        <w:t xml:space="preserve"> females.  </w:t>
      </w:r>
    </w:p>
    <w:p w14:paraId="296FEF7D" w14:textId="77777777" w:rsidR="00480D1C" w:rsidRDefault="00480D1C" w:rsidP="00E6158F">
      <w:pPr>
        <w:pStyle w:val="BodyText"/>
        <w:ind w:right="119"/>
        <w:rPr>
          <w:rFonts w:ascii="Times New Roman" w:hAnsi="Times New Roman" w:cs="Times New Roman"/>
          <w:sz w:val="24"/>
          <w:szCs w:val="24"/>
        </w:rPr>
      </w:pPr>
    </w:p>
    <w:p w14:paraId="2F683E13" w14:textId="6BB708C0" w:rsidR="4C99B01F" w:rsidRDefault="4C99B01F" w:rsidP="4C99B01F">
      <w:pPr>
        <w:pStyle w:val="BodyText"/>
        <w:ind w:left="540" w:right="119"/>
        <w:rPr>
          <w:rFonts w:ascii="Times New Roman" w:eastAsia="Times New Roman" w:hAnsi="Times New Roman" w:cs="Times New Roman"/>
          <w:sz w:val="24"/>
          <w:szCs w:val="24"/>
        </w:rPr>
      </w:pPr>
      <w:r w:rsidRPr="4C99B01F">
        <w:rPr>
          <w:rFonts w:ascii="Times New Roman" w:hAnsi="Times New Roman" w:cs="Times New Roman"/>
          <w:sz w:val="24"/>
          <w:szCs w:val="24"/>
          <w:u w:val="single"/>
        </w:rPr>
        <w:t>Department’s Response</w:t>
      </w:r>
      <w:r w:rsidRPr="4C99B01F">
        <w:rPr>
          <w:rFonts w:ascii="Times New Roman" w:hAnsi="Times New Roman" w:cs="Times New Roman"/>
          <w:sz w:val="24"/>
          <w:szCs w:val="24"/>
        </w:rPr>
        <w:t xml:space="preserve">:  </w:t>
      </w:r>
      <w:r w:rsidRPr="4C99B01F">
        <w:rPr>
          <w:rFonts w:ascii="Times New Roman" w:eastAsia="Times New Roman" w:hAnsi="Times New Roman" w:cs="Times New Roman"/>
          <w:sz w:val="24"/>
          <w:szCs w:val="24"/>
        </w:rPr>
        <w:t xml:space="preserve">While we appreciated the commenter’s input, no changes have been made.  In this section and throughout the guide, we have generally only included the statutory requirements, which do not include reporting separately on nontraditional concentration by gender.  </w:t>
      </w:r>
      <w:r w:rsidR="006C4594">
        <w:rPr>
          <w:rFonts w:ascii="Times New Roman" w:eastAsia="Times New Roman" w:hAnsi="Times New Roman" w:cs="Times New Roman"/>
          <w:sz w:val="24"/>
          <w:szCs w:val="24"/>
        </w:rPr>
        <w:t>That said, w</w:t>
      </w:r>
      <w:r w:rsidRPr="4C99B01F">
        <w:rPr>
          <w:rFonts w:ascii="Times New Roman" w:eastAsia="Times New Roman" w:hAnsi="Times New Roman" w:cs="Times New Roman"/>
          <w:sz w:val="24"/>
          <w:szCs w:val="24"/>
        </w:rPr>
        <w:t>e encourage Stat</w:t>
      </w:r>
      <w:r w:rsidR="006C4594">
        <w:rPr>
          <w:rFonts w:ascii="Times New Roman" w:eastAsia="Times New Roman" w:hAnsi="Times New Roman" w:cs="Times New Roman"/>
          <w:sz w:val="24"/>
          <w:szCs w:val="24"/>
        </w:rPr>
        <w:t xml:space="preserve">es to review their disaggregated </w:t>
      </w:r>
      <w:r w:rsidRPr="4C99B01F">
        <w:rPr>
          <w:rFonts w:ascii="Times New Roman" w:eastAsia="Times New Roman" w:hAnsi="Times New Roman" w:cs="Times New Roman"/>
          <w:sz w:val="24"/>
          <w:szCs w:val="24"/>
        </w:rPr>
        <w:t xml:space="preserve">data by gender </w:t>
      </w:r>
      <w:r w:rsidR="006C4594">
        <w:rPr>
          <w:rFonts w:ascii="Times New Roman" w:eastAsia="Times New Roman" w:hAnsi="Times New Roman" w:cs="Times New Roman"/>
          <w:sz w:val="24"/>
          <w:szCs w:val="24"/>
        </w:rPr>
        <w:t>o</w:t>
      </w:r>
      <w:r w:rsidRPr="4C99B01F">
        <w:rPr>
          <w:rFonts w:ascii="Times New Roman" w:eastAsia="Times New Roman" w:hAnsi="Times New Roman" w:cs="Times New Roman"/>
          <w:sz w:val="24"/>
          <w:szCs w:val="24"/>
        </w:rPr>
        <w:t xml:space="preserve">n these measures and take action, as necessary, to address any gaps or disparities in performance </w:t>
      </w:r>
      <w:r w:rsidR="006C4594">
        <w:rPr>
          <w:rFonts w:ascii="Times New Roman" w:eastAsia="Times New Roman" w:hAnsi="Times New Roman" w:cs="Times New Roman"/>
          <w:sz w:val="24"/>
          <w:szCs w:val="24"/>
        </w:rPr>
        <w:t>for different subpopulations of</w:t>
      </w:r>
      <w:r w:rsidRPr="4C99B01F">
        <w:rPr>
          <w:rFonts w:ascii="Times New Roman" w:eastAsia="Times New Roman" w:hAnsi="Times New Roman" w:cs="Times New Roman"/>
          <w:sz w:val="24"/>
          <w:szCs w:val="24"/>
        </w:rPr>
        <w:t xml:space="preserve"> students.</w:t>
      </w:r>
    </w:p>
    <w:p w14:paraId="7194DBDC" w14:textId="77777777" w:rsidR="00075D61" w:rsidRDefault="00075D61" w:rsidP="00075D61">
      <w:pPr>
        <w:pStyle w:val="BodyText"/>
        <w:ind w:left="540" w:right="119"/>
        <w:rPr>
          <w:rFonts w:ascii="Times New Roman" w:hAnsi="Times New Roman" w:cs="Times New Roman"/>
          <w:sz w:val="24"/>
          <w:szCs w:val="24"/>
        </w:rPr>
      </w:pPr>
    </w:p>
    <w:p w14:paraId="42399FA5" w14:textId="77777777" w:rsidR="00700B25" w:rsidRPr="00921A2E" w:rsidRDefault="00700B25" w:rsidP="00700B25">
      <w:pPr>
        <w:spacing w:after="0" w:line="240" w:lineRule="auto"/>
        <w:rPr>
          <w:rFonts w:ascii="Times New Roman" w:hAnsi="Times New Roman"/>
          <w:sz w:val="24"/>
          <w:szCs w:val="24"/>
        </w:rPr>
      </w:pPr>
      <w:r w:rsidRPr="00921A2E">
        <w:rPr>
          <w:rFonts w:ascii="Times New Roman" w:hAnsi="Times New Roman"/>
          <w:sz w:val="24"/>
          <w:szCs w:val="24"/>
        </w:rPr>
        <w:t xml:space="preserve">One commenter </w:t>
      </w:r>
      <w:r>
        <w:rPr>
          <w:rFonts w:ascii="Times New Roman" w:hAnsi="Times New Roman"/>
          <w:sz w:val="24"/>
          <w:szCs w:val="24"/>
        </w:rPr>
        <w:t>noted that the nontraditional indicators, 4S1 and 3P1, could be interpreted in multiple ways.  They requested clarification on which students are to be counted and reported in these measures.</w:t>
      </w:r>
    </w:p>
    <w:p w14:paraId="769D0D3C" w14:textId="77777777" w:rsidR="00700B25" w:rsidRPr="00921A2E" w:rsidRDefault="00700B25" w:rsidP="00700B25">
      <w:pPr>
        <w:spacing w:after="0" w:line="240" w:lineRule="auto"/>
        <w:rPr>
          <w:rFonts w:ascii="Times New Roman" w:hAnsi="Times New Roman"/>
          <w:sz w:val="24"/>
          <w:szCs w:val="24"/>
        </w:rPr>
      </w:pPr>
    </w:p>
    <w:p w14:paraId="75724DA1" w14:textId="77777777" w:rsidR="00700B25" w:rsidRPr="00921A2E" w:rsidRDefault="00700B25" w:rsidP="00700B25">
      <w:pPr>
        <w:spacing w:after="0" w:line="240" w:lineRule="auto"/>
        <w:ind w:left="540"/>
        <w:rPr>
          <w:rFonts w:ascii="Times New Roman" w:hAnsi="Times New Roman"/>
          <w:sz w:val="24"/>
          <w:szCs w:val="24"/>
        </w:rPr>
      </w:pPr>
      <w:r w:rsidRPr="00884E29">
        <w:rPr>
          <w:rFonts w:ascii="Times New Roman" w:hAnsi="Times New Roman"/>
          <w:sz w:val="24"/>
          <w:szCs w:val="24"/>
          <w:u w:val="single"/>
        </w:rPr>
        <w:t>Department’s Response</w:t>
      </w:r>
      <w:r w:rsidRPr="00921A2E">
        <w:rPr>
          <w:rFonts w:ascii="Times New Roman" w:hAnsi="Times New Roman"/>
          <w:sz w:val="24"/>
          <w:szCs w:val="24"/>
        </w:rPr>
        <w:t xml:space="preserve">:  </w:t>
      </w:r>
      <w:r>
        <w:rPr>
          <w:rFonts w:ascii="Times New Roman" w:hAnsi="Times New Roman"/>
          <w:sz w:val="24"/>
          <w:szCs w:val="24"/>
        </w:rPr>
        <w:t>We appreciate the commenter’s request and have added a footnote on Table 3: Section 113(b) Core Indicators of Performance in Section IV: Performance Data Reports</w:t>
      </w:r>
      <w:r w:rsidR="00527733">
        <w:rPr>
          <w:rFonts w:ascii="Times New Roman" w:hAnsi="Times New Roman"/>
          <w:sz w:val="24"/>
          <w:szCs w:val="24"/>
        </w:rPr>
        <w:t>,</w:t>
      </w:r>
      <w:r>
        <w:rPr>
          <w:rFonts w:ascii="Times New Roman" w:hAnsi="Times New Roman"/>
          <w:sz w:val="24"/>
          <w:szCs w:val="24"/>
        </w:rPr>
        <w:t xml:space="preserve"> to clarify that, for the nontraditional indicators 4S1 and 3P1, “</w:t>
      </w:r>
      <w:r w:rsidRPr="00873A3E">
        <w:rPr>
          <w:rFonts w:ascii="Times New Roman" w:hAnsi="Times New Roman"/>
          <w:sz w:val="24"/>
          <w:szCs w:val="24"/>
        </w:rPr>
        <w:t>a student gets counted under this indicator if individuals from their gender comprise less than 25 percent of the individuals employed in the related occupation or field of work.”</w:t>
      </w:r>
    </w:p>
    <w:p w14:paraId="54CD245A" w14:textId="77777777" w:rsidR="00BD0C9D" w:rsidRDefault="00BD0C9D" w:rsidP="00C40E1F">
      <w:pPr>
        <w:pStyle w:val="BodyText"/>
        <w:ind w:right="119"/>
        <w:rPr>
          <w:rFonts w:ascii="Times New Roman" w:hAnsi="Times New Roman" w:cs="Times New Roman"/>
          <w:sz w:val="24"/>
          <w:szCs w:val="24"/>
        </w:rPr>
      </w:pPr>
    </w:p>
    <w:p w14:paraId="1FC9B41F" w14:textId="77777777" w:rsidR="00C40E1F" w:rsidRDefault="00C40E1F" w:rsidP="00C40E1F">
      <w:pPr>
        <w:pStyle w:val="BodyText"/>
        <w:ind w:right="119"/>
        <w:rPr>
          <w:rFonts w:ascii="Times New Roman" w:hAnsi="Times New Roman" w:cs="Times New Roman"/>
          <w:sz w:val="24"/>
          <w:szCs w:val="24"/>
        </w:rPr>
      </w:pPr>
      <w:r>
        <w:rPr>
          <w:rFonts w:ascii="Times New Roman" w:hAnsi="Times New Roman" w:cs="Times New Roman"/>
          <w:sz w:val="24"/>
          <w:szCs w:val="24"/>
        </w:rPr>
        <w:t xml:space="preserve">One commenter requested </w:t>
      </w:r>
      <w:r w:rsidR="008D6E00">
        <w:rPr>
          <w:rFonts w:ascii="Times New Roman" w:hAnsi="Times New Roman" w:cs="Times New Roman"/>
          <w:sz w:val="24"/>
          <w:szCs w:val="24"/>
        </w:rPr>
        <w:t>concern about</w:t>
      </w:r>
      <w:r>
        <w:rPr>
          <w:rFonts w:ascii="Times New Roman" w:hAnsi="Times New Roman" w:cs="Times New Roman"/>
          <w:sz w:val="24"/>
          <w:szCs w:val="24"/>
        </w:rPr>
        <w:t xml:space="preserve"> the requirement in Item B.3 for eligible agencies to identify and quantify disparities or gaps in performance between any disaggregated category of students and all CTE concentrators served by the eligible agency under the Act.  The commenter </w:t>
      </w:r>
      <w:r w:rsidR="008D6E00">
        <w:rPr>
          <w:rFonts w:ascii="Times New Roman" w:hAnsi="Times New Roman" w:cs="Times New Roman"/>
          <w:sz w:val="24"/>
          <w:szCs w:val="24"/>
        </w:rPr>
        <w:t>indicated</w:t>
      </w:r>
      <w:r>
        <w:rPr>
          <w:rFonts w:ascii="Times New Roman" w:hAnsi="Times New Roman" w:cs="Times New Roman"/>
          <w:sz w:val="24"/>
          <w:szCs w:val="24"/>
        </w:rPr>
        <w:t xml:space="preserve"> that small cell sizes may require them to suppress data and, thus, be unable to identify and quantify disparities and gaps.  </w:t>
      </w:r>
    </w:p>
    <w:p w14:paraId="1231BE67" w14:textId="77777777" w:rsidR="008D6E00" w:rsidRDefault="008D6E00" w:rsidP="00C40E1F">
      <w:pPr>
        <w:pStyle w:val="BodyText"/>
        <w:ind w:right="119"/>
        <w:rPr>
          <w:rFonts w:ascii="Times New Roman" w:hAnsi="Times New Roman" w:cs="Times New Roman"/>
          <w:sz w:val="24"/>
          <w:szCs w:val="24"/>
        </w:rPr>
      </w:pPr>
    </w:p>
    <w:p w14:paraId="1A6F9BF8" w14:textId="77777777" w:rsidR="00C40E1F" w:rsidRPr="00C40E1F" w:rsidRDefault="00C40E1F" w:rsidP="008D6E00">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xml:space="preserve">:  </w:t>
      </w:r>
      <w:r w:rsidR="008D6E00">
        <w:rPr>
          <w:rFonts w:ascii="Times New Roman" w:hAnsi="Times New Roman" w:cs="Times New Roman"/>
          <w:sz w:val="24"/>
          <w:szCs w:val="24"/>
        </w:rPr>
        <w:t>W</w:t>
      </w:r>
      <w:r>
        <w:rPr>
          <w:rFonts w:ascii="Times New Roman" w:hAnsi="Times New Roman" w:cs="Times New Roman"/>
          <w:sz w:val="24"/>
          <w:szCs w:val="24"/>
        </w:rPr>
        <w:t>e appreciate the commenter’s input</w:t>
      </w:r>
      <w:r w:rsidR="008D6E00">
        <w:rPr>
          <w:rFonts w:ascii="Times New Roman" w:hAnsi="Times New Roman" w:cs="Times New Roman"/>
          <w:sz w:val="24"/>
          <w:szCs w:val="24"/>
        </w:rPr>
        <w:t xml:space="preserve"> and acknowledge that eligible agencies may not always have sufficient data to identify and quantify disparities and gaps in performance of subgroups due to small cell sizes.</w:t>
      </w:r>
    </w:p>
    <w:p w14:paraId="36FEB5B0" w14:textId="77777777" w:rsidR="006A62B4" w:rsidRDefault="006A62B4" w:rsidP="006A62B4">
      <w:pPr>
        <w:pStyle w:val="BodyText"/>
        <w:ind w:right="119"/>
        <w:rPr>
          <w:rFonts w:ascii="Times New Roman" w:hAnsi="Times New Roman" w:cs="Times New Roman"/>
          <w:sz w:val="24"/>
          <w:szCs w:val="24"/>
        </w:rPr>
      </w:pPr>
    </w:p>
    <w:p w14:paraId="30A9886C" w14:textId="77777777" w:rsidR="006A62B4" w:rsidRDefault="006A62B4" w:rsidP="006A62B4">
      <w:pPr>
        <w:spacing w:after="0" w:line="240" w:lineRule="auto"/>
        <w:rPr>
          <w:rFonts w:ascii="Times New Roman" w:hAnsi="Times New Roman"/>
          <w:sz w:val="24"/>
          <w:szCs w:val="24"/>
        </w:rPr>
      </w:pPr>
      <w:r>
        <w:rPr>
          <w:rFonts w:ascii="Times New Roman" w:hAnsi="Times New Roman"/>
          <w:sz w:val="24"/>
          <w:szCs w:val="24"/>
        </w:rPr>
        <w:t>One commenter noted that “</w:t>
      </w:r>
      <w:r w:rsidRPr="000733F4">
        <w:rPr>
          <w:rFonts w:ascii="Times New Roman" w:hAnsi="Times New Roman"/>
          <w:sz w:val="24"/>
          <w:szCs w:val="24"/>
        </w:rPr>
        <w:t>For both secondary and postsecondary, the performance indicator measuring "placement" [Sec 113(b)(2)(iii) requires a waiting period of "second quarter after exiting..."]. Since most students exit in the spring the December reporting period would not be after 6 months of the exit thus requiring that reporting for all placement options, including continuing higher education or advanced training, would lag by an entire year causing difficulties in identifying placement problems and implementing strategies to remedy these problems. The additional restriction of "second quarter after exiting" also creates a different numerator number for this performance indicator from all other performance indicators decreasing comparative analysis.</w:t>
      </w:r>
    </w:p>
    <w:p w14:paraId="30D7AA69" w14:textId="77777777" w:rsidR="006A62B4" w:rsidRDefault="006A62B4" w:rsidP="006A62B4">
      <w:pPr>
        <w:spacing w:after="0" w:line="240" w:lineRule="auto"/>
        <w:rPr>
          <w:rFonts w:ascii="Times New Roman" w:hAnsi="Times New Roman"/>
          <w:sz w:val="24"/>
          <w:szCs w:val="24"/>
        </w:rPr>
      </w:pPr>
    </w:p>
    <w:p w14:paraId="61B20BE2" w14:textId="77777777" w:rsidR="00EE7F53" w:rsidRDefault="006A62B4" w:rsidP="006A62B4">
      <w:pPr>
        <w:spacing w:after="0" w:line="240" w:lineRule="auto"/>
        <w:ind w:left="540"/>
        <w:rPr>
          <w:rFonts w:ascii="Times New Roman" w:hAnsi="Times New Roman"/>
          <w:sz w:val="24"/>
          <w:szCs w:val="24"/>
        </w:rPr>
      </w:pPr>
      <w:r>
        <w:rPr>
          <w:rFonts w:ascii="Times New Roman" w:hAnsi="Times New Roman"/>
          <w:sz w:val="24"/>
          <w:szCs w:val="24"/>
          <w:u w:val="single"/>
        </w:rPr>
        <w:t>Department’s Response</w:t>
      </w:r>
      <w:r>
        <w:rPr>
          <w:rFonts w:ascii="Times New Roman" w:hAnsi="Times New Roman"/>
          <w:sz w:val="24"/>
          <w:szCs w:val="24"/>
        </w:rPr>
        <w:t xml:space="preserve">:  </w:t>
      </w:r>
      <w:r w:rsidR="00EE7F53">
        <w:rPr>
          <w:rFonts w:ascii="Times New Roman" w:hAnsi="Times New Roman"/>
          <w:sz w:val="24"/>
          <w:szCs w:val="24"/>
        </w:rPr>
        <w:t>W</w:t>
      </w:r>
      <w:r>
        <w:rPr>
          <w:rFonts w:ascii="Times New Roman" w:hAnsi="Times New Roman"/>
          <w:sz w:val="24"/>
          <w:szCs w:val="24"/>
        </w:rPr>
        <w:t xml:space="preserve">e appreciate the commenter’s input and acknowledge that the statutory requirements for the section 113(b) core indicators of Perkins V may require lag time for the reporting data on </w:t>
      </w:r>
      <w:r w:rsidR="00EE7F53">
        <w:rPr>
          <w:rFonts w:ascii="Times New Roman" w:hAnsi="Times New Roman"/>
          <w:sz w:val="24"/>
          <w:szCs w:val="24"/>
        </w:rPr>
        <w:t>the placement</w:t>
      </w:r>
      <w:r>
        <w:rPr>
          <w:rFonts w:ascii="Times New Roman" w:hAnsi="Times New Roman"/>
          <w:sz w:val="24"/>
          <w:szCs w:val="24"/>
        </w:rPr>
        <w:t xml:space="preserve"> indicators.</w:t>
      </w:r>
    </w:p>
    <w:p w14:paraId="7196D064" w14:textId="77777777" w:rsidR="00EE7F53" w:rsidRDefault="00EE7F53" w:rsidP="00EE7F53">
      <w:pPr>
        <w:spacing w:after="0" w:line="240" w:lineRule="auto"/>
        <w:rPr>
          <w:rFonts w:ascii="Times New Roman" w:hAnsi="Times New Roman"/>
          <w:sz w:val="24"/>
          <w:szCs w:val="24"/>
        </w:rPr>
      </w:pPr>
    </w:p>
    <w:p w14:paraId="27C34BEF" w14:textId="77777777" w:rsidR="00EE7F53" w:rsidRPr="000733F4" w:rsidRDefault="00EE7F53" w:rsidP="00EE7F53">
      <w:pPr>
        <w:spacing w:after="0" w:line="240" w:lineRule="auto"/>
        <w:rPr>
          <w:rFonts w:ascii="Times New Roman" w:hAnsi="Times New Roman"/>
          <w:sz w:val="24"/>
          <w:szCs w:val="24"/>
        </w:rPr>
      </w:pPr>
      <w:r>
        <w:rPr>
          <w:rFonts w:ascii="Times New Roman" w:hAnsi="Times New Roman"/>
          <w:sz w:val="24"/>
          <w:szCs w:val="24"/>
        </w:rPr>
        <w:t>One commenter recommended removal of the restriction for “professional d</w:t>
      </w:r>
      <w:r w:rsidRPr="000733F4">
        <w:rPr>
          <w:rFonts w:ascii="Times New Roman" w:hAnsi="Times New Roman"/>
          <w:sz w:val="24"/>
          <w:szCs w:val="24"/>
        </w:rPr>
        <w:t>evelopment</w:t>
      </w:r>
      <w:r w:rsidR="009F5E34">
        <w:rPr>
          <w:rFonts w:ascii="Times New Roman" w:hAnsi="Times New Roman"/>
          <w:sz w:val="24"/>
          <w:szCs w:val="24"/>
        </w:rPr>
        <w:t>” in section 3(40) of Perkins V to be “</w:t>
      </w:r>
      <w:r w:rsidRPr="000733F4">
        <w:rPr>
          <w:rFonts w:ascii="Times New Roman" w:hAnsi="Times New Roman"/>
          <w:sz w:val="24"/>
          <w:szCs w:val="24"/>
        </w:rPr>
        <w:t xml:space="preserve">sustained (not stand-alone, 1-day, or short-term workshops)...." The </w:t>
      </w:r>
      <w:r w:rsidR="009F5E34">
        <w:rPr>
          <w:rFonts w:ascii="Times New Roman" w:hAnsi="Times New Roman"/>
          <w:sz w:val="24"/>
          <w:szCs w:val="24"/>
        </w:rPr>
        <w:t xml:space="preserve">commenter indicated that “the </w:t>
      </w:r>
      <w:r w:rsidRPr="000733F4">
        <w:rPr>
          <w:rFonts w:ascii="Times New Roman" w:hAnsi="Times New Roman"/>
          <w:sz w:val="24"/>
          <w:szCs w:val="24"/>
        </w:rPr>
        <w:t>assumption appears to be that one-day activities are not intensive, collaborative, etc., but requiring two-day or more commitment from educators creates difficulties regarding release time, substitutes, expenditures for overnight lodging/per</w:t>
      </w:r>
      <w:r w:rsidR="009F5E34">
        <w:rPr>
          <w:rFonts w:ascii="Times New Roman" w:hAnsi="Times New Roman"/>
          <w:sz w:val="24"/>
          <w:szCs w:val="24"/>
        </w:rPr>
        <w:t xml:space="preserve"> </w:t>
      </w:r>
      <w:r w:rsidRPr="000733F4">
        <w:rPr>
          <w:rFonts w:ascii="Times New Roman" w:hAnsi="Times New Roman"/>
          <w:sz w:val="24"/>
          <w:szCs w:val="24"/>
        </w:rPr>
        <w:t>diem, and interrupt</w:t>
      </w:r>
      <w:r w:rsidR="009F5E34">
        <w:rPr>
          <w:rFonts w:ascii="Times New Roman" w:hAnsi="Times New Roman"/>
          <w:sz w:val="24"/>
          <w:szCs w:val="24"/>
        </w:rPr>
        <w:t>ion of classroom learning time.”</w:t>
      </w:r>
    </w:p>
    <w:p w14:paraId="34FF1C98" w14:textId="77777777" w:rsidR="00EE7F53" w:rsidRDefault="00EE7F53" w:rsidP="00EE7F53">
      <w:pPr>
        <w:spacing w:after="0" w:line="240" w:lineRule="auto"/>
        <w:rPr>
          <w:rFonts w:ascii="Times New Roman" w:hAnsi="Times New Roman"/>
          <w:sz w:val="24"/>
          <w:szCs w:val="24"/>
        </w:rPr>
      </w:pPr>
    </w:p>
    <w:p w14:paraId="64E8963F" w14:textId="77777777" w:rsidR="00BE71D2" w:rsidRDefault="009F5E34" w:rsidP="009F5E34">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xml:space="preserve">:  While we appreciate the commenter’s input, no changes have been made.  In this section and throughout the guide, we have generally included only </w:t>
      </w:r>
      <w:r w:rsidR="00BE71D2">
        <w:rPr>
          <w:rFonts w:ascii="Times New Roman" w:hAnsi="Times New Roman" w:cs="Times New Roman"/>
          <w:sz w:val="24"/>
          <w:szCs w:val="24"/>
        </w:rPr>
        <w:t xml:space="preserve">statutory requirements and verbatim language </w:t>
      </w:r>
      <w:r>
        <w:rPr>
          <w:rFonts w:ascii="Times New Roman" w:hAnsi="Times New Roman" w:cs="Times New Roman"/>
          <w:sz w:val="24"/>
          <w:szCs w:val="24"/>
        </w:rPr>
        <w:t>of Perkins V</w:t>
      </w:r>
      <w:r w:rsidR="00BE71D2">
        <w:rPr>
          <w:rFonts w:ascii="Times New Roman" w:hAnsi="Times New Roman" w:cs="Times New Roman"/>
          <w:sz w:val="24"/>
          <w:szCs w:val="24"/>
        </w:rPr>
        <w:t>, which includes the wording in the parentheticals that profession</w:t>
      </w:r>
      <w:r w:rsidR="003445E5">
        <w:rPr>
          <w:rFonts w:ascii="Times New Roman" w:hAnsi="Times New Roman" w:cs="Times New Roman"/>
          <w:sz w:val="24"/>
          <w:szCs w:val="24"/>
        </w:rPr>
        <w:t>al</w:t>
      </w:r>
      <w:r w:rsidR="00BE71D2">
        <w:rPr>
          <w:rFonts w:ascii="Times New Roman" w:hAnsi="Times New Roman" w:cs="Times New Roman"/>
          <w:sz w:val="24"/>
          <w:szCs w:val="24"/>
        </w:rPr>
        <w:t xml:space="preserve"> development not be stand-alone, 1 day, or short-term workshops</w:t>
      </w:r>
      <w:r w:rsidR="002B30C7">
        <w:rPr>
          <w:rFonts w:ascii="Times New Roman" w:hAnsi="Times New Roman" w:cs="Times New Roman"/>
          <w:sz w:val="24"/>
          <w:szCs w:val="24"/>
        </w:rPr>
        <w:t xml:space="preserve"> under section 3(40)</w:t>
      </w:r>
      <w:r w:rsidR="008F14DD">
        <w:rPr>
          <w:rFonts w:ascii="Times New Roman" w:hAnsi="Times New Roman" w:cs="Times New Roman"/>
          <w:sz w:val="24"/>
          <w:szCs w:val="24"/>
        </w:rPr>
        <w:t>(B)</w:t>
      </w:r>
      <w:r w:rsidR="002B30C7">
        <w:rPr>
          <w:rFonts w:ascii="Times New Roman" w:hAnsi="Times New Roman" w:cs="Times New Roman"/>
          <w:sz w:val="24"/>
          <w:szCs w:val="24"/>
        </w:rPr>
        <w:t xml:space="preserve"> of Perkins V</w:t>
      </w:r>
      <w:r w:rsidR="00BE71D2">
        <w:rPr>
          <w:rFonts w:ascii="Times New Roman" w:hAnsi="Times New Roman" w:cs="Times New Roman"/>
          <w:sz w:val="24"/>
          <w:szCs w:val="24"/>
        </w:rPr>
        <w:t>.</w:t>
      </w:r>
    </w:p>
    <w:p w14:paraId="6D072C0D" w14:textId="77777777" w:rsidR="00BE71D2" w:rsidRDefault="00BE71D2" w:rsidP="009F5E34">
      <w:pPr>
        <w:pStyle w:val="BodyText"/>
        <w:ind w:left="540" w:right="119"/>
        <w:rPr>
          <w:rFonts w:ascii="Times New Roman" w:hAnsi="Times New Roman" w:cs="Times New Roman"/>
          <w:sz w:val="24"/>
          <w:szCs w:val="24"/>
        </w:rPr>
      </w:pPr>
    </w:p>
    <w:p w14:paraId="75C29E75" w14:textId="77777777" w:rsidR="00F671AC" w:rsidRDefault="00F671AC" w:rsidP="00BE71D2">
      <w:pPr>
        <w:pStyle w:val="BodyText"/>
        <w:ind w:right="119"/>
        <w:rPr>
          <w:rFonts w:ascii="Times New Roman" w:hAnsi="Times New Roman" w:cs="Times New Roman"/>
          <w:sz w:val="24"/>
          <w:szCs w:val="24"/>
        </w:rPr>
      </w:pPr>
      <w:r>
        <w:rPr>
          <w:rFonts w:ascii="Times New Roman" w:hAnsi="Times New Roman" w:cs="Times New Roman"/>
          <w:sz w:val="24"/>
          <w:szCs w:val="24"/>
        </w:rPr>
        <w:t>One commenter requested that the Department add the category “unknown” or “not identified” as a ge</w:t>
      </w:r>
      <w:r w:rsidR="003030AB">
        <w:rPr>
          <w:rFonts w:ascii="Times New Roman" w:hAnsi="Times New Roman" w:cs="Times New Roman"/>
          <w:sz w:val="24"/>
          <w:szCs w:val="24"/>
        </w:rPr>
        <w:t>nder option for students who do not</w:t>
      </w:r>
      <w:r>
        <w:rPr>
          <w:rFonts w:ascii="Times New Roman" w:hAnsi="Times New Roman" w:cs="Times New Roman"/>
          <w:sz w:val="24"/>
          <w:szCs w:val="24"/>
        </w:rPr>
        <w:t xml:space="preserve"> identify as male or female.</w:t>
      </w:r>
    </w:p>
    <w:p w14:paraId="48A21919" w14:textId="77777777" w:rsidR="00F671AC" w:rsidRDefault="00F671AC" w:rsidP="00BE71D2">
      <w:pPr>
        <w:pStyle w:val="BodyText"/>
        <w:ind w:right="119"/>
        <w:rPr>
          <w:rFonts w:ascii="Times New Roman" w:hAnsi="Times New Roman" w:cs="Times New Roman"/>
          <w:sz w:val="24"/>
          <w:szCs w:val="24"/>
        </w:rPr>
      </w:pPr>
    </w:p>
    <w:p w14:paraId="3F3DCF50" w14:textId="77777777" w:rsidR="001C69E2" w:rsidRPr="006051E7" w:rsidRDefault="00F671AC" w:rsidP="001C69E2">
      <w:pPr>
        <w:spacing w:after="0" w:line="240" w:lineRule="auto"/>
        <w:ind w:left="547"/>
        <w:rPr>
          <w:rFonts w:ascii="Times New Roman" w:hAnsi="Times New Roman"/>
          <w:color w:val="000000"/>
          <w:sz w:val="24"/>
          <w:szCs w:val="24"/>
        </w:rPr>
      </w:pPr>
      <w:r w:rsidRPr="001C69E2">
        <w:rPr>
          <w:rFonts w:ascii="Times New Roman" w:hAnsi="Times New Roman"/>
          <w:sz w:val="24"/>
          <w:szCs w:val="24"/>
          <w:u w:val="single"/>
        </w:rPr>
        <w:t>Department’s Response</w:t>
      </w:r>
      <w:r w:rsidRPr="001C69E2">
        <w:rPr>
          <w:rFonts w:ascii="Times New Roman" w:hAnsi="Times New Roman"/>
          <w:sz w:val="24"/>
          <w:szCs w:val="24"/>
        </w:rPr>
        <w:t xml:space="preserve">:  </w:t>
      </w:r>
      <w:r w:rsidR="001C69E2" w:rsidRPr="001C69E2">
        <w:rPr>
          <w:rFonts w:ascii="Times New Roman" w:hAnsi="Times New Roman"/>
          <w:sz w:val="24"/>
          <w:szCs w:val="24"/>
        </w:rPr>
        <w:t>W</w:t>
      </w:r>
      <w:r w:rsidR="00E26D1D">
        <w:rPr>
          <w:rFonts w:ascii="Times New Roman" w:hAnsi="Times New Roman"/>
          <w:sz w:val="24"/>
          <w:szCs w:val="24"/>
        </w:rPr>
        <w:t>hile w</w:t>
      </w:r>
      <w:r w:rsidRPr="001C69E2">
        <w:rPr>
          <w:rFonts w:ascii="Times New Roman" w:hAnsi="Times New Roman"/>
          <w:sz w:val="24"/>
          <w:szCs w:val="24"/>
        </w:rPr>
        <w:t>e appreciate the commenter’s input</w:t>
      </w:r>
      <w:r w:rsidR="00E26D1D">
        <w:rPr>
          <w:rFonts w:ascii="Times New Roman" w:hAnsi="Times New Roman"/>
          <w:sz w:val="24"/>
          <w:szCs w:val="24"/>
        </w:rPr>
        <w:t xml:space="preserve">, no changes have been made.  </w:t>
      </w:r>
      <w:r w:rsidR="006051E7">
        <w:rPr>
          <w:rFonts w:ascii="Times New Roman" w:hAnsi="Times New Roman"/>
          <w:sz w:val="24"/>
          <w:szCs w:val="24"/>
        </w:rPr>
        <w:t>According to the</w:t>
      </w:r>
      <w:r w:rsidR="00E26D1D" w:rsidRPr="00E26D1D">
        <w:rPr>
          <w:rFonts w:ascii="Times New Roman" w:hAnsi="Times New Roman"/>
          <w:sz w:val="24"/>
          <w:szCs w:val="24"/>
        </w:rPr>
        <w:t xml:space="preserve"> current Department </w:t>
      </w:r>
      <w:r w:rsidR="006051E7">
        <w:rPr>
          <w:rFonts w:ascii="Times New Roman" w:hAnsi="Times New Roman"/>
          <w:sz w:val="24"/>
          <w:szCs w:val="24"/>
        </w:rPr>
        <w:t xml:space="preserve">specifications </w:t>
      </w:r>
      <w:r w:rsidR="00E26D1D" w:rsidRPr="00E26D1D">
        <w:rPr>
          <w:rFonts w:ascii="Times New Roman" w:hAnsi="Times New Roman"/>
          <w:sz w:val="24"/>
          <w:szCs w:val="24"/>
        </w:rPr>
        <w:t>for reporting</w:t>
      </w:r>
      <w:r w:rsidR="006051E7">
        <w:rPr>
          <w:rFonts w:ascii="Times New Roman" w:hAnsi="Times New Roman"/>
          <w:sz w:val="24"/>
          <w:szCs w:val="24"/>
        </w:rPr>
        <w:t xml:space="preserve"> data through</w:t>
      </w:r>
      <w:r w:rsidR="00E26D1D" w:rsidRPr="00E26D1D">
        <w:rPr>
          <w:rFonts w:ascii="Times New Roman" w:hAnsi="Times New Roman"/>
          <w:sz w:val="24"/>
          <w:szCs w:val="24"/>
        </w:rPr>
        <w:t xml:space="preserve"> ED</w:t>
      </w:r>
      <w:r w:rsidR="006051E7">
        <w:rPr>
          <w:rFonts w:ascii="Times New Roman" w:hAnsi="Times New Roman"/>
          <w:i/>
          <w:iCs/>
          <w:sz w:val="24"/>
          <w:szCs w:val="24"/>
        </w:rPr>
        <w:t xml:space="preserve">Facts, </w:t>
      </w:r>
      <w:r w:rsidR="00E26D1D" w:rsidRPr="00E26D1D">
        <w:rPr>
          <w:rFonts w:ascii="Times New Roman" w:hAnsi="Times New Roman"/>
          <w:sz w:val="24"/>
          <w:szCs w:val="24"/>
        </w:rPr>
        <w:t>the attribute “sex” is based on the biological traits that distinguish male and female.</w:t>
      </w:r>
      <w:r w:rsidR="00E26D1D">
        <w:t xml:space="preserve"> </w:t>
      </w:r>
      <w:r w:rsidR="00E26D1D">
        <w:rPr>
          <w:rFonts w:ascii="Times New Roman" w:hAnsi="Times New Roman"/>
          <w:sz w:val="24"/>
          <w:szCs w:val="24"/>
        </w:rPr>
        <w:t xml:space="preserve"> </w:t>
      </w:r>
      <w:r w:rsidR="006051E7">
        <w:rPr>
          <w:rFonts w:ascii="Times New Roman" w:hAnsi="Times New Roman"/>
          <w:sz w:val="24"/>
          <w:szCs w:val="24"/>
        </w:rPr>
        <w:t>However, the ED</w:t>
      </w:r>
      <w:r w:rsidR="006051E7">
        <w:rPr>
          <w:rFonts w:ascii="Times New Roman" w:hAnsi="Times New Roman"/>
          <w:i/>
          <w:sz w:val="24"/>
          <w:szCs w:val="24"/>
        </w:rPr>
        <w:t>Facts</w:t>
      </w:r>
      <w:r w:rsidR="006051E7">
        <w:rPr>
          <w:rFonts w:ascii="Times New Roman" w:hAnsi="Times New Roman"/>
          <w:sz w:val="24"/>
          <w:szCs w:val="24"/>
        </w:rPr>
        <w:t xml:space="preserve"> collection now undergoing OMB clearance asks respondents for input on the sufficiency of collecting data only by male and female.  Should the Department change its Ed</w:t>
      </w:r>
      <w:r w:rsidR="006051E7">
        <w:rPr>
          <w:rFonts w:ascii="Times New Roman" w:hAnsi="Times New Roman"/>
          <w:i/>
          <w:sz w:val="24"/>
          <w:szCs w:val="24"/>
        </w:rPr>
        <w:t>Facts</w:t>
      </w:r>
      <w:r w:rsidR="006051E7">
        <w:rPr>
          <w:rFonts w:ascii="Times New Roman" w:hAnsi="Times New Roman"/>
          <w:sz w:val="24"/>
          <w:szCs w:val="24"/>
        </w:rPr>
        <w:t xml:space="preserve"> specifications based on the comments it receives, our office will submit a revised information collection request to make corresponding changes to this CAR data collection.</w:t>
      </w:r>
    </w:p>
    <w:p w14:paraId="6BD18F9B" w14:textId="77777777" w:rsidR="00F671AC" w:rsidRDefault="00F671AC" w:rsidP="00F671AC">
      <w:pPr>
        <w:pStyle w:val="BodyText"/>
        <w:ind w:left="540" w:right="119"/>
        <w:rPr>
          <w:rFonts w:ascii="Times New Roman" w:hAnsi="Times New Roman" w:cs="Times New Roman"/>
          <w:b/>
          <w:sz w:val="24"/>
          <w:szCs w:val="24"/>
        </w:rPr>
      </w:pPr>
    </w:p>
    <w:p w14:paraId="7FC813F5" w14:textId="77777777" w:rsidR="00F671AC" w:rsidRDefault="00552140" w:rsidP="00F671AC">
      <w:pPr>
        <w:pStyle w:val="BodyText"/>
        <w:ind w:right="119"/>
        <w:rPr>
          <w:rFonts w:ascii="Times New Roman" w:hAnsi="Times New Roman" w:cs="Times New Roman"/>
          <w:sz w:val="24"/>
          <w:szCs w:val="24"/>
        </w:rPr>
      </w:pPr>
      <w:r>
        <w:rPr>
          <w:rFonts w:ascii="Times New Roman" w:hAnsi="Times New Roman" w:cs="Times New Roman"/>
          <w:sz w:val="24"/>
          <w:szCs w:val="24"/>
        </w:rPr>
        <w:t xml:space="preserve">One commenter expressed concern that no data source exists for placement in the military as </w:t>
      </w:r>
      <w:r w:rsidR="00AD4A8B">
        <w:rPr>
          <w:rFonts w:ascii="Times New Roman" w:hAnsi="Times New Roman" w:cs="Times New Roman"/>
          <w:sz w:val="24"/>
          <w:szCs w:val="24"/>
        </w:rPr>
        <w:t>Federal Employment Data Exchange System (FEDES)</w:t>
      </w:r>
      <w:r>
        <w:rPr>
          <w:rFonts w:ascii="Times New Roman" w:hAnsi="Times New Roman" w:cs="Times New Roman"/>
          <w:sz w:val="24"/>
          <w:szCs w:val="24"/>
        </w:rPr>
        <w:t xml:space="preserve"> is on hold until further notice.</w:t>
      </w:r>
    </w:p>
    <w:p w14:paraId="238601FE" w14:textId="77777777" w:rsidR="009F5E34" w:rsidRDefault="009F5E34" w:rsidP="00BE71D2">
      <w:pPr>
        <w:pStyle w:val="BodyText"/>
        <w:ind w:right="119"/>
        <w:rPr>
          <w:rFonts w:ascii="Times New Roman" w:hAnsi="Times New Roman" w:cs="Times New Roman"/>
          <w:sz w:val="24"/>
          <w:szCs w:val="24"/>
        </w:rPr>
      </w:pPr>
    </w:p>
    <w:p w14:paraId="3CFA1EEF" w14:textId="77777777" w:rsidR="00AD4A8B" w:rsidRDefault="00AD4A8B" w:rsidP="00AD4A8B">
      <w:pPr>
        <w:spacing w:after="0" w:line="240" w:lineRule="auto"/>
        <w:ind w:left="540"/>
        <w:rPr>
          <w:rFonts w:ascii="Times New Roman" w:hAnsi="Times New Roman"/>
          <w:sz w:val="24"/>
          <w:szCs w:val="24"/>
        </w:rPr>
      </w:pPr>
      <w:r>
        <w:rPr>
          <w:rFonts w:ascii="Times New Roman" w:hAnsi="Times New Roman"/>
          <w:sz w:val="24"/>
          <w:szCs w:val="24"/>
          <w:u w:val="single"/>
        </w:rPr>
        <w:t>Department’s Response</w:t>
      </w:r>
      <w:r>
        <w:rPr>
          <w:rFonts w:ascii="Times New Roman" w:hAnsi="Times New Roman"/>
          <w:sz w:val="24"/>
          <w:szCs w:val="24"/>
        </w:rPr>
        <w:t>:  We appreciate the commenter’s input and acknowledge that eligible agencies may need to rely on other sources of data, including survey data, to gather data on placement in the military until FEDES or another data source becomes available.</w:t>
      </w:r>
    </w:p>
    <w:p w14:paraId="0F3CABC7" w14:textId="77777777" w:rsidR="00AD4A8B" w:rsidRDefault="00AD4A8B" w:rsidP="00AD4A8B">
      <w:pPr>
        <w:spacing w:after="0" w:line="240" w:lineRule="auto"/>
        <w:rPr>
          <w:rFonts w:ascii="Times New Roman" w:hAnsi="Times New Roman"/>
          <w:sz w:val="24"/>
          <w:szCs w:val="24"/>
        </w:rPr>
      </w:pPr>
    </w:p>
    <w:p w14:paraId="257F28C1" w14:textId="77777777" w:rsidR="007A79C1" w:rsidRDefault="007A79C1" w:rsidP="006A62B4">
      <w:pPr>
        <w:pStyle w:val="BodyText"/>
        <w:ind w:right="119"/>
        <w:rPr>
          <w:rFonts w:ascii="Times New Roman" w:hAnsi="Times New Roman" w:cs="Times New Roman"/>
          <w:sz w:val="24"/>
          <w:szCs w:val="24"/>
        </w:rPr>
      </w:pPr>
      <w:r>
        <w:rPr>
          <w:rFonts w:ascii="Times New Roman" w:hAnsi="Times New Roman" w:cs="Times New Roman"/>
          <w:sz w:val="24"/>
          <w:szCs w:val="24"/>
        </w:rPr>
        <w:t xml:space="preserve">One commenter requested that </w:t>
      </w:r>
      <w:r w:rsidR="00BD0C9D">
        <w:rPr>
          <w:rFonts w:ascii="Times New Roman" w:hAnsi="Times New Roman" w:cs="Times New Roman"/>
          <w:sz w:val="24"/>
          <w:szCs w:val="24"/>
        </w:rPr>
        <w:t>additional fields</w:t>
      </w:r>
      <w:r>
        <w:rPr>
          <w:rFonts w:ascii="Times New Roman" w:hAnsi="Times New Roman" w:cs="Times New Roman"/>
          <w:sz w:val="24"/>
          <w:szCs w:val="24"/>
        </w:rPr>
        <w:t xml:space="preserve"> be made available for eligible </w:t>
      </w:r>
      <w:r w:rsidR="00BD0C9D">
        <w:rPr>
          <w:rFonts w:ascii="Times New Roman" w:hAnsi="Times New Roman" w:cs="Times New Roman"/>
          <w:sz w:val="24"/>
          <w:szCs w:val="24"/>
        </w:rPr>
        <w:t xml:space="preserve">agencies to report on custom clusters </w:t>
      </w:r>
      <w:r>
        <w:rPr>
          <w:rFonts w:ascii="Times New Roman" w:hAnsi="Times New Roman" w:cs="Times New Roman"/>
          <w:sz w:val="24"/>
          <w:szCs w:val="24"/>
        </w:rPr>
        <w:t>for their State.</w:t>
      </w:r>
    </w:p>
    <w:p w14:paraId="5B08B5D1" w14:textId="77777777" w:rsidR="007A79C1" w:rsidRDefault="007A79C1" w:rsidP="006A62B4">
      <w:pPr>
        <w:pStyle w:val="BodyText"/>
        <w:ind w:right="119"/>
        <w:rPr>
          <w:rFonts w:ascii="Times New Roman" w:hAnsi="Times New Roman" w:cs="Times New Roman"/>
          <w:sz w:val="24"/>
          <w:szCs w:val="24"/>
        </w:rPr>
      </w:pPr>
    </w:p>
    <w:p w14:paraId="1689523B" w14:textId="77777777" w:rsidR="007A79C1" w:rsidRDefault="007A79C1" w:rsidP="004A2606">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We appreciate the commenter’s request and have added additional fields for “other” career clusters on the Performance Data Forms in Section IV.B</w:t>
      </w:r>
      <w:r w:rsidR="00225097">
        <w:rPr>
          <w:rFonts w:ascii="Times New Roman" w:hAnsi="Times New Roman" w:cs="Times New Roman"/>
          <w:sz w:val="24"/>
          <w:szCs w:val="24"/>
        </w:rPr>
        <w:t>: Performance Data Reports</w:t>
      </w:r>
      <w:r>
        <w:rPr>
          <w:rFonts w:ascii="Times New Roman" w:hAnsi="Times New Roman" w:cs="Times New Roman"/>
          <w:sz w:val="24"/>
          <w:szCs w:val="24"/>
        </w:rPr>
        <w:t>.</w:t>
      </w:r>
    </w:p>
    <w:p w14:paraId="16DEB4AB" w14:textId="77777777" w:rsidR="00765458" w:rsidRDefault="00765458" w:rsidP="004A2606">
      <w:pPr>
        <w:pStyle w:val="BodyText"/>
        <w:ind w:left="540" w:right="119"/>
        <w:rPr>
          <w:rFonts w:ascii="Times New Roman" w:hAnsi="Times New Roman" w:cs="Times New Roman"/>
          <w:sz w:val="24"/>
          <w:szCs w:val="24"/>
        </w:rPr>
      </w:pPr>
    </w:p>
    <w:p w14:paraId="7DE4D9C0" w14:textId="77777777" w:rsidR="00765458" w:rsidRDefault="00765458" w:rsidP="00765458">
      <w:pPr>
        <w:pStyle w:val="BodyText"/>
        <w:ind w:right="119"/>
        <w:rPr>
          <w:rFonts w:ascii="Times New Roman" w:hAnsi="Times New Roman" w:cs="Times New Roman"/>
          <w:sz w:val="24"/>
          <w:szCs w:val="24"/>
        </w:rPr>
      </w:pPr>
      <w:r>
        <w:rPr>
          <w:rFonts w:ascii="Times New Roman" w:hAnsi="Times New Roman" w:cs="Times New Roman"/>
          <w:sz w:val="24"/>
          <w:szCs w:val="24"/>
        </w:rPr>
        <w:t xml:space="preserve">One commenter asked whether a State could delay reporting on CTE concentrator proficiency in science, 1S3, if the State has approval to delay implementing its science assessment under the </w:t>
      </w:r>
      <w:r w:rsidR="00783CD5">
        <w:rPr>
          <w:rFonts w:ascii="Times New Roman" w:hAnsi="Times New Roman" w:cs="Times New Roman"/>
          <w:sz w:val="24"/>
          <w:szCs w:val="24"/>
        </w:rPr>
        <w:t xml:space="preserve">ESEA. </w:t>
      </w:r>
    </w:p>
    <w:p w14:paraId="0AD9C6F4" w14:textId="77777777" w:rsidR="00765458" w:rsidRDefault="00765458" w:rsidP="00765458">
      <w:pPr>
        <w:pStyle w:val="BodyText"/>
        <w:ind w:right="119"/>
        <w:rPr>
          <w:rFonts w:ascii="Times New Roman" w:hAnsi="Times New Roman" w:cs="Times New Roman"/>
          <w:sz w:val="24"/>
          <w:szCs w:val="24"/>
        </w:rPr>
      </w:pPr>
    </w:p>
    <w:p w14:paraId="4512DD40" w14:textId="77777777" w:rsidR="00765458" w:rsidRDefault="00765458" w:rsidP="00765458">
      <w:pPr>
        <w:pStyle w:val="BodyText"/>
        <w:ind w:left="540" w:right="119"/>
        <w:rPr>
          <w:rFonts w:ascii="Times New Roman" w:hAnsi="Times New Roman" w:cs="Times New Roman"/>
          <w:sz w:val="24"/>
          <w:szCs w:val="24"/>
        </w:rPr>
      </w:pPr>
      <w:r>
        <w:rPr>
          <w:rFonts w:ascii="Times New Roman" w:hAnsi="Times New Roman" w:cs="Times New Roman"/>
          <w:sz w:val="24"/>
          <w:szCs w:val="24"/>
          <w:u w:val="single"/>
        </w:rPr>
        <w:t>Department’s Response</w:t>
      </w:r>
      <w:r>
        <w:rPr>
          <w:rFonts w:ascii="Times New Roman" w:hAnsi="Times New Roman" w:cs="Times New Roman"/>
          <w:sz w:val="24"/>
          <w:szCs w:val="24"/>
        </w:rPr>
        <w:t xml:space="preserve">:  We appreciate the commenter’s inquiry and are confirming that that an eligible agency may delay reporting on CTE concentrator proficiency in science, 1S3, if the State has approval to delay implementing its science assessment under the </w:t>
      </w:r>
      <w:r w:rsidR="00783CD5">
        <w:rPr>
          <w:rFonts w:ascii="Times New Roman" w:hAnsi="Times New Roman" w:cs="Times New Roman"/>
          <w:sz w:val="24"/>
          <w:szCs w:val="24"/>
        </w:rPr>
        <w:t xml:space="preserve">ESEA. </w:t>
      </w:r>
    </w:p>
    <w:p w14:paraId="4B1F511A" w14:textId="77777777" w:rsidR="00765458" w:rsidRPr="006A67CA" w:rsidRDefault="00765458" w:rsidP="00765458">
      <w:pPr>
        <w:pStyle w:val="BodyText"/>
        <w:ind w:left="540" w:right="119"/>
        <w:rPr>
          <w:rFonts w:ascii="Times New Roman" w:hAnsi="Times New Roman" w:cs="Times New Roman"/>
          <w:sz w:val="24"/>
          <w:szCs w:val="24"/>
        </w:rPr>
      </w:pPr>
    </w:p>
    <w:p w14:paraId="61A3F9F6" w14:textId="77777777" w:rsidR="0024256F" w:rsidRDefault="0024256F" w:rsidP="006A67CA">
      <w:pPr>
        <w:autoSpaceDE w:val="0"/>
        <w:autoSpaceDN w:val="0"/>
        <w:adjustRightInd w:val="0"/>
        <w:spacing w:after="0" w:line="240" w:lineRule="auto"/>
        <w:rPr>
          <w:rFonts w:ascii="Times New Roman" w:hAnsi="Times New Roman"/>
          <w:sz w:val="24"/>
          <w:szCs w:val="24"/>
        </w:rPr>
      </w:pPr>
      <w:r w:rsidRPr="006A67CA">
        <w:rPr>
          <w:rFonts w:ascii="Times New Roman" w:hAnsi="Times New Roman"/>
          <w:sz w:val="24"/>
          <w:szCs w:val="24"/>
        </w:rPr>
        <w:t xml:space="preserve">One commenter recommended that the Department revise the definition of "disability" to ensure </w:t>
      </w:r>
      <w:r w:rsidR="006A67CA" w:rsidRPr="006A67CA">
        <w:rPr>
          <w:rFonts w:ascii="Times New Roman" w:hAnsi="Times New Roman"/>
          <w:sz w:val="24"/>
          <w:szCs w:val="24"/>
        </w:rPr>
        <w:t>t</w:t>
      </w:r>
      <w:r w:rsidRPr="006A67CA">
        <w:rPr>
          <w:rFonts w:ascii="Times New Roman" w:hAnsi="Times New Roman"/>
          <w:sz w:val="24"/>
          <w:szCs w:val="24"/>
        </w:rPr>
        <w:t xml:space="preserve">hat it is consistent with the changes made by the ADA Amendments Act of 2008 (ADAAA).  The </w:t>
      </w:r>
      <w:r w:rsidR="00CE61B5">
        <w:rPr>
          <w:rFonts w:ascii="Times New Roman" w:hAnsi="Times New Roman"/>
          <w:sz w:val="24"/>
          <w:szCs w:val="24"/>
        </w:rPr>
        <w:t>CAR</w:t>
      </w:r>
      <w:r w:rsidRPr="006A67CA">
        <w:rPr>
          <w:rFonts w:ascii="Times New Roman" w:hAnsi="Times New Roman"/>
          <w:sz w:val="24"/>
          <w:szCs w:val="24"/>
        </w:rPr>
        <w:t xml:space="preserve"> currently defines an individual with a disability as, among other things, an individual who is "regarde</w:t>
      </w:r>
      <w:r w:rsidR="006A67CA" w:rsidRPr="006A67CA">
        <w:rPr>
          <w:rFonts w:ascii="Times New Roman" w:hAnsi="Times New Roman"/>
          <w:sz w:val="24"/>
          <w:szCs w:val="24"/>
        </w:rPr>
        <w:t xml:space="preserve">d as having such an impairment,” </w:t>
      </w:r>
      <w:r w:rsidRPr="006A67CA">
        <w:rPr>
          <w:rFonts w:ascii="Times New Roman" w:hAnsi="Times New Roman"/>
          <w:sz w:val="24"/>
          <w:szCs w:val="24"/>
        </w:rPr>
        <w:t>referring to "a physical or mental impairment that substantially limits one or more of the major life activities of such individual."  The</w:t>
      </w:r>
      <w:r w:rsidR="006A67CA" w:rsidRPr="006A67CA">
        <w:rPr>
          <w:rFonts w:ascii="Times New Roman" w:hAnsi="Times New Roman"/>
          <w:sz w:val="24"/>
          <w:szCs w:val="24"/>
        </w:rPr>
        <w:t xml:space="preserve"> </w:t>
      </w:r>
      <w:r w:rsidRPr="006A67CA">
        <w:rPr>
          <w:rFonts w:ascii="Times New Roman" w:hAnsi="Times New Roman"/>
          <w:sz w:val="24"/>
          <w:szCs w:val="24"/>
        </w:rPr>
        <w:t xml:space="preserve">ADAAA revised the "regarded as" definition to remove the requirement that an impairment be perceived to substantially limit a major life activity. </w:t>
      </w:r>
      <w:r w:rsidR="006A67CA" w:rsidRPr="006A67CA">
        <w:rPr>
          <w:rFonts w:ascii="Times New Roman" w:hAnsi="Times New Roman"/>
          <w:sz w:val="24"/>
          <w:szCs w:val="24"/>
        </w:rPr>
        <w:t xml:space="preserve"> </w:t>
      </w:r>
      <w:r w:rsidRPr="006A67CA">
        <w:rPr>
          <w:rFonts w:ascii="Times New Roman" w:hAnsi="Times New Roman"/>
          <w:sz w:val="24"/>
          <w:szCs w:val="24"/>
        </w:rPr>
        <w:t>An</w:t>
      </w:r>
      <w:r w:rsidR="006A67CA" w:rsidRPr="006A67CA">
        <w:rPr>
          <w:rFonts w:ascii="Times New Roman" w:hAnsi="Times New Roman"/>
          <w:sz w:val="24"/>
          <w:szCs w:val="24"/>
        </w:rPr>
        <w:t xml:space="preserve"> </w:t>
      </w:r>
      <w:r w:rsidRPr="006A67CA">
        <w:rPr>
          <w:rFonts w:ascii="Times New Roman" w:hAnsi="Times New Roman"/>
          <w:sz w:val="24"/>
          <w:szCs w:val="24"/>
        </w:rPr>
        <w:t>applicant or employee is now regarded as having a disability "if the individual establishes that he</w:t>
      </w:r>
      <w:r w:rsidR="006A67CA" w:rsidRPr="006A67CA">
        <w:rPr>
          <w:rFonts w:ascii="Times New Roman" w:hAnsi="Times New Roman"/>
          <w:sz w:val="24"/>
          <w:szCs w:val="24"/>
        </w:rPr>
        <w:t xml:space="preserve"> </w:t>
      </w:r>
      <w:r w:rsidRPr="006A67CA">
        <w:rPr>
          <w:rFonts w:ascii="Times New Roman" w:hAnsi="Times New Roman"/>
          <w:sz w:val="24"/>
          <w:szCs w:val="24"/>
        </w:rPr>
        <w:t>or she has been subjected to an action prohibited under [the ADAAA] because of an actual or</w:t>
      </w:r>
      <w:r w:rsidR="006A67CA" w:rsidRPr="006A67CA">
        <w:rPr>
          <w:rFonts w:ascii="Times New Roman" w:hAnsi="Times New Roman"/>
          <w:sz w:val="24"/>
          <w:szCs w:val="24"/>
        </w:rPr>
        <w:t xml:space="preserve"> </w:t>
      </w:r>
      <w:r w:rsidRPr="006A67CA">
        <w:rPr>
          <w:rFonts w:ascii="Times New Roman" w:hAnsi="Times New Roman"/>
          <w:sz w:val="24"/>
          <w:szCs w:val="24"/>
        </w:rPr>
        <w:t xml:space="preserve">perceived physical or mental impairment </w:t>
      </w:r>
      <w:r w:rsidRPr="006A67CA">
        <w:rPr>
          <w:rFonts w:ascii="Times New Roman" w:hAnsi="Times New Roman"/>
          <w:i/>
          <w:iCs/>
          <w:sz w:val="24"/>
          <w:szCs w:val="24"/>
        </w:rPr>
        <w:t>whether or not the impairment limits or is perceived to</w:t>
      </w:r>
      <w:r w:rsidR="006A67CA" w:rsidRPr="006A67CA">
        <w:rPr>
          <w:rFonts w:ascii="Times New Roman" w:hAnsi="Times New Roman"/>
          <w:i/>
          <w:iCs/>
          <w:sz w:val="24"/>
          <w:szCs w:val="24"/>
        </w:rPr>
        <w:t xml:space="preserve"> </w:t>
      </w:r>
      <w:r w:rsidRPr="006A67CA">
        <w:rPr>
          <w:rFonts w:ascii="Times New Roman" w:hAnsi="Times New Roman"/>
          <w:i/>
          <w:iCs/>
          <w:sz w:val="24"/>
          <w:szCs w:val="24"/>
        </w:rPr>
        <w:t xml:space="preserve">limit a major life activity" </w:t>
      </w:r>
      <w:r w:rsidRPr="006A67CA">
        <w:rPr>
          <w:rFonts w:ascii="Times New Roman" w:hAnsi="Times New Roman"/>
          <w:sz w:val="24"/>
          <w:szCs w:val="24"/>
        </w:rPr>
        <w:t xml:space="preserve">(emphasis added). </w:t>
      </w:r>
      <w:r w:rsidR="006A67CA" w:rsidRPr="006A67CA">
        <w:rPr>
          <w:rFonts w:ascii="Times New Roman" w:hAnsi="Times New Roman"/>
          <w:sz w:val="24"/>
          <w:szCs w:val="24"/>
        </w:rPr>
        <w:t xml:space="preserve">  </w:t>
      </w:r>
      <w:r w:rsidRPr="006A67CA">
        <w:rPr>
          <w:rFonts w:ascii="Times New Roman" w:hAnsi="Times New Roman"/>
          <w:sz w:val="24"/>
          <w:szCs w:val="24"/>
        </w:rPr>
        <w:t>This new standard focuses on whether a covered</w:t>
      </w:r>
      <w:r w:rsidR="006A67CA" w:rsidRPr="006A67CA">
        <w:rPr>
          <w:rFonts w:ascii="Times New Roman" w:hAnsi="Times New Roman"/>
          <w:sz w:val="24"/>
          <w:szCs w:val="24"/>
        </w:rPr>
        <w:t xml:space="preserve"> </w:t>
      </w:r>
      <w:r w:rsidRPr="006A67CA">
        <w:rPr>
          <w:rFonts w:ascii="Times New Roman" w:hAnsi="Times New Roman"/>
          <w:sz w:val="24"/>
          <w:szCs w:val="24"/>
        </w:rPr>
        <w:t>entity engaged in prohibited conduct based on an applicant's or employee's impairment, rather</w:t>
      </w:r>
      <w:r w:rsidR="006A67CA" w:rsidRPr="006A67CA">
        <w:rPr>
          <w:rFonts w:ascii="Times New Roman" w:hAnsi="Times New Roman"/>
          <w:sz w:val="24"/>
          <w:szCs w:val="24"/>
        </w:rPr>
        <w:t xml:space="preserve"> </w:t>
      </w:r>
      <w:r w:rsidRPr="006A67CA">
        <w:rPr>
          <w:rFonts w:ascii="Times New Roman" w:hAnsi="Times New Roman"/>
          <w:sz w:val="24"/>
          <w:szCs w:val="24"/>
        </w:rPr>
        <w:t>than on the covered entity's perception of the degree to which the impairment limits the</w:t>
      </w:r>
      <w:r w:rsidR="006A67CA" w:rsidRPr="006A67CA">
        <w:rPr>
          <w:rFonts w:ascii="Times New Roman" w:hAnsi="Times New Roman"/>
          <w:sz w:val="24"/>
          <w:szCs w:val="24"/>
        </w:rPr>
        <w:t xml:space="preserve"> </w:t>
      </w:r>
      <w:r w:rsidRPr="006A67CA">
        <w:rPr>
          <w:rFonts w:ascii="Times New Roman" w:hAnsi="Times New Roman"/>
          <w:sz w:val="24"/>
          <w:szCs w:val="24"/>
        </w:rPr>
        <w:t>applicant or employee.</w:t>
      </w:r>
      <w:r w:rsidR="006A67CA" w:rsidRPr="006A67CA">
        <w:rPr>
          <w:rFonts w:ascii="Times New Roman" w:hAnsi="Times New Roman"/>
          <w:sz w:val="24"/>
          <w:szCs w:val="24"/>
        </w:rPr>
        <w:t xml:space="preserve"> </w:t>
      </w:r>
      <w:r w:rsidRPr="006A67CA">
        <w:rPr>
          <w:rFonts w:ascii="Times New Roman" w:hAnsi="Times New Roman"/>
          <w:sz w:val="24"/>
          <w:szCs w:val="24"/>
        </w:rPr>
        <w:t xml:space="preserve"> In addition, the </w:t>
      </w:r>
      <w:r w:rsidR="006A67CA" w:rsidRPr="006A67CA">
        <w:rPr>
          <w:rFonts w:ascii="Times New Roman" w:hAnsi="Times New Roman"/>
          <w:sz w:val="24"/>
          <w:szCs w:val="24"/>
        </w:rPr>
        <w:t>A</w:t>
      </w:r>
      <w:r w:rsidRPr="006A67CA">
        <w:rPr>
          <w:rFonts w:ascii="Times New Roman" w:hAnsi="Times New Roman"/>
          <w:sz w:val="24"/>
          <w:szCs w:val="24"/>
        </w:rPr>
        <w:t>DAAA excludes impairments that are both transitory</w:t>
      </w:r>
      <w:r w:rsidR="006A67CA" w:rsidRPr="006A67CA">
        <w:rPr>
          <w:rFonts w:ascii="Times New Roman" w:hAnsi="Times New Roman"/>
          <w:sz w:val="24"/>
          <w:szCs w:val="24"/>
        </w:rPr>
        <w:t xml:space="preserve"> </w:t>
      </w:r>
      <w:r w:rsidRPr="006A67CA">
        <w:rPr>
          <w:rFonts w:ascii="Times New Roman" w:hAnsi="Times New Roman"/>
          <w:sz w:val="24"/>
          <w:szCs w:val="24"/>
        </w:rPr>
        <w:t>(defined as having "an actual or expected duration of 6 months or less") and minor from</w:t>
      </w:r>
      <w:r w:rsidR="006A67CA" w:rsidRPr="006A67CA">
        <w:rPr>
          <w:rFonts w:ascii="Times New Roman" w:hAnsi="Times New Roman"/>
          <w:sz w:val="24"/>
          <w:szCs w:val="24"/>
        </w:rPr>
        <w:t xml:space="preserve"> </w:t>
      </w:r>
      <w:r w:rsidRPr="006A67CA">
        <w:rPr>
          <w:rFonts w:ascii="Times New Roman" w:hAnsi="Times New Roman"/>
          <w:sz w:val="24"/>
          <w:szCs w:val="24"/>
        </w:rPr>
        <w:t>coverage under the "regarded as" prong.</w:t>
      </w:r>
      <w:r w:rsidR="006A67CA" w:rsidRPr="006A67CA">
        <w:rPr>
          <w:rFonts w:ascii="Times New Roman" w:hAnsi="Times New Roman"/>
          <w:sz w:val="24"/>
          <w:szCs w:val="24"/>
        </w:rPr>
        <w:t xml:space="preserve"> </w:t>
      </w:r>
      <w:r w:rsidRPr="006A67CA">
        <w:rPr>
          <w:rFonts w:ascii="Times New Roman" w:hAnsi="Times New Roman"/>
          <w:sz w:val="24"/>
          <w:szCs w:val="24"/>
        </w:rPr>
        <w:t xml:space="preserve"> </w:t>
      </w:r>
      <w:r w:rsidR="006A67CA" w:rsidRPr="006A67CA">
        <w:rPr>
          <w:rFonts w:ascii="Times New Roman" w:hAnsi="Times New Roman"/>
          <w:sz w:val="24"/>
          <w:szCs w:val="24"/>
        </w:rPr>
        <w:t>A</w:t>
      </w:r>
      <w:r w:rsidRPr="006A67CA">
        <w:rPr>
          <w:rFonts w:ascii="Times New Roman" w:hAnsi="Times New Roman"/>
          <w:sz w:val="24"/>
          <w:szCs w:val="24"/>
        </w:rPr>
        <w:t xml:space="preserve">ccordingly, </w:t>
      </w:r>
      <w:r w:rsidR="00CE61B5">
        <w:rPr>
          <w:rFonts w:ascii="Times New Roman" w:hAnsi="Times New Roman"/>
          <w:sz w:val="24"/>
          <w:szCs w:val="24"/>
        </w:rPr>
        <w:t>the commenter</w:t>
      </w:r>
      <w:r w:rsidR="00CE61B5" w:rsidRPr="006A67CA">
        <w:rPr>
          <w:rFonts w:ascii="Times New Roman" w:hAnsi="Times New Roman"/>
          <w:sz w:val="24"/>
          <w:szCs w:val="24"/>
        </w:rPr>
        <w:t xml:space="preserve"> </w:t>
      </w:r>
      <w:r w:rsidRPr="006A67CA">
        <w:rPr>
          <w:rFonts w:ascii="Times New Roman" w:hAnsi="Times New Roman"/>
          <w:sz w:val="24"/>
          <w:szCs w:val="24"/>
        </w:rPr>
        <w:t>suggest</w:t>
      </w:r>
      <w:r w:rsidR="00CE61B5">
        <w:rPr>
          <w:rFonts w:ascii="Times New Roman" w:hAnsi="Times New Roman"/>
          <w:sz w:val="24"/>
          <w:szCs w:val="24"/>
        </w:rPr>
        <w:t>ed</w:t>
      </w:r>
      <w:r w:rsidRPr="006A67CA">
        <w:rPr>
          <w:rFonts w:ascii="Times New Roman" w:hAnsi="Times New Roman"/>
          <w:sz w:val="24"/>
          <w:szCs w:val="24"/>
        </w:rPr>
        <w:t xml:space="preserve"> that the Department</w:t>
      </w:r>
      <w:r w:rsidR="006A67CA" w:rsidRPr="006A67CA">
        <w:rPr>
          <w:rFonts w:ascii="Times New Roman" w:hAnsi="Times New Roman"/>
          <w:sz w:val="24"/>
          <w:szCs w:val="24"/>
        </w:rPr>
        <w:t xml:space="preserve"> </w:t>
      </w:r>
      <w:r w:rsidRPr="006A67CA">
        <w:rPr>
          <w:rFonts w:ascii="Times New Roman" w:hAnsi="Times New Roman"/>
          <w:sz w:val="24"/>
          <w:szCs w:val="24"/>
        </w:rPr>
        <w:t>revise the "regarded as" definition to more accurately reflect the new standard for</w:t>
      </w:r>
      <w:r w:rsidR="006A67CA" w:rsidRPr="006A67CA">
        <w:rPr>
          <w:rFonts w:ascii="Times New Roman" w:hAnsi="Times New Roman"/>
          <w:sz w:val="24"/>
          <w:szCs w:val="24"/>
        </w:rPr>
        <w:t xml:space="preserve"> </w:t>
      </w:r>
      <w:r w:rsidRPr="006A67CA">
        <w:rPr>
          <w:rFonts w:ascii="Times New Roman" w:hAnsi="Times New Roman"/>
          <w:sz w:val="24"/>
          <w:szCs w:val="24"/>
        </w:rPr>
        <w:t xml:space="preserve">coverage under this prong. </w:t>
      </w:r>
    </w:p>
    <w:p w14:paraId="65F9C3DC" w14:textId="77777777" w:rsidR="006A67CA" w:rsidRDefault="006A67CA" w:rsidP="006A67CA">
      <w:pPr>
        <w:autoSpaceDE w:val="0"/>
        <w:autoSpaceDN w:val="0"/>
        <w:adjustRightInd w:val="0"/>
        <w:spacing w:after="0" w:line="240" w:lineRule="auto"/>
        <w:rPr>
          <w:rFonts w:ascii="Times New Roman" w:hAnsi="Times New Roman"/>
          <w:sz w:val="24"/>
          <w:szCs w:val="24"/>
        </w:rPr>
      </w:pPr>
    </w:p>
    <w:p w14:paraId="7618C1CB" w14:textId="77777777" w:rsidR="006A67CA" w:rsidRDefault="006A67CA" w:rsidP="006A67CA">
      <w:pPr>
        <w:pStyle w:val="BodyText"/>
        <w:ind w:left="540" w:right="119"/>
        <w:rPr>
          <w:rFonts w:ascii="Times New Roman" w:hAnsi="Times New Roman" w:cs="Times New Roman"/>
          <w:sz w:val="24"/>
          <w:szCs w:val="24"/>
        </w:rPr>
      </w:pPr>
      <w:r w:rsidRPr="00CE1E52">
        <w:rPr>
          <w:rFonts w:ascii="Times New Roman" w:hAnsi="Times New Roman" w:cs="Times New Roman"/>
          <w:sz w:val="24"/>
          <w:szCs w:val="24"/>
          <w:u w:val="single"/>
        </w:rPr>
        <w:t>Department’s Response</w:t>
      </w:r>
      <w:r w:rsidRPr="00CE1E52">
        <w:rPr>
          <w:rFonts w:ascii="Times New Roman" w:hAnsi="Times New Roman" w:cs="Times New Roman"/>
          <w:sz w:val="24"/>
          <w:szCs w:val="24"/>
        </w:rPr>
        <w:t>:  We appreciate the commenter’s input and have made changes to Table 4:  Student Categories for Reporting Disaggregated Data on the Section 113(b)(2) Core Indicators in Section IV.B: Performance Data Reports</w:t>
      </w:r>
      <w:r w:rsidR="009B7FE2" w:rsidRPr="00CE1E52">
        <w:rPr>
          <w:rFonts w:ascii="Times New Roman" w:hAnsi="Times New Roman" w:cs="Times New Roman"/>
          <w:sz w:val="24"/>
          <w:szCs w:val="24"/>
        </w:rPr>
        <w:t xml:space="preserve"> to match the statutory text in 42 U.S.C. 12102</w:t>
      </w:r>
      <w:r w:rsidRPr="00CE1E52">
        <w:rPr>
          <w:rFonts w:ascii="Times New Roman" w:hAnsi="Times New Roman" w:cs="Times New Roman"/>
          <w:sz w:val="24"/>
          <w:szCs w:val="24"/>
        </w:rPr>
        <w:t>.</w:t>
      </w:r>
    </w:p>
    <w:p w14:paraId="5023141B" w14:textId="77777777" w:rsidR="00982701" w:rsidRDefault="00982701" w:rsidP="006A67CA">
      <w:pPr>
        <w:pStyle w:val="BodyText"/>
        <w:ind w:left="540" w:right="119"/>
        <w:rPr>
          <w:rFonts w:ascii="Times New Roman" w:hAnsi="Times New Roman" w:cs="Times New Roman"/>
          <w:sz w:val="24"/>
          <w:szCs w:val="24"/>
        </w:rPr>
      </w:pPr>
    </w:p>
    <w:p w14:paraId="043BBA8D" w14:textId="0F205E97" w:rsidR="00982701" w:rsidRDefault="3D825622" w:rsidP="3D825622">
      <w:pPr>
        <w:spacing w:after="0" w:line="240" w:lineRule="auto"/>
        <w:rPr>
          <w:rFonts w:ascii="Times New Roman" w:hAnsi="Times New Roman"/>
          <w:sz w:val="24"/>
          <w:szCs w:val="24"/>
        </w:rPr>
      </w:pPr>
      <w:r w:rsidRPr="3D825622">
        <w:rPr>
          <w:rFonts w:ascii="Times New Roman" w:hAnsi="Times New Roman"/>
          <w:sz w:val="24"/>
          <w:szCs w:val="24"/>
        </w:rPr>
        <w:t>Finally, at the February 12-13, 2019, Perkins Data Quality Institute hosted by the Department, many State CTE directors and their accountability staffs discussed their differing policies and procedures for gathering and reporting data on CTE concentrators for the section 113 core indicators of performance</w:t>
      </w:r>
      <w:r w:rsidRPr="3D825622">
        <w:rPr>
          <w:rFonts w:ascii="Times New Roman" w:hAnsi="Times New Roman"/>
          <w:color w:val="000000" w:themeColor="text1"/>
          <w:sz w:val="24"/>
          <w:szCs w:val="24"/>
        </w:rPr>
        <w:t xml:space="preserve">.  While the Department will continue its work with States to improve, to the extent practicable, the validity, reliability, completeness, and consistency of data gathering and reported under Perkins V, there are likely to be differences across States in operational definitions for the core indicators that could impact how each eligible agency sets and makes continual progress on their State determined performance levels.  For this reason, the Department has determined that it needs to collect numerator and denominator definitions for all the core indicators (not just the quality indicators as already requested in the Perkins V State Plan Guide information collection) in order to properly interpret, understand, and make public the annual data it receives.  Collection of the numerators and denominators is consistent with past practice under the former Perkins IV legislation.  We have made changes to the CTE Concentrator Performance Forms in Section IV: Performance Data Forms.  </w:t>
      </w:r>
    </w:p>
    <w:p w14:paraId="1F3B1409" w14:textId="77777777" w:rsidR="00982701" w:rsidRPr="00CE1E52" w:rsidRDefault="00982701" w:rsidP="00982701">
      <w:pPr>
        <w:pStyle w:val="BodyText"/>
        <w:ind w:right="119"/>
        <w:rPr>
          <w:rFonts w:ascii="Times New Roman" w:hAnsi="Times New Roman" w:cs="Times New Roman"/>
          <w:sz w:val="24"/>
          <w:szCs w:val="24"/>
        </w:rPr>
      </w:pPr>
    </w:p>
    <w:p w14:paraId="562C75D1" w14:textId="77777777" w:rsidR="006A67CA" w:rsidRPr="00CE1E52" w:rsidRDefault="006A67CA" w:rsidP="006A67CA">
      <w:pPr>
        <w:autoSpaceDE w:val="0"/>
        <w:autoSpaceDN w:val="0"/>
        <w:adjustRightInd w:val="0"/>
        <w:spacing w:after="0" w:line="240" w:lineRule="auto"/>
        <w:rPr>
          <w:rFonts w:ascii="Times New Roman" w:hAnsi="Times New Roman"/>
          <w:sz w:val="24"/>
          <w:szCs w:val="24"/>
        </w:rPr>
      </w:pPr>
    </w:p>
    <w:sectPr w:rsidR="006A67CA" w:rsidRPr="00CE1E52" w:rsidSect="00376F59">
      <w:footerReference w:type="default" r:id="rId12"/>
      <w:pgSz w:w="12240" w:h="15840"/>
      <w:pgMar w:top="1440" w:right="1440" w:bottom="1440" w:left="1440" w:header="452" w:footer="83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7CA76" w14:textId="77777777" w:rsidR="00BD72E7" w:rsidRDefault="00BD72E7" w:rsidP="00A47402">
      <w:pPr>
        <w:spacing w:after="0" w:line="240" w:lineRule="auto"/>
      </w:pPr>
      <w:r>
        <w:separator/>
      </w:r>
    </w:p>
  </w:endnote>
  <w:endnote w:type="continuationSeparator" w:id="0">
    <w:p w14:paraId="4C566EC5" w14:textId="77777777" w:rsidR="00BD72E7" w:rsidRDefault="00BD72E7" w:rsidP="00A47402">
      <w:pPr>
        <w:spacing w:after="0" w:line="240" w:lineRule="auto"/>
      </w:pPr>
      <w:r>
        <w:continuationSeparator/>
      </w:r>
    </w:p>
  </w:endnote>
  <w:endnote w:type="continuationNotice" w:id="1">
    <w:p w14:paraId="155F8070" w14:textId="77777777" w:rsidR="00BD72E7" w:rsidRDefault="00BD7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475834"/>
      <w:docPartObj>
        <w:docPartGallery w:val="Page Numbers (Bottom of Page)"/>
        <w:docPartUnique/>
      </w:docPartObj>
    </w:sdtPr>
    <w:sdtEndPr>
      <w:rPr>
        <w:rFonts w:ascii="Times New Roman" w:hAnsi="Times New Roman"/>
        <w:noProof/>
        <w:sz w:val="24"/>
        <w:szCs w:val="24"/>
      </w:rPr>
    </w:sdtEndPr>
    <w:sdtContent>
      <w:p w14:paraId="4FBF0734" w14:textId="77777777" w:rsidR="00076578" w:rsidRPr="00DB04B4" w:rsidRDefault="00076578">
        <w:pPr>
          <w:pStyle w:val="Footer"/>
          <w:jc w:val="center"/>
          <w:rPr>
            <w:rFonts w:ascii="Times New Roman" w:hAnsi="Times New Roman"/>
            <w:sz w:val="24"/>
            <w:szCs w:val="24"/>
          </w:rPr>
        </w:pPr>
        <w:r w:rsidRPr="00DB04B4">
          <w:rPr>
            <w:rFonts w:ascii="Times New Roman" w:hAnsi="Times New Roman"/>
            <w:sz w:val="24"/>
            <w:szCs w:val="24"/>
          </w:rPr>
          <w:fldChar w:fldCharType="begin"/>
        </w:r>
        <w:r w:rsidRPr="00DB04B4">
          <w:rPr>
            <w:rFonts w:ascii="Times New Roman" w:hAnsi="Times New Roman"/>
            <w:sz w:val="24"/>
            <w:szCs w:val="24"/>
          </w:rPr>
          <w:instrText xml:space="preserve"> PAGE   \* MERGEFORMAT </w:instrText>
        </w:r>
        <w:r w:rsidRPr="00DB04B4">
          <w:rPr>
            <w:rFonts w:ascii="Times New Roman" w:hAnsi="Times New Roman"/>
            <w:sz w:val="24"/>
            <w:szCs w:val="24"/>
          </w:rPr>
          <w:fldChar w:fldCharType="separate"/>
        </w:r>
        <w:r w:rsidR="00C23FCA">
          <w:rPr>
            <w:rFonts w:ascii="Times New Roman" w:hAnsi="Times New Roman"/>
            <w:noProof/>
            <w:sz w:val="24"/>
            <w:szCs w:val="24"/>
          </w:rPr>
          <w:t>1</w:t>
        </w:r>
        <w:r w:rsidRPr="00DB04B4">
          <w:rPr>
            <w:rFonts w:ascii="Times New Roman" w:hAnsi="Times New Roman"/>
            <w:noProof/>
            <w:sz w:val="24"/>
            <w:szCs w:val="24"/>
          </w:rPr>
          <w:fldChar w:fldCharType="end"/>
        </w:r>
      </w:p>
    </w:sdtContent>
  </w:sdt>
  <w:p w14:paraId="664355AD" w14:textId="77777777" w:rsidR="008164A5" w:rsidRDefault="00816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AD552" w14:textId="77777777" w:rsidR="00BD72E7" w:rsidRDefault="00BD72E7" w:rsidP="00A47402">
      <w:pPr>
        <w:spacing w:after="0" w:line="240" w:lineRule="auto"/>
      </w:pPr>
      <w:r>
        <w:separator/>
      </w:r>
    </w:p>
  </w:footnote>
  <w:footnote w:type="continuationSeparator" w:id="0">
    <w:p w14:paraId="3E8DAF54" w14:textId="77777777" w:rsidR="00BD72E7" w:rsidRDefault="00BD72E7" w:rsidP="00A47402">
      <w:pPr>
        <w:spacing w:after="0" w:line="240" w:lineRule="auto"/>
      </w:pPr>
      <w:r>
        <w:continuationSeparator/>
      </w:r>
    </w:p>
  </w:footnote>
  <w:footnote w:type="continuationNotice" w:id="1">
    <w:p w14:paraId="7F3370B7" w14:textId="77777777" w:rsidR="00BD72E7" w:rsidRDefault="00BD72E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5AFA"/>
    <w:multiLevelType w:val="multilevel"/>
    <w:tmpl w:val="145205CC"/>
    <w:lvl w:ilvl="0">
      <w:start w:val="21"/>
      <w:numFmt w:val="upperLetter"/>
      <w:lvlText w:val="%1"/>
      <w:lvlJc w:val="left"/>
      <w:pPr>
        <w:ind w:left="100" w:hanging="404"/>
      </w:pPr>
      <w:rPr>
        <w:rFonts w:hint="default"/>
        <w:lang w:val="en-US" w:eastAsia="en-US" w:bidi="en-US"/>
      </w:rPr>
    </w:lvl>
    <w:lvl w:ilvl="1">
      <w:start w:val="19"/>
      <w:numFmt w:val="upperLetter"/>
      <w:lvlText w:val="%1.%2."/>
      <w:lvlJc w:val="left"/>
      <w:pPr>
        <w:ind w:left="100" w:hanging="404"/>
      </w:pPr>
      <w:rPr>
        <w:rFonts w:ascii="Calibri" w:eastAsia="Calibri" w:hAnsi="Calibri" w:cs="Calibri" w:hint="default"/>
        <w:spacing w:val="-2"/>
        <w:w w:val="100"/>
        <w:sz w:val="22"/>
        <w:szCs w:val="22"/>
        <w:lang w:val="en-US" w:eastAsia="en-US" w:bidi="en-US"/>
      </w:rPr>
    </w:lvl>
    <w:lvl w:ilvl="2">
      <w:start w:val="1"/>
      <w:numFmt w:val="decimal"/>
      <w:lvlText w:val="%3)"/>
      <w:lvlJc w:val="left"/>
      <w:pPr>
        <w:ind w:left="820" w:hanging="360"/>
      </w:pPr>
      <w:rPr>
        <w:rFonts w:hint="default"/>
        <w:b/>
        <w:bCs/>
        <w:w w:val="100"/>
        <w:lang w:val="en-US" w:eastAsia="en-US" w:bidi="en-US"/>
      </w:rPr>
    </w:lvl>
    <w:lvl w:ilvl="3">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4">
      <w:numFmt w:val="bullet"/>
      <w:lvlText w:val="•"/>
      <w:lvlJc w:val="left"/>
      <w:pPr>
        <w:ind w:left="3725" w:hanging="360"/>
      </w:pPr>
      <w:rPr>
        <w:rFonts w:hint="default"/>
        <w:lang w:val="en-US" w:eastAsia="en-US" w:bidi="en-US"/>
      </w:rPr>
    </w:lvl>
    <w:lvl w:ilvl="5">
      <w:numFmt w:val="bullet"/>
      <w:lvlText w:val="•"/>
      <w:lvlJc w:val="left"/>
      <w:pPr>
        <w:ind w:left="4817" w:hanging="360"/>
      </w:pPr>
      <w:rPr>
        <w:rFonts w:hint="default"/>
        <w:lang w:val="en-US" w:eastAsia="en-US" w:bidi="en-US"/>
      </w:rPr>
    </w:lvl>
    <w:lvl w:ilvl="6">
      <w:numFmt w:val="bullet"/>
      <w:lvlText w:val="•"/>
      <w:lvlJc w:val="left"/>
      <w:pPr>
        <w:ind w:left="5910" w:hanging="360"/>
      </w:pPr>
      <w:rPr>
        <w:rFonts w:hint="default"/>
        <w:lang w:val="en-US" w:eastAsia="en-US" w:bidi="en-US"/>
      </w:rPr>
    </w:lvl>
    <w:lvl w:ilvl="7">
      <w:numFmt w:val="bullet"/>
      <w:lvlText w:val="•"/>
      <w:lvlJc w:val="left"/>
      <w:pPr>
        <w:ind w:left="7002" w:hanging="360"/>
      </w:pPr>
      <w:rPr>
        <w:rFonts w:hint="default"/>
        <w:lang w:val="en-US" w:eastAsia="en-US" w:bidi="en-US"/>
      </w:rPr>
    </w:lvl>
    <w:lvl w:ilvl="8">
      <w:numFmt w:val="bullet"/>
      <w:lvlText w:val="•"/>
      <w:lvlJc w:val="left"/>
      <w:pPr>
        <w:ind w:left="8095" w:hanging="360"/>
      </w:pPr>
      <w:rPr>
        <w:rFonts w:hint="default"/>
        <w:lang w:val="en-US" w:eastAsia="en-US" w:bidi="en-US"/>
      </w:rPr>
    </w:lvl>
  </w:abstractNum>
  <w:abstractNum w:abstractNumId="1">
    <w:nsid w:val="086F2AB5"/>
    <w:multiLevelType w:val="hybridMultilevel"/>
    <w:tmpl w:val="5E14A7A0"/>
    <w:lvl w:ilvl="0" w:tplc="429AA1CC">
      <w:numFmt w:val="bullet"/>
      <w:lvlText w:val="●"/>
      <w:lvlJc w:val="left"/>
      <w:pPr>
        <w:ind w:left="460" w:hanging="360"/>
      </w:pPr>
      <w:rPr>
        <w:rFonts w:ascii="Times New Roman" w:eastAsia="Times New Roman" w:hAnsi="Times New Roman" w:cs="Times New Roman" w:hint="default"/>
        <w:w w:val="99"/>
        <w:sz w:val="20"/>
        <w:szCs w:val="20"/>
        <w:lang w:val="en-US" w:eastAsia="en-US" w:bidi="en-US"/>
      </w:rPr>
    </w:lvl>
    <w:lvl w:ilvl="1" w:tplc="75D6FE8E">
      <w:numFmt w:val="bullet"/>
      <w:lvlText w:val="•"/>
      <w:lvlJc w:val="left"/>
      <w:pPr>
        <w:ind w:left="1376" w:hanging="360"/>
      </w:pPr>
      <w:rPr>
        <w:rFonts w:hint="default"/>
        <w:lang w:val="en-US" w:eastAsia="en-US" w:bidi="en-US"/>
      </w:rPr>
    </w:lvl>
    <w:lvl w:ilvl="2" w:tplc="14FC5F7E">
      <w:numFmt w:val="bullet"/>
      <w:lvlText w:val="•"/>
      <w:lvlJc w:val="left"/>
      <w:pPr>
        <w:ind w:left="2292" w:hanging="360"/>
      </w:pPr>
      <w:rPr>
        <w:rFonts w:hint="default"/>
        <w:lang w:val="en-US" w:eastAsia="en-US" w:bidi="en-US"/>
      </w:rPr>
    </w:lvl>
    <w:lvl w:ilvl="3" w:tplc="F2AC3CF8">
      <w:numFmt w:val="bullet"/>
      <w:lvlText w:val="•"/>
      <w:lvlJc w:val="left"/>
      <w:pPr>
        <w:ind w:left="3208" w:hanging="360"/>
      </w:pPr>
      <w:rPr>
        <w:rFonts w:hint="default"/>
        <w:lang w:val="en-US" w:eastAsia="en-US" w:bidi="en-US"/>
      </w:rPr>
    </w:lvl>
    <w:lvl w:ilvl="4" w:tplc="7D743752">
      <w:numFmt w:val="bullet"/>
      <w:lvlText w:val="•"/>
      <w:lvlJc w:val="left"/>
      <w:pPr>
        <w:ind w:left="4124" w:hanging="360"/>
      </w:pPr>
      <w:rPr>
        <w:rFonts w:hint="default"/>
        <w:lang w:val="en-US" w:eastAsia="en-US" w:bidi="en-US"/>
      </w:rPr>
    </w:lvl>
    <w:lvl w:ilvl="5" w:tplc="CCE6074A">
      <w:numFmt w:val="bullet"/>
      <w:lvlText w:val="•"/>
      <w:lvlJc w:val="left"/>
      <w:pPr>
        <w:ind w:left="5040" w:hanging="360"/>
      </w:pPr>
      <w:rPr>
        <w:rFonts w:hint="default"/>
        <w:lang w:val="en-US" w:eastAsia="en-US" w:bidi="en-US"/>
      </w:rPr>
    </w:lvl>
    <w:lvl w:ilvl="6" w:tplc="21228252">
      <w:numFmt w:val="bullet"/>
      <w:lvlText w:val="•"/>
      <w:lvlJc w:val="left"/>
      <w:pPr>
        <w:ind w:left="5956" w:hanging="360"/>
      </w:pPr>
      <w:rPr>
        <w:rFonts w:hint="default"/>
        <w:lang w:val="en-US" w:eastAsia="en-US" w:bidi="en-US"/>
      </w:rPr>
    </w:lvl>
    <w:lvl w:ilvl="7" w:tplc="10EA5978">
      <w:numFmt w:val="bullet"/>
      <w:lvlText w:val="•"/>
      <w:lvlJc w:val="left"/>
      <w:pPr>
        <w:ind w:left="6872" w:hanging="360"/>
      </w:pPr>
      <w:rPr>
        <w:rFonts w:hint="default"/>
        <w:lang w:val="en-US" w:eastAsia="en-US" w:bidi="en-US"/>
      </w:rPr>
    </w:lvl>
    <w:lvl w:ilvl="8" w:tplc="E736A8E8">
      <w:numFmt w:val="bullet"/>
      <w:lvlText w:val="•"/>
      <w:lvlJc w:val="left"/>
      <w:pPr>
        <w:ind w:left="7788" w:hanging="360"/>
      </w:pPr>
      <w:rPr>
        <w:rFonts w:hint="default"/>
        <w:lang w:val="en-US" w:eastAsia="en-US" w:bidi="en-US"/>
      </w:rPr>
    </w:lvl>
  </w:abstractNum>
  <w:abstractNum w:abstractNumId="2">
    <w:nsid w:val="23580F6A"/>
    <w:multiLevelType w:val="hybridMultilevel"/>
    <w:tmpl w:val="6308803A"/>
    <w:lvl w:ilvl="0" w:tplc="CFEE7134">
      <w:start w:val="3"/>
      <w:numFmt w:val="lowerLetter"/>
      <w:lvlText w:val="%1."/>
      <w:lvlJc w:val="left"/>
      <w:pPr>
        <w:tabs>
          <w:tab w:val="num" w:pos="1440"/>
        </w:tabs>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16D5E"/>
    <w:multiLevelType w:val="hybridMultilevel"/>
    <w:tmpl w:val="0EB492CA"/>
    <w:lvl w:ilvl="0" w:tplc="B8B217D4">
      <w:numFmt w:val="bullet"/>
      <w:lvlText w:val=""/>
      <w:lvlJc w:val="left"/>
      <w:pPr>
        <w:ind w:left="460" w:hanging="360"/>
      </w:pPr>
      <w:rPr>
        <w:rFonts w:ascii="Symbol" w:eastAsia="Symbol" w:hAnsi="Symbol" w:cs="Symbol" w:hint="default"/>
        <w:w w:val="100"/>
        <w:sz w:val="22"/>
        <w:szCs w:val="22"/>
        <w:lang w:val="en-US" w:eastAsia="en-US" w:bidi="en-US"/>
      </w:rPr>
    </w:lvl>
    <w:lvl w:ilvl="1" w:tplc="A2728C46">
      <w:numFmt w:val="bullet"/>
      <w:lvlText w:val="o"/>
      <w:lvlJc w:val="left"/>
      <w:pPr>
        <w:ind w:left="820" w:hanging="360"/>
      </w:pPr>
      <w:rPr>
        <w:rFonts w:ascii="Courier New" w:eastAsia="Courier New" w:hAnsi="Courier New" w:cs="Courier New" w:hint="default"/>
        <w:w w:val="100"/>
        <w:sz w:val="22"/>
        <w:szCs w:val="22"/>
        <w:lang w:val="en-US" w:eastAsia="en-US" w:bidi="en-US"/>
      </w:rPr>
    </w:lvl>
    <w:lvl w:ilvl="2" w:tplc="FEEAF3F6">
      <w:numFmt w:val="bullet"/>
      <w:lvlText w:val="•"/>
      <w:lvlJc w:val="left"/>
      <w:pPr>
        <w:ind w:left="1797" w:hanging="360"/>
      </w:pPr>
      <w:rPr>
        <w:rFonts w:hint="default"/>
        <w:lang w:val="en-US" w:eastAsia="en-US" w:bidi="en-US"/>
      </w:rPr>
    </w:lvl>
    <w:lvl w:ilvl="3" w:tplc="D9BA3914">
      <w:numFmt w:val="bullet"/>
      <w:lvlText w:val="•"/>
      <w:lvlJc w:val="left"/>
      <w:pPr>
        <w:ind w:left="2775" w:hanging="360"/>
      </w:pPr>
      <w:rPr>
        <w:rFonts w:hint="default"/>
        <w:lang w:val="en-US" w:eastAsia="en-US" w:bidi="en-US"/>
      </w:rPr>
    </w:lvl>
    <w:lvl w:ilvl="4" w:tplc="194A85EE">
      <w:numFmt w:val="bullet"/>
      <w:lvlText w:val="•"/>
      <w:lvlJc w:val="left"/>
      <w:pPr>
        <w:ind w:left="3753" w:hanging="360"/>
      </w:pPr>
      <w:rPr>
        <w:rFonts w:hint="default"/>
        <w:lang w:val="en-US" w:eastAsia="en-US" w:bidi="en-US"/>
      </w:rPr>
    </w:lvl>
    <w:lvl w:ilvl="5" w:tplc="7C762A64">
      <w:numFmt w:val="bullet"/>
      <w:lvlText w:val="•"/>
      <w:lvlJc w:val="left"/>
      <w:pPr>
        <w:ind w:left="4731" w:hanging="360"/>
      </w:pPr>
      <w:rPr>
        <w:rFonts w:hint="default"/>
        <w:lang w:val="en-US" w:eastAsia="en-US" w:bidi="en-US"/>
      </w:rPr>
    </w:lvl>
    <w:lvl w:ilvl="6" w:tplc="97422614">
      <w:numFmt w:val="bullet"/>
      <w:lvlText w:val="•"/>
      <w:lvlJc w:val="left"/>
      <w:pPr>
        <w:ind w:left="5708" w:hanging="360"/>
      </w:pPr>
      <w:rPr>
        <w:rFonts w:hint="default"/>
        <w:lang w:val="en-US" w:eastAsia="en-US" w:bidi="en-US"/>
      </w:rPr>
    </w:lvl>
    <w:lvl w:ilvl="7" w:tplc="51E0836C">
      <w:numFmt w:val="bullet"/>
      <w:lvlText w:val="•"/>
      <w:lvlJc w:val="left"/>
      <w:pPr>
        <w:ind w:left="6686" w:hanging="360"/>
      </w:pPr>
      <w:rPr>
        <w:rFonts w:hint="default"/>
        <w:lang w:val="en-US" w:eastAsia="en-US" w:bidi="en-US"/>
      </w:rPr>
    </w:lvl>
    <w:lvl w:ilvl="8" w:tplc="4DA65A46">
      <w:numFmt w:val="bullet"/>
      <w:lvlText w:val="•"/>
      <w:lvlJc w:val="left"/>
      <w:pPr>
        <w:ind w:left="7664" w:hanging="360"/>
      </w:pPr>
      <w:rPr>
        <w:rFonts w:hint="default"/>
        <w:lang w:val="en-US" w:eastAsia="en-US" w:bidi="en-US"/>
      </w:rPr>
    </w:lvl>
  </w:abstractNum>
  <w:abstractNum w:abstractNumId="4">
    <w:nsid w:val="2F644567"/>
    <w:multiLevelType w:val="hybridMultilevel"/>
    <w:tmpl w:val="6512C11A"/>
    <w:lvl w:ilvl="0" w:tplc="965A60C4">
      <w:numFmt w:val="bullet"/>
      <w:lvlText w:val=""/>
      <w:lvlJc w:val="left"/>
      <w:pPr>
        <w:ind w:left="1247" w:hanging="428"/>
      </w:pPr>
      <w:rPr>
        <w:rFonts w:ascii="Symbol" w:eastAsia="Symbol" w:hAnsi="Symbol" w:cs="Symbol" w:hint="default"/>
        <w:w w:val="100"/>
        <w:sz w:val="22"/>
        <w:szCs w:val="22"/>
        <w:lang w:val="en-US" w:eastAsia="en-US" w:bidi="en-US"/>
      </w:rPr>
    </w:lvl>
    <w:lvl w:ilvl="1" w:tplc="AF7256DA">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tplc="6FBE48E0">
      <w:numFmt w:val="bullet"/>
      <w:lvlText w:val="•"/>
      <w:lvlJc w:val="left"/>
      <w:pPr>
        <w:ind w:left="2511" w:hanging="360"/>
      </w:pPr>
      <w:rPr>
        <w:rFonts w:hint="default"/>
        <w:lang w:val="en-US" w:eastAsia="en-US" w:bidi="en-US"/>
      </w:rPr>
    </w:lvl>
    <w:lvl w:ilvl="3" w:tplc="4B58BCAA">
      <w:numFmt w:val="bullet"/>
      <w:lvlText w:val="•"/>
      <w:lvlJc w:val="left"/>
      <w:pPr>
        <w:ind w:left="3482" w:hanging="360"/>
      </w:pPr>
      <w:rPr>
        <w:rFonts w:hint="default"/>
        <w:lang w:val="en-US" w:eastAsia="en-US" w:bidi="en-US"/>
      </w:rPr>
    </w:lvl>
    <w:lvl w:ilvl="4" w:tplc="76D89644">
      <w:numFmt w:val="bullet"/>
      <w:lvlText w:val="•"/>
      <w:lvlJc w:val="left"/>
      <w:pPr>
        <w:ind w:left="4453" w:hanging="360"/>
      </w:pPr>
      <w:rPr>
        <w:rFonts w:hint="default"/>
        <w:lang w:val="en-US" w:eastAsia="en-US" w:bidi="en-US"/>
      </w:rPr>
    </w:lvl>
    <w:lvl w:ilvl="5" w:tplc="5364A094">
      <w:numFmt w:val="bullet"/>
      <w:lvlText w:val="•"/>
      <w:lvlJc w:val="left"/>
      <w:pPr>
        <w:ind w:left="5424" w:hanging="360"/>
      </w:pPr>
      <w:rPr>
        <w:rFonts w:hint="default"/>
        <w:lang w:val="en-US" w:eastAsia="en-US" w:bidi="en-US"/>
      </w:rPr>
    </w:lvl>
    <w:lvl w:ilvl="6" w:tplc="FAA8C8E6">
      <w:numFmt w:val="bullet"/>
      <w:lvlText w:val="•"/>
      <w:lvlJc w:val="left"/>
      <w:pPr>
        <w:ind w:left="6395" w:hanging="360"/>
      </w:pPr>
      <w:rPr>
        <w:rFonts w:hint="default"/>
        <w:lang w:val="en-US" w:eastAsia="en-US" w:bidi="en-US"/>
      </w:rPr>
    </w:lvl>
    <w:lvl w:ilvl="7" w:tplc="B7D87394">
      <w:numFmt w:val="bullet"/>
      <w:lvlText w:val="•"/>
      <w:lvlJc w:val="left"/>
      <w:pPr>
        <w:ind w:left="7366" w:hanging="360"/>
      </w:pPr>
      <w:rPr>
        <w:rFonts w:hint="default"/>
        <w:lang w:val="en-US" w:eastAsia="en-US" w:bidi="en-US"/>
      </w:rPr>
    </w:lvl>
    <w:lvl w:ilvl="8" w:tplc="555C4578">
      <w:numFmt w:val="bullet"/>
      <w:lvlText w:val="•"/>
      <w:lvlJc w:val="left"/>
      <w:pPr>
        <w:ind w:left="8337" w:hanging="360"/>
      </w:pPr>
      <w:rPr>
        <w:rFonts w:hint="default"/>
        <w:lang w:val="en-US" w:eastAsia="en-US" w:bidi="en-US"/>
      </w:rPr>
    </w:lvl>
  </w:abstractNum>
  <w:abstractNum w:abstractNumId="5">
    <w:nsid w:val="392B754E"/>
    <w:multiLevelType w:val="hybridMultilevel"/>
    <w:tmpl w:val="20D84F18"/>
    <w:lvl w:ilvl="0" w:tplc="CD0E0E7C">
      <w:numFmt w:val="bullet"/>
      <w:lvlText w:val=""/>
      <w:lvlJc w:val="left"/>
      <w:pPr>
        <w:ind w:left="527" w:hanging="428"/>
      </w:pPr>
      <w:rPr>
        <w:rFonts w:hint="default"/>
        <w:w w:val="100"/>
        <w:lang w:val="en-US" w:eastAsia="en-US" w:bidi="en-US"/>
      </w:rPr>
    </w:lvl>
    <w:lvl w:ilvl="1" w:tplc="E6A27CC4">
      <w:numFmt w:val="bullet"/>
      <w:lvlText w:val=""/>
      <w:lvlJc w:val="left"/>
      <w:pPr>
        <w:ind w:left="820" w:hanging="360"/>
      </w:pPr>
      <w:rPr>
        <w:rFonts w:ascii="Symbol" w:eastAsia="Symbol" w:hAnsi="Symbol" w:cs="Symbol" w:hint="default"/>
        <w:w w:val="100"/>
        <w:sz w:val="22"/>
        <w:szCs w:val="22"/>
        <w:lang w:val="en-US" w:eastAsia="en-US" w:bidi="en-US"/>
      </w:rPr>
    </w:lvl>
    <w:lvl w:ilvl="2" w:tplc="C9DEFE64">
      <w:numFmt w:val="bullet"/>
      <w:lvlText w:val="•"/>
      <w:lvlJc w:val="left"/>
      <w:pPr>
        <w:ind w:left="1871" w:hanging="360"/>
      </w:pPr>
      <w:rPr>
        <w:rFonts w:hint="default"/>
        <w:lang w:val="en-US" w:eastAsia="en-US" w:bidi="en-US"/>
      </w:rPr>
    </w:lvl>
    <w:lvl w:ilvl="3" w:tplc="D05C0C3E">
      <w:numFmt w:val="bullet"/>
      <w:lvlText w:val="•"/>
      <w:lvlJc w:val="left"/>
      <w:pPr>
        <w:ind w:left="2922" w:hanging="360"/>
      </w:pPr>
      <w:rPr>
        <w:rFonts w:hint="default"/>
        <w:lang w:val="en-US" w:eastAsia="en-US" w:bidi="en-US"/>
      </w:rPr>
    </w:lvl>
    <w:lvl w:ilvl="4" w:tplc="EE48E3AE">
      <w:numFmt w:val="bullet"/>
      <w:lvlText w:val="•"/>
      <w:lvlJc w:val="left"/>
      <w:pPr>
        <w:ind w:left="3973" w:hanging="360"/>
      </w:pPr>
      <w:rPr>
        <w:rFonts w:hint="default"/>
        <w:lang w:val="en-US" w:eastAsia="en-US" w:bidi="en-US"/>
      </w:rPr>
    </w:lvl>
    <w:lvl w:ilvl="5" w:tplc="0F1858E0">
      <w:numFmt w:val="bullet"/>
      <w:lvlText w:val="•"/>
      <w:lvlJc w:val="left"/>
      <w:pPr>
        <w:ind w:left="5024" w:hanging="360"/>
      </w:pPr>
      <w:rPr>
        <w:rFonts w:hint="default"/>
        <w:lang w:val="en-US" w:eastAsia="en-US" w:bidi="en-US"/>
      </w:rPr>
    </w:lvl>
    <w:lvl w:ilvl="6" w:tplc="DEC00186">
      <w:numFmt w:val="bullet"/>
      <w:lvlText w:val="•"/>
      <w:lvlJc w:val="left"/>
      <w:pPr>
        <w:ind w:left="6075" w:hanging="360"/>
      </w:pPr>
      <w:rPr>
        <w:rFonts w:hint="default"/>
        <w:lang w:val="en-US" w:eastAsia="en-US" w:bidi="en-US"/>
      </w:rPr>
    </w:lvl>
    <w:lvl w:ilvl="7" w:tplc="DBAAAAD2">
      <w:numFmt w:val="bullet"/>
      <w:lvlText w:val="•"/>
      <w:lvlJc w:val="left"/>
      <w:pPr>
        <w:ind w:left="7126" w:hanging="360"/>
      </w:pPr>
      <w:rPr>
        <w:rFonts w:hint="default"/>
        <w:lang w:val="en-US" w:eastAsia="en-US" w:bidi="en-US"/>
      </w:rPr>
    </w:lvl>
    <w:lvl w:ilvl="8" w:tplc="B18A940C">
      <w:numFmt w:val="bullet"/>
      <w:lvlText w:val="•"/>
      <w:lvlJc w:val="left"/>
      <w:pPr>
        <w:ind w:left="8177" w:hanging="360"/>
      </w:pPr>
      <w:rPr>
        <w:rFonts w:hint="default"/>
        <w:lang w:val="en-US" w:eastAsia="en-US" w:bidi="en-US"/>
      </w:rPr>
    </w:lvl>
  </w:abstractNum>
  <w:abstractNum w:abstractNumId="6">
    <w:nsid w:val="44000293"/>
    <w:multiLevelType w:val="hybridMultilevel"/>
    <w:tmpl w:val="04E06D64"/>
    <w:lvl w:ilvl="0" w:tplc="FE2C8B26">
      <w:numFmt w:val="bullet"/>
      <w:lvlText w:val=""/>
      <w:lvlJc w:val="left"/>
      <w:pPr>
        <w:ind w:left="1247" w:hanging="428"/>
      </w:pPr>
      <w:rPr>
        <w:rFonts w:ascii="Symbol" w:eastAsia="Symbol" w:hAnsi="Symbol" w:cs="Symbol" w:hint="default"/>
        <w:w w:val="100"/>
        <w:sz w:val="22"/>
        <w:szCs w:val="22"/>
        <w:lang w:val="en-US" w:eastAsia="en-US" w:bidi="en-US"/>
      </w:rPr>
    </w:lvl>
    <w:lvl w:ilvl="1" w:tplc="DD0CD488">
      <w:numFmt w:val="bullet"/>
      <w:lvlText w:val="•"/>
      <w:lvlJc w:val="left"/>
      <w:pPr>
        <w:ind w:left="2144" w:hanging="428"/>
      </w:pPr>
      <w:rPr>
        <w:rFonts w:hint="default"/>
        <w:lang w:val="en-US" w:eastAsia="en-US" w:bidi="en-US"/>
      </w:rPr>
    </w:lvl>
    <w:lvl w:ilvl="2" w:tplc="10BEA676">
      <w:numFmt w:val="bullet"/>
      <w:lvlText w:val="•"/>
      <w:lvlJc w:val="left"/>
      <w:pPr>
        <w:ind w:left="3048" w:hanging="428"/>
      </w:pPr>
      <w:rPr>
        <w:rFonts w:hint="default"/>
        <w:lang w:val="en-US" w:eastAsia="en-US" w:bidi="en-US"/>
      </w:rPr>
    </w:lvl>
    <w:lvl w:ilvl="3" w:tplc="6812F634">
      <w:numFmt w:val="bullet"/>
      <w:lvlText w:val="•"/>
      <w:lvlJc w:val="left"/>
      <w:pPr>
        <w:ind w:left="3952" w:hanging="428"/>
      </w:pPr>
      <w:rPr>
        <w:rFonts w:hint="default"/>
        <w:lang w:val="en-US" w:eastAsia="en-US" w:bidi="en-US"/>
      </w:rPr>
    </w:lvl>
    <w:lvl w:ilvl="4" w:tplc="CED2F460">
      <w:numFmt w:val="bullet"/>
      <w:lvlText w:val="•"/>
      <w:lvlJc w:val="left"/>
      <w:pPr>
        <w:ind w:left="4856" w:hanging="428"/>
      </w:pPr>
      <w:rPr>
        <w:rFonts w:hint="default"/>
        <w:lang w:val="en-US" w:eastAsia="en-US" w:bidi="en-US"/>
      </w:rPr>
    </w:lvl>
    <w:lvl w:ilvl="5" w:tplc="D256B6A8">
      <w:numFmt w:val="bullet"/>
      <w:lvlText w:val="•"/>
      <w:lvlJc w:val="left"/>
      <w:pPr>
        <w:ind w:left="5760" w:hanging="428"/>
      </w:pPr>
      <w:rPr>
        <w:rFonts w:hint="default"/>
        <w:lang w:val="en-US" w:eastAsia="en-US" w:bidi="en-US"/>
      </w:rPr>
    </w:lvl>
    <w:lvl w:ilvl="6" w:tplc="D08AFF46">
      <w:numFmt w:val="bullet"/>
      <w:lvlText w:val="•"/>
      <w:lvlJc w:val="left"/>
      <w:pPr>
        <w:ind w:left="6664" w:hanging="428"/>
      </w:pPr>
      <w:rPr>
        <w:rFonts w:hint="default"/>
        <w:lang w:val="en-US" w:eastAsia="en-US" w:bidi="en-US"/>
      </w:rPr>
    </w:lvl>
    <w:lvl w:ilvl="7" w:tplc="AA6EBBEE">
      <w:numFmt w:val="bullet"/>
      <w:lvlText w:val="•"/>
      <w:lvlJc w:val="left"/>
      <w:pPr>
        <w:ind w:left="7568" w:hanging="428"/>
      </w:pPr>
      <w:rPr>
        <w:rFonts w:hint="default"/>
        <w:lang w:val="en-US" w:eastAsia="en-US" w:bidi="en-US"/>
      </w:rPr>
    </w:lvl>
    <w:lvl w:ilvl="8" w:tplc="152EC4B2">
      <w:numFmt w:val="bullet"/>
      <w:lvlText w:val="•"/>
      <w:lvlJc w:val="left"/>
      <w:pPr>
        <w:ind w:left="8472" w:hanging="428"/>
      </w:pPr>
      <w:rPr>
        <w:rFonts w:hint="default"/>
        <w:lang w:val="en-US" w:eastAsia="en-US" w:bidi="en-US"/>
      </w:rPr>
    </w:lvl>
  </w:abstractNum>
  <w:abstractNum w:abstractNumId="7">
    <w:nsid w:val="70787CAF"/>
    <w:multiLevelType w:val="hybridMultilevel"/>
    <w:tmpl w:val="5296977A"/>
    <w:lvl w:ilvl="0" w:tplc="76507F5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1544E5"/>
    <w:multiLevelType w:val="hybridMultilevel"/>
    <w:tmpl w:val="F5042DE4"/>
    <w:lvl w:ilvl="0" w:tplc="E59ADAA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1"/>
  </w:num>
  <w:num w:numId="6">
    <w:abstractNumId w:val="3"/>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9F"/>
    <w:rsid w:val="00003CB5"/>
    <w:rsid w:val="00014AD5"/>
    <w:rsid w:val="00054510"/>
    <w:rsid w:val="0005604D"/>
    <w:rsid w:val="00057214"/>
    <w:rsid w:val="000733F4"/>
    <w:rsid w:val="00073D60"/>
    <w:rsid w:val="000745BE"/>
    <w:rsid w:val="00075D61"/>
    <w:rsid w:val="00076578"/>
    <w:rsid w:val="00084CFD"/>
    <w:rsid w:val="00091C3E"/>
    <w:rsid w:val="000C319E"/>
    <w:rsid w:val="000D477C"/>
    <w:rsid w:val="00114204"/>
    <w:rsid w:val="00155E38"/>
    <w:rsid w:val="0016326C"/>
    <w:rsid w:val="00190D03"/>
    <w:rsid w:val="001B1AA4"/>
    <w:rsid w:val="001C69E2"/>
    <w:rsid w:val="001D5274"/>
    <w:rsid w:val="001E17E8"/>
    <w:rsid w:val="001E546A"/>
    <w:rsid w:val="001E6B34"/>
    <w:rsid w:val="00200368"/>
    <w:rsid w:val="00201E9A"/>
    <w:rsid w:val="00220386"/>
    <w:rsid w:val="00225097"/>
    <w:rsid w:val="00236539"/>
    <w:rsid w:val="0024256F"/>
    <w:rsid w:val="00247D29"/>
    <w:rsid w:val="0026670F"/>
    <w:rsid w:val="002768C3"/>
    <w:rsid w:val="002931FC"/>
    <w:rsid w:val="00295D0C"/>
    <w:rsid w:val="002A2A52"/>
    <w:rsid w:val="002B155D"/>
    <w:rsid w:val="002B30C7"/>
    <w:rsid w:val="002F48F0"/>
    <w:rsid w:val="003030AB"/>
    <w:rsid w:val="003150D9"/>
    <w:rsid w:val="00334647"/>
    <w:rsid w:val="00335C9F"/>
    <w:rsid w:val="003445E5"/>
    <w:rsid w:val="00352C93"/>
    <w:rsid w:val="00355614"/>
    <w:rsid w:val="0036478B"/>
    <w:rsid w:val="00376F59"/>
    <w:rsid w:val="003B1EAB"/>
    <w:rsid w:val="003C105F"/>
    <w:rsid w:val="003C5E14"/>
    <w:rsid w:val="003F5740"/>
    <w:rsid w:val="00405F33"/>
    <w:rsid w:val="004171A6"/>
    <w:rsid w:val="00436746"/>
    <w:rsid w:val="00467BFD"/>
    <w:rsid w:val="00472774"/>
    <w:rsid w:val="00480D1C"/>
    <w:rsid w:val="00492EBE"/>
    <w:rsid w:val="0049317C"/>
    <w:rsid w:val="004A2606"/>
    <w:rsid w:val="004A58B6"/>
    <w:rsid w:val="004A7494"/>
    <w:rsid w:val="004E0667"/>
    <w:rsid w:val="004F52B0"/>
    <w:rsid w:val="00510816"/>
    <w:rsid w:val="00527733"/>
    <w:rsid w:val="00531870"/>
    <w:rsid w:val="005353A4"/>
    <w:rsid w:val="00540FCA"/>
    <w:rsid w:val="00552140"/>
    <w:rsid w:val="00555D6F"/>
    <w:rsid w:val="00557DFC"/>
    <w:rsid w:val="005C15F2"/>
    <w:rsid w:val="005C1690"/>
    <w:rsid w:val="005C415C"/>
    <w:rsid w:val="005C5370"/>
    <w:rsid w:val="005D7F28"/>
    <w:rsid w:val="005E5841"/>
    <w:rsid w:val="005F027C"/>
    <w:rsid w:val="005F7B8F"/>
    <w:rsid w:val="00600F85"/>
    <w:rsid w:val="006051E7"/>
    <w:rsid w:val="006056AE"/>
    <w:rsid w:val="00612885"/>
    <w:rsid w:val="00633884"/>
    <w:rsid w:val="00636F5F"/>
    <w:rsid w:val="00642256"/>
    <w:rsid w:val="00681CA2"/>
    <w:rsid w:val="0068686C"/>
    <w:rsid w:val="006A62B4"/>
    <w:rsid w:val="006A67CA"/>
    <w:rsid w:val="006C4594"/>
    <w:rsid w:val="006D25C9"/>
    <w:rsid w:val="006F684D"/>
    <w:rsid w:val="00700B25"/>
    <w:rsid w:val="00711933"/>
    <w:rsid w:val="00714253"/>
    <w:rsid w:val="00750943"/>
    <w:rsid w:val="00765458"/>
    <w:rsid w:val="00774A7E"/>
    <w:rsid w:val="00783CD5"/>
    <w:rsid w:val="0078656A"/>
    <w:rsid w:val="007A73E3"/>
    <w:rsid w:val="007A79C1"/>
    <w:rsid w:val="007B7AD6"/>
    <w:rsid w:val="007E6C86"/>
    <w:rsid w:val="007F677D"/>
    <w:rsid w:val="008164A5"/>
    <w:rsid w:val="008273D6"/>
    <w:rsid w:val="00860589"/>
    <w:rsid w:val="008A02E1"/>
    <w:rsid w:val="008B7028"/>
    <w:rsid w:val="008C2D91"/>
    <w:rsid w:val="008C5779"/>
    <w:rsid w:val="008D085F"/>
    <w:rsid w:val="008D6E00"/>
    <w:rsid w:val="008D71D1"/>
    <w:rsid w:val="008E274E"/>
    <w:rsid w:val="008E6ECB"/>
    <w:rsid w:val="008F14DD"/>
    <w:rsid w:val="008F3D93"/>
    <w:rsid w:val="008F7688"/>
    <w:rsid w:val="00904991"/>
    <w:rsid w:val="00916A09"/>
    <w:rsid w:val="0096581A"/>
    <w:rsid w:val="009766E8"/>
    <w:rsid w:val="00982701"/>
    <w:rsid w:val="0099610B"/>
    <w:rsid w:val="009A7B52"/>
    <w:rsid w:val="009B7FE2"/>
    <w:rsid w:val="009C2CB5"/>
    <w:rsid w:val="009C5456"/>
    <w:rsid w:val="009E1BCC"/>
    <w:rsid w:val="009F0A05"/>
    <w:rsid w:val="009F31E7"/>
    <w:rsid w:val="009F5E34"/>
    <w:rsid w:val="00A03623"/>
    <w:rsid w:val="00A40469"/>
    <w:rsid w:val="00A47402"/>
    <w:rsid w:val="00A567D5"/>
    <w:rsid w:val="00AB55B3"/>
    <w:rsid w:val="00AD4A8B"/>
    <w:rsid w:val="00AE4994"/>
    <w:rsid w:val="00AF4350"/>
    <w:rsid w:val="00AF474E"/>
    <w:rsid w:val="00B016A2"/>
    <w:rsid w:val="00B16455"/>
    <w:rsid w:val="00B4061B"/>
    <w:rsid w:val="00B41D9A"/>
    <w:rsid w:val="00B57C38"/>
    <w:rsid w:val="00B70318"/>
    <w:rsid w:val="00B74237"/>
    <w:rsid w:val="00B92428"/>
    <w:rsid w:val="00BB031D"/>
    <w:rsid w:val="00BC6E18"/>
    <w:rsid w:val="00BD0C9D"/>
    <w:rsid w:val="00BD72E7"/>
    <w:rsid w:val="00BE71D2"/>
    <w:rsid w:val="00C03906"/>
    <w:rsid w:val="00C075D8"/>
    <w:rsid w:val="00C23FCA"/>
    <w:rsid w:val="00C333B2"/>
    <w:rsid w:val="00C3780B"/>
    <w:rsid w:val="00C40E1F"/>
    <w:rsid w:val="00C4452A"/>
    <w:rsid w:val="00C50ED2"/>
    <w:rsid w:val="00C517DE"/>
    <w:rsid w:val="00C552D6"/>
    <w:rsid w:val="00C731BD"/>
    <w:rsid w:val="00CA2E47"/>
    <w:rsid w:val="00CA6475"/>
    <w:rsid w:val="00CB4D39"/>
    <w:rsid w:val="00CD32C7"/>
    <w:rsid w:val="00CE1E52"/>
    <w:rsid w:val="00CE5011"/>
    <w:rsid w:val="00CE61B5"/>
    <w:rsid w:val="00D16E8B"/>
    <w:rsid w:val="00D230A8"/>
    <w:rsid w:val="00D43B2A"/>
    <w:rsid w:val="00D52C66"/>
    <w:rsid w:val="00D763A9"/>
    <w:rsid w:val="00D868D8"/>
    <w:rsid w:val="00D9337C"/>
    <w:rsid w:val="00D96A11"/>
    <w:rsid w:val="00DA35B3"/>
    <w:rsid w:val="00DA629F"/>
    <w:rsid w:val="00DA6410"/>
    <w:rsid w:val="00DB04B4"/>
    <w:rsid w:val="00DB6B00"/>
    <w:rsid w:val="00DC2FCD"/>
    <w:rsid w:val="00DD1961"/>
    <w:rsid w:val="00DF307C"/>
    <w:rsid w:val="00E04B2B"/>
    <w:rsid w:val="00E06CE1"/>
    <w:rsid w:val="00E11AC1"/>
    <w:rsid w:val="00E162D6"/>
    <w:rsid w:val="00E170A7"/>
    <w:rsid w:val="00E22791"/>
    <w:rsid w:val="00E26D1D"/>
    <w:rsid w:val="00E6158F"/>
    <w:rsid w:val="00E65242"/>
    <w:rsid w:val="00E72952"/>
    <w:rsid w:val="00E73A41"/>
    <w:rsid w:val="00EC773E"/>
    <w:rsid w:val="00EE7F53"/>
    <w:rsid w:val="00F02B07"/>
    <w:rsid w:val="00F11218"/>
    <w:rsid w:val="00F34C29"/>
    <w:rsid w:val="00F45D9A"/>
    <w:rsid w:val="00F50385"/>
    <w:rsid w:val="00F62AAB"/>
    <w:rsid w:val="00F671AC"/>
    <w:rsid w:val="00F7392F"/>
    <w:rsid w:val="00F854E6"/>
    <w:rsid w:val="00F93D52"/>
    <w:rsid w:val="00F94088"/>
    <w:rsid w:val="00FA0B7B"/>
    <w:rsid w:val="00FA2E12"/>
    <w:rsid w:val="00FA53CC"/>
    <w:rsid w:val="00FB0C92"/>
    <w:rsid w:val="00FE4058"/>
    <w:rsid w:val="00FE704E"/>
    <w:rsid w:val="00FF5916"/>
    <w:rsid w:val="3D825622"/>
    <w:rsid w:val="4C99B01F"/>
    <w:rsid w:val="4E2D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38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A47402"/>
    <w:pPr>
      <w:widowControl w:val="0"/>
      <w:autoSpaceDE w:val="0"/>
      <w:autoSpaceDN w:val="0"/>
      <w:spacing w:after="0" w:line="240" w:lineRule="auto"/>
      <w:ind w:left="100" w:hanging="360"/>
      <w:outlineLvl w:val="0"/>
    </w:pPr>
    <w:rPr>
      <w:rFonts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47402"/>
    <w:rPr>
      <w:rFonts w:ascii="Calibri" w:eastAsia="Calibri" w:hAnsi="Calibri" w:cs="Calibri"/>
      <w:b/>
      <w:bCs/>
      <w:lang w:bidi="en-US"/>
    </w:rPr>
  </w:style>
  <w:style w:type="paragraph" w:styleId="BodyText">
    <w:name w:val="Body Text"/>
    <w:basedOn w:val="Normal"/>
    <w:link w:val="BodyTextChar"/>
    <w:uiPriority w:val="1"/>
    <w:qFormat/>
    <w:rsid w:val="00A47402"/>
    <w:pPr>
      <w:widowControl w:val="0"/>
      <w:autoSpaceDE w:val="0"/>
      <w:autoSpaceDN w:val="0"/>
      <w:spacing w:after="0" w:line="240" w:lineRule="auto"/>
    </w:pPr>
    <w:rPr>
      <w:rFonts w:cs="Calibri"/>
      <w:lang w:bidi="en-US"/>
    </w:rPr>
  </w:style>
  <w:style w:type="character" w:customStyle="1" w:styleId="BodyTextChar">
    <w:name w:val="Body Text Char"/>
    <w:link w:val="BodyText"/>
    <w:uiPriority w:val="1"/>
    <w:rsid w:val="00A47402"/>
    <w:rPr>
      <w:rFonts w:ascii="Calibri" w:eastAsia="Calibri" w:hAnsi="Calibri" w:cs="Calibri"/>
      <w:lang w:bidi="en-US"/>
    </w:rPr>
  </w:style>
  <w:style w:type="paragraph" w:styleId="ListParagraph">
    <w:name w:val="List Paragraph"/>
    <w:basedOn w:val="Normal"/>
    <w:uiPriority w:val="1"/>
    <w:qFormat/>
    <w:rsid w:val="00A47402"/>
    <w:pPr>
      <w:widowControl w:val="0"/>
      <w:autoSpaceDE w:val="0"/>
      <w:autoSpaceDN w:val="0"/>
      <w:spacing w:after="0" w:line="240" w:lineRule="auto"/>
      <w:ind w:left="1540" w:hanging="360"/>
    </w:pPr>
    <w:rPr>
      <w:rFonts w:cs="Calibri"/>
      <w:lang w:bidi="en-US"/>
    </w:rPr>
  </w:style>
  <w:style w:type="paragraph" w:customStyle="1" w:styleId="TableParagraph">
    <w:name w:val="Table Paragraph"/>
    <w:basedOn w:val="Normal"/>
    <w:uiPriority w:val="1"/>
    <w:qFormat/>
    <w:rsid w:val="00A47402"/>
    <w:pPr>
      <w:widowControl w:val="0"/>
      <w:autoSpaceDE w:val="0"/>
      <w:autoSpaceDN w:val="0"/>
      <w:spacing w:before="1" w:after="0" w:line="240" w:lineRule="auto"/>
      <w:ind w:left="104"/>
    </w:pPr>
    <w:rPr>
      <w:rFonts w:cs="Calibri"/>
      <w:lang w:bidi="en-US"/>
    </w:rPr>
  </w:style>
  <w:style w:type="paragraph" w:styleId="BalloonText">
    <w:name w:val="Balloon Text"/>
    <w:basedOn w:val="Normal"/>
    <w:link w:val="BalloonTextChar"/>
    <w:uiPriority w:val="99"/>
    <w:semiHidden/>
    <w:unhideWhenUsed/>
    <w:rsid w:val="00A47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7402"/>
    <w:rPr>
      <w:rFonts w:ascii="Tahoma" w:hAnsi="Tahoma" w:cs="Tahoma"/>
      <w:sz w:val="16"/>
      <w:szCs w:val="16"/>
    </w:rPr>
  </w:style>
  <w:style w:type="paragraph" w:styleId="Header">
    <w:name w:val="header"/>
    <w:basedOn w:val="Normal"/>
    <w:link w:val="HeaderChar"/>
    <w:uiPriority w:val="99"/>
    <w:unhideWhenUsed/>
    <w:rsid w:val="00A47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402"/>
  </w:style>
  <w:style w:type="paragraph" w:styleId="Footer">
    <w:name w:val="footer"/>
    <w:basedOn w:val="Normal"/>
    <w:link w:val="FooterChar"/>
    <w:uiPriority w:val="99"/>
    <w:unhideWhenUsed/>
    <w:rsid w:val="00A4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402"/>
  </w:style>
  <w:style w:type="character" w:styleId="CommentReference">
    <w:name w:val="annotation reference"/>
    <w:uiPriority w:val="99"/>
    <w:semiHidden/>
    <w:unhideWhenUsed/>
    <w:rsid w:val="009A7B52"/>
    <w:rPr>
      <w:sz w:val="16"/>
      <w:szCs w:val="16"/>
    </w:rPr>
  </w:style>
  <w:style w:type="paragraph" w:styleId="CommentText">
    <w:name w:val="annotation text"/>
    <w:basedOn w:val="Normal"/>
    <w:link w:val="CommentTextChar"/>
    <w:uiPriority w:val="99"/>
    <w:unhideWhenUsed/>
    <w:rsid w:val="009A7B52"/>
    <w:pPr>
      <w:spacing w:line="240" w:lineRule="auto"/>
    </w:pPr>
    <w:rPr>
      <w:sz w:val="20"/>
      <w:szCs w:val="20"/>
    </w:rPr>
  </w:style>
  <w:style w:type="character" w:customStyle="1" w:styleId="CommentTextChar">
    <w:name w:val="Comment Text Char"/>
    <w:link w:val="CommentText"/>
    <w:uiPriority w:val="99"/>
    <w:rsid w:val="009A7B52"/>
    <w:rPr>
      <w:sz w:val="20"/>
      <w:szCs w:val="20"/>
    </w:rPr>
  </w:style>
  <w:style w:type="paragraph" w:styleId="CommentSubject">
    <w:name w:val="annotation subject"/>
    <w:basedOn w:val="CommentText"/>
    <w:next w:val="CommentText"/>
    <w:link w:val="CommentSubjectChar"/>
    <w:uiPriority w:val="99"/>
    <w:semiHidden/>
    <w:unhideWhenUsed/>
    <w:rsid w:val="009A7B52"/>
    <w:rPr>
      <w:b/>
      <w:bCs/>
    </w:rPr>
  </w:style>
  <w:style w:type="character" w:customStyle="1" w:styleId="CommentSubjectChar">
    <w:name w:val="Comment Subject Char"/>
    <w:link w:val="CommentSubject"/>
    <w:uiPriority w:val="99"/>
    <w:semiHidden/>
    <w:rsid w:val="009A7B52"/>
    <w:rPr>
      <w:b/>
      <w:bCs/>
      <w:sz w:val="20"/>
      <w:szCs w:val="20"/>
    </w:rPr>
  </w:style>
  <w:style w:type="character" w:styleId="Hyperlink">
    <w:name w:val="Hyperlink"/>
    <w:basedOn w:val="DefaultParagraphFont"/>
    <w:uiPriority w:val="99"/>
    <w:unhideWhenUsed/>
    <w:rsid w:val="00F02B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A47402"/>
    <w:pPr>
      <w:widowControl w:val="0"/>
      <w:autoSpaceDE w:val="0"/>
      <w:autoSpaceDN w:val="0"/>
      <w:spacing w:after="0" w:line="240" w:lineRule="auto"/>
      <w:ind w:left="100" w:hanging="360"/>
      <w:outlineLvl w:val="0"/>
    </w:pPr>
    <w:rPr>
      <w:rFonts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47402"/>
    <w:rPr>
      <w:rFonts w:ascii="Calibri" w:eastAsia="Calibri" w:hAnsi="Calibri" w:cs="Calibri"/>
      <w:b/>
      <w:bCs/>
      <w:lang w:bidi="en-US"/>
    </w:rPr>
  </w:style>
  <w:style w:type="paragraph" w:styleId="BodyText">
    <w:name w:val="Body Text"/>
    <w:basedOn w:val="Normal"/>
    <w:link w:val="BodyTextChar"/>
    <w:uiPriority w:val="1"/>
    <w:qFormat/>
    <w:rsid w:val="00A47402"/>
    <w:pPr>
      <w:widowControl w:val="0"/>
      <w:autoSpaceDE w:val="0"/>
      <w:autoSpaceDN w:val="0"/>
      <w:spacing w:after="0" w:line="240" w:lineRule="auto"/>
    </w:pPr>
    <w:rPr>
      <w:rFonts w:cs="Calibri"/>
      <w:lang w:bidi="en-US"/>
    </w:rPr>
  </w:style>
  <w:style w:type="character" w:customStyle="1" w:styleId="BodyTextChar">
    <w:name w:val="Body Text Char"/>
    <w:link w:val="BodyText"/>
    <w:uiPriority w:val="1"/>
    <w:rsid w:val="00A47402"/>
    <w:rPr>
      <w:rFonts w:ascii="Calibri" w:eastAsia="Calibri" w:hAnsi="Calibri" w:cs="Calibri"/>
      <w:lang w:bidi="en-US"/>
    </w:rPr>
  </w:style>
  <w:style w:type="paragraph" w:styleId="ListParagraph">
    <w:name w:val="List Paragraph"/>
    <w:basedOn w:val="Normal"/>
    <w:uiPriority w:val="1"/>
    <w:qFormat/>
    <w:rsid w:val="00A47402"/>
    <w:pPr>
      <w:widowControl w:val="0"/>
      <w:autoSpaceDE w:val="0"/>
      <w:autoSpaceDN w:val="0"/>
      <w:spacing w:after="0" w:line="240" w:lineRule="auto"/>
      <w:ind w:left="1540" w:hanging="360"/>
    </w:pPr>
    <w:rPr>
      <w:rFonts w:cs="Calibri"/>
      <w:lang w:bidi="en-US"/>
    </w:rPr>
  </w:style>
  <w:style w:type="paragraph" w:customStyle="1" w:styleId="TableParagraph">
    <w:name w:val="Table Paragraph"/>
    <w:basedOn w:val="Normal"/>
    <w:uiPriority w:val="1"/>
    <w:qFormat/>
    <w:rsid w:val="00A47402"/>
    <w:pPr>
      <w:widowControl w:val="0"/>
      <w:autoSpaceDE w:val="0"/>
      <w:autoSpaceDN w:val="0"/>
      <w:spacing w:before="1" w:after="0" w:line="240" w:lineRule="auto"/>
      <w:ind w:left="104"/>
    </w:pPr>
    <w:rPr>
      <w:rFonts w:cs="Calibri"/>
      <w:lang w:bidi="en-US"/>
    </w:rPr>
  </w:style>
  <w:style w:type="paragraph" w:styleId="BalloonText">
    <w:name w:val="Balloon Text"/>
    <w:basedOn w:val="Normal"/>
    <w:link w:val="BalloonTextChar"/>
    <w:uiPriority w:val="99"/>
    <w:semiHidden/>
    <w:unhideWhenUsed/>
    <w:rsid w:val="00A47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7402"/>
    <w:rPr>
      <w:rFonts w:ascii="Tahoma" w:hAnsi="Tahoma" w:cs="Tahoma"/>
      <w:sz w:val="16"/>
      <w:szCs w:val="16"/>
    </w:rPr>
  </w:style>
  <w:style w:type="paragraph" w:styleId="Header">
    <w:name w:val="header"/>
    <w:basedOn w:val="Normal"/>
    <w:link w:val="HeaderChar"/>
    <w:uiPriority w:val="99"/>
    <w:unhideWhenUsed/>
    <w:rsid w:val="00A47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402"/>
  </w:style>
  <w:style w:type="paragraph" w:styleId="Footer">
    <w:name w:val="footer"/>
    <w:basedOn w:val="Normal"/>
    <w:link w:val="FooterChar"/>
    <w:uiPriority w:val="99"/>
    <w:unhideWhenUsed/>
    <w:rsid w:val="00A4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402"/>
  </w:style>
  <w:style w:type="character" w:styleId="CommentReference">
    <w:name w:val="annotation reference"/>
    <w:uiPriority w:val="99"/>
    <w:semiHidden/>
    <w:unhideWhenUsed/>
    <w:rsid w:val="009A7B52"/>
    <w:rPr>
      <w:sz w:val="16"/>
      <w:szCs w:val="16"/>
    </w:rPr>
  </w:style>
  <w:style w:type="paragraph" w:styleId="CommentText">
    <w:name w:val="annotation text"/>
    <w:basedOn w:val="Normal"/>
    <w:link w:val="CommentTextChar"/>
    <w:uiPriority w:val="99"/>
    <w:unhideWhenUsed/>
    <w:rsid w:val="009A7B52"/>
    <w:pPr>
      <w:spacing w:line="240" w:lineRule="auto"/>
    </w:pPr>
    <w:rPr>
      <w:sz w:val="20"/>
      <w:szCs w:val="20"/>
    </w:rPr>
  </w:style>
  <w:style w:type="character" w:customStyle="1" w:styleId="CommentTextChar">
    <w:name w:val="Comment Text Char"/>
    <w:link w:val="CommentText"/>
    <w:uiPriority w:val="99"/>
    <w:rsid w:val="009A7B52"/>
    <w:rPr>
      <w:sz w:val="20"/>
      <w:szCs w:val="20"/>
    </w:rPr>
  </w:style>
  <w:style w:type="paragraph" w:styleId="CommentSubject">
    <w:name w:val="annotation subject"/>
    <w:basedOn w:val="CommentText"/>
    <w:next w:val="CommentText"/>
    <w:link w:val="CommentSubjectChar"/>
    <w:uiPriority w:val="99"/>
    <w:semiHidden/>
    <w:unhideWhenUsed/>
    <w:rsid w:val="009A7B52"/>
    <w:rPr>
      <w:b/>
      <w:bCs/>
    </w:rPr>
  </w:style>
  <w:style w:type="character" w:customStyle="1" w:styleId="CommentSubjectChar">
    <w:name w:val="Comment Subject Char"/>
    <w:link w:val="CommentSubject"/>
    <w:uiPriority w:val="99"/>
    <w:semiHidden/>
    <w:rsid w:val="009A7B52"/>
    <w:rPr>
      <w:b/>
      <w:bCs/>
      <w:sz w:val="20"/>
      <w:szCs w:val="20"/>
    </w:rPr>
  </w:style>
  <w:style w:type="character" w:styleId="Hyperlink">
    <w:name w:val="Hyperlink"/>
    <w:basedOn w:val="DefaultParagraphFont"/>
    <w:uiPriority w:val="99"/>
    <w:unhideWhenUsed/>
    <w:rsid w:val="00F02B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588026">
      <w:bodyDiv w:val="1"/>
      <w:marLeft w:val="0"/>
      <w:marRight w:val="0"/>
      <w:marTop w:val="0"/>
      <w:marBottom w:val="0"/>
      <w:divBdr>
        <w:top w:val="none" w:sz="0" w:space="0" w:color="auto"/>
        <w:left w:val="none" w:sz="0" w:space="0" w:color="auto"/>
        <w:bottom w:val="none" w:sz="0" w:space="0" w:color="auto"/>
        <w:right w:val="none" w:sz="0" w:space="0" w:color="auto"/>
      </w:divBdr>
    </w:div>
    <w:div w:id="1958637305">
      <w:bodyDiv w:val="1"/>
      <w:marLeft w:val="0"/>
      <w:marRight w:val="0"/>
      <w:marTop w:val="0"/>
      <w:marBottom w:val="0"/>
      <w:divBdr>
        <w:top w:val="none" w:sz="0" w:space="0" w:color="auto"/>
        <w:left w:val="none" w:sz="0" w:space="0" w:color="auto"/>
        <w:bottom w:val="none" w:sz="0" w:space="0" w:color="auto"/>
        <w:right w:val="none" w:sz="0" w:space="0" w:color="auto"/>
      </w:divBdr>
      <w:divsChild>
        <w:div w:id="924144559">
          <w:marLeft w:val="0"/>
          <w:marRight w:val="0"/>
          <w:marTop w:val="0"/>
          <w:marBottom w:val="0"/>
          <w:divBdr>
            <w:top w:val="none" w:sz="0" w:space="0" w:color="auto"/>
            <w:left w:val="none" w:sz="0" w:space="0" w:color="auto"/>
            <w:bottom w:val="none" w:sz="0" w:space="0" w:color="auto"/>
            <w:right w:val="none" w:sz="0" w:space="0" w:color="auto"/>
          </w:divBdr>
        </w:div>
        <w:div w:id="1758361493">
          <w:marLeft w:val="0"/>
          <w:marRight w:val="0"/>
          <w:marTop w:val="0"/>
          <w:marBottom w:val="0"/>
          <w:divBdr>
            <w:top w:val="none" w:sz="0" w:space="0" w:color="auto"/>
            <w:left w:val="none" w:sz="0" w:space="0" w:color="auto"/>
            <w:bottom w:val="none" w:sz="0" w:space="0" w:color="auto"/>
            <w:right w:val="none" w:sz="0" w:space="0" w:color="auto"/>
          </w:divBdr>
          <w:divsChild>
            <w:div w:id="1930892599">
              <w:marLeft w:val="0"/>
              <w:marRight w:val="0"/>
              <w:marTop w:val="525"/>
              <w:marBottom w:val="0"/>
              <w:divBdr>
                <w:top w:val="none" w:sz="0" w:space="0" w:color="auto"/>
                <w:left w:val="none" w:sz="0" w:space="0" w:color="auto"/>
                <w:bottom w:val="none" w:sz="0" w:space="0" w:color="auto"/>
                <w:right w:val="none" w:sz="0" w:space="0" w:color="auto"/>
              </w:divBdr>
              <w:divsChild>
                <w:div w:id="189497286">
                  <w:marLeft w:val="0"/>
                  <w:marRight w:val="0"/>
                  <w:marTop w:val="150"/>
                  <w:marBottom w:val="0"/>
                  <w:divBdr>
                    <w:top w:val="none" w:sz="0" w:space="0" w:color="auto"/>
                    <w:left w:val="none" w:sz="0" w:space="0" w:color="auto"/>
                    <w:bottom w:val="none" w:sz="0" w:space="0" w:color="auto"/>
                    <w:right w:val="none" w:sz="0" w:space="0" w:color="auto"/>
                  </w:divBdr>
                  <w:divsChild>
                    <w:div w:id="3390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fcb171c-5eb6-4b7e-bff7-850b4441ed9e">
      <UserInfo>
        <DisplayName>Head, Sharon</DisplayName>
        <AccountId>75</AccountId>
        <AccountType/>
      </UserInfo>
      <UserInfo>
        <DisplayName>Figueroa, Jose</DisplayName>
        <AccountId>72</AccountId>
        <AccountType/>
      </UserInfo>
      <UserInfo>
        <DisplayName>Haigh, John</DisplayName>
        <AccountId>62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8" ma:contentTypeDescription="Create a new document." ma:contentTypeScope="" ma:versionID="5edcc2b8e749e3d4343ae27dbd6c9156">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a511fbf44c72472f603dec6584234af5"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3E5621-C7BB-4BCD-929A-745731C2C69C}">
  <ds:schemaRefs>
    <ds:schemaRef ds:uri="http://schemas.microsoft.com/office/2006/metadata/properties"/>
    <ds:schemaRef ds:uri="http://schemas.microsoft.com/office/infopath/2007/PartnerControls"/>
    <ds:schemaRef ds:uri="ffcb171c-5eb6-4b7e-bff7-850b4441ed9e"/>
  </ds:schemaRefs>
</ds:datastoreItem>
</file>

<file path=customXml/itemProps2.xml><?xml version="1.0" encoding="utf-8"?>
<ds:datastoreItem xmlns:ds="http://schemas.openxmlformats.org/officeDocument/2006/customXml" ds:itemID="{E8F70598-A04C-42C3-A9A3-BB246D6501AD}">
  <ds:schemaRefs>
    <ds:schemaRef ds:uri="http://schemas.microsoft.com/sharepoint/v3/contenttype/forms"/>
  </ds:schemaRefs>
</ds:datastoreItem>
</file>

<file path=customXml/itemProps3.xml><?xml version="1.0" encoding="utf-8"?>
<ds:datastoreItem xmlns:ds="http://schemas.openxmlformats.org/officeDocument/2006/customXml" ds:itemID="{5E4CDF8B-E8E0-4EA7-B246-8C486412A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4E0A3-E169-47F3-9AE6-85E15247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4460</Words>
  <Characters>25423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Goetz, Braden</dc:creator>
  <cp:lastModifiedBy>SYSTEM</cp:lastModifiedBy>
  <cp:revision>2</cp:revision>
  <cp:lastPrinted>2019-03-19T15:38:00Z</cp:lastPrinted>
  <dcterms:created xsi:type="dcterms:W3CDTF">2019-03-25T17:25:00Z</dcterms:created>
  <dcterms:modified xsi:type="dcterms:W3CDTF">2019-03-25T17:25:00Z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SharedWithUsers">
    <vt:lpwstr>75;#Head, Sharon;#72;#Figueroa, Jose;#62;#Haigh, John</vt:lpwstr>
  </property>
</Properties>
</file>