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809" w:rsidRDefault="00CC6F4B" w14:paraId="09DA77B5" w14:textId="777777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Supporting Statement for</w:t>
      </w:r>
    </w:p>
    <w:p w:rsidR="00D20809" w:rsidRDefault="00CC6F4B" w14:paraId="1D2F1653" w14:textId="77777777">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FERC-725G, </w:t>
      </w:r>
      <w:r>
        <w:rPr>
          <w:rFonts w:ascii="Times New Roman" w:hAnsi="Times New Roman" w:eastAsia="Times New Roman" w:cs="Times New Roman"/>
          <w:b/>
          <w:bCs/>
          <w:sz w:val="26"/>
          <w:szCs w:val="26"/>
        </w:rPr>
        <w:t>Mandatory Reliability Standards for the Bulk-Power System: PRC Standards, as modified by</w:t>
      </w:r>
    </w:p>
    <w:p w:rsidR="00D20809" w:rsidRDefault="00CC6F4B" w14:paraId="32783124" w14:textId="7777777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the Delegated Letter Order (DLO) in Docket No. RD20-1-000</w:t>
      </w:r>
    </w:p>
    <w:p w:rsidR="00D20809" w:rsidRDefault="00D20809" w14:paraId="4801F464" w14:textId="77777777">
      <w:pPr>
        <w:spacing w:after="0" w:line="240" w:lineRule="auto"/>
        <w:rPr>
          <w:rFonts w:ascii="Times New Roman" w:hAnsi="Times New Roman" w:cs="Times New Roman"/>
          <w:sz w:val="26"/>
          <w:szCs w:val="26"/>
        </w:rPr>
      </w:pPr>
    </w:p>
    <w:p w:rsidR="00D20809" w:rsidRDefault="00CC6F4B" w14:paraId="0E0970A8" w14:textId="77777777">
      <w:pPr>
        <w:spacing w:after="0" w:line="240" w:lineRule="auto"/>
        <w:rPr>
          <w:rFonts w:ascii="Times New Roman" w:hAnsi="Times New Roman" w:eastAsia="Times New Roman" w:cs="Times New Roman"/>
          <w:bCs/>
          <w:sz w:val="26"/>
          <w:szCs w:val="26"/>
        </w:rPr>
      </w:pPr>
      <w:r>
        <w:rPr>
          <w:rFonts w:ascii="Times New Roman" w:hAnsi="Times New Roman" w:cs="Times New Roman"/>
          <w:sz w:val="26"/>
          <w:szCs w:val="26"/>
        </w:rPr>
        <w:t xml:space="preserve">The Federal Energy Regulatory Commission (Commission or FERC) requests that the Office of Management and Budget (OMB) review and approve FERC-725G, </w:t>
      </w:r>
      <w:r>
        <w:rPr>
          <w:rFonts w:ascii="Times New Roman" w:hAnsi="Times New Roman" w:eastAsia="Times New Roman" w:cs="Times New Roman"/>
          <w:sz w:val="26"/>
          <w:szCs w:val="26"/>
        </w:rPr>
        <w:t>Mandatory Reliability Standards for the Bulk-Power System: PRC Standards</w:t>
      </w:r>
      <w:r>
        <w:rPr>
          <w:rFonts w:ascii="Times New Roman" w:hAnsi="Times New Roman" w:eastAsia="Times New Roman" w:cs="Times New Roman"/>
          <w:bCs/>
          <w:sz w:val="26"/>
          <w:szCs w:val="26"/>
        </w:rPr>
        <w:t xml:space="preserve"> under OMB Control Number 1902-0252.  FERC-725G is an existing data collection.</w:t>
      </w:r>
      <w:r>
        <w:t xml:space="preserve"> </w:t>
      </w:r>
      <w:r>
        <w:rPr>
          <w:rFonts w:ascii="Times New Roman" w:hAnsi="Times New Roman" w:eastAsia="Times New Roman" w:cs="Times New Roman"/>
          <w:bCs/>
          <w:sz w:val="26"/>
          <w:szCs w:val="26"/>
        </w:rPr>
        <w:t>Regional Reliability Standard PRC-006-NPCC-2 (Automatic Underfrequency Load-Shedding (UFLS)) will be included in FERC-725G at this time.</w:t>
      </w:r>
      <w:r>
        <w:rPr>
          <w:rStyle w:val="FootnoteReference"/>
          <w:rFonts w:ascii="Times New Roman" w:hAnsi="Times New Roman" w:eastAsia="Times New Roman" w:cs="Times New Roman"/>
          <w:bCs/>
          <w:sz w:val="26"/>
          <w:szCs w:val="26"/>
        </w:rPr>
        <w:footnoteReference w:id="2"/>
      </w:r>
    </w:p>
    <w:p w:rsidR="00D20809" w:rsidRDefault="00D20809" w14:paraId="1B3385B8" w14:textId="77777777">
      <w:pPr>
        <w:spacing w:after="0" w:line="240" w:lineRule="auto"/>
        <w:rPr>
          <w:rFonts w:ascii="Times New Roman" w:hAnsi="Times New Roman" w:eastAsia="Times New Roman" w:cs="Times New Roman"/>
          <w:bCs/>
          <w:sz w:val="26"/>
          <w:szCs w:val="26"/>
        </w:rPr>
      </w:pPr>
    </w:p>
    <w:p w:rsidR="00D20809" w:rsidRDefault="00CC6F4B" w14:paraId="229DAF86" w14:textId="77777777">
      <w:pPr>
        <w:spacing w:after="0" w:line="240" w:lineRule="auto"/>
        <w:rPr>
          <w:rFonts w:ascii="Times New Roman" w:hAnsi="Times New Roman" w:cs="Times New Roman"/>
          <w:sz w:val="26"/>
          <w:szCs w:val="26"/>
        </w:rPr>
      </w:pPr>
      <w:r>
        <w:rPr>
          <w:rFonts w:ascii="Times New Roman" w:hAnsi="Times New Roman" w:eastAsia="Times New Roman" w:cs="Times New Roman"/>
          <w:bCs/>
          <w:sz w:val="26"/>
          <w:szCs w:val="26"/>
        </w:rPr>
        <w:t>We are requesting the current OMB expiration date of</w:t>
      </w:r>
      <w:r>
        <w:t xml:space="preserve"> </w:t>
      </w:r>
      <w:r>
        <w:rPr>
          <w:rFonts w:ascii="Times New Roman" w:hAnsi="Times New Roman" w:eastAsia="Times New Roman" w:cs="Times New Roman"/>
          <w:bCs/>
          <w:sz w:val="26"/>
          <w:szCs w:val="26"/>
        </w:rPr>
        <w:t xml:space="preserve">8/31/2021. </w:t>
      </w:r>
    </w:p>
    <w:p w:rsidR="00D20809" w:rsidRDefault="00D20809" w14:paraId="16636CB1" w14:textId="77777777">
      <w:pPr>
        <w:spacing w:after="0" w:line="240" w:lineRule="auto"/>
        <w:rPr>
          <w:rFonts w:ascii="Times New Roman" w:hAnsi="Times New Roman" w:cs="Times New Roman"/>
          <w:sz w:val="26"/>
          <w:szCs w:val="26"/>
        </w:rPr>
      </w:pPr>
    </w:p>
    <w:p w:rsidR="00D20809" w:rsidRDefault="00D20809" w14:paraId="7F4D80F0" w14:textId="77777777">
      <w:pPr>
        <w:spacing w:after="0" w:line="240" w:lineRule="auto"/>
        <w:ind w:left="720"/>
        <w:rPr>
          <w:rFonts w:ascii="Times New Roman" w:hAnsi="Times New Roman" w:cs="Times New Roman"/>
          <w:sz w:val="26"/>
          <w:szCs w:val="26"/>
        </w:rPr>
      </w:pPr>
    </w:p>
    <w:p w:rsidR="00D20809" w:rsidRDefault="00CC6F4B" w14:paraId="5B5871B2" w14:textId="77777777">
      <w:pPr>
        <w:numPr>
          <w:ilvl w:val="0"/>
          <w:numId w:val="2"/>
        </w:numPr>
        <w:spacing w:after="0" w:line="240" w:lineRule="auto"/>
        <w:rPr>
          <w:rFonts w:ascii="Times New Roman" w:hAnsi="Times New Roman" w:cs="Times New Roman"/>
          <w:sz w:val="26"/>
          <w:szCs w:val="26"/>
        </w:rPr>
      </w:pPr>
      <w:r>
        <w:rPr>
          <w:rFonts w:ascii="Times New Roman" w:hAnsi="Times New Roman" w:cs="Times New Roman"/>
          <w:b/>
          <w:sz w:val="26"/>
          <w:szCs w:val="26"/>
        </w:rPr>
        <w:t>CIRCUMSTANCES THAT MAKE THE COLLECTION OF INFORMATION NECESSARY</w:t>
      </w:r>
    </w:p>
    <w:p w:rsidR="00D20809" w:rsidRDefault="00D20809" w14:paraId="6B0E92E7" w14:textId="77777777">
      <w:pPr>
        <w:spacing w:after="0" w:line="240" w:lineRule="auto"/>
        <w:rPr>
          <w:rFonts w:ascii="Times New Roman" w:hAnsi="Times New Roman" w:cs="Times New Roman"/>
          <w:b/>
          <w:sz w:val="26"/>
          <w:szCs w:val="26"/>
        </w:rPr>
      </w:pPr>
    </w:p>
    <w:p w:rsidR="00D20809" w:rsidRDefault="00CC6F4B" w14:paraId="29268E92" w14:textId="77777777">
      <w:pPr>
        <w:spacing w:after="0" w:line="240" w:lineRule="auto"/>
        <w:rPr>
          <w:rFonts w:ascii="Times New Roman" w:hAnsi="Times New Roman" w:cs="Times New Roman"/>
          <w:sz w:val="26"/>
          <w:szCs w:val="26"/>
        </w:rPr>
      </w:pPr>
      <w:bookmarkStart w:name="_Hlk41486816" w:id="0"/>
      <w:r>
        <w:rPr>
          <w:rFonts w:ascii="Times New Roman" w:hAnsi="Times New Roman" w:cs="Times New Roman"/>
          <w:sz w:val="26"/>
          <w:szCs w:val="26"/>
        </w:rPr>
        <w:t>On August 8, 2005, The Electricity Modernization Act of 2005, which is Title XII of the Energy Policy Act of 2005 (EPAct 2005), was enacted into law</w:t>
      </w:r>
      <w:r>
        <w:rPr>
          <w:rFonts w:ascii="Times New Roman" w:hAnsi="Times New Roman" w:cs="Times New Roman"/>
          <w:sz w:val="26"/>
          <w:szCs w:val="26"/>
          <w:vertAlign w:val="superscript"/>
        </w:rPr>
        <w:footnoteReference w:id="3"/>
      </w:r>
      <w:r>
        <w:rPr>
          <w:rFonts w:ascii="Times New Roman" w:hAnsi="Times New Roman" w:cs="Times New Roman"/>
          <w:sz w:val="26"/>
          <w:szCs w:val="26"/>
        </w:rPr>
        <w:t>.  EPAct 2005 added a new section 215 to the Federal Power Act (FPA), which requires a Commission-certified Electric Reliability Organization (ERO) to develop mandatory and enforceable Reliability Standards, subject to Commission review and approval.</w:t>
      </w:r>
    </w:p>
    <w:p w:rsidR="00D20809" w:rsidRDefault="00D20809" w14:paraId="47384B2F" w14:textId="77777777">
      <w:pPr>
        <w:spacing w:after="0" w:line="240" w:lineRule="auto"/>
        <w:rPr>
          <w:rFonts w:ascii="Times New Roman" w:hAnsi="Times New Roman" w:cs="Times New Roman"/>
          <w:sz w:val="26"/>
          <w:szCs w:val="26"/>
        </w:rPr>
      </w:pPr>
    </w:p>
    <w:p w:rsidR="00D20809" w:rsidRDefault="00CC6F4B" w14:paraId="55A9233D"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Section 215 of the FPA requires a Commission-certified ERO to develop mandatory and enforceable Reliability Standards, subject to Commission review and approval.</w:t>
      </w:r>
      <w:r>
        <w:rPr>
          <w:rFonts w:ascii="Times New Roman" w:hAnsi="Times New Roman" w:cs="Times New Roman"/>
          <w:b/>
          <w:sz w:val="26"/>
          <w:szCs w:val="26"/>
          <w:vertAlign w:val="superscript"/>
        </w:rPr>
        <w:footnoteReference w:id="4"/>
      </w:r>
      <w:r>
        <w:rPr>
          <w:rFonts w:ascii="Times New Roman" w:hAnsi="Times New Roman" w:cs="Times New Roman"/>
          <w:sz w:val="26"/>
          <w:szCs w:val="26"/>
        </w:rPr>
        <w:t xml:space="preserve">  Once approved, the Reliability Standards may be enforced by the ERO subject to Commission oversight or by the Commission independently.</w:t>
      </w:r>
      <w:r>
        <w:rPr>
          <w:rFonts w:ascii="Times New Roman" w:hAnsi="Times New Roman" w:cs="Times New Roman"/>
          <w:b/>
          <w:sz w:val="26"/>
          <w:szCs w:val="26"/>
          <w:vertAlign w:val="superscript"/>
        </w:rPr>
        <w:footnoteReference w:id="5"/>
      </w:r>
      <w:r>
        <w:rPr>
          <w:rFonts w:ascii="Times New Roman" w:hAnsi="Times New Roman" w:cs="Times New Roman"/>
          <w:sz w:val="26"/>
          <w:szCs w:val="26"/>
        </w:rPr>
        <w:t xml:space="preserve">  In 2006, the Commission certified </w:t>
      </w:r>
      <w:r>
        <w:rPr>
          <w:rFonts w:ascii="Times New Roman" w:hAnsi="Times New Roman" w:cs="Times New Roman"/>
          <w:sz w:val="26"/>
          <w:szCs w:val="26"/>
        </w:rPr>
        <w:lastRenderedPageBreak/>
        <w:t>NERC (North American Electric Reliability Corporation) as the ERO</w:t>
      </w:r>
      <w:r>
        <w:rPr>
          <w:rStyle w:val="FootnoteReference"/>
          <w:rFonts w:ascii="Times New Roman" w:hAnsi="Times New Roman" w:cs="Times New Roman"/>
          <w:sz w:val="26"/>
          <w:szCs w:val="26"/>
        </w:rPr>
        <w:footnoteReference w:id="6"/>
      </w:r>
      <w:r>
        <w:rPr>
          <w:rFonts w:ascii="Times New Roman" w:hAnsi="Times New Roman" w:cs="Times New Roman"/>
          <w:sz w:val="26"/>
          <w:szCs w:val="26"/>
        </w:rPr>
        <w:t xml:space="preserve"> pursuant to section 215 of the FPA.</w:t>
      </w:r>
      <w:r>
        <w:rPr>
          <w:rFonts w:ascii="Times New Roman" w:hAnsi="Times New Roman" w:cs="Times New Roman"/>
          <w:b/>
          <w:sz w:val="26"/>
          <w:szCs w:val="26"/>
          <w:vertAlign w:val="superscript"/>
        </w:rPr>
        <w:footnoteReference w:id="7"/>
      </w:r>
    </w:p>
    <w:bookmarkEnd w:id="0"/>
    <w:p w:rsidR="00D20809" w:rsidRDefault="00D20809" w14:paraId="54B9BAD8" w14:textId="77777777">
      <w:pPr>
        <w:spacing w:after="0" w:line="240" w:lineRule="auto"/>
        <w:rPr>
          <w:rFonts w:ascii="Times New Roman" w:hAnsi="Times New Roman" w:cs="Times New Roman"/>
          <w:sz w:val="26"/>
          <w:szCs w:val="26"/>
        </w:rPr>
      </w:pPr>
    </w:p>
    <w:p w:rsidR="00D20809" w:rsidRDefault="00CC6F4B" w14:paraId="7441C895"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On March 16, 2007 (pursuant to section 215(d) of the FPA), the Commission issued Order No. 693, approving 83 of the 107 initial Reliability Standards filed by NERC.  Order 693 addressed several PER and PRC Reliability Standards.  Some of them were approved, but others were approved with a Commission directive for NERC to make modifications.  In the intervening years, numerous changes have been made to update, eliminate, or establish various Reliability Standards.</w:t>
      </w:r>
    </w:p>
    <w:p w:rsidR="00D20809" w:rsidRDefault="00D20809" w14:paraId="1AB8ED59" w14:textId="77777777">
      <w:pPr>
        <w:spacing w:after="0" w:line="240" w:lineRule="auto"/>
        <w:rPr>
          <w:rFonts w:ascii="Times New Roman" w:hAnsi="Times New Roman" w:cs="Times New Roman"/>
          <w:b/>
          <w:sz w:val="26"/>
          <w:szCs w:val="26"/>
        </w:rPr>
      </w:pPr>
    </w:p>
    <w:p w:rsidR="00D20809" w:rsidRDefault="00CC6F4B" w14:paraId="4376347E"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HOW, BY WHOM, AND FOR WHAT PURPOSE THE INFORMATION IS TO BE USED AND THE CONSEQUENCES OF NOT COLLECTING THE INFORMATION</w:t>
      </w:r>
    </w:p>
    <w:p w:rsidR="00D20809" w:rsidRDefault="00D20809" w14:paraId="28C8925A" w14:textId="77777777">
      <w:pPr>
        <w:spacing w:after="0" w:line="240" w:lineRule="auto"/>
        <w:rPr>
          <w:rFonts w:ascii="Times New Roman" w:hAnsi="Times New Roman" w:cs="Times New Roman"/>
          <w:sz w:val="26"/>
          <w:szCs w:val="26"/>
        </w:rPr>
      </w:pPr>
    </w:p>
    <w:p w:rsidR="00D20809" w:rsidRDefault="00CC6F4B" w14:paraId="31A35299" w14:textId="77777777">
      <w:pPr>
        <w:spacing w:after="0" w:line="240" w:lineRule="auto"/>
        <w:rPr>
          <w:rFonts w:ascii="Times New Roman" w:hAnsi="Times New Roman" w:eastAsia="Calibri" w:cs="Times New Roman"/>
          <w:color w:val="000000"/>
          <w:sz w:val="26"/>
          <w:szCs w:val="26"/>
        </w:rPr>
      </w:pPr>
      <w:r>
        <w:rPr>
          <w:rFonts w:ascii="Times New Roman" w:hAnsi="Times New Roman" w:cs="Times New Roman"/>
          <w:sz w:val="26"/>
          <w:szCs w:val="26"/>
        </w:rPr>
        <w:t xml:space="preserve">The Reliability Standard PRC-006-NPCC-2 </w:t>
      </w:r>
      <w:r>
        <w:rPr>
          <w:rFonts w:ascii="Times New Roman" w:hAnsi="Times New Roman" w:eastAsia="Calibri" w:cs="Times New Roman"/>
          <w:color w:val="000000"/>
          <w:sz w:val="26"/>
          <w:szCs w:val="26"/>
        </w:rPr>
        <w:t xml:space="preserve">applies to generator owners, planning coordinators, distribution providers, and transmission owners in the Northeast Power Coordinating Council Region and is designed to ensure the development of an effective automatic underfrequency load shedding (UFLS) program to preserve the security and integrity of the Bulk-Power System during declining system frequency events in coordination with the NERC continent-wide UFLS Reliability Standard PRC-006-NPCC-2.  </w:t>
      </w:r>
      <w:bookmarkStart w:name="_Hlk41560131" w:id="1"/>
      <w:r>
        <w:rPr>
          <w:rFonts w:ascii="Times New Roman" w:hAnsi="Times New Roman" w:eastAsia="Calibri" w:cs="Times New Roman"/>
          <w:color w:val="000000"/>
          <w:sz w:val="26"/>
          <w:szCs w:val="26"/>
        </w:rPr>
        <w:t xml:space="preserve">A DLO was issued on 2/18/2020 approving the proposed standard </w:t>
      </w:r>
      <w:bookmarkEnd w:id="1"/>
      <w:r>
        <w:rPr>
          <w:rFonts w:ascii="Times New Roman" w:hAnsi="Times New Roman" w:eastAsia="Calibri" w:cs="Times New Roman"/>
          <w:color w:val="000000"/>
          <w:sz w:val="26"/>
          <w:szCs w:val="26"/>
        </w:rPr>
        <w:t>and the related violation risk factors, violation severity levels, implementation plan, and effective date proposed by NERC.</w:t>
      </w:r>
    </w:p>
    <w:p w:rsidR="00D20809" w:rsidRDefault="00D20809" w14:paraId="61A4917F" w14:textId="77777777">
      <w:pPr>
        <w:spacing w:after="0" w:line="240" w:lineRule="auto"/>
        <w:rPr>
          <w:rFonts w:ascii="Times New Roman" w:hAnsi="Times New Roman" w:eastAsia="Calibri" w:cs="Times New Roman"/>
          <w:color w:val="000000"/>
          <w:sz w:val="26"/>
          <w:szCs w:val="26"/>
        </w:rPr>
      </w:pPr>
    </w:p>
    <w:p w:rsidR="00D20809" w:rsidRDefault="00CC6F4B" w14:paraId="016E8DC8" w14:textId="77777777">
      <w:pPr>
        <w:spacing w:after="0" w:line="240" w:lineRule="auto"/>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The DLO in Docket No. RD20-1 states in part:</w:t>
      </w:r>
    </w:p>
    <w:p w:rsidR="00D20809" w:rsidRDefault="00CC6F4B" w14:paraId="0941E091" w14:textId="77777777">
      <w:pPr>
        <w:tabs>
          <w:tab w:val="left" w:pos="0"/>
        </w:tabs>
        <w:spacing w:after="0" w:line="240" w:lineRule="auto"/>
        <w:ind w:left="720"/>
        <w:rPr>
          <w:rFonts w:ascii="Times New Roman" w:hAnsi="Times New Roman" w:eastAsia="Calibri" w:cs="Times New Roman"/>
          <w:sz w:val="26"/>
          <w:szCs w:val="26"/>
        </w:rPr>
      </w:pPr>
      <w:r>
        <w:rPr>
          <w:rFonts w:ascii="Times New Roman" w:hAnsi="Times New Roman" w:eastAsia="Calibri" w:cs="Times New Roman"/>
          <w:sz w:val="26"/>
          <w:szCs w:val="26"/>
        </w:rPr>
        <w:t xml:space="preserve">“On December 23, 2019, the North American Electric Reliability Corporation (NERC) and Northeast Power Coordinating Council, Inc. (NPCC) filed a joint petition seeking approval of proposed regional Reliability Standard PRC-006-NPCC-2 (NPCC Automatic Underfrequency Load Shedding).  </w:t>
      </w:r>
    </w:p>
    <w:p w:rsidR="00D20809" w:rsidRDefault="00D20809" w14:paraId="3F50C2EA" w14:textId="77777777">
      <w:pPr>
        <w:tabs>
          <w:tab w:val="left" w:pos="0"/>
        </w:tabs>
        <w:spacing w:after="0" w:line="240" w:lineRule="auto"/>
        <w:ind w:left="720"/>
        <w:rPr>
          <w:rFonts w:ascii="Times New Roman" w:hAnsi="Times New Roman" w:eastAsia="Calibri" w:cs="Times New Roman"/>
          <w:sz w:val="26"/>
          <w:szCs w:val="26"/>
        </w:rPr>
      </w:pPr>
    </w:p>
    <w:p w:rsidR="00D20809" w:rsidRDefault="00CC6F4B" w14:paraId="18525EBE" w14:textId="77777777">
      <w:pPr>
        <w:spacing w:after="0" w:line="240" w:lineRule="auto"/>
        <w:ind w:left="720"/>
        <w:rPr>
          <w:rFonts w:ascii="Times New Roman" w:hAnsi="Times New Roman" w:eastAsia="Calibri" w:cs="Times New Roman"/>
          <w:sz w:val="26"/>
          <w:szCs w:val="26"/>
        </w:rPr>
      </w:pPr>
      <w:r>
        <w:rPr>
          <w:rFonts w:ascii="Times New Roman" w:hAnsi="Times New Roman" w:eastAsia="Calibri" w:cs="Times New Roman"/>
          <w:sz w:val="26"/>
          <w:szCs w:val="26"/>
        </w:rPr>
        <w:t xml:space="preserve">NERC and NPCC state that regional Reliability Standard PRC-006-NPCC-2 establishes consistent and coordinated requirements for the design, </w:t>
      </w:r>
      <w:r>
        <w:rPr>
          <w:rFonts w:ascii="Times New Roman" w:hAnsi="Times New Roman" w:eastAsia="Calibri" w:cs="Times New Roman"/>
          <w:sz w:val="26"/>
          <w:szCs w:val="26"/>
        </w:rPr>
        <w:lastRenderedPageBreak/>
        <w:t xml:space="preserve">implementation, and analysis of automatic underfrequency load shedding (UFLS) programs among all NPCC applicable entities.  These requirements are more stringent and specific than the NERC continent-wide UFLS Reliability Standard, PRC-006-3, and were established such that the declining frequency is arrested and recovered stipulated in accordance with NPCC performance requirements.  NPCC revised currently effective Regional Reliability Standard PRC-006-NPCC-1 to remove redundancies with the Reliability Standard PRC-006-3, clarify obligations for registered entities, improve communication of island boundaries to affected registered entities, and provide entities with the flexibility to calculate net load shed for UFLS in certain situations.”  </w:t>
      </w:r>
    </w:p>
    <w:p w:rsidR="00D20809" w:rsidRDefault="00D20809" w14:paraId="2B096502" w14:textId="77777777">
      <w:pPr>
        <w:spacing w:after="0" w:line="240" w:lineRule="auto"/>
        <w:ind w:left="720"/>
        <w:rPr>
          <w:rFonts w:ascii="Times New Roman" w:hAnsi="Times New Roman" w:eastAsia="Calibri" w:cs="Times New Roman"/>
          <w:sz w:val="26"/>
          <w:szCs w:val="26"/>
        </w:rPr>
      </w:pPr>
    </w:p>
    <w:p w:rsidR="00D20809" w:rsidRDefault="00CC6F4B" w14:paraId="2274CA3B" w14:textId="77777777">
      <w:pPr>
        <w:spacing w:after="0" w:line="240" w:lineRule="auto"/>
        <w:ind w:left="720"/>
      </w:pPr>
      <w:r w:rsidRPr="00C77612">
        <w:rPr>
          <w:rFonts w:ascii="Times New Roman" w:hAnsi="Times New Roman" w:cs="Times New Roman"/>
          <w:sz w:val="26"/>
          <w:szCs w:val="26"/>
        </w:rPr>
        <w:t xml:space="preserve">The NPCC Automatic Underfrequency Load Shedding (UFLS) regional Reliability Standard establishes more stringent and specific NPCC UFLS program requirements than the NERC continent-wide PRC-006 standard. The program is designed </w:t>
      </w:r>
      <w:r w:rsidR="000A3605">
        <w:rPr>
          <w:rFonts w:ascii="Times New Roman" w:hAnsi="Times New Roman" w:cs="Times New Roman"/>
          <w:sz w:val="26"/>
          <w:szCs w:val="26"/>
        </w:rPr>
        <w:t>in a way that the</w:t>
      </w:r>
      <w:r w:rsidRPr="00C77612">
        <w:rPr>
          <w:rFonts w:ascii="Times New Roman" w:hAnsi="Times New Roman" w:cs="Times New Roman"/>
          <w:sz w:val="26"/>
          <w:szCs w:val="26"/>
        </w:rPr>
        <w:t xml:space="preserve"> frequency i</w:t>
      </w:r>
      <w:r w:rsidR="000A3605">
        <w:rPr>
          <w:rFonts w:ascii="Times New Roman" w:hAnsi="Times New Roman" w:cs="Times New Roman"/>
          <w:sz w:val="26"/>
          <w:szCs w:val="26"/>
        </w:rPr>
        <w:t xml:space="preserve">s in </w:t>
      </w:r>
      <w:r w:rsidRPr="00C77612">
        <w:rPr>
          <w:rFonts w:ascii="Times New Roman" w:hAnsi="Times New Roman" w:cs="Times New Roman"/>
          <w:sz w:val="26"/>
          <w:szCs w:val="26"/>
        </w:rPr>
        <w:t>accordance with established NPCC performance requirements stipulated in this document.</w:t>
      </w:r>
      <w:r>
        <w:t xml:space="preserve"> </w:t>
      </w:r>
    </w:p>
    <w:p w:rsidR="00D20809" w:rsidRDefault="00D20809" w14:paraId="757EFE5D" w14:textId="77777777">
      <w:pPr>
        <w:spacing w:after="0" w:line="240" w:lineRule="auto"/>
        <w:ind w:left="720"/>
      </w:pPr>
    </w:p>
    <w:p w:rsidR="00D20809" w:rsidRDefault="00CC6F4B" w14:paraId="23F13A2F" w14:textId="77777777">
      <w:pPr>
        <w:spacing w:after="0" w:line="240" w:lineRule="auto"/>
        <w:ind w:left="720"/>
      </w:pPr>
      <w:r>
        <w:rPr>
          <w:rFonts w:ascii="Times New Roman" w:hAnsi="Times New Roman" w:cs="Times New Roman"/>
          <w:sz w:val="26"/>
          <w:szCs w:val="26"/>
        </w:rPr>
        <w:t>Each Planning Coordinator in the Eastern Interconnection portion of NPCC shall design an UFLS program, pertaining to islands wholly within the NPCC Region, having performance characteristics that prevents the frequency from remaining below 59.5 Hz for more than 30 seconds.</w:t>
      </w:r>
      <w:r>
        <w:t xml:space="preserve"> </w:t>
      </w:r>
    </w:p>
    <w:p w:rsidR="00D20809" w:rsidRDefault="00D20809" w14:paraId="7851F569" w14:textId="77777777">
      <w:pPr>
        <w:spacing w:after="0" w:line="240" w:lineRule="auto"/>
        <w:ind w:left="720"/>
      </w:pPr>
    </w:p>
    <w:p w:rsidR="00D20809" w:rsidRDefault="00CC6F4B" w14:paraId="7B40C343" w14:textId="77777777">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Each Distribution Provider and Transmission Owner in the Eastern Interconnection portion of NPCC shall implement an automatic UFLS program, reflecting normal operating conditions, excluding outages. The automatic UFLS program shall be implemented on an island basis for each identified island per the NERC continent-wide PRC-006 Standard on UFLS as follows: </w:t>
      </w:r>
    </w:p>
    <w:p w:rsidR="00D20809" w:rsidRDefault="00CC6F4B" w14:paraId="7E8FE6EF" w14:textId="77777777">
      <w:pPr>
        <w:spacing w:after="0" w:line="240" w:lineRule="auto"/>
        <w:ind w:left="720" w:firstLine="720"/>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The UFLS program shall be implemented by each Distribution Provider and Transmission Owner according to the frequency thresholds, nominal operating times, and load shedding amounts specified or </w:t>
      </w:r>
    </w:p>
    <w:p w:rsidR="00D20809" w:rsidP="00C77612" w:rsidRDefault="00CC6F4B" w14:paraId="719B59EE" w14:textId="77777777">
      <w:pPr>
        <w:spacing w:after="0" w:line="240" w:lineRule="auto"/>
        <w:ind w:left="720" w:firstLine="720"/>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The UFLS program shall be implemented collectively by multiple Distribution Providers or Transmission Owners, as long as they reside in the same UFLS island identified by the Planning Coordinator per Requirement R2. These multiple Distribution Providers or Transmission Owners, via mutual agreement, shall act as a single entity to provide an aggregated automatic UFLS program that sheds their coincident peak aggregated net Load according to the frequency thresholds, total nominal operating time, and load shedding amounts specified in the petition.</w:t>
      </w:r>
    </w:p>
    <w:p w:rsidR="00D20809" w:rsidRDefault="00D20809" w14:paraId="6FD5EA15" w14:textId="77777777">
      <w:pPr>
        <w:spacing w:after="0" w:line="240" w:lineRule="auto"/>
        <w:ind w:left="720"/>
        <w:rPr>
          <w:rFonts w:ascii="Times New Roman" w:hAnsi="Times New Roman" w:cs="Times New Roman"/>
          <w:sz w:val="26"/>
          <w:szCs w:val="26"/>
        </w:rPr>
      </w:pPr>
    </w:p>
    <w:p w:rsidR="00D20809" w:rsidRDefault="00D20809" w14:paraId="7C8213BF" w14:textId="77777777">
      <w:pPr>
        <w:spacing w:after="0" w:line="240" w:lineRule="auto"/>
        <w:ind w:left="720"/>
        <w:rPr>
          <w:rFonts w:ascii="Times New Roman" w:hAnsi="Times New Roman" w:eastAsia="Calibri" w:cs="Times New Roman"/>
          <w:sz w:val="26"/>
          <w:szCs w:val="26"/>
        </w:rPr>
      </w:pPr>
    </w:p>
    <w:p w:rsidR="00D20809" w:rsidRDefault="00D20809" w14:paraId="253C8AC9" w14:textId="77777777">
      <w:pPr>
        <w:spacing w:after="0" w:line="240" w:lineRule="auto"/>
        <w:ind w:left="720"/>
        <w:rPr>
          <w:rFonts w:ascii="Times New Roman" w:hAnsi="Times New Roman" w:eastAsia="Calibri" w:cs="Times New Roman"/>
          <w:sz w:val="26"/>
          <w:szCs w:val="26"/>
        </w:rPr>
      </w:pPr>
    </w:p>
    <w:p w:rsidR="00D20809" w:rsidRDefault="00CC6F4B" w14:paraId="02EEC9CD" w14:textId="2AC92555">
      <w:pPr>
        <w:pStyle w:val="ListParagraph"/>
        <w:ind w:left="360"/>
        <w:rPr>
          <w:rFonts w:ascii="Times New Roman" w:hAnsi="Times New Roman" w:cs="Times New Roman"/>
          <w:b/>
          <w:sz w:val="26"/>
          <w:szCs w:val="26"/>
        </w:rPr>
      </w:pPr>
      <w:r>
        <w:rPr>
          <w:rFonts w:ascii="Times New Roman" w:hAnsi="Times New Roman" w:eastAsia="Calibri" w:cs="Times New Roman"/>
          <w:sz w:val="26"/>
          <w:szCs w:val="26"/>
        </w:rPr>
        <w:t xml:space="preserve">Information collection supplied by some entities include load (MW) information (amount and location) as well as UFLS equipment settings while the Planning Coordinators review settings for inhibit thresholds and update the model using the most recent load forecast. If the collection were conducted less frequently than specified in the document, the UFLS Program would not be as effective due to changes in the BES that occur over time. </w:t>
      </w:r>
    </w:p>
    <w:p w:rsidR="00D20809" w:rsidRDefault="00D20809" w14:paraId="1DC05DD8" w14:textId="77777777">
      <w:pPr>
        <w:pStyle w:val="ListParagraph"/>
        <w:ind w:left="360"/>
        <w:rPr>
          <w:rFonts w:ascii="Times New Roman" w:hAnsi="Times New Roman" w:cs="Times New Roman"/>
          <w:b/>
          <w:sz w:val="26"/>
          <w:szCs w:val="26"/>
        </w:rPr>
      </w:pPr>
    </w:p>
    <w:p w:rsidRPr="00C77612" w:rsidR="00D20809" w:rsidRDefault="00CC6F4B" w14:paraId="77DCECED" w14:textId="77777777">
      <w:pPr>
        <w:pStyle w:val="ListParagraph"/>
        <w:numPr>
          <w:ilvl w:val="0"/>
          <w:numId w:val="2"/>
        </w:numPr>
        <w:rPr>
          <w:rFonts w:ascii="Times New Roman" w:hAnsi="Times New Roman" w:cs="Times New Roman"/>
          <w:b/>
          <w:sz w:val="26"/>
          <w:szCs w:val="26"/>
        </w:rPr>
      </w:pPr>
      <w:r w:rsidRPr="00C77612">
        <w:rPr>
          <w:rFonts w:ascii="Times New Roman" w:hAnsi="Times New Roman" w:cs="Times New Roman"/>
          <w:b/>
          <w:sz w:val="26"/>
          <w:szCs w:val="26"/>
        </w:rPr>
        <w:t>DESCRIBE ANY CONSIDERATION OF THE USE OF IMPROVED INFORMATION TECHNOLOGY TO REDUCE THE BURDEN AND TECHNICAL OR LEGAL OBSTACLES TO REDUCING BURDEN</w:t>
      </w:r>
    </w:p>
    <w:p w:rsidR="00D20809" w:rsidRDefault="00D20809" w14:paraId="717A3F8C" w14:textId="77777777">
      <w:pPr>
        <w:spacing w:after="0" w:line="240" w:lineRule="auto"/>
        <w:rPr>
          <w:rFonts w:ascii="Times New Roman" w:hAnsi="Times New Roman" w:cs="Times New Roman"/>
          <w:sz w:val="26"/>
          <w:szCs w:val="26"/>
        </w:rPr>
      </w:pPr>
    </w:p>
    <w:p w:rsidR="00D20809" w:rsidRDefault="00CC6F4B" w14:paraId="79E4DD0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 use of current or improved technology is not covered in Reliability Standards and is therefore left to the discretion of each reporting entity. Commission staff estimates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rsidR="00D20809" w:rsidRDefault="00D20809" w14:paraId="5BFF9F5E" w14:textId="77777777">
      <w:pPr>
        <w:spacing w:after="0" w:line="240" w:lineRule="auto"/>
        <w:rPr>
          <w:rFonts w:ascii="Times New Roman" w:hAnsi="Times New Roman" w:cs="Times New Roman"/>
          <w:b/>
          <w:sz w:val="26"/>
          <w:szCs w:val="26"/>
        </w:rPr>
      </w:pPr>
    </w:p>
    <w:p w:rsidR="00D20809" w:rsidRDefault="00CC6F4B" w14:paraId="7891CCE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D20809" w:rsidRDefault="00D20809" w14:paraId="0C6EF8D7" w14:textId="77777777">
      <w:pPr>
        <w:spacing w:after="0" w:line="240" w:lineRule="auto"/>
        <w:rPr>
          <w:rFonts w:ascii="Times New Roman" w:hAnsi="Times New Roman" w:cs="Times New Roman"/>
          <w:sz w:val="26"/>
          <w:szCs w:val="26"/>
        </w:rPr>
      </w:pPr>
    </w:p>
    <w:p w:rsidR="00D20809" w:rsidRDefault="00CC6F4B" w14:paraId="184CFCB1"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  This information is not available elsewhere.  The standard-developing group (the ERO and various stakeholders) think these areas need to be addressed and documented as indicated in the NERC Petition.</w:t>
      </w:r>
    </w:p>
    <w:p w:rsidR="00D20809" w:rsidRDefault="00D20809" w14:paraId="5C86C8B3" w14:textId="77777777">
      <w:pPr>
        <w:spacing w:after="0" w:line="240" w:lineRule="auto"/>
        <w:rPr>
          <w:rFonts w:ascii="Times New Roman" w:hAnsi="Times New Roman" w:cs="Times New Roman"/>
          <w:sz w:val="26"/>
          <w:szCs w:val="26"/>
        </w:rPr>
      </w:pPr>
    </w:p>
    <w:p w:rsidR="00D20809" w:rsidRDefault="00CC6F4B" w14:paraId="39CE4FEC"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METHODS USED TO MINIMIZE THE BURDEN IN COLLECTION OF INFORMATION INVOLVING SMALL ENTITIES</w:t>
      </w:r>
    </w:p>
    <w:p w:rsidR="00D20809" w:rsidRDefault="00D20809" w14:paraId="3ADCE2DB" w14:textId="77777777">
      <w:pPr>
        <w:spacing w:after="0" w:line="240" w:lineRule="auto"/>
        <w:rPr>
          <w:rFonts w:ascii="Times New Roman" w:hAnsi="Times New Roman" w:cs="Times New Roman"/>
          <w:sz w:val="26"/>
          <w:szCs w:val="26"/>
        </w:rPr>
      </w:pPr>
    </w:p>
    <w:p w:rsidR="00D20809" w:rsidRDefault="00CC6F4B" w14:paraId="46F7C865"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Small entities generally can reduce their burden by taking part in a joint registration organization or a coordinated function registration.  These options allow an entity the ability to share its compliance burden with other similar entities. </w:t>
      </w:r>
    </w:p>
    <w:p w:rsidR="00D20809" w:rsidRDefault="00D20809" w14:paraId="2ACFA68E" w14:textId="77777777">
      <w:pPr>
        <w:spacing w:after="0" w:line="240" w:lineRule="auto"/>
        <w:rPr>
          <w:rFonts w:ascii="Times New Roman" w:hAnsi="Times New Roman" w:cs="Times New Roman"/>
          <w:sz w:val="26"/>
          <w:szCs w:val="26"/>
        </w:rPr>
      </w:pPr>
    </w:p>
    <w:p w:rsidR="00D20809" w:rsidRDefault="00CC6F4B" w14:paraId="7B356395"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Detailed information regarding these options is available in NERC’s Rules of Procedure at sections 507 and 508.</w:t>
      </w:r>
      <w:r>
        <w:rPr>
          <w:rFonts w:ascii="Times New Roman" w:hAnsi="Times New Roman" w:cs="Times New Roman"/>
          <w:sz w:val="26"/>
          <w:szCs w:val="26"/>
          <w:vertAlign w:val="superscript"/>
        </w:rPr>
        <w:footnoteReference w:id="8"/>
      </w:r>
      <w:r>
        <w:rPr>
          <w:rFonts w:ascii="Times New Roman" w:hAnsi="Times New Roman" w:cs="Times New Roman"/>
          <w:sz w:val="26"/>
          <w:szCs w:val="26"/>
          <w:vertAlign w:val="superscript"/>
        </w:rPr>
        <w:t xml:space="preserve"> </w:t>
      </w:r>
    </w:p>
    <w:p w:rsidR="00D20809" w:rsidRDefault="00D20809" w14:paraId="4A3A4EB4" w14:textId="77777777">
      <w:pPr>
        <w:spacing w:after="0" w:line="240" w:lineRule="auto"/>
        <w:rPr>
          <w:rFonts w:ascii="Times New Roman" w:hAnsi="Times New Roman" w:cs="Times New Roman"/>
          <w:sz w:val="26"/>
          <w:szCs w:val="26"/>
        </w:rPr>
      </w:pPr>
    </w:p>
    <w:p w:rsidR="00D20809" w:rsidRDefault="00CC6F4B" w14:paraId="39EA27BB"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CONSEQUENCE TO FEDERAL PROGRAM IF COLLECTION WERE CONDUCTED LESS FREQUENTLY</w:t>
      </w:r>
    </w:p>
    <w:p w:rsidR="00D20809" w:rsidRDefault="00D20809" w14:paraId="670310B1" w14:textId="77777777">
      <w:pPr>
        <w:spacing w:after="0" w:line="240" w:lineRule="auto"/>
        <w:rPr>
          <w:rFonts w:ascii="Times New Roman" w:hAnsi="Times New Roman" w:cs="Times New Roman"/>
          <w:b/>
          <w:sz w:val="26"/>
          <w:szCs w:val="26"/>
        </w:rPr>
      </w:pPr>
    </w:p>
    <w:p w:rsidRPr="00C77612" w:rsidR="00D20809" w:rsidRDefault="00CC6F4B" w14:paraId="7BA4356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Reliability Standard PRC-006-NPCC-2 establishes consistent and coordinated requirements for the design, implementation, and analysis of automatic underfrequency load shedding (UFLS) programs among all NPCC applicable entities.  These requirements are more stringent and specific than the NERC continent-wide UFLS Reliability Standard, PRC-006-3, and were established such that the declining frequency is arrested and recovered in accordance with NPCC performance requirements.  The collection cannot be collected less frequently. </w:t>
      </w:r>
      <w:r w:rsidRPr="00C77612">
        <w:rPr>
          <w:rFonts w:ascii="Times New Roman" w:hAnsi="Times New Roman" w:cs="Times New Roman"/>
          <w:sz w:val="26"/>
          <w:szCs w:val="26"/>
        </w:rPr>
        <w:t xml:space="preserve"> </w:t>
      </w:r>
    </w:p>
    <w:p w:rsidR="00D20809" w:rsidRDefault="00D20809" w14:paraId="65A0DDB2" w14:textId="77777777">
      <w:pPr>
        <w:spacing w:after="0" w:line="240" w:lineRule="auto"/>
        <w:rPr>
          <w:rFonts w:ascii="Times New Roman" w:hAnsi="Times New Roman" w:cs="Times New Roman"/>
          <w:sz w:val="26"/>
          <w:szCs w:val="26"/>
        </w:rPr>
      </w:pPr>
    </w:p>
    <w:p w:rsidR="00D20809" w:rsidRDefault="00CC6F4B" w14:paraId="6765E17C"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frequency this information is currently required is once per calendar year. </w:t>
      </w:r>
    </w:p>
    <w:p w:rsidR="00D20809" w:rsidRDefault="00D20809" w14:paraId="4A883A7F" w14:textId="77777777">
      <w:pPr>
        <w:spacing w:after="0" w:line="240" w:lineRule="auto"/>
        <w:rPr>
          <w:rFonts w:ascii="Times New Roman" w:hAnsi="Times New Roman" w:cs="Times New Roman"/>
          <w:sz w:val="26"/>
          <w:szCs w:val="26"/>
        </w:rPr>
      </w:pPr>
    </w:p>
    <w:p w:rsidR="00D20809" w:rsidRDefault="00CC6F4B" w14:paraId="6738FBEB"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Having a yearly “develop and review” without taking any further action is strictly administrative and does nothing for reliability (P-81 type of issue).</w:t>
      </w:r>
    </w:p>
    <w:p w:rsidR="00D20809" w:rsidRDefault="00D20809" w14:paraId="102541C9" w14:textId="77777777">
      <w:pPr>
        <w:spacing w:after="0" w:line="240" w:lineRule="auto"/>
        <w:rPr>
          <w:rFonts w:ascii="Times New Roman" w:hAnsi="Times New Roman" w:cs="Times New Roman"/>
          <w:sz w:val="26"/>
          <w:szCs w:val="26"/>
        </w:rPr>
      </w:pPr>
    </w:p>
    <w:p w:rsidR="00D20809" w:rsidRDefault="00CC6F4B" w14:paraId="08852DE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EXPLAIN ANY SPECIAL CIRCUMSTANCES RELATING TO THE INFORMATION COLLECTION</w:t>
      </w:r>
    </w:p>
    <w:p w:rsidR="00D20809" w:rsidRDefault="00D20809" w14:paraId="783EE955" w14:textId="77777777">
      <w:pPr>
        <w:spacing w:after="0" w:line="240" w:lineRule="auto"/>
        <w:rPr>
          <w:rFonts w:ascii="Times New Roman" w:hAnsi="Times New Roman" w:cs="Times New Roman"/>
          <w:sz w:val="26"/>
          <w:szCs w:val="26"/>
        </w:rPr>
      </w:pPr>
    </w:p>
    <w:p w:rsidR="00D20809" w:rsidRDefault="00CC6F4B" w14:paraId="208A49BB"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special circumstances as described in 5 CFR 1320.5(d)(2).</w:t>
      </w:r>
    </w:p>
    <w:p w:rsidR="00D20809" w:rsidRDefault="00D20809" w14:paraId="743B5B7B" w14:textId="77777777">
      <w:pPr>
        <w:spacing w:after="0" w:line="240" w:lineRule="auto"/>
        <w:rPr>
          <w:rFonts w:ascii="Times New Roman" w:hAnsi="Times New Roman" w:cs="Times New Roman"/>
          <w:sz w:val="26"/>
          <w:szCs w:val="26"/>
        </w:rPr>
      </w:pPr>
    </w:p>
    <w:p w:rsidR="00D20809" w:rsidRDefault="00CC6F4B" w14:paraId="243161A4"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EFFORTS TO CONSULT OUTSIDE THE AGENCY: SUMMARIZE PUBLIC COMMENTS AND THE AGENCY’S RESPONSE TO THESE COMMENTS</w:t>
      </w:r>
    </w:p>
    <w:p w:rsidR="00D20809" w:rsidRDefault="00D20809" w14:paraId="157B900C" w14:textId="77777777">
      <w:pPr>
        <w:spacing w:after="0" w:line="240" w:lineRule="auto"/>
        <w:rPr>
          <w:rFonts w:ascii="Times New Roman" w:hAnsi="Times New Roman" w:cs="Times New Roman"/>
          <w:sz w:val="26"/>
          <w:szCs w:val="26"/>
        </w:rPr>
      </w:pPr>
    </w:p>
    <w:p w:rsidR="00D20809" w:rsidRDefault="00CC6F4B" w14:paraId="4051CA11" w14:textId="77777777">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The ERO process to develop Reliability Standards is a collaborative process involving the ERO, Regional Entities and other stakeholders developing and reviewing drafts, and providing comments, vetting and voting (possibly multiple rounds) on the standards, with the final proposed standard submitted to the FERC for review and approval. </w:t>
      </w:r>
    </w:p>
    <w:p w:rsidR="00D20809" w:rsidRDefault="00D20809" w14:paraId="1CC1C060" w14:textId="77777777">
      <w:pPr>
        <w:spacing w:after="0" w:line="240" w:lineRule="auto"/>
        <w:rPr>
          <w:rFonts w:ascii="Times New Roman" w:hAnsi="Times New Roman" w:cs="Times New Roman"/>
          <w:bCs/>
          <w:sz w:val="26"/>
          <w:szCs w:val="26"/>
        </w:rPr>
      </w:pPr>
    </w:p>
    <w:p w:rsidR="00D20809" w:rsidRDefault="00CC6F4B" w14:paraId="4FFDE051" w14:textId="77777777">
      <w:pPr>
        <w:spacing w:after="0" w:line="240" w:lineRule="auto"/>
        <w:rPr>
          <w:rFonts w:ascii="Times New Roman" w:hAnsi="Times New Roman" w:cs="Times New Roman"/>
          <w:bCs/>
          <w:sz w:val="26"/>
          <w:szCs w:val="26"/>
        </w:rPr>
      </w:pPr>
      <w:r>
        <w:rPr>
          <w:rFonts w:ascii="Times New Roman" w:hAnsi="Times New Roman" w:eastAsia="Calibri" w:cs="Times New Roman"/>
          <w:color w:val="000000"/>
          <w:sz w:val="26"/>
          <w:szCs w:val="26"/>
        </w:rPr>
        <w:t>A DLO was issued on 2/18/2020 approving the proposed standard.</w:t>
      </w:r>
      <w:r>
        <w:rPr>
          <w:rFonts w:ascii="Times New Roman" w:hAnsi="Times New Roman" w:cs="Times New Roman"/>
          <w:bCs/>
          <w:sz w:val="26"/>
          <w:szCs w:val="26"/>
        </w:rPr>
        <w:t xml:space="preserve">  </w:t>
      </w:r>
    </w:p>
    <w:p w:rsidR="00D20809" w:rsidRDefault="00D20809" w14:paraId="59935B2A" w14:textId="77777777">
      <w:pPr>
        <w:spacing w:after="0" w:line="240" w:lineRule="auto"/>
        <w:rPr>
          <w:rFonts w:ascii="Times New Roman" w:hAnsi="Times New Roman" w:cs="Times New Roman"/>
          <w:bCs/>
          <w:sz w:val="26"/>
          <w:szCs w:val="26"/>
        </w:rPr>
      </w:pPr>
    </w:p>
    <w:p w:rsidR="00D20809" w:rsidRDefault="00CC6F4B" w14:paraId="051D4F00" w14:textId="77777777">
      <w:pPr>
        <w:rPr>
          <w:rFonts w:ascii="Times New Roman" w:hAnsi="Times New Roman" w:cs="Times New Roman"/>
          <w:sz w:val="26"/>
          <w:szCs w:val="26"/>
        </w:rPr>
      </w:pPr>
      <w:r>
        <w:rPr>
          <w:rFonts w:ascii="Times New Roman" w:hAnsi="Times New Roman" w:cs="Times New Roman"/>
          <w:sz w:val="26"/>
          <w:szCs w:val="26"/>
        </w:rPr>
        <w:t>In accordance with OMB requirements, the Commission published a 60-day notice</w:t>
      </w:r>
      <w:r>
        <w:rPr>
          <w:rStyle w:val="FootnoteReference"/>
          <w:rFonts w:ascii="Times New Roman" w:hAnsi="Times New Roman" w:cs="Times New Roman"/>
          <w:sz w:val="26"/>
          <w:szCs w:val="26"/>
        </w:rPr>
        <w:footnoteReference w:id="9"/>
      </w:r>
      <w:r>
        <w:rPr>
          <w:rFonts w:ascii="Times New Roman" w:hAnsi="Times New Roman" w:cs="Times New Roman"/>
          <w:sz w:val="26"/>
          <w:szCs w:val="26"/>
        </w:rPr>
        <w:t xml:space="preserve">  on March 11, 2020, and we received no public comments.  </w:t>
      </w:r>
    </w:p>
    <w:p w:rsidR="00D20809" w:rsidRDefault="00CC6F4B" w14:paraId="506C6653" w14:textId="77777777">
      <w:pPr>
        <w:rPr>
          <w:rFonts w:ascii="Times New Roman" w:hAnsi="Times New Roman" w:cs="Times New Roman"/>
          <w:bCs/>
          <w:sz w:val="26"/>
          <w:szCs w:val="26"/>
        </w:rPr>
      </w:pPr>
      <w:r>
        <w:rPr>
          <w:rFonts w:ascii="Times New Roman" w:hAnsi="Times New Roman" w:cs="Times New Roman"/>
          <w:sz w:val="26"/>
          <w:szCs w:val="26"/>
        </w:rPr>
        <w:t>The Commission also issued a 30-day notice</w:t>
      </w:r>
      <w:r>
        <w:rPr>
          <w:rStyle w:val="FootnoteReference"/>
          <w:rFonts w:ascii="Times New Roman" w:hAnsi="Times New Roman" w:cs="Times New Roman"/>
          <w:sz w:val="26"/>
          <w:szCs w:val="26"/>
        </w:rPr>
        <w:footnoteReference w:id="10"/>
      </w:r>
      <w:r>
        <w:rPr>
          <w:rFonts w:ascii="Times New Roman" w:hAnsi="Times New Roman" w:cs="Times New Roman"/>
          <w:sz w:val="26"/>
          <w:szCs w:val="26"/>
        </w:rPr>
        <w:t xml:space="preserve">  on May 26, 2020.  </w:t>
      </w:r>
    </w:p>
    <w:p w:rsidR="00D20809" w:rsidRDefault="00D20809" w14:paraId="699E6840" w14:textId="77777777">
      <w:pPr>
        <w:spacing w:after="0" w:line="240" w:lineRule="auto"/>
        <w:rPr>
          <w:rFonts w:ascii="Times New Roman" w:hAnsi="Times New Roman" w:cs="Times New Roman"/>
          <w:bCs/>
          <w:sz w:val="26"/>
          <w:szCs w:val="26"/>
        </w:rPr>
      </w:pPr>
    </w:p>
    <w:p w:rsidR="00D20809" w:rsidRDefault="00CC6F4B" w14:paraId="7D1240E1"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EXPLAIN ANY PAYMENT OR GIFTS TO RESPONDENTS</w:t>
      </w:r>
    </w:p>
    <w:p w:rsidR="00D20809" w:rsidRDefault="00D20809" w14:paraId="404FEB94" w14:textId="77777777">
      <w:pPr>
        <w:spacing w:after="0" w:line="240" w:lineRule="auto"/>
        <w:rPr>
          <w:rFonts w:ascii="Times New Roman" w:hAnsi="Times New Roman" w:cs="Times New Roman"/>
          <w:sz w:val="26"/>
          <w:szCs w:val="26"/>
        </w:rPr>
      </w:pPr>
    </w:p>
    <w:p w:rsidR="00D20809" w:rsidRDefault="00CC6F4B" w14:paraId="550D5FB6"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 Commission does not make payments or provide gifts for respondents related to these collections.</w:t>
      </w:r>
    </w:p>
    <w:p w:rsidR="00D20809" w:rsidRDefault="00D20809" w14:paraId="7D1DA5E0" w14:textId="77777777">
      <w:pPr>
        <w:spacing w:after="0" w:line="240" w:lineRule="auto"/>
        <w:rPr>
          <w:rFonts w:ascii="Times New Roman" w:hAnsi="Times New Roman" w:cs="Times New Roman"/>
          <w:sz w:val="26"/>
          <w:szCs w:val="26"/>
        </w:rPr>
      </w:pPr>
    </w:p>
    <w:p w:rsidR="00D20809" w:rsidRDefault="00CC6F4B" w14:paraId="75717DA1"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DESCRIBE ANY ASSURANCE OF CONFIDENTIALITY PROVIDED TO RESPONDENTS</w:t>
      </w:r>
    </w:p>
    <w:p w:rsidR="00D20809" w:rsidRDefault="00D20809" w14:paraId="1DED820D" w14:textId="77777777">
      <w:pPr>
        <w:spacing w:after="0" w:line="240" w:lineRule="auto"/>
        <w:rPr>
          <w:rFonts w:ascii="Times New Roman" w:hAnsi="Times New Roman" w:cs="Times New Roman"/>
          <w:sz w:val="26"/>
          <w:szCs w:val="26"/>
        </w:rPr>
      </w:pPr>
    </w:p>
    <w:p w:rsidR="00D20809" w:rsidRDefault="00CC6F4B" w14:paraId="3BA2EA3D"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According to the NERC Rules of Procedure ,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D20809" w:rsidRDefault="00D20809" w14:paraId="740104DE" w14:textId="77777777">
      <w:pPr>
        <w:spacing w:after="0" w:line="240" w:lineRule="auto"/>
        <w:rPr>
          <w:rFonts w:ascii="Times New Roman" w:hAnsi="Times New Roman" w:cs="Times New Roman"/>
          <w:sz w:val="26"/>
          <w:szCs w:val="26"/>
        </w:rPr>
      </w:pPr>
    </w:p>
    <w:p w:rsidR="00D20809" w:rsidRDefault="00CC6F4B" w14:paraId="6624A943"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Responding entities do not submit the information collected for Reliability Standards to FERC.  Rather, they submit the information to NERC, the regional entities, or maintain it internally.  Since there are no submissions made to FERC, FERC provides no specific provisions in order to protect confidentiality.</w:t>
      </w:r>
    </w:p>
    <w:p w:rsidR="00D20809" w:rsidRDefault="00D20809" w14:paraId="277E6FD8" w14:textId="77777777">
      <w:pPr>
        <w:spacing w:after="0" w:line="240" w:lineRule="auto"/>
        <w:rPr>
          <w:rFonts w:ascii="Times New Roman" w:hAnsi="Times New Roman" w:cs="Times New Roman"/>
          <w:sz w:val="26"/>
          <w:szCs w:val="26"/>
        </w:rPr>
      </w:pPr>
    </w:p>
    <w:p w:rsidR="00D20809" w:rsidRDefault="00CC6F4B" w14:paraId="389578A7" w14:textId="77777777">
      <w:pPr>
        <w:numPr>
          <w:ilvl w:val="0"/>
          <w:numId w:val="2"/>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rsidR="00D20809" w:rsidRDefault="00D20809" w14:paraId="59426792" w14:textId="77777777">
      <w:pPr>
        <w:spacing w:after="0" w:line="240" w:lineRule="auto"/>
        <w:rPr>
          <w:rFonts w:ascii="Times New Roman" w:hAnsi="Times New Roman" w:cs="Times New Roman"/>
          <w:b/>
          <w:bCs/>
          <w:sz w:val="26"/>
          <w:szCs w:val="26"/>
        </w:rPr>
      </w:pPr>
    </w:p>
    <w:p w:rsidR="00D20809" w:rsidRDefault="00CC6F4B" w14:paraId="638C4220"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This collection does not contain any questions of a sensitive nature.  </w:t>
      </w:r>
    </w:p>
    <w:p w:rsidR="00D20809" w:rsidRDefault="00D20809" w14:paraId="16D1A9A8" w14:textId="77777777">
      <w:pPr>
        <w:spacing w:after="0" w:line="240" w:lineRule="auto"/>
        <w:rPr>
          <w:rFonts w:ascii="Times New Roman" w:hAnsi="Times New Roman" w:cs="Times New Roman"/>
          <w:sz w:val="26"/>
          <w:szCs w:val="26"/>
        </w:rPr>
      </w:pPr>
    </w:p>
    <w:p w:rsidR="00D20809" w:rsidRDefault="00CC6F4B" w14:paraId="04665851"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ESTIMATED BURDEN OF COLLECTION OF INFORMATION</w:t>
      </w:r>
    </w:p>
    <w:p w:rsidR="00D20809" w:rsidRDefault="00D20809" w14:paraId="6556DD70" w14:textId="77777777">
      <w:pPr>
        <w:spacing w:after="0" w:line="240" w:lineRule="auto"/>
        <w:rPr>
          <w:rFonts w:ascii="Times New Roman" w:hAnsi="Times New Roman" w:cs="Times New Roman"/>
          <w:sz w:val="26"/>
          <w:szCs w:val="26"/>
        </w:rPr>
      </w:pPr>
    </w:p>
    <w:p w:rsidR="00D20809" w:rsidRDefault="00CC6F4B" w14:paraId="5079EC80" w14:textId="39C8BA0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The Commission estimates that the delegated order will result in an increase in burden for industry.</w:t>
      </w:r>
      <w:r>
        <w:rPr>
          <w:rStyle w:val="FootnoteReference"/>
          <w:rFonts w:ascii="Times New Roman" w:hAnsi="Times New Roman" w:cs="Times New Roman"/>
          <w:sz w:val="26"/>
          <w:szCs w:val="26"/>
        </w:rPr>
        <w:footnoteReference w:id="11"/>
      </w:r>
      <w:r>
        <w:rPr>
          <w:rFonts w:ascii="Times New Roman" w:hAnsi="Times New Roman" w:cs="Times New Roman"/>
          <w:sz w:val="26"/>
          <w:szCs w:val="26"/>
        </w:rPr>
        <w:t xml:space="preserve">  The following table provides the estimated annual burden and cost</w:t>
      </w:r>
      <w:r>
        <w:rPr>
          <w:rStyle w:val="FootnoteReference"/>
          <w:rFonts w:ascii="Times New Roman" w:hAnsi="Times New Roman" w:cs="Times New Roman"/>
          <w:sz w:val="26"/>
          <w:szCs w:val="26"/>
        </w:rPr>
        <w:footnoteReference w:id="12"/>
      </w:r>
      <w:r>
        <w:rPr>
          <w:rFonts w:ascii="Times New Roman" w:hAnsi="Times New Roman" w:cs="Times New Roman"/>
          <w:sz w:val="26"/>
          <w:szCs w:val="26"/>
        </w:rPr>
        <w:t xml:space="preserve"> related to information collection requirements in the Docket No. RD20-1-000:</w:t>
      </w:r>
    </w:p>
    <w:p w:rsidR="00D20809" w:rsidRDefault="00D20809" w14:paraId="7072CA08" w14:textId="77777777">
      <w:pPr>
        <w:spacing w:after="0" w:line="240" w:lineRule="auto"/>
        <w:rPr>
          <w:rFonts w:ascii="Times New Roman" w:hAnsi="Times New Roman" w:cs="Times New Roman"/>
          <w:sz w:val="26"/>
          <w:szCs w:val="26"/>
        </w:rPr>
      </w:pPr>
    </w:p>
    <w:tbl>
      <w:tblPr>
        <w:tblW w:w="5571"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47"/>
        <w:gridCol w:w="1531"/>
        <w:gridCol w:w="1798"/>
        <w:gridCol w:w="1352"/>
        <w:gridCol w:w="1529"/>
        <w:gridCol w:w="1619"/>
        <w:gridCol w:w="1442"/>
      </w:tblGrid>
      <w:tr w:rsidR="00D20809" w:rsidTr="00C77612" w14:paraId="47B56006" w14:textId="77777777">
        <w:trPr>
          <w:cantSplit/>
        </w:trPr>
        <w:tc>
          <w:tcPr>
            <w:tcW w:w="5000" w:type="pct"/>
            <w:gridSpan w:val="7"/>
            <w:tcBorders>
              <w:bottom w:val="single" w:color="auto" w:sz="4" w:space="0"/>
            </w:tcBorders>
            <w:shd w:val="clear" w:color="auto" w:fill="D9D9D9"/>
          </w:tcPr>
          <w:p w:rsidRPr="00C77612" w:rsidR="00D20809" w:rsidRDefault="00CC6F4B" w14:paraId="7EBD8572"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Times New Roman" w:cs="Times New Roman"/>
                <w:b/>
                <w:sz w:val="24"/>
                <w:szCs w:val="24"/>
              </w:rPr>
              <w:t xml:space="preserve">FERC-725G, modifications due to Docket No. RD20-1-000 </w:t>
            </w:r>
            <w:r w:rsidRPr="00C77612">
              <w:rPr>
                <w:rFonts w:ascii="Times New Roman" w:hAnsi="Times New Roman" w:eastAsia="Times New Roman" w:cs="Times New Roman"/>
                <w:b/>
                <w:sz w:val="24"/>
                <w:szCs w:val="24"/>
              </w:rPr>
              <w:br/>
            </w:r>
          </w:p>
        </w:tc>
      </w:tr>
      <w:tr w:rsidR="00D20809" w:rsidTr="00C77612" w14:paraId="4774771D" w14:textId="77777777">
        <w:trPr>
          <w:cantSplit/>
        </w:trPr>
        <w:tc>
          <w:tcPr>
            <w:tcW w:w="550" w:type="pct"/>
            <w:shd w:val="clear" w:color="auto" w:fill="D9D9D9"/>
            <w:vAlign w:val="center"/>
          </w:tcPr>
          <w:p w:rsidRPr="00C77612" w:rsidR="00D20809" w:rsidRDefault="00CC6F4B" w14:paraId="14319887" w14:textId="77777777">
            <w:pPr>
              <w:spacing w:after="0" w:line="240" w:lineRule="auto"/>
              <w:jc w:val="center"/>
              <w:rPr>
                <w:rFonts w:ascii="Times New Roman" w:hAnsi="Times New Roman" w:eastAsia="Calibri" w:cs="Times New Roman"/>
                <w:sz w:val="24"/>
                <w:szCs w:val="24"/>
              </w:rPr>
            </w:pPr>
            <w:r w:rsidRPr="00C77612">
              <w:rPr>
                <w:rFonts w:ascii="Times New Roman" w:hAnsi="Times New Roman" w:eastAsia="Times New Roman" w:cs="Times New Roman"/>
                <w:b/>
                <w:sz w:val="24"/>
                <w:szCs w:val="24"/>
              </w:rPr>
              <w:t>Entity</w:t>
            </w:r>
          </w:p>
        </w:tc>
        <w:tc>
          <w:tcPr>
            <w:tcW w:w="735" w:type="pct"/>
            <w:shd w:val="clear" w:color="auto" w:fill="D9D9D9"/>
            <w:vAlign w:val="center"/>
          </w:tcPr>
          <w:p w:rsidRPr="00C77612" w:rsidR="00D20809" w:rsidRDefault="00CC6F4B" w14:paraId="4DB53E6C"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Number of Respondents</w:t>
            </w:r>
            <w:r w:rsidRPr="00C77612">
              <w:rPr>
                <w:rFonts w:ascii="Times New Roman" w:hAnsi="Times New Roman" w:eastAsia="Calibri" w:cs="Times New Roman"/>
                <w:b/>
                <w:sz w:val="24"/>
                <w:szCs w:val="24"/>
              </w:rPr>
              <w:br/>
              <w:t>(1)</w:t>
            </w:r>
          </w:p>
        </w:tc>
        <w:tc>
          <w:tcPr>
            <w:tcW w:w="863" w:type="pct"/>
            <w:shd w:val="clear" w:color="auto" w:fill="D9D9D9"/>
            <w:vAlign w:val="center"/>
          </w:tcPr>
          <w:p w:rsidRPr="00C77612" w:rsidR="00D20809" w:rsidRDefault="00CC6F4B" w14:paraId="3D2884BC"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Annual Number of Responses per Respondent</w:t>
            </w:r>
          </w:p>
          <w:p w:rsidRPr="00C77612" w:rsidR="00D20809" w:rsidRDefault="00CC6F4B" w14:paraId="5678EF6C"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(2)</w:t>
            </w:r>
          </w:p>
        </w:tc>
        <w:tc>
          <w:tcPr>
            <w:tcW w:w="649" w:type="pct"/>
            <w:shd w:val="clear" w:color="auto" w:fill="D9D9D9"/>
            <w:vAlign w:val="center"/>
          </w:tcPr>
          <w:p w:rsidRPr="00C77612" w:rsidR="00D20809" w:rsidRDefault="00CC6F4B" w14:paraId="7885D4E1"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Total Number of Responses (1)*(2)=(3)</w:t>
            </w:r>
          </w:p>
        </w:tc>
        <w:tc>
          <w:tcPr>
            <w:tcW w:w="734" w:type="pct"/>
            <w:shd w:val="clear" w:color="auto" w:fill="D9D9D9"/>
            <w:vAlign w:val="center"/>
          </w:tcPr>
          <w:p w:rsidRPr="00C77612" w:rsidR="00D20809" w:rsidRDefault="00CC6F4B" w14:paraId="4144A2FD"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Average Burden Hrs. &amp; Cost ($) Per Response</w:t>
            </w:r>
          </w:p>
          <w:p w:rsidRPr="00C77612" w:rsidR="00D20809" w:rsidRDefault="00CC6F4B" w14:paraId="012DA971"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(4)</w:t>
            </w:r>
          </w:p>
        </w:tc>
        <w:tc>
          <w:tcPr>
            <w:tcW w:w="777" w:type="pct"/>
            <w:shd w:val="clear" w:color="auto" w:fill="D9D9D9"/>
            <w:vAlign w:val="center"/>
          </w:tcPr>
          <w:p w:rsidRPr="00C77612" w:rsidR="00D20809" w:rsidRDefault="00CC6F4B" w14:paraId="4FCA0C3F"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Total Annual Burden Hours &amp; Cost ($) (rounded)</w:t>
            </w:r>
          </w:p>
          <w:p w:rsidRPr="00C77612" w:rsidR="00D20809" w:rsidRDefault="00CC6F4B" w14:paraId="1544AF92"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(3)*(4)=(5)</w:t>
            </w:r>
          </w:p>
        </w:tc>
        <w:tc>
          <w:tcPr>
            <w:tcW w:w="692" w:type="pct"/>
            <w:shd w:val="clear" w:color="auto" w:fill="D9D9D9"/>
            <w:vAlign w:val="center"/>
          </w:tcPr>
          <w:p w:rsidRPr="00C77612" w:rsidR="00D20809" w:rsidRDefault="00CC6F4B" w14:paraId="07103B73"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Cost per Respondent</w:t>
            </w:r>
          </w:p>
          <w:p w:rsidRPr="00C77612" w:rsidR="00D20809" w:rsidRDefault="00CC6F4B" w14:paraId="14C5623A"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w:t>
            </w:r>
          </w:p>
          <w:p w:rsidRPr="00C77612" w:rsidR="00D20809" w:rsidRDefault="00CC6F4B" w14:paraId="73560E6E" w14:textId="77777777">
            <w:pPr>
              <w:spacing w:after="0" w:line="240" w:lineRule="auto"/>
              <w:jc w:val="center"/>
              <w:rPr>
                <w:rFonts w:ascii="Times New Roman" w:hAnsi="Times New Roman" w:eastAsia="Calibri" w:cs="Times New Roman"/>
                <w:b/>
                <w:sz w:val="24"/>
                <w:szCs w:val="24"/>
              </w:rPr>
            </w:pPr>
            <w:r w:rsidRPr="00C77612">
              <w:rPr>
                <w:rFonts w:ascii="Times New Roman" w:hAnsi="Times New Roman" w:eastAsia="Calibri" w:cs="Times New Roman"/>
                <w:b/>
                <w:sz w:val="24"/>
                <w:szCs w:val="24"/>
              </w:rPr>
              <w:t>(5)÷(1)</w:t>
            </w:r>
          </w:p>
        </w:tc>
      </w:tr>
      <w:tr w:rsidR="00D20809" w:rsidTr="00C77612" w14:paraId="217031CD" w14:textId="77777777">
        <w:trPr>
          <w:cantSplit/>
        </w:trPr>
        <w:tc>
          <w:tcPr>
            <w:tcW w:w="550" w:type="pct"/>
            <w:vAlign w:val="center"/>
          </w:tcPr>
          <w:p w:rsidRPr="00C77612" w:rsidR="00D20809" w:rsidRDefault="00CC6F4B" w14:paraId="5A0A75C4" w14:textId="77777777">
            <w:pPr>
              <w:autoSpaceDE w:val="0"/>
              <w:autoSpaceDN w:val="0"/>
              <w:adjustRightInd w:val="0"/>
              <w:spacing w:after="0" w:line="240" w:lineRule="auto"/>
              <w:rPr>
                <w:rFonts w:ascii="Times New Roman" w:hAnsi="Times New Roman" w:cs="Times New Roman"/>
                <w:sz w:val="24"/>
                <w:szCs w:val="24"/>
              </w:rPr>
            </w:pPr>
            <w:r w:rsidRPr="00C77612">
              <w:rPr>
                <w:rFonts w:ascii="Times New Roman" w:hAnsi="Times New Roman" w:eastAsia="Times New Roman" w:cs="Times New Roman"/>
                <w:sz w:val="24"/>
                <w:szCs w:val="24"/>
              </w:rPr>
              <w:t>GO</w:t>
            </w:r>
            <w:r w:rsidRPr="00C77612">
              <w:rPr>
                <w:rStyle w:val="FootnoteReference"/>
                <w:rFonts w:ascii="Times New Roman" w:hAnsi="Times New Roman" w:eastAsia="Times New Roman" w:cs="Times New Roman"/>
                <w:sz w:val="24"/>
                <w:szCs w:val="24"/>
              </w:rPr>
              <w:footnoteReference w:id="13"/>
            </w:r>
            <w:r w:rsidRPr="00C77612">
              <w:rPr>
                <w:rFonts w:ascii="Times New Roman" w:hAnsi="Times New Roman" w:eastAsia="Times New Roman" w:cs="Times New Roman"/>
                <w:sz w:val="24"/>
                <w:szCs w:val="24"/>
              </w:rPr>
              <w:t xml:space="preserve"> </w:t>
            </w:r>
          </w:p>
        </w:tc>
        <w:tc>
          <w:tcPr>
            <w:tcW w:w="735" w:type="pct"/>
            <w:vAlign w:val="center"/>
          </w:tcPr>
          <w:p w:rsidRPr="00C77612" w:rsidR="00D20809" w:rsidRDefault="00CC6F4B" w14:paraId="5E54BF10"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125</w:t>
            </w:r>
          </w:p>
        </w:tc>
        <w:tc>
          <w:tcPr>
            <w:tcW w:w="863" w:type="pct"/>
            <w:vAlign w:val="center"/>
          </w:tcPr>
          <w:p w:rsidRPr="00C77612" w:rsidR="00D20809" w:rsidRDefault="00CC6F4B" w14:paraId="7432A100"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w:t>
            </w:r>
          </w:p>
        </w:tc>
        <w:tc>
          <w:tcPr>
            <w:tcW w:w="649" w:type="pct"/>
            <w:vAlign w:val="center"/>
          </w:tcPr>
          <w:p w:rsidRPr="00C77612" w:rsidR="00D20809" w:rsidRDefault="00CC6F4B" w14:paraId="5557752F"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125</w:t>
            </w:r>
          </w:p>
        </w:tc>
        <w:tc>
          <w:tcPr>
            <w:tcW w:w="734" w:type="pct"/>
            <w:vAlign w:val="center"/>
          </w:tcPr>
          <w:p w:rsidRPr="00C77612" w:rsidR="00D20809" w:rsidRDefault="00CC6F4B" w14:paraId="17377367"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24 hrs.;</w:t>
            </w:r>
          </w:p>
          <w:p w:rsidRPr="00C77612" w:rsidR="00D20809" w:rsidRDefault="00CC6F4B" w14:paraId="4552FC67"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$1,920</w:t>
            </w:r>
          </w:p>
        </w:tc>
        <w:tc>
          <w:tcPr>
            <w:tcW w:w="777" w:type="pct"/>
            <w:vAlign w:val="center"/>
          </w:tcPr>
          <w:p w:rsidRPr="00C77612" w:rsidR="00D20809" w:rsidRDefault="00CC6F4B" w14:paraId="1BA9C7EC"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3,000 hrs.; $240,000</w:t>
            </w:r>
          </w:p>
          <w:p w:rsidRPr="00C77612" w:rsidR="00D20809" w:rsidRDefault="00D20809" w14:paraId="5B676DAB" w14:textId="77777777">
            <w:pPr>
              <w:spacing w:after="0" w:line="240" w:lineRule="auto"/>
              <w:jc w:val="right"/>
              <w:rPr>
                <w:rFonts w:ascii="Times New Roman" w:hAnsi="Times New Roman" w:eastAsia="Calibri" w:cs="Times New Roman"/>
                <w:sz w:val="24"/>
                <w:szCs w:val="24"/>
              </w:rPr>
            </w:pPr>
          </w:p>
        </w:tc>
        <w:tc>
          <w:tcPr>
            <w:tcW w:w="692" w:type="pct"/>
          </w:tcPr>
          <w:p w:rsidRPr="00C77612" w:rsidR="00D20809" w:rsidRDefault="00CC6F4B" w14:paraId="29E71728"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Calibri" w:cs="Times New Roman"/>
                <w:sz w:val="24"/>
                <w:szCs w:val="24"/>
              </w:rPr>
              <w:t>$1,920</w:t>
            </w:r>
          </w:p>
        </w:tc>
      </w:tr>
      <w:tr w:rsidR="00D20809" w:rsidTr="00C77612" w14:paraId="46A2FC7D" w14:textId="77777777">
        <w:trPr>
          <w:cantSplit/>
        </w:trPr>
        <w:tc>
          <w:tcPr>
            <w:tcW w:w="550" w:type="pct"/>
            <w:vAlign w:val="center"/>
          </w:tcPr>
          <w:p w:rsidRPr="00C77612" w:rsidR="00D20809" w:rsidRDefault="00CC6F4B" w14:paraId="683337E6" w14:textId="77777777">
            <w:pPr>
              <w:autoSpaceDE w:val="0"/>
              <w:autoSpaceDN w:val="0"/>
              <w:adjustRightInd w:val="0"/>
              <w:spacing w:after="0" w:line="240" w:lineRule="auto"/>
              <w:rPr>
                <w:rFonts w:ascii="Times New Roman" w:hAnsi="Times New Roman" w:cs="Times New Roman"/>
                <w:sz w:val="24"/>
                <w:szCs w:val="24"/>
              </w:rPr>
            </w:pPr>
            <w:r w:rsidRPr="00C77612">
              <w:rPr>
                <w:rFonts w:ascii="Times New Roman" w:hAnsi="Times New Roman" w:eastAsia="Times New Roman" w:cs="Times New Roman"/>
                <w:sz w:val="24"/>
                <w:szCs w:val="24"/>
              </w:rPr>
              <w:t>PC</w:t>
            </w:r>
            <w:r w:rsidRPr="00C77612">
              <w:rPr>
                <w:rStyle w:val="FootnoteReference"/>
                <w:rFonts w:ascii="Times New Roman" w:hAnsi="Times New Roman" w:eastAsia="Times New Roman" w:cs="Times New Roman"/>
                <w:sz w:val="24"/>
                <w:szCs w:val="24"/>
              </w:rPr>
              <w:footnoteReference w:id="14"/>
            </w:r>
            <w:r w:rsidRPr="00C77612">
              <w:rPr>
                <w:rFonts w:ascii="Times New Roman" w:hAnsi="Times New Roman" w:eastAsia="Times New Roman" w:cs="Times New Roman"/>
                <w:sz w:val="24"/>
                <w:szCs w:val="24"/>
              </w:rPr>
              <w:t xml:space="preserve"> </w:t>
            </w:r>
          </w:p>
        </w:tc>
        <w:tc>
          <w:tcPr>
            <w:tcW w:w="735" w:type="pct"/>
            <w:vAlign w:val="center"/>
          </w:tcPr>
          <w:p w:rsidRPr="00C77612" w:rsidR="00D20809" w:rsidRDefault="00CC6F4B" w14:paraId="0FF455C3"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br/>
              <w:t>2</w:t>
            </w:r>
            <w:r w:rsidRPr="00C77612">
              <w:rPr>
                <w:rFonts w:ascii="Times New Roman" w:hAnsi="Times New Roman" w:eastAsia="Times New Roman" w:cs="Times New Roman"/>
                <w:sz w:val="24"/>
                <w:szCs w:val="24"/>
              </w:rPr>
              <w:br/>
            </w:r>
          </w:p>
        </w:tc>
        <w:tc>
          <w:tcPr>
            <w:tcW w:w="863" w:type="pct"/>
            <w:vAlign w:val="center"/>
          </w:tcPr>
          <w:p w:rsidRPr="00C77612" w:rsidR="00D20809" w:rsidRDefault="00CC6F4B" w14:paraId="2B8AE033"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w:t>
            </w:r>
          </w:p>
        </w:tc>
        <w:tc>
          <w:tcPr>
            <w:tcW w:w="649" w:type="pct"/>
            <w:vAlign w:val="center"/>
          </w:tcPr>
          <w:p w:rsidRPr="00C77612" w:rsidR="00D20809" w:rsidRDefault="00CC6F4B" w14:paraId="09C7CD83"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2</w:t>
            </w:r>
          </w:p>
        </w:tc>
        <w:tc>
          <w:tcPr>
            <w:tcW w:w="734" w:type="pct"/>
            <w:vAlign w:val="center"/>
          </w:tcPr>
          <w:p w:rsidRPr="00C77612" w:rsidR="00D20809" w:rsidRDefault="00CC6F4B" w14:paraId="5123CAEB"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24 hrs.;</w:t>
            </w:r>
          </w:p>
          <w:p w:rsidRPr="00C77612" w:rsidR="00D20809" w:rsidRDefault="00CC6F4B" w14:paraId="652C7947"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$1,920</w:t>
            </w:r>
          </w:p>
        </w:tc>
        <w:tc>
          <w:tcPr>
            <w:tcW w:w="777" w:type="pct"/>
            <w:vAlign w:val="center"/>
          </w:tcPr>
          <w:p w:rsidRPr="00C77612" w:rsidR="00D20809" w:rsidRDefault="00CC6F4B" w14:paraId="763585D0"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48 hrs.;</w:t>
            </w:r>
          </w:p>
          <w:p w:rsidRPr="00C77612" w:rsidR="00D20809" w:rsidRDefault="00CC6F4B" w14:paraId="7E5B616A"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$3,840</w:t>
            </w:r>
          </w:p>
        </w:tc>
        <w:tc>
          <w:tcPr>
            <w:tcW w:w="692" w:type="pct"/>
          </w:tcPr>
          <w:p w:rsidRPr="00C77612" w:rsidR="00D20809" w:rsidRDefault="00CC6F4B" w14:paraId="12B50C3B"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Calibri" w:cs="Times New Roman"/>
                <w:sz w:val="24"/>
                <w:szCs w:val="24"/>
              </w:rPr>
              <w:t>$1,920</w:t>
            </w:r>
          </w:p>
        </w:tc>
      </w:tr>
      <w:tr w:rsidR="00D20809" w:rsidTr="00C77612" w14:paraId="4EEAD4AD" w14:textId="77777777">
        <w:trPr>
          <w:cantSplit/>
        </w:trPr>
        <w:tc>
          <w:tcPr>
            <w:tcW w:w="550" w:type="pct"/>
            <w:vAlign w:val="center"/>
          </w:tcPr>
          <w:p w:rsidRPr="00C77612" w:rsidR="00D20809" w:rsidRDefault="00CC6F4B" w14:paraId="75BD2511" w14:textId="77777777">
            <w:pPr>
              <w:autoSpaceDE w:val="0"/>
              <w:autoSpaceDN w:val="0"/>
              <w:adjustRightInd w:val="0"/>
              <w:spacing w:after="0" w:line="240" w:lineRule="auto"/>
              <w:rPr>
                <w:rFonts w:ascii="Times New Roman" w:hAnsi="Times New Roman" w:cs="Times New Roman"/>
                <w:sz w:val="24"/>
                <w:szCs w:val="24"/>
              </w:rPr>
            </w:pPr>
            <w:r w:rsidRPr="00C77612">
              <w:rPr>
                <w:rFonts w:ascii="Times New Roman" w:hAnsi="Times New Roman" w:eastAsia="Times New Roman" w:cs="Times New Roman"/>
                <w:sz w:val="24"/>
                <w:szCs w:val="24"/>
              </w:rPr>
              <w:t>DP</w:t>
            </w:r>
            <w:r w:rsidRPr="00C77612">
              <w:rPr>
                <w:rStyle w:val="FootnoteReference"/>
                <w:rFonts w:ascii="Times New Roman" w:hAnsi="Times New Roman" w:eastAsia="Times New Roman" w:cs="Times New Roman"/>
                <w:sz w:val="24"/>
                <w:szCs w:val="24"/>
              </w:rPr>
              <w:footnoteReference w:id="15"/>
            </w:r>
            <w:r w:rsidRPr="00C77612">
              <w:rPr>
                <w:rFonts w:ascii="Times New Roman" w:hAnsi="Times New Roman" w:eastAsia="Times New Roman" w:cs="Times New Roman"/>
                <w:sz w:val="24"/>
                <w:szCs w:val="24"/>
              </w:rPr>
              <w:t xml:space="preserve"> </w:t>
            </w:r>
          </w:p>
        </w:tc>
        <w:tc>
          <w:tcPr>
            <w:tcW w:w="735" w:type="pct"/>
            <w:vAlign w:val="center"/>
          </w:tcPr>
          <w:p w:rsidRPr="00C77612" w:rsidR="00D20809" w:rsidRDefault="00CC6F4B" w14:paraId="7443FF53"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51</w:t>
            </w:r>
          </w:p>
        </w:tc>
        <w:tc>
          <w:tcPr>
            <w:tcW w:w="863" w:type="pct"/>
            <w:vAlign w:val="center"/>
          </w:tcPr>
          <w:p w:rsidRPr="00C77612" w:rsidR="00D20809" w:rsidRDefault="00CC6F4B" w14:paraId="6FA7009F"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w:t>
            </w:r>
          </w:p>
        </w:tc>
        <w:tc>
          <w:tcPr>
            <w:tcW w:w="649" w:type="pct"/>
            <w:vAlign w:val="center"/>
          </w:tcPr>
          <w:p w:rsidRPr="00C77612" w:rsidR="00D20809" w:rsidRDefault="00CC6F4B" w14:paraId="74CFBC22"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51</w:t>
            </w:r>
          </w:p>
        </w:tc>
        <w:tc>
          <w:tcPr>
            <w:tcW w:w="734" w:type="pct"/>
            <w:vAlign w:val="center"/>
          </w:tcPr>
          <w:p w:rsidRPr="00C77612" w:rsidR="00D20809" w:rsidRDefault="00CC6F4B" w14:paraId="6071659A"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24 hrs.;</w:t>
            </w:r>
          </w:p>
          <w:p w:rsidRPr="00C77612" w:rsidR="00D20809" w:rsidRDefault="00CC6F4B" w14:paraId="7953AB85"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$1,920</w:t>
            </w:r>
          </w:p>
        </w:tc>
        <w:tc>
          <w:tcPr>
            <w:tcW w:w="777" w:type="pct"/>
            <w:vAlign w:val="center"/>
          </w:tcPr>
          <w:p w:rsidRPr="00C77612" w:rsidR="00D20809" w:rsidRDefault="00CC6F4B" w14:paraId="19E800B5"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1,224 hrs.;</w:t>
            </w:r>
          </w:p>
          <w:p w:rsidRPr="00C77612" w:rsidR="00D20809" w:rsidRDefault="00CC6F4B" w14:paraId="746FEF1A"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Times New Roman" w:cs="Times New Roman"/>
                <w:sz w:val="24"/>
                <w:szCs w:val="24"/>
              </w:rPr>
              <w:t>$97,920</w:t>
            </w:r>
          </w:p>
        </w:tc>
        <w:tc>
          <w:tcPr>
            <w:tcW w:w="692" w:type="pct"/>
          </w:tcPr>
          <w:p w:rsidRPr="00C77612" w:rsidR="00D20809" w:rsidRDefault="00CC6F4B" w14:paraId="0534A000"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Calibri" w:cs="Times New Roman"/>
                <w:sz w:val="24"/>
                <w:szCs w:val="24"/>
              </w:rPr>
              <w:t>$1,920</w:t>
            </w:r>
          </w:p>
        </w:tc>
      </w:tr>
      <w:tr w:rsidR="00D20809" w:rsidTr="00C77612" w14:paraId="1C92E710" w14:textId="77777777">
        <w:trPr>
          <w:cantSplit/>
        </w:trPr>
        <w:tc>
          <w:tcPr>
            <w:tcW w:w="550" w:type="pct"/>
            <w:vAlign w:val="center"/>
          </w:tcPr>
          <w:p w:rsidRPr="00C77612" w:rsidR="00D20809" w:rsidRDefault="00CC6F4B" w14:paraId="21EDBEED" w14:textId="77777777">
            <w:pPr>
              <w:autoSpaceDE w:val="0"/>
              <w:autoSpaceDN w:val="0"/>
              <w:adjustRightInd w:val="0"/>
              <w:spacing w:after="0" w:line="240" w:lineRule="auto"/>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TO</w:t>
            </w:r>
            <w:r w:rsidRPr="00C77612">
              <w:rPr>
                <w:rStyle w:val="FootnoteReference"/>
                <w:rFonts w:ascii="Times New Roman" w:hAnsi="Times New Roman" w:eastAsia="Times New Roman" w:cs="Times New Roman"/>
                <w:sz w:val="24"/>
                <w:szCs w:val="24"/>
              </w:rPr>
              <w:footnoteReference w:id="16"/>
            </w:r>
          </w:p>
        </w:tc>
        <w:tc>
          <w:tcPr>
            <w:tcW w:w="735" w:type="pct"/>
            <w:vAlign w:val="center"/>
          </w:tcPr>
          <w:p w:rsidRPr="00C77612" w:rsidR="00D20809" w:rsidRDefault="00CC6F4B" w14:paraId="38C247EA"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39</w:t>
            </w:r>
          </w:p>
        </w:tc>
        <w:tc>
          <w:tcPr>
            <w:tcW w:w="863" w:type="pct"/>
            <w:vAlign w:val="center"/>
          </w:tcPr>
          <w:p w:rsidRPr="00C77612" w:rsidR="00D20809" w:rsidRDefault="00CC6F4B" w14:paraId="104DB03B"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1</w:t>
            </w:r>
          </w:p>
        </w:tc>
        <w:tc>
          <w:tcPr>
            <w:tcW w:w="649" w:type="pct"/>
            <w:vAlign w:val="center"/>
          </w:tcPr>
          <w:p w:rsidRPr="00C77612" w:rsidR="00D20809" w:rsidRDefault="00CC6F4B" w14:paraId="0F6E8135"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39</w:t>
            </w:r>
          </w:p>
        </w:tc>
        <w:tc>
          <w:tcPr>
            <w:tcW w:w="734" w:type="pct"/>
            <w:vAlign w:val="center"/>
          </w:tcPr>
          <w:p w:rsidRPr="00C77612" w:rsidR="00D20809" w:rsidRDefault="00CC6F4B" w14:paraId="1D5F8375"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24 hrs.;</w:t>
            </w:r>
          </w:p>
          <w:p w:rsidRPr="00C77612" w:rsidR="00D20809" w:rsidRDefault="00CC6F4B" w14:paraId="7442D1A1"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$1,920</w:t>
            </w:r>
          </w:p>
        </w:tc>
        <w:tc>
          <w:tcPr>
            <w:tcW w:w="777" w:type="pct"/>
            <w:vAlign w:val="center"/>
          </w:tcPr>
          <w:p w:rsidRPr="00C77612" w:rsidR="00D20809" w:rsidRDefault="00D20809" w14:paraId="4270FB2F" w14:textId="77777777">
            <w:pPr>
              <w:spacing w:after="0" w:line="240" w:lineRule="auto"/>
              <w:jc w:val="right"/>
              <w:rPr>
                <w:rFonts w:ascii="Times New Roman" w:hAnsi="Times New Roman" w:eastAsia="Times New Roman" w:cs="Times New Roman"/>
                <w:sz w:val="24"/>
                <w:szCs w:val="24"/>
              </w:rPr>
            </w:pPr>
          </w:p>
          <w:p w:rsidRPr="00C77612" w:rsidR="00D20809" w:rsidRDefault="00CC6F4B" w14:paraId="036110EC"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936 hrs.;</w:t>
            </w:r>
          </w:p>
          <w:p w:rsidRPr="00C77612" w:rsidR="00D20809" w:rsidRDefault="00CC6F4B" w14:paraId="3DD2CEDA" w14:textId="77777777">
            <w:pPr>
              <w:spacing w:after="0" w:line="240" w:lineRule="auto"/>
              <w:jc w:val="right"/>
              <w:rPr>
                <w:rFonts w:ascii="Times New Roman" w:hAnsi="Times New Roman" w:eastAsia="Times New Roman" w:cs="Times New Roman"/>
                <w:sz w:val="24"/>
                <w:szCs w:val="24"/>
              </w:rPr>
            </w:pPr>
            <w:r w:rsidRPr="00C77612">
              <w:rPr>
                <w:rFonts w:ascii="Times New Roman" w:hAnsi="Times New Roman" w:eastAsia="Times New Roman" w:cs="Times New Roman"/>
                <w:sz w:val="24"/>
                <w:szCs w:val="24"/>
              </w:rPr>
              <w:t>$74,880</w:t>
            </w:r>
            <w:r w:rsidRPr="00C77612">
              <w:rPr>
                <w:rFonts w:ascii="Times New Roman" w:hAnsi="Times New Roman" w:eastAsia="Times New Roman" w:cs="Times New Roman"/>
                <w:sz w:val="24"/>
                <w:szCs w:val="24"/>
              </w:rPr>
              <w:br/>
            </w:r>
          </w:p>
        </w:tc>
        <w:tc>
          <w:tcPr>
            <w:tcW w:w="692" w:type="pct"/>
          </w:tcPr>
          <w:p w:rsidRPr="00C77612" w:rsidR="00D20809" w:rsidRDefault="00CC6F4B" w14:paraId="5B5665F9" w14:textId="77777777">
            <w:pPr>
              <w:spacing w:after="0" w:line="240" w:lineRule="auto"/>
              <w:jc w:val="right"/>
              <w:rPr>
                <w:rFonts w:ascii="Times New Roman" w:hAnsi="Times New Roman" w:eastAsia="Calibri" w:cs="Times New Roman"/>
                <w:sz w:val="24"/>
                <w:szCs w:val="24"/>
              </w:rPr>
            </w:pPr>
            <w:r w:rsidRPr="00C77612">
              <w:rPr>
                <w:rFonts w:ascii="Times New Roman" w:hAnsi="Times New Roman" w:eastAsia="Calibri" w:cs="Times New Roman"/>
                <w:sz w:val="24"/>
                <w:szCs w:val="24"/>
              </w:rPr>
              <w:t>$1,920</w:t>
            </w:r>
          </w:p>
        </w:tc>
      </w:tr>
      <w:tr w:rsidR="00D20809" w:rsidTr="00C77612" w14:paraId="3BC0E50D" w14:textId="77777777">
        <w:trPr>
          <w:cantSplit/>
          <w:trHeight w:val="485"/>
        </w:trPr>
        <w:tc>
          <w:tcPr>
            <w:tcW w:w="550" w:type="pct"/>
            <w:tcBorders>
              <w:bottom w:val="single" w:color="auto" w:sz="4" w:space="0"/>
            </w:tcBorders>
          </w:tcPr>
          <w:p w:rsidRPr="00C77612" w:rsidR="00D20809" w:rsidRDefault="00CC6F4B" w14:paraId="4AB70FFA" w14:textId="77777777">
            <w:pPr>
              <w:spacing w:after="0" w:line="240" w:lineRule="auto"/>
              <w:rPr>
                <w:rFonts w:ascii="Times New Roman" w:hAnsi="Times New Roman" w:eastAsia="Calibri" w:cs="Times New Roman"/>
                <w:b/>
                <w:sz w:val="24"/>
                <w:szCs w:val="24"/>
              </w:rPr>
            </w:pPr>
            <w:r w:rsidRPr="00C77612">
              <w:rPr>
                <w:rFonts w:ascii="Times New Roman" w:hAnsi="Times New Roman" w:eastAsia="Calibri" w:cs="Times New Roman"/>
                <w:b/>
                <w:sz w:val="24"/>
                <w:szCs w:val="24"/>
              </w:rPr>
              <w:t>TOTAL</w:t>
            </w:r>
          </w:p>
        </w:tc>
        <w:tc>
          <w:tcPr>
            <w:tcW w:w="1598" w:type="pct"/>
            <w:gridSpan w:val="2"/>
            <w:tcBorders>
              <w:bottom w:val="single" w:color="auto" w:sz="4" w:space="0"/>
            </w:tcBorders>
            <w:shd w:val="clear" w:color="auto" w:fill="D9D9D9"/>
          </w:tcPr>
          <w:p w:rsidRPr="00C77612" w:rsidR="00D20809" w:rsidRDefault="00D20809" w14:paraId="6BECC861" w14:textId="77777777">
            <w:pPr>
              <w:spacing w:after="0" w:line="240" w:lineRule="auto"/>
              <w:jc w:val="right"/>
              <w:rPr>
                <w:rFonts w:ascii="Times New Roman" w:hAnsi="Times New Roman" w:eastAsia="Calibri" w:cs="Times New Roman"/>
                <w:sz w:val="24"/>
                <w:szCs w:val="24"/>
              </w:rPr>
            </w:pPr>
          </w:p>
        </w:tc>
        <w:tc>
          <w:tcPr>
            <w:tcW w:w="649" w:type="pct"/>
            <w:tcBorders>
              <w:bottom w:val="single" w:color="auto" w:sz="4" w:space="0"/>
            </w:tcBorders>
            <w:shd w:val="clear" w:color="auto" w:fill="auto"/>
          </w:tcPr>
          <w:p w:rsidRPr="00C77612" w:rsidR="00D20809" w:rsidRDefault="00CC6F4B" w14:paraId="75D013EA" w14:textId="77777777">
            <w:pPr>
              <w:spacing w:after="0" w:line="240" w:lineRule="auto"/>
              <w:jc w:val="right"/>
              <w:rPr>
                <w:rFonts w:ascii="Times New Roman" w:hAnsi="Times New Roman" w:eastAsia="Calibri" w:cs="Times New Roman"/>
                <w:b/>
                <w:sz w:val="24"/>
                <w:szCs w:val="24"/>
              </w:rPr>
            </w:pPr>
            <w:r w:rsidRPr="00C77612">
              <w:rPr>
                <w:rFonts w:ascii="Times New Roman" w:hAnsi="Times New Roman" w:eastAsia="Calibri" w:cs="Times New Roman"/>
                <w:b/>
                <w:sz w:val="24"/>
                <w:szCs w:val="24"/>
              </w:rPr>
              <w:t>217</w:t>
            </w:r>
          </w:p>
        </w:tc>
        <w:tc>
          <w:tcPr>
            <w:tcW w:w="734" w:type="pct"/>
            <w:tcBorders>
              <w:bottom w:val="single" w:color="auto" w:sz="4" w:space="0"/>
            </w:tcBorders>
            <w:shd w:val="clear" w:color="auto" w:fill="D9D9D9"/>
          </w:tcPr>
          <w:p w:rsidRPr="00C77612" w:rsidR="00D20809" w:rsidRDefault="00D20809" w14:paraId="4A9900C0" w14:textId="77777777">
            <w:pPr>
              <w:spacing w:after="0" w:line="240" w:lineRule="auto"/>
              <w:jc w:val="right"/>
              <w:rPr>
                <w:rFonts w:ascii="Times New Roman" w:hAnsi="Times New Roman" w:eastAsia="Calibri" w:cs="Times New Roman"/>
                <w:sz w:val="24"/>
                <w:szCs w:val="24"/>
              </w:rPr>
            </w:pPr>
          </w:p>
        </w:tc>
        <w:tc>
          <w:tcPr>
            <w:tcW w:w="777" w:type="pct"/>
            <w:tcBorders>
              <w:bottom w:val="single" w:color="auto" w:sz="4" w:space="0"/>
            </w:tcBorders>
          </w:tcPr>
          <w:p w:rsidRPr="00C77612" w:rsidR="00D20809" w:rsidRDefault="00CC6F4B" w14:paraId="6ABEB29E" w14:textId="77777777">
            <w:pPr>
              <w:spacing w:after="0" w:line="240" w:lineRule="auto"/>
              <w:jc w:val="right"/>
              <w:rPr>
                <w:rFonts w:ascii="Times New Roman" w:hAnsi="Times New Roman" w:eastAsia="Calibri" w:cs="Times New Roman"/>
                <w:b/>
                <w:sz w:val="24"/>
                <w:szCs w:val="24"/>
              </w:rPr>
            </w:pPr>
            <w:r w:rsidRPr="00C77612">
              <w:rPr>
                <w:rFonts w:ascii="Times New Roman" w:hAnsi="Times New Roman" w:eastAsia="Calibri" w:cs="Times New Roman"/>
                <w:b/>
                <w:sz w:val="24"/>
                <w:szCs w:val="24"/>
              </w:rPr>
              <w:t>5,208 hrs.:</w:t>
            </w:r>
          </w:p>
          <w:p w:rsidRPr="00C77612" w:rsidR="00D20809" w:rsidRDefault="00CC6F4B" w14:paraId="30D754AE" w14:textId="77777777">
            <w:pPr>
              <w:spacing w:after="0" w:line="240" w:lineRule="auto"/>
              <w:jc w:val="right"/>
              <w:rPr>
                <w:rFonts w:ascii="Times New Roman" w:hAnsi="Times New Roman" w:eastAsia="Calibri" w:cs="Times New Roman"/>
                <w:b/>
                <w:sz w:val="24"/>
                <w:szCs w:val="24"/>
              </w:rPr>
            </w:pPr>
            <w:r w:rsidRPr="00C77612">
              <w:rPr>
                <w:rFonts w:ascii="Times New Roman" w:hAnsi="Times New Roman" w:eastAsia="Calibri" w:cs="Times New Roman"/>
                <w:b/>
                <w:sz w:val="24"/>
                <w:szCs w:val="24"/>
              </w:rPr>
              <w:t>$416,640</w:t>
            </w:r>
          </w:p>
        </w:tc>
        <w:tc>
          <w:tcPr>
            <w:tcW w:w="692" w:type="pct"/>
            <w:tcBorders>
              <w:bottom w:val="single" w:color="auto" w:sz="4" w:space="0"/>
            </w:tcBorders>
            <w:shd w:val="clear" w:color="auto" w:fill="D9D9D9"/>
          </w:tcPr>
          <w:p w:rsidRPr="00C77612" w:rsidR="00D20809" w:rsidRDefault="00D20809" w14:paraId="4FD865A9" w14:textId="77777777">
            <w:pPr>
              <w:spacing w:after="0" w:line="240" w:lineRule="auto"/>
              <w:jc w:val="right"/>
              <w:rPr>
                <w:rFonts w:ascii="Times New Roman" w:hAnsi="Times New Roman" w:eastAsia="Calibri" w:cs="Times New Roman"/>
                <w:b/>
                <w:sz w:val="24"/>
                <w:szCs w:val="24"/>
              </w:rPr>
            </w:pPr>
          </w:p>
        </w:tc>
      </w:tr>
    </w:tbl>
    <w:p w:rsidR="00D20809" w:rsidRDefault="00D20809" w14:paraId="722009B3" w14:textId="77777777">
      <w:pPr>
        <w:spacing w:after="0" w:line="240" w:lineRule="auto"/>
        <w:ind w:left="360"/>
        <w:rPr>
          <w:rFonts w:ascii="Times New Roman" w:hAnsi="Times New Roman" w:cs="Times New Roman"/>
          <w:b/>
          <w:sz w:val="26"/>
          <w:szCs w:val="26"/>
        </w:rPr>
      </w:pPr>
    </w:p>
    <w:p w:rsidR="00D20809" w:rsidRDefault="00CC6F4B" w14:paraId="5220FA08"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 OF THE TOTAL ANNUAL COST BURDEN TO RESPONDENTS</w:t>
      </w:r>
    </w:p>
    <w:p w:rsidR="00D20809" w:rsidRDefault="00D20809" w14:paraId="5624F539" w14:textId="77777777">
      <w:pPr>
        <w:spacing w:after="0" w:line="240" w:lineRule="auto"/>
        <w:ind w:left="360"/>
        <w:rPr>
          <w:rFonts w:ascii="Times New Roman" w:hAnsi="Times New Roman" w:cs="Times New Roman"/>
          <w:sz w:val="26"/>
          <w:szCs w:val="26"/>
        </w:rPr>
      </w:pPr>
    </w:p>
    <w:p w:rsidR="00D20809" w:rsidRDefault="00CC6F4B" w14:paraId="62E0704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There is no start-up, capital, or other non-labor hour cost associated with the PRA aspects of this DLO in RD20-1-000. All costs are associated with burden hours and are addressed in Questions 12 and 15.  </w:t>
      </w:r>
    </w:p>
    <w:p w:rsidR="00D20809" w:rsidRDefault="00D20809" w14:paraId="573F8B09" w14:textId="77777777">
      <w:pPr>
        <w:spacing w:after="0" w:line="240" w:lineRule="auto"/>
        <w:rPr>
          <w:rFonts w:ascii="Times New Roman" w:hAnsi="Times New Roman" w:cs="Times New Roman"/>
          <w:sz w:val="26"/>
          <w:szCs w:val="26"/>
        </w:rPr>
      </w:pPr>
    </w:p>
    <w:p w:rsidR="00D20809" w:rsidRDefault="00CC6F4B" w14:paraId="3BC5CA29"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ESTIMATED ANNUALIZED COST TO FEDERAL GOVERNMENT</w:t>
      </w:r>
    </w:p>
    <w:p w:rsidR="00D20809" w:rsidRDefault="00D20809" w14:paraId="2DE96455" w14:textId="77777777">
      <w:pPr>
        <w:spacing w:after="0" w:line="240" w:lineRule="auto"/>
        <w:rPr>
          <w:rFonts w:ascii="Times New Roman" w:hAnsi="Times New Roman" w:cs="Times New Roman"/>
          <w:sz w:val="26"/>
          <w:szCs w:val="26"/>
        </w:rPr>
      </w:pPr>
    </w:p>
    <w:p w:rsidR="00D20809" w:rsidRDefault="00CC6F4B" w14:paraId="6DBAD7C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rsidR="00D20809" w:rsidRDefault="00CC6F4B" w14:paraId="33F4273C"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D20809" w:rsidRDefault="00CC6F4B" w14:paraId="38920915"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PRA Administrative  Cost (estimate of $4,832 per collection annually) is a Federal Cost associated with preparing, issuing, and submitting materials necessary to comply with the Paperwork Reduction Act of 1995 (PRA) for rulemakings, orders, or any other vehicle used to create, modify, extend, or discontinue an information collection.  This average annual cost includes requests for extensions, all associated rulemakings or orders, and other changes to the collection, as well as necessary publications in the Federal Register. </w:t>
      </w:r>
    </w:p>
    <w:p w:rsidR="00D20809" w:rsidRDefault="00D20809" w14:paraId="55732DC4" w14:textId="77777777">
      <w:pPr>
        <w:spacing w:after="0" w:line="240" w:lineRule="auto"/>
        <w:rPr>
          <w:rFonts w:ascii="Times New Roman" w:hAnsi="Times New Roman" w:cs="Times New Roman"/>
          <w:sz w:val="26"/>
          <w:szCs w:val="26"/>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00D20809" w14:paraId="769C93EF"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00D20809" w:rsidRDefault="00D20809" w14:paraId="3EAF8874" w14:textId="77777777">
            <w:pPr>
              <w:spacing w:line="240" w:lineRule="auto"/>
              <w:rPr>
                <w:rFonts w:ascii="Times New Roman" w:hAnsi="Times New Roman" w:cs="Times New Roman"/>
                <w:sz w:val="26"/>
                <w:szCs w:val="26"/>
              </w:rPr>
            </w:pPr>
          </w:p>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00D20809" w:rsidRDefault="00CC6F4B" w14:paraId="6F129238"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Number of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00D20809" w:rsidRDefault="00CC6F4B" w14:paraId="36806482"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Estimated Annual Federal Cost</w:t>
            </w:r>
          </w:p>
        </w:tc>
      </w:tr>
      <w:tr w:rsidR="00D20809" w14:paraId="73B5CE63" w14:textId="77777777">
        <w:tc>
          <w:tcPr>
            <w:tcW w:w="3182" w:type="dxa"/>
            <w:tcBorders>
              <w:top w:val="single" w:color="auto" w:sz="4" w:space="0"/>
              <w:left w:val="single" w:color="auto" w:sz="4" w:space="0"/>
              <w:bottom w:val="single" w:color="auto" w:sz="4" w:space="0"/>
              <w:right w:val="single" w:color="auto" w:sz="4" w:space="0"/>
            </w:tcBorders>
            <w:hideMark/>
          </w:tcPr>
          <w:p w:rsidR="00D20809" w:rsidRDefault="00CC6F4B" w14:paraId="6FE42751" w14:textId="77777777">
            <w:pPr>
              <w:spacing w:line="240" w:lineRule="auto"/>
              <w:rPr>
                <w:rFonts w:ascii="Times New Roman" w:hAnsi="Times New Roman" w:cs="Times New Roman"/>
                <w:sz w:val="26"/>
                <w:szCs w:val="26"/>
              </w:rPr>
            </w:pPr>
            <w:r>
              <w:rPr>
                <w:rFonts w:ascii="Times New Roman" w:hAnsi="Times New Roman" w:cs="Times New Roman"/>
                <w:sz w:val="26"/>
                <w:szCs w:val="26"/>
              </w:rPr>
              <w:t>Analysis and Processing of filings</w:t>
            </w:r>
            <w:r>
              <w:rPr>
                <w:rFonts w:ascii="Times New Roman" w:hAnsi="Times New Roman" w:cs="Times New Roman"/>
                <w:sz w:val="26"/>
                <w:szCs w:val="26"/>
                <w:vertAlign w:val="superscript"/>
              </w:rPr>
              <w:footnoteReference w:id="17"/>
            </w:r>
          </w:p>
        </w:tc>
        <w:tc>
          <w:tcPr>
            <w:tcW w:w="3201"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1EC5330F"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2995"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0E4477D5"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 xml:space="preserve">0  </w:t>
            </w:r>
          </w:p>
        </w:tc>
      </w:tr>
      <w:tr w:rsidR="00D20809" w14:paraId="6B77F9EC" w14:textId="77777777">
        <w:tc>
          <w:tcPr>
            <w:tcW w:w="3182" w:type="dxa"/>
            <w:tcBorders>
              <w:top w:val="single" w:color="auto" w:sz="4" w:space="0"/>
              <w:left w:val="single" w:color="auto" w:sz="4" w:space="0"/>
              <w:bottom w:val="single" w:color="auto" w:sz="4" w:space="0"/>
              <w:right w:val="single" w:color="auto" w:sz="4" w:space="0"/>
            </w:tcBorders>
            <w:hideMark/>
          </w:tcPr>
          <w:p w:rsidR="00D20809" w:rsidRDefault="00CC6F4B" w14:paraId="20BBAC05" w14:textId="77777777">
            <w:pPr>
              <w:spacing w:line="240" w:lineRule="auto"/>
              <w:rPr>
                <w:rFonts w:ascii="Times New Roman" w:hAnsi="Times New Roman" w:cs="Times New Roman"/>
                <w:sz w:val="26"/>
                <w:szCs w:val="26"/>
              </w:rPr>
            </w:pPr>
            <w:r>
              <w:rPr>
                <w:rFonts w:ascii="Times New Roman" w:hAnsi="Times New Roman" w:cs="Times New Roman"/>
                <w:sz w:val="26"/>
                <w:szCs w:val="26"/>
              </w:rPr>
              <w:t xml:space="preserve">PRA Administrative Cost </w:t>
            </w:r>
          </w:p>
        </w:tc>
        <w:tc>
          <w:tcPr>
            <w:tcW w:w="3201" w:type="dxa"/>
            <w:tcBorders>
              <w:top w:val="single" w:color="auto" w:sz="4" w:space="0"/>
              <w:left w:val="single" w:color="auto" w:sz="4" w:space="0"/>
              <w:bottom w:val="single" w:color="auto" w:sz="4" w:space="0"/>
              <w:right w:val="single" w:color="auto" w:sz="4" w:space="0"/>
            </w:tcBorders>
            <w:shd w:val="clear" w:color="auto" w:fill="D9D9D9"/>
            <w:vAlign w:val="bottom"/>
          </w:tcPr>
          <w:p w:rsidR="00D20809" w:rsidRDefault="00D20809" w14:paraId="5AC2FFA0" w14:textId="77777777">
            <w:pPr>
              <w:spacing w:line="240" w:lineRule="auto"/>
              <w:jc w:val="right"/>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05D585BB"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$4,832</w:t>
            </w:r>
          </w:p>
        </w:tc>
      </w:tr>
      <w:tr w:rsidR="00D20809" w14:paraId="2D7BABE5" w14:textId="77777777">
        <w:tc>
          <w:tcPr>
            <w:tcW w:w="3182" w:type="dxa"/>
            <w:tcBorders>
              <w:top w:val="single" w:color="auto" w:sz="4" w:space="0"/>
              <w:left w:val="single" w:color="auto" w:sz="4" w:space="0"/>
              <w:bottom w:val="single" w:color="auto" w:sz="4" w:space="0"/>
              <w:right w:val="single" w:color="auto" w:sz="4" w:space="0"/>
            </w:tcBorders>
            <w:hideMark/>
          </w:tcPr>
          <w:p w:rsidR="00D20809" w:rsidRDefault="00CC6F4B" w14:paraId="74BBCC44"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FERC Total</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D20809" w14:paraId="63983E84" w14:textId="77777777">
            <w:pPr>
              <w:spacing w:line="240" w:lineRule="auto"/>
              <w:jc w:val="right"/>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62A34ADB"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$4,832</w:t>
            </w:r>
          </w:p>
        </w:tc>
      </w:tr>
    </w:tbl>
    <w:p w:rsidR="00D20809" w:rsidRDefault="00D20809" w14:paraId="7C7E3F16" w14:textId="77777777">
      <w:pPr>
        <w:spacing w:after="0" w:line="240" w:lineRule="auto"/>
        <w:rPr>
          <w:rFonts w:ascii="Times New Roman" w:hAnsi="Times New Roman" w:cs="Times New Roman"/>
          <w:sz w:val="26"/>
          <w:szCs w:val="26"/>
        </w:rPr>
      </w:pPr>
    </w:p>
    <w:p w:rsidR="00D20809" w:rsidRDefault="00CC6F4B" w14:paraId="12473976"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REASONS FOR CHANGES IN BURDEN INCLUDING THE NEED FOR ANY INCREASE</w:t>
      </w:r>
    </w:p>
    <w:p w:rsidR="00D20809" w:rsidRDefault="00D20809" w14:paraId="5174311E" w14:textId="77777777">
      <w:pPr>
        <w:spacing w:after="0" w:line="240" w:lineRule="auto"/>
        <w:rPr>
          <w:rFonts w:ascii="Times New Roman" w:hAnsi="Times New Roman" w:cs="Times New Roman"/>
          <w:b/>
          <w:sz w:val="26"/>
          <w:szCs w:val="26"/>
        </w:rPr>
      </w:pPr>
    </w:p>
    <w:p w:rsidR="00D20809" w:rsidRDefault="00CC6F4B" w14:paraId="718D3026" w14:textId="649585B8">
      <w:pPr>
        <w:tabs>
          <w:tab w:val="left" w:pos="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purpose of Reliability Standard PRC-006-NPCC-2 (contained within FERC-725G) is to revise currently effective Regional Reliability Standard PRC-006-NPCC-1 to remove redundancies with the Reliability Standard PRC-006-3, clarify obligations for registered entities, improve communication of island boundaries to affected registered entities, and provide entities with the flexibility to calculate net load shed for UFLS in certain </w:t>
      </w:r>
      <w:r>
        <w:rPr>
          <w:rFonts w:ascii="Times New Roman" w:hAnsi="Times New Roman" w:cs="Times New Roman"/>
          <w:sz w:val="26"/>
          <w:szCs w:val="26"/>
        </w:rPr>
        <w:lastRenderedPageBreak/>
        <w:t xml:space="preserve">situations.    </w:t>
      </w:r>
      <w:r w:rsidR="000A3605">
        <w:rPr>
          <w:rFonts w:ascii="Times New Roman" w:hAnsi="Times New Roman" w:cs="Times New Roman"/>
          <w:sz w:val="26"/>
          <w:szCs w:val="26"/>
        </w:rPr>
        <w:t xml:space="preserve">FERC-725G has a minor </w:t>
      </w:r>
      <w:r w:rsidR="004E7A85">
        <w:rPr>
          <w:rFonts w:ascii="Times New Roman" w:hAnsi="Times New Roman" w:cs="Times New Roman"/>
          <w:sz w:val="26"/>
          <w:szCs w:val="26"/>
        </w:rPr>
        <w:t>increase</w:t>
      </w:r>
      <w:r w:rsidR="000A3605">
        <w:rPr>
          <w:rFonts w:ascii="Times New Roman" w:hAnsi="Times New Roman" w:cs="Times New Roman"/>
          <w:sz w:val="26"/>
          <w:szCs w:val="26"/>
        </w:rPr>
        <w:t xml:space="preserve"> of 217 responses because </w:t>
      </w:r>
      <w:r w:rsidR="004E7A85">
        <w:rPr>
          <w:rFonts w:ascii="Times New Roman" w:hAnsi="Times New Roman" w:cs="Times New Roman"/>
          <w:sz w:val="26"/>
          <w:szCs w:val="26"/>
        </w:rPr>
        <w:t>we are correcting our prior estimate to represent the current registered entities.</w:t>
      </w:r>
    </w:p>
    <w:p w:rsidR="00D20809" w:rsidRDefault="00D20809" w14:paraId="507D235B" w14:textId="77777777">
      <w:pPr>
        <w:tabs>
          <w:tab w:val="left" w:pos="0"/>
        </w:tabs>
        <w:spacing w:after="0" w:line="240" w:lineRule="auto"/>
      </w:pPr>
    </w:p>
    <w:p w:rsidR="00D20809" w:rsidRDefault="00CC6F4B" w14:paraId="6BC23625" w14:textId="5737C241">
      <w:pPr>
        <w:tabs>
          <w:tab w:val="left" w:pos="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PRC-006-NPCC-2 removes duplication with the continent wide standard and adds specificity to allow retirement of the NPCC UFLS Directory #12 </w:t>
      </w:r>
      <w:r>
        <w:rPr>
          <w:rStyle w:val="FootnoteReference"/>
          <w:rFonts w:ascii="Times New Roman" w:hAnsi="Times New Roman" w:cs="Times New Roman"/>
          <w:sz w:val="26"/>
          <w:szCs w:val="26"/>
        </w:rPr>
        <w:footnoteReference w:id="18"/>
      </w:r>
      <w:bookmarkStart w:name="_GoBack" w:id="2"/>
      <w:bookmarkEnd w:id="2"/>
      <w:commentRangeStart w:id="3"/>
      <w:commentRangeStart w:id="4"/>
      <w:commentRangeEnd w:id="3"/>
      <w:commentRangeEnd w:id="4"/>
      <w:r>
        <w:rPr>
          <w:rFonts w:ascii="Times New Roman" w:hAnsi="Times New Roman" w:cs="Times New Roman"/>
          <w:sz w:val="26"/>
          <w:szCs w:val="26"/>
        </w:rPr>
        <w:t xml:space="preserve"> containing more stringent UFLS performance criteria and harmonizes the requirements.  </w:t>
      </w:r>
    </w:p>
    <w:p w:rsidR="00D20809" w:rsidRDefault="00D20809" w14:paraId="14A40C5A" w14:textId="77777777">
      <w:pPr>
        <w:spacing w:after="0" w:line="240" w:lineRule="auto"/>
        <w:rPr>
          <w:rFonts w:ascii="Times New Roman" w:hAnsi="Times New Roman" w:cs="Times New Roman"/>
          <w:sz w:val="26"/>
          <w:szCs w:val="26"/>
        </w:rPr>
      </w:pPr>
    </w:p>
    <w:tbl>
      <w:tblPr>
        <w:tblW w:w="93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800"/>
      </w:tblGrid>
      <w:tr w:rsidR="00D20809" w14:paraId="3A514D5F" w14:textId="77777777">
        <w:trPr>
          <w:trHeight w:val="870"/>
        </w:trPr>
        <w:tc>
          <w:tcPr>
            <w:tcW w:w="26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CC6F4B" w14:paraId="747A832D"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FERC-725G</w:t>
            </w:r>
          </w:p>
        </w:tc>
        <w:tc>
          <w:tcPr>
            <w:tcW w:w="1461"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CC6F4B" w14:paraId="1B07552E"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Total Request</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CC6F4B" w14:paraId="035B74B2"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Previously Approved</w:t>
            </w:r>
          </w:p>
        </w:tc>
        <w:tc>
          <w:tcPr>
            <w:tcW w:w="180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CC6F4B" w14:paraId="66987FDE" w14:textId="77777777">
            <w:pPr>
              <w:spacing w:line="240" w:lineRule="auto"/>
              <w:rPr>
                <w:rFonts w:ascii="Times New Roman" w:hAnsi="Times New Roman" w:cs="Times New Roman"/>
                <w:b/>
                <w:sz w:val="26"/>
                <w:szCs w:val="26"/>
                <w:highlight w:val="yellow"/>
              </w:rPr>
            </w:pPr>
            <w:r>
              <w:rPr>
                <w:rFonts w:ascii="Times New Roman" w:hAnsi="Times New Roman" w:cs="Times New Roman"/>
                <w:b/>
                <w:sz w:val="26"/>
                <w:szCs w:val="26"/>
              </w:rPr>
              <w:t>Change due to Adjustment in Estimate</w:t>
            </w:r>
          </w:p>
        </w:tc>
        <w:tc>
          <w:tcPr>
            <w:tcW w:w="180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20809" w:rsidRDefault="00CC6F4B" w14:paraId="036E5220" w14:textId="77777777">
            <w:pPr>
              <w:spacing w:line="240" w:lineRule="auto"/>
              <w:rPr>
                <w:rFonts w:ascii="Times New Roman" w:hAnsi="Times New Roman" w:cs="Times New Roman"/>
                <w:b/>
                <w:sz w:val="26"/>
                <w:szCs w:val="26"/>
              </w:rPr>
            </w:pPr>
            <w:r>
              <w:rPr>
                <w:rFonts w:ascii="Times New Roman" w:hAnsi="Times New Roman" w:cs="Times New Roman"/>
                <w:b/>
                <w:sz w:val="26"/>
                <w:szCs w:val="26"/>
              </w:rPr>
              <w:t>Change Due to Agency Discretion</w:t>
            </w:r>
          </w:p>
        </w:tc>
      </w:tr>
      <w:tr w:rsidR="00D20809" w14:paraId="03491498" w14:textId="77777777">
        <w:trPr>
          <w:trHeight w:val="591"/>
        </w:trPr>
        <w:tc>
          <w:tcPr>
            <w:tcW w:w="2679"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5C1214BF"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Number of Responses</w:t>
            </w:r>
          </w:p>
        </w:tc>
        <w:tc>
          <w:tcPr>
            <w:tcW w:w="1461"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3CB2B80E"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12,714</w:t>
            </w:r>
          </w:p>
        </w:tc>
        <w:tc>
          <w:tcPr>
            <w:tcW w:w="162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2F4BD4AB"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12,497</w:t>
            </w:r>
          </w:p>
        </w:tc>
        <w:tc>
          <w:tcPr>
            <w:tcW w:w="180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0B2A66F6"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tcPr>
          <w:p w:rsidR="00D20809" w:rsidRDefault="00CC6F4B" w14:paraId="74BC9FBD" w14:textId="77777777">
            <w:pPr>
              <w:spacing w:line="240" w:lineRule="auto"/>
              <w:jc w:val="right"/>
              <w:rPr>
                <w:rFonts w:ascii="Times New Roman" w:hAnsi="Times New Roman" w:cs="Times New Roman"/>
                <w:sz w:val="26"/>
                <w:szCs w:val="26"/>
                <w:highlight w:val="yellow"/>
              </w:rPr>
            </w:pPr>
            <w:r>
              <w:rPr>
                <w:rFonts w:ascii="Times New Roman" w:hAnsi="Times New Roman" w:cs="Times New Roman"/>
                <w:sz w:val="26"/>
                <w:szCs w:val="26"/>
              </w:rPr>
              <w:t>217</w:t>
            </w:r>
          </w:p>
        </w:tc>
      </w:tr>
      <w:tr w:rsidR="00D20809" w14:paraId="307AAC44" w14:textId="77777777">
        <w:trPr>
          <w:trHeight w:val="674"/>
        </w:trPr>
        <w:tc>
          <w:tcPr>
            <w:tcW w:w="2679"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25A7B34F"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Time Burden (Hr.)</w:t>
            </w:r>
          </w:p>
        </w:tc>
        <w:tc>
          <w:tcPr>
            <w:tcW w:w="1461"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2D9697FF"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710,355</w:t>
            </w:r>
          </w:p>
        </w:tc>
        <w:tc>
          <w:tcPr>
            <w:tcW w:w="1620" w:type="dxa"/>
            <w:tcBorders>
              <w:top w:val="single" w:color="auto" w:sz="4" w:space="0"/>
              <w:left w:val="single" w:color="auto" w:sz="4" w:space="0"/>
              <w:bottom w:val="single" w:color="auto" w:sz="4" w:space="0"/>
              <w:right w:val="single" w:color="auto" w:sz="4" w:space="0"/>
            </w:tcBorders>
            <w:vAlign w:val="bottom"/>
          </w:tcPr>
          <w:p w:rsidR="00D20809" w:rsidRDefault="00CC6F4B" w14:paraId="0551E842"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705,147</w:t>
            </w:r>
          </w:p>
        </w:tc>
        <w:tc>
          <w:tcPr>
            <w:tcW w:w="1800" w:type="dxa"/>
            <w:tcBorders>
              <w:top w:val="single" w:color="auto" w:sz="4" w:space="0"/>
              <w:left w:val="single" w:color="auto" w:sz="4" w:space="0"/>
              <w:bottom w:val="single" w:color="auto" w:sz="4" w:space="0"/>
              <w:right w:val="single" w:color="auto" w:sz="4" w:space="0"/>
            </w:tcBorders>
            <w:vAlign w:val="bottom"/>
          </w:tcPr>
          <w:p w:rsidR="00D20809" w:rsidRDefault="00CC6F4B" w14:paraId="3247DE8E"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0A31B85E"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5,208</w:t>
            </w:r>
          </w:p>
        </w:tc>
      </w:tr>
      <w:tr w:rsidR="00D20809" w14:paraId="4C0DB701" w14:textId="77777777">
        <w:trPr>
          <w:trHeight w:val="295"/>
        </w:trPr>
        <w:tc>
          <w:tcPr>
            <w:tcW w:w="2679"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6D2F766E" w14:textId="77777777">
            <w:pPr>
              <w:spacing w:line="240" w:lineRule="auto"/>
              <w:rPr>
                <w:rFonts w:ascii="Times New Roman" w:hAnsi="Times New Roman" w:cs="Times New Roman"/>
                <w:sz w:val="26"/>
                <w:szCs w:val="26"/>
              </w:rPr>
            </w:pPr>
            <w:r>
              <w:rPr>
                <w:rFonts w:ascii="Times New Roman" w:hAnsi="Times New Roman" w:cs="Times New Roman"/>
                <w:sz w:val="26"/>
                <w:szCs w:val="26"/>
              </w:rPr>
              <w:t>Annual Cost Burden ($)</w:t>
            </w:r>
          </w:p>
        </w:tc>
        <w:tc>
          <w:tcPr>
            <w:tcW w:w="1461"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50DF4FF9"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62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220BE098"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3CB3F897"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color="auto" w:sz="4" w:space="0"/>
              <w:left w:val="single" w:color="auto" w:sz="4" w:space="0"/>
              <w:bottom w:val="single" w:color="auto" w:sz="4" w:space="0"/>
              <w:right w:val="single" w:color="auto" w:sz="4" w:space="0"/>
            </w:tcBorders>
            <w:vAlign w:val="bottom"/>
            <w:hideMark/>
          </w:tcPr>
          <w:p w:rsidR="00D20809" w:rsidRDefault="00CC6F4B" w14:paraId="5F549CBC" w14:textId="77777777">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r>
    </w:tbl>
    <w:p w:rsidR="00D20809" w:rsidRDefault="00D20809" w14:paraId="453291FB" w14:textId="77777777">
      <w:pPr>
        <w:spacing w:after="0" w:line="240" w:lineRule="auto"/>
        <w:rPr>
          <w:rFonts w:ascii="Times New Roman" w:hAnsi="Times New Roman" w:cs="Times New Roman"/>
          <w:sz w:val="26"/>
          <w:szCs w:val="26"/>
        </w:rPr>
      </w:pPr>
    </w:p>
    <w:p w:rsidR="00D20809" w:rsidRDefault="00CC6F4B" w14:paraId="4017243F"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TIME SCHEDULE FOR PUBLICATION OF DATA</w:t>
      </w:r>
    </w:p>
    <w:p w:rsidR="00D20809" w:rsidRDefault="00D20809" w14:paraId="52D66B76" w14:textId="77777777">
      <w:pPr>
        <w:spacing w:after="0" w:line="240" w:lineRule="auto"/>
        <w:rPr>
          <w:rFonts w:ascii="Times New Roman" w:hAnsi="Times New Roman" w:cs="Times New Roman"/>
          <w:sz w:val="26"/>
          <w:szCs w:val="26"/>
        </w:rPr>
      </w:pPr>
    </w:p>
    <w:p w:rsidR="00D20809" w:rsidRDefault="00CC6F4B" w14:paraId="06E58143"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data publications.</w:t>
      </w:r>
    </w:p>
    <w:p w:rsidR="00D20809" w:rsidRDefault="00D20809" w14:paraId="2D9C9054" w14:textId="77777777">
      <w:pPr>
        <w:spacing w:after="0" w:line="240" w:lineRule="auto"/>
        <w:rPr>
          <w:rFonts w:ascii="Times New Roman" w:hAnsi="Times New Roman" w:cs="Times New Roman"/>
          <w:sz w:val="26"/>
          <w:szCs w:val="26"/>
        </w:rPr>
      </w:pPr>
    </w:p>
    <w:p w:rsidR="00D20809" w:rsidRDefault="00CC6F4B" w14:paraId="6A59A7B3"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DISPLAY OF EXPIRATION DATE</w:t>
      </w:r>
    </w:p>
    <w:p w:rsidR="00D20809" w:rsidRDefault="00D20809" w14:paraId="0C837F48" w14:textId="77777777">
      <w:pPr>
        <w:spacing w:after="0" w:line="240" w:lineRule="auto"/>
        <w:rPr>
          <w:rFonts w:ascii="Times New Roman" w:hAnsi="Times New Roman" w:cs="Times New Roman"/>
          <w:sz w:val="26"/>
          <w:szCs w:val="26"/>
        </w:rPr>
      </w:pPr>
    </w:p>
    <w:p w:rsidR="00D20809" w:rsidRDefault="00CC6F4B" w14:paraId="2BB6AD4C"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expiration date is posted at </w:t>
      </w:r>
      <w:hyperlink w:history="1" r:id="rId13">
        <w:r>
          <w:rPr>
            <w:rStyle w:val="Hyperlink"/>
            <w:sz w:val="26"/>
            <w:szCs w:val="26"/>
          </w:rPr>
          <w:t>http://www.ferc.gov/docs-filing/info-collections.asp</w:t>
        </w:r>
      </w:hyperlink>
      <w:r>
        <w:rPr>
          <w:rFonts w:ascii="Times New Roman" w:hAnsi="Times New Roman" w:cs="Times New Roman"/>
          <w:sz w:val="26"/>
          <w:szCs w:val="26"/>
        </w:rPr>
        <w:t>.</w:t>
      </w:r>
    </w:p>
    <w:p w:rsidR="00D20809" w:rsidRDefault="00D20809" w14:paraId="1A2302AC" w14:textId="77777777">
      <w:pPr>
        <w:spacing w:after="0" w:line="240" w:lineRule="auto"/>
        <w:rPr>
          <w:rFonts w:ascii="Times New Roman" w:hAnsi="Times New Roman" w:cs="Times New Roman"/>
          <w:sz w:val="26"/>
          <w:szCs w:val="26"/>
        </w:rPr>
      </w:pPr>
    </w:p>
    <w:p w:rsidR="00D20809" w:rsidRDefault="00CC6F4B" w14:paraId="4C2A2D97" w14:textId="77777777">
      <w:pPr>
        <w:numPr>
          <w:ilvl w:val="0"/>
          <w:numId w:val="2"/>
        </w:numPr>
        <w:spacing w:after="0" w:line="240" w:lineRule="auto"/>
        <w:rPr>
          <w:rFonts w:ascii="Times New Roman" w:hAnsi="Times New Roman" w:cs="Times New Roman"/>
          <w:b/>
          <w:sz w:val="26"/>
          <w:szCs w:val="26"/>
        </w:rPr>
      </w:pPr>
      <w:r>
        <w:rPr>
          <w:rFonts w:ascii="Times New Roman" w:hAnsi="Times New Roman" w:cs="Times New Roman"/>
          <w:b/>
          <w:sz w:val="26"/>
          <w:szCs w:val="26"/>
        </w:rPr>
        <w:t>EXCEPTIONS TO THE CERTIFICATION STATEMENT</w:t>
      </w:r>
    </w:p>
    <w:p w:rsidR="00D20809" w:rsidRDefault="00D20809" w14:paraId="0923E109" w14:textId="77777777">
      <w:pPr>
        <w:spacing w:after="0" w:line="240" w:lineRule="auto"/>
        <w:rPr>
          <w:rFonts w:ascii="Times New Roman" w:hAnsi="Times New Roman" w:cs="Times New Roman"/>
          <w:b/>
          <w:sz w:val="26"/>
          <w:szCs w:val="26"/>
        </w:rPr>
      </w:pPr>
    </w:p>
    <w:p w:rsidR="00D20809" w:rsidRDefault="00CC6F4B" w14:paraId="407CCE51"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Commission does not use statistical methods for these collections.  </w:t>
      </w:r>
    </w:p>
    <w:sectPr w:rsidR="00D2080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4D0D" w16cex:dateUtc="2020-08-05T19:21:00Z"/>
  <w16cex:commentExtensible w16cex:durableId="22D54CE0" w16cex:dateUtc="2020-08-05T1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3E13" w14:textId="77777777" w:rsidR="00CC6F4B" w:rsidRDefault="00CC6F4B">
      <w:pPr>
        <w:spacing w:after="0" w:line="240" w:lineRule="auto"/>
      </w:pPr>
      <w:r>
        <w:separator/>
      </w:r>
    </w:p>
  </w:endnote>
  <w:endnote w:type="continuationSeparator" w:id="0">
    <w:p w14:paraId="54FB2F84" w14:textId="77777777" w:rsidR="00CC6F4B" w:rsidRDefault="00CC6F4B">
      <w:pPr>
        <w:spacing w:after="0" w:line="240" w:lineRule="auto"/>
      </w:pPr>
      <w:r>
        <w:continuationSeparator/>
      </w:r>
    </w:p>
  </w:endnote>
  <w:endnote w:type="continuationNotice" w:id="1">
    <w:p w14:paraId="08ABAEDF" w14:textId="77777777" w:rsidR="00CC6F4B" w:rsidRDefault="00CC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9420" w14:textId="77777777" w:rsidR="00C77612" w:rsidRDefault="00C77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652269"/>
      <w:docPartObj>
        <w:docPartGallery w:val="Page Numbers (Bottom of Page)"/>
        <w:docPartUnique/>
      </w:docPartObj>
    </w:sdtPr>
    <w:sdtEndPr>
      <w:rPr>
        <w:noProof/>
      </w:rPr>
    </w:sdtEndPr>
    <w:sdtContent>
      <w:p w14:paraId="4EBB32DA" w14:textId="77777777" w:rsidR="00D20809" w:rsidRDefault="00CC6F4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E9AB33A" w14:textId="77777777" w:rsidR="00D20809" w:rsidRDefault="00D20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7459" w14:textId="77777777" w:rsidR="00C77612" w:rsidRDefault="00C7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74CD" w14:textId="77777777" w:rsidR="00CC6F4B" w:rsidRDefault="00CC6F4B">
      <w:pPr>
        <w:spacing w:after="0" w:line="240" w:lineRule="auto"/>
      </w:pPr>
      <w:r>
        <w:separator/>
      </w:r>
    </w:p>
  </w:footnote>
  <w:footnote w:type="continuationSeparator" w:id="0">
    <w:p w14:paraId="7C21A77D" w14:textId="77777777" w:rsidR="00CC6F4B" w:rsidRDefault="00CC6F4B">
      <w:pPr>
        <w:spacing w:after="0" w:line="240" w:lineRule="auto"/>
      </w:pPr>
      <w:r>
        <w:continuationSeparator/>
      </w:r>
    </w:p>
  </w:footnote>
  <w:footnote w:type="continuationNotice" w:id="1">
    <w:p w14:paraId="10CBA1E4" w14:textId="77777777" w:rsidR="00CC6F4B" w:rsidRDefault="00CC6F4B">
      <w:pPr>
        <w:spacing w:after="0" w:line="240" w:lineRule="auto"/>
      </w:pPr>
    </w:p>
  </w:footnote>
  <w:footnote w:id="2">
    <w:p w14:paraId="12EA388B"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FERC-725I (OMB Control No. 1902-0258) includes Version 1 of the standard.  FERC-725I was pending review at OMB for regular renewal review and only one item per OMB control number can be pending at a time.  Therefore, we are temporarily double counting that burden.</w:t>
      </w:r>
    </w:p>
  </w:footnote>
  <w:footnote w:id="3">
    <w:p w14:paraId="3E87E478" w14:textId="77777777" w:rsidR="00D20809" w:rsidRDefault="00CC6F4B">
      <w:pPr>
        <w:pStyle w:val="FootnoteText"/>
        <w:rPr>
          <w:rFonts w:ascii="Times New Roman" w:hAnsi="Times New Roman"/>
          <w:sz w:val="22"/>
          <w:szCs w:val="22"/>
        </w:rPr>
      </w:pPr>
      <w:r>
        <w:rPr>
          <w:rStyle w:val="FootnoteReference"/>
          <w:rFonts w:ascii="Times New Roman" w:hAnsi="Times New Roman" w:cs="Times New Roman"/>
          <w:sz w:val="26"/>
          <w:szCs w:val="26"/>
        </w:rPr>
        <w:footnoteRef/>
      </w:r>
      <w:r>
        <w:rPr>
          <w:rFonts w:ascii="Times New Roman" w:hAnsi="Times New Roman" w:cs="Times New Roman"/>
          <w:sz w:val="26"/>
          <w:szCs w:val="26"/>
          <w:vertAlign w:val="superscript"/>
        </w:rPr>
        <w:t xml:space="preserve"> </w:t>
      </w:r>
      <w:r>
        <w:rPr>
          <w:rFonts w:ascii="Times New Roman" w:hAnsi="Times New Roman" w:cs="Times New Roman"/>
          <w:sz w:val="26"/>
          <w:szCs w:val="26"/>
        </w:rPr>
        <w:t>The Energy Policy Act of 2005, Pub. L. No 109-58, Title XII, Subtitle A, 119 Stat. 594, 941 (2005), codified at 16 U.S.C. 824o (2006).</w:t>
      </w:r>
    </w:p>
  </w:footnote>
  <w:footnote w:id="4">
    <w:p w14:paraId="7E549D5E"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w:t>
      </w:r>
      <w:r>
        <w:rPr>
          <w:rFonts w:ascii="Times New Roman" w:hAnsi="Times New Roman" w:cs="Times New Roman"/>
          <w:i/>
          <w:iCs/>
          <w:sz w:val="26"/>
          <w:szCs w:val="26"/>
        </w:rPr>
        <w:t xml:space="preserve">Id. </w:t>
      </w:r>
      <w:r>
        <w:rPr>
          <w:rFonts w:ascii="Times New Roman" w:hAnsi="Times New Roman" w:cs="Times New Roman"/>
          <w:sz w:val="26"/>
          <w:szCs w:val="26"/>
        </w:rPr>
        <w:t>824o(c), (d).</w:t>
      </w:r>
    </w:p>
  </w:footnote>
  <w:footnote w:id="5">
    <w:p w14:paraId="0F260DD2"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w:t>
      </w:r>
      <w:r>
        <w:rPr>
          <w:rFonts w:ascii="Times New Roman" w:hAnsi="Times New Roman" w:cs="Times New Roman"/>
          <w:i/>
          <w:iCs/>
          <w:sz w:val="26"/>
          <w:szCs w:val="26"/>
        </w:rPr>
        <w:t xml:space="preserve">Id. </w:t>
      </w:r>
      <w:r>
        <w:rPr>
          <w:rFonts w:ascii="Times New Roman" w:hAnsi="Times New Roman" w:cs="Times New Roman"/>
          <w:sz w:val="26"/>
          <w:szCs w:val="26"/>
        </w:rPr>
        <w:t>824o(e).</w:t>
      </w:r>
    </w:p>
  </w:footnote>
  <w:footnote w:id="6">
    <w:p w14:paraId="41ECEFB4" w14:textId="77777777" w:rsidR="00D20809" w:rsidRDefault="00CC6F4B">
      <w:pPr>
        <w:pStyle w:val="FootnoteText"/>
      </w:pPr>
      <w:r>
        <w:rPr>
          <w:rStyle w:val="FootnoteReference"/>
        </w:rPr>
        <w:footnoteRef/>
      </w:r>
      <w:r>
        <w:t xml:space="preserve"> </w:t>
      </w:r>
      <w:r>
        <w:rPr>
          <w:rFonts w:ascii="Times New Roman" w:hAnsi="Times New Roman" w:cs="Times New Roman"/>
          <w:sz w:val="26"/>
          <w:szCs w:val="26"/>
        </w:rPr>
        <w:t>“Electric Reliability Organization” or “ERO” means the organization certified by the Commission the purpose of which is to establish and enforce Reliability Standards for the Bulk-Power System, subject to Commission review.</w:t>
      </w:r>
    </w:p>
  </w:footnote>
  <w:footnote w:id="7">
    <w:p w14:paraId="39B4B1FE" w14:textId="77777777" w:rsidR="00D20809" w:rsidRDefault="00CC6F4B">
      <w:pPr>
        <w:pStyle w:val="FootnoteText"/>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w:t>
      </w:r>
      <w:r>
        <w:rPr>
          <w:rFonts w:ascii="Times New Roman" w:hAnsi="Times New Roman" w:cs="Times New Roman"/>
          <w:i/>
          <w:sz w:val="26"/>
          <w:szCs w:val="26"/>
        </w:rPr>
        <w:t>North American Electric Reliability Corp.</w:t>
      </w:r>
      <w:r>
        <w:rPr>
          <w:rFonts w:ascii="Times New Roman" w:hAnsi="Times New Roman" w:cs="Times New Roman"/>
          <w:sz w:val="26"/>
          <w:szCs w:val="26"/>
        </w:rPr>
        <w:t xml:space="preserve">, 116 FERC ¶ 61,062, </w:t>
      </w:r>
      <w:r>
        <w:rPr>
          <w:rFonts w:ascii="Times New Roman" w:hAnsi="Times New Roman" w:cs="Times New Roman"/>
          <w:i/>
          <w:sz w:val="26"/>
          <w:szCs w:val="26"/>
        </w:rPr>
        <w:t>order on reh’g and compliance</w:t>
      </w:r>
      <w:r>
        <w:rPr>
          <w:rFonts w:ascii="Times New Roman" w:hAnsi="Times New Roman" w:cs="Times New Roman"/>
          <w:sz w:val="26"/>
          <w:szCs w:val="26"/>
        </w:rPr>
        <w:t xml:space="preserve">, 117 FERC ¶ 61,126 (2006), </w:t>
      </w:r>
      <w:r>
        <w:rPr>
          <w:rFonts w:ascii="Times New Roman" w:hAnsi="Times New Roman" w:cs="Times New Roman"/>
          <w:i/>
          <w:sz w:val="26"/>
          <w:szCs w:val="26"/>
        </w:rPr>
        <w:t>order on compliance</w:t>
      </w:r>
      <w:r>
        <w:rPr>
          <w:rFonts w:ascii="Times New Roman" w:hAnsi="Times New Roman" w:cs="Times New Roman"/>
          <w:sz w:val="26"/>
          <w:szCs w:val="26"/>
        </w:rPr>
        <w:t xml:space="preserve">, 118 FERC ¶ 61,190, </w:t>
      </w:r>
      <w:r>
        <w:rPr>
          <w:rFonts w:ascii="Times New Roman" w:hAnsi="Times New Roman" w:cs="Times New Roman"/>
          <w:i/>
          <w:sz w:val="26"/>
          <w:szCs w:val="26"/>
        </w:rPr>
        <w:t>order on reh’g</w:t>
      </w:r>
      <w:r>
        <w:rPr>
          <w:rFonts w:ascii="Times New Roman" w:hAnsi="Times New Roman" w:cs="Times New Roman"/>
          <w:sz w:val="26"/>
          <w:szCs w:val="26"/>
        </w:rPr>
        <w:t xml:space="preserve">, 119 FERC ¶ 61,046 (2007), </w:t>
      </w:r>
      <w:r>
        <w:rPr>
          <w:rFonts w:ascii="Times New Roman" w:hAnsi="Times New Roman" w:cs="Times New Roman"/>
          <w:i/>
          <w:sz w:val="26"/>
          <w:szCs w:val="26"/>
        </w:rPr>
        <w:t>aff’d sub nom. Alcoa Inc. v. FERC</w:t>
      </w:r>
      <w:r>
        <w:rPr>
          <w:rFonts w:ascii="Times New Roman" w:hAnsi="Times New Roman" w:cs="Times New Roman"/>
          <w:sz w:val="26"/>
          <w:szCs w:val="26"/>
        </w:rPr>
        <w:t>, 564 F.3d 1342 (D.C. Cir. 2009).</w:t>
      </w:r>
    </w:p>
  </w:footnote>
  <w:footnote w:id="8">
    <w:p w14:paraId="641D42CD"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Details of the current ERO Reliability Standard processes are available on the NERC website at </w:t>
      </w:r>
      <w:hyperlink r:id="rId1" w:history="1">
        <w:r>
          <w:rPr>
            <w:rStyle w:val="Hyperlink"/>
            <w:sz w:val="26"/>
            <w:szCs w:val="26"/>
          </w:rPr>
          <w:t>http://www.nerc.com/FilingsOrders/us/RuleOfProcedureDL/Appendix_3A_StandardProcessesManual_20130626.pdf</w:t>
        </w:r>
      </w:hyperlink>
      <w:r>
        <w:rPr>
          <w:rFonts w:ascii="Times New Roman" w:hAnsi="Times New Roman" w:cs="Times New Roman"/>
          <w:sz w:val="26"/>
          <w:szCs w:val="26"/>
        </w:rPr>
        <w:t>.</w:t>
      </w:r>
    </w:p>
  </w:footnote>
  <w:footnote w:id="9">
    <w:p w14:paraId="51989108" w14:textId="77777777" w:rsidR="00D20809" w:rsidRDefault="00CC6F4B">
      <w:pPr>
        <w:pStyle w:val="FootnoteText"/>
        <w:rPr>
          <w:sz w:val="26"/>
          <w:szCs w:val="26"/>
        </w:rPr>
      </w:pPr>
      <w:r>
        <w:rPr>
          <w:rStyle w:val="FootnoteReference"/>
          <w:sz w:val="26"/>
          <w:szCs w:val="26"/>
        </w:rPr>
        <w:footnoteRef/>
      </w:r>
      <w:r>
        <w:rPr>
          <w:sz w:val="26"/>
          <w:szCs w:val="26"/>
        </w:rPr>
        <w:t xml:space="preserve"> </w:t>
      </w:r>
      <w:r>
        <w:rPr>
          <w:rFonts w:ascii="Times New Roman" w:hAnsi="Times New Roman" w:cs="Times New Roman"/>
          <w:bCs/>
          <w:sz w:val="26"/>
          <w:szCs w:val="26"/>
        </w:rPr>
        <w:t>85 FR 14190</w:t>
      </w:r>
    </w:p>
  </w:footnote>
  <w:footnote w:id="10">
    <w:p w14:paraId="6500C296" w14:textId="77777777" w:rsidR="00D20809" w:rsidRDefault="00CC6F4B">
      <w:pPr>
        <w:pStyle w:val="FootnoteText"/>
        <w:rPr>
          <w:sz w:val="26"/>
          <w:szCs w:val="26"/>
        </w:rPr>
      </w:pPr>
      <w:r>
        <w:rPr>
          <w:rStyle w:val="FootnoteReference"/>
          <w:sz w:val="26"/>
          <w:szCs w:val="26"/>
        </w:rPr>
        <w:footnoteRef/>
      </w:r>
      <w:r>
        <w:rPr>
          <w:sz w:val="26"/>
          <w:szCs w:val="26"/>
        </w:rPr>
        <w:t xml:space="preserve"> </w:t>
      </w:r>
      <w:r>
        <w:rPr>
          <w:rFonts w:ascii="Times New Roman" w:hAnsi="Times New Roman" w:cs="Times New Roman"/>
          <w:bCs/>
          <w:sz w:val="26"/>
          <w:szCs w:val="26"/>
        </w:rPr>
        <w:t>85 FR 31491</w:t>
      </w:r>
    </w:p>
  </w:footnote>
  <w:footnote w:id="11">
    <w:p w14:paraId="6935D6CC"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Adding version 2 of the standard is a program increase for FERC-725G.  Burden related to version 1 of the standard (currently contained in FERC-725I) is temporarily double counted but will be administratively removed in the future.</w:t>
      </w:r>
    </w:p>
  </w:footnote>
  <w:footnote w:id="12">
    <w:p w14:paraId="517E35F0"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The Commission staff thinks that the average respondent for this collection is similarly situated to the Commission, in terms of salary plus benefits.  Based upon FERC’s 2019 average full-time equivalent (FTE) for salary plus benefits ($167,091), the average hourly cost is $80.00/hour</w:t>
      </w:r>
    </w:p>
  </w:footnote>
  <w:footnote w:id="13">
    <w:p w14:paraId="71E80C41"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Generator Owner</w:t>
      </w:r>
    </w:p>
  </w:footnote>
  <w:footnote w:id="14">
    <w:p w14:paraId="6E2B122C"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Planning Coordinator</w:t>
      </w:r>
    </w:p>
  </w:footnote>
  <w:footnote w:id="15">
    <w:p w14:paraId="056505DE"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Distribution Provide</w:t>
      </w:r>
    </w:p>
  </w:footnote>
  <w:footnote w:id="16">
    <w:p w14:paraId="0F9ECE13"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Transmission Owner</w:t>
      </w:r>
    </w:p>
  </w:footnote>
  <w:footnote w:id="17">
    <w:p w14:paraId="5A5459C3" w14:textId="77777777" w:rsidR="00D20809" w:rsidRDefault="00CC6F4B">
      <w:pPr>
        <w:pStyle w:val="FootnoteText"/>
        <w:rPr>
          <w:rFonts w:ascii="Times New Roman" w:hAnsi="Times New Roman" w:cs="Times New Roman"/>
          <w:sz w:val="26"/>
          <w:szCs w:val="26"/>
        </w:rPr>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Based on the Commission’s FY (Fiscal Year) 2019 average cost (for wages plus benefits), $80.00/hour is used.</w:t>
      </w:r>
    </w:p>
    <w:p w14:paraId="710463C8" w14:textId="77777777" w:rsidR="00D20809" w:rsidRDefault="00D20809">
      <w:pPr>
        <w:pStyle w:val="FootnoteText"/>
        <w:rPr>
          <w:rFonts w:ascii="Times New Roman" w:hAnsi="Times New Roman" w:cs="Times New Roman"/>
          <w:sz w:val="26"/>
          <w:szCs w:val="26"/>
        </w:rPr>
      </w:pPr>
    </w:p>
  </w:footnote>
  <w:footnote w:id="18">
    <w:p w14:paraId="5074D69B" w14:textId="77777777" w:rsidR="00D20809" w:rsidRDefault="00CC6F4B">
      <w:pPr>
        <w:pStyle w:val="FootnoteText"/>
      </w:pPr>
      <w:r>
        <w:rPr>
          <w:rStyle w:val="FootnoteReference"/>
          <w:rFonts w:ascii="Times New Roman" w:hAnsi="Times New Roman" w:cs="Times New Roman"/>
          <w:sz w:val="26"/>
          <w:szCs w:val="26"/>
        </w:rPr>
        <w:footnoteRef/>
      </w:r>
      <w:r>
        <w:rPr>
          <w:rFonts w:ascii="Times New Roman" w:hAnsi="Times New Roman" w:cs="Times New Roman"/>
          <w:sz w:val="26"/>
          <w:szCs w:val="26"/>
        </w:rPr>
        <w:t xml:space="preserve"> NERC stated that regional Reliability Standard PRC-006-NPCC-1 is based on the program characteristics defined within NPCC Directory #12 Underfrequency Load Shedding (UFLS) Program Requirements (NPCC Directory #12), which contains the criteria that govern the NPCC Automatic</w:t>
      </w:r>
      <w:r>
        <w:t xml:space="preserve"> </w:t>
      </w:r>
      <w:r>
        <w:rPr>
          <w:rFonts w:ascii="Times New Roman" w:hAnsi="Times New Roman" w:cs="Times New Roman"/>
          <w:sz w:val="26"/>
          <w:szCs w:val="26"/>
        </w:rPr>
        <w:t>UFLS program that have been in place since June 26, 2009.</w:t>
      </w:r>
      <w:r>
        <w:t xml:space="preserve"> </w:t>
      </w:r>
    </w:p>
    <w:p w14:paraId="2D59E854" w14:textId="77777777" w:rsidR="00D20809" w:rsidRDefault="00CC6F4B">
      <w:pPr>
        <w:pStyle w:val="FootnoteText"/>
        <w:rPr>
          <w:rFonts w:ascii="Times New Roman" w:hAnsi="Times New Roman" w:cs="Times New Roman"/>
          <w:sz w:val="26"/>
          <w:szCs w:val="26"/>
        </w:rPr>
      </w:pPr>
      <w:hyperlink r:id="rId2" w:history="1">
        <w:r>
          <w:rPr>
            <w:rStyle w:val="Hyperlink"/>
            <w:sz w:val="26"/>
            <w:szCs w:val="26"/>
          </w:rPr>
          <w:t>https://www.nerc.com/FilingsOrders/us/FERCOrdersRules/Order_Approving_PRC-006-NPCC-1_2013.2.21.pdf</w:t>
        </w:r>
      </w:hyperlink>
      <w:r>
        <w:rPr>
          <w:rFonts w:ascii="Times New Roman" w:hAnsi="Times New Roman" w:cs="Times New Roman"/>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F211" w14:textId="77777777" w:rsidR="00C77612" w:rsidRDefault="00C77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32EC" w14:textId="77777777" w:rsidR="00D20809" w:rsidRDefault="00CC6F4B">
    <w:pPr>
      <w:pStyle w:val="Head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6A5EA9A6" wp14:editId="4C9F3612">
              <wp:simplePos x="0" y="0"/>
              <wp:positionH relativeFrom="page">
                <wp:posOffset>0</wp:posOffset>
              </wp:positionH>
              <wp:positionV relativeFrom="page">
                <wp:posOffset>190500</wp:posOffset>
              </wp:positionV>
              <wp:extent cx="7772400" cy="266700"/>
              <wp:effectExtent l="0" t="0" r="0" b="0"/>
              <wp:wrapNone/>
              <wp:docPr id="1" name="MSIPCM83c4497c81a0bf0e68165b97"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50A58" w14:textId="77777777" w:rsidR="00D20809" w:rsidRDefault="00D20809">
                          <w:pPr>
                            <w:spacing w:after="0"/>
                            <w:jc w:val="center"/>
                            <w:rPr>
                              <w:rFonts w:ascii="Times New Roman" w:hAnsi="Times New Roman" w:cs="Times New Roman"/>
                              <w:color w:val="A8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EA9A6" id="_x0000_t202" coordsize="21600,21600" o:spt="202" path="m,l,21600r21600,l21600,xe">
              <v:stroke joinstyle="miter"/>
              <v:path gradientshapeok="t" o:connecttype="rect"/>
            </v:shapetype>
            <v:shape id="MSIPCM83c4497c81a0bf0e68165b97" o:spid="_x0000_s1026" type="#_x0000_t202" alt="{&quot;HashCode&quot;:-17513996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AY4/HSFQMAADYGAAAOAAAAAAAAAAAAAAAAAC4CAABk&#10;cnMvZTJvRG9jLnhtbFBLAQItABQABgAIAAAAIQBoO5V22wAAAAcBAAAPAAAAAAAAAAAAAAAAAG8F&#10;AABkcnMvZG93bnJldi54bWxQSwUGAAAAAAQABADzAAAAdwYAAAAA&#10;" o:allowincell="f" filled="f" stroked="f" strokeweight=".5pt">
              <v:textbox inset=",0,,0">
                <w:txbxContent>
                  <w:p w14:paraId="4B450A58" w14:textId="77777777" w:rsidR="00D20809" w:rsidRDefault="00D20809">
                    <w:pPr>
                      <w:spacing w:after="0"/>
                      <w:jc w:val="center"/>
                      <w:rPr>
                        <w:rFonts w:ascii="Times New Roman" w:hAnsi="Times New Roman" w:cs="Times New Roman"/>
                        <w:color w:val="A80000"/>
                        <w:sz w:val="26"/>
                      </w:rPr>
                    </w:pPr>
                  </w:p>
                </w:txbxContent>
              </v:textbox>
              <w10:wrap anchorx="page" anchory="page"/>
            </v:shape>
          </w:pict>
        </mc:Fallback>
      </mc:AlternateContent>
    </w:r>
    <w:r>
      <w:rPr>
        <w:rFonts w:ascii="Times New Roman" w:hAnsi="Times New Roman" w:cs="Times New Roman"/>
        <w:sz w:val="26"/>
        <w:szCs w:val="26"/>
      </w:rPr>
      <w:t>FERC-725G (OMB Control No. 1902-0252)</w:t>
    </w:r>
  </w:p>
  <w:p w14:paraId="28DF69F8" w14:textId="77777777" w:rsidR="00D20809" w:rsidRDefault="00CC6F4B">
    <w:pPr>
      <w:pStyle w:val="Header"/>
      <w:rPr>
        <w:rFonts w:ascii="Times New Roman" w:hAnsi="Times New Roman" w:cs="Times New Roman"/>
        <w:sz w:val="26"/>
        <w:szCs w:val="26"/>
      </w:rPr>
    </w:pPr>
    <w:r>
      <w:rPr>
        <w:rFonts w:ascii="Times New Roman" w:hAnsi="Times New Roman" w:cs="Times New Roman"/>
        <w:sz w:val="26"/>
        <w:szCs w:val="26"/>
      </w:rPr>
      <w:t>DLO (issued 2/18/2020) in Docket No. RD20-1-000</w:t>
    </w:r>
  </w:p>
  <w:p w14:paraId="1DF10798" w14:textId="11240C5C" w:rsidR="00D20809" w:rsidRDefault="00CC6F4B">
    <w:pPr>
      <w:pStyle w:val="Header"/>
      <w:rPr>
        <w:rFonts w:ascii="Times New Roman" w:hAnsi="Times New Roman" w:cs="Times New Roman"/>
        <w:sz w:val="26"/>
        <w:szCs w:val="26"/>
      </w:rPr>
    </w:pPr>
    <w:r>
      <w:rPr>
        <w:rFonts w:ascii="Times New Roman" w:hAnsi="Times New Roman" w:cs="Times New Roman"/>
        <w:sz w:val="26"/>
        <w:szCs w:val="26"/>
      </w:rPr>
      <w:t>UPDATED: 8/1</w:t>
    </w:r>
    <w:r w:rsidR="00C77612">
      <w:rPr>
        <w:rFonts w:ascii="Times New Roman" w:hAnsi="Times New Roman" w:cs="Times New Roman"/>
        <w:sz w:val="26"/>
        <w:szCs w:val="26"/>
      </w:rPr>
      <w:t>8</w:t>
    </w:r>
    <w:r>
      <w:rPr>
        <w:rFonts w:ascii="Times New Roman" w:hAnsi="Times New Roman" w:cs="Times New Roman"/>
        <w:sz w:val="26"/>
        <w:szCs w:val="26"/>
      </w:rPr>
      <w:t>/2020</w:t>
    </w:r>
  </w:p>
  <w:p w14:paraId="42BD040C" w14:textId="77777777" w:rsidR="00D20809" w:rsidRDefault="00D20809">
    <w:pPr>
      <w:pStyle w:val="Header"/>
      <w:rPr>
        <w:rFonts w:ascii="Times New Roman" w:hAnsi="Times New Roman" w:cs="Times New Roman"/>
        <w:sz w:val="26"/>
        <w:szCs w:val="26"/>
      </w:rPr>
    </w:pPr>
  </w:p>
  <w:p w14:paraId="6851122E" w14:textId="77777777" w:rsidR="00D20809" w:rsidRDefault="00D20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EB00" w14:textId="77777777" w:rsidR="00C77612" w:rsidRDefault="00C7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2C41"/>
    <w:multiLevelType w:val="hybridMultilevel"/>
    <w:tmpl w:val="ED0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466"/>
    <w:multiLevelType w:val="hybridMultilevel"/>
    <w:tmpl w:val="78E68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C1895"/>
    <w:multiLevelType w:val="hybridMultilevel"/>
    <w:tmpl w:val="E52203D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FD5BCC"/>
    <w:multiLevelType w:val="hybridMultilevel"/>
    <w:tmpl w:val="D10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42BFA"/>
    <w:multiLevelType w:val="hybridMultilevel"/>
    <w:tmpl w:val="84E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D3C3F"/>
    <w:multiLevelType w:val="hybridMultilevel"/>
    <w:tmpl w:val="E2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09"/>
    <w:rsid w:val="000A3605"/>
    <w:rsid w:val="004E7A85"/>
    <w:rsid w:val="00C77612"/>
    <w:rsid w:val="00CC6F4B"/>
    <w:rsid w:val="00D2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B3226"/>
  <w15:docId w15:val="{2F76F334-A293-4BB4-9D83-F592B374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qFormat/>
    <w:pPr>
      <w:spacing w:after="0" w:line="240" w:lineRule="auto"/>
    </w:pPr>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rPr>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basedOn w:val="DefaultParagraphFont"/>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30315">
      <w:bodyDiv w:val="1"/>
      <w:marLeft w:val="0"/>
      <w:marRight w:val="0"/>
      <w:marTop w:val="0"/>
      <w:marBottom w:val="0"/>
      <w:divBdr>
        <w:top w:val="none" w:sz="0" w:space="0" w:color="auto"/>
        <w:left w:val="none" w:sz="0" w:space="0" w:color="auto"/>
        <w:bottom w:val="none" w:sz="0" w:space="0" w:color="auto"/>
        <w:right w:val="none" w:sz="0" w:space="0" w:color="auto"/>
      </w:divBdr>
    </w:div>
    <w:div w:id="1361395655">
      <w:bodyDiv w:val="1"/>
      <w:marLeft w:val="0"/>
      <w:marRight w:val="0"/>
      <w:marTop w:val="0"/>
      <w:marBottom w:val="0"/>
      <w:divBdr>
        <w:top w:val="none" w:sz="0" w:space="0" w:color="auto"/>
        <w:left w:val="none" w:sz="0" w:space="0" w:color="auto"/>
        <w:bottom w:val="none" w:sz="0" w:space="0" w:color="auto"/>
        <w:right w:val="none" w:sz="0" w:space="0" w:color="auto"/>
      </w:divBdr>
    </w:div>
    <w:div w:id="17369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FilingsOrders/us/FERCOrdersRules/Order_Approving_PRC-006-NPCC-1_2013.2.21.pdf" TargetMode="External"/><Relationship Id="rId1" Type="http://schemas.openxmlformats.org/officeDocument/2006/relationships/hyperlink" Target="http://www.nerc.com/FilingsOrders/us/RuleOfProcedureDL/Appendix_3A_StandardProcessesManual_201306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725G</_x0031__x002e__x0020_Collection_x0020_Number>
    <Date xmlns="d6eefc7d-9817-4fa6-84d5-3bc009be21b8">2020-08-17T04:00:00.000Z</Date>
    <Status xmlns="d6eefc7d-9817-4fa6-84d5-3bc009be21b8">Draft</Status>
    <_x0032__x002e__x0020_Docket_x0020_Number xmlns="d6eefc7d-9817-4fa6-84d5-3bc009be21b8" xsi:nil="true"/>
    <_x0032__x002e__x0020_Collection_x0020_Number xmlns="d6eefc7d-9817-4fa6-84d5-3bc009be21b8" xmlns:xsi="http://www.w3.org/2001/XMLSchema-instance" xsi:nil="true"/>
    <_x0031__x002e__x0020_Docket_x0020_Number xmlns="d6eefc7d-9817-4fa6-84d5-3bc009be21b8">RD20-1</_x0031__x002e__x0020_Docket_x0020_Number>
    <_x0033__x002e__x0020_Collection_x0020_Number xmlns="d6eefc7d-9817-4fa6-84d5-3bc009be21b8" xmlns:xsi="http://www.w3.org/2001/XMLSchema-instance"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995B-DA6B-4E16-A395-CABD895ECCE6}">
  <ds:schemaRefs>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DC8F956-2222-4F37-BEF9-3D2CA4E67A3B}">
  <ds:schemaRefs>
    <ds:schemaRef ds:uri="Microsoft.SharePoint.Taxonomy.ContentTypeSync"/>
  </ds:schemaRefs>
</ds:datastoreItem>
</file>

<file path=customXml/itemProps3.xml><?xml version="1.0" encoding="utf-8"?>
<ds:datastoreItem xmlns:ds="http://schemas.openxmlformats.org/officeDocument/2006/customXml" ds:itemID="{D5D6099D-82FD-476B-B199-9626F5C7DC55}">
  <ds:schemaRefs>
    <ds:schemaRef ds:uri="http://schemas.microsoft.com/office/2006/metadata/customXsn"/>
  </ds:schemaRefs>
</ds:datastoreItem>
</file>

<file path=customXml/itemProps4.xml><?xml version="1.0" encoding="utf-8"?>
<ds:datastoreItem xmlns:ds="http://schemas.openxmlformats.org/officeDocument/2006/customXml" ds:itemID="{E2D10264-80D8-49AA-8E31-48725C1D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1D8D9-7D66-4B82-8F84-7C686D50719E}">
  <ds:schemaRefs>
    <ds:schemaRef ds:uri="http://schemas.microsoft.com/sharepoint/v3/contenttype/forms"/>
  </ds:schemaRefs>
</ds:datastoreItem>
</file>

<file path=customXml/itemProps6.xml><?xml version="1.0" encoding="utf-8"?>
<ds:datastoreItem xmlns:ds="http://schemas.openxmlformats.org/officeDocument/2006/customXml" ds:itemID="{1EA41125-C795-40FC-B844-0E0D9046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12521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RD20-1Supporting Statement</vt:lpstr>
    </vt:vector>
  </TitlesOfParts>
  <Company>FERC</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RD20-1Supporting Statement</dc:title>
  <dc:subject/>
  <dc:creator>Michele Chambers</dc:creator>
  <cp:keywords/>
  <dc:description/>
  <cp:lastModifiedBy>Michele Chambers</cp:lastModifiedBy>
  <cp:revision>2</cp:revision>
  <cp:lastPrinted>2018-06-21T12:21:00Z</cp:lastPrinted>
  <dcterms:created xsi:type="dcterms:W3CDTF">2020-08-18T16:10:00Z</dcterms:created>
  <dcterms:modified xsi:type="dcterms:W3CDTF">2020-08-18T16:10:00Z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ellen.brown@ferc.gov</vt:lpwstr>
  </property>
  <property fmtid="{D5CDD505-2E9C-101B-9397-08002B2CF9AE}" pid="6" name="MSIP_Label_6155a89b-0f08-4a93-8ea2-8a916d6643b5_SetDate">
    <vt:lpwstr>2020-08-17T15:26:01.5626813Z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1fcc715a-7fde-4c49-9492-7a9fe4440bb7</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