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C01FB" w:rsidR="00856466" w:rsidP="00856466" w:rsidRDefault="00856466" w14:paraId="2FAB92C4" w14:textId="77777777">
      <w:pPr>
        <w:jc w:val="center"/>
        <w:rPr>
          <w:szCs w:val="26"/>
        </w:rPr>
      </w:pPr>
      <w:r>
        <w:t>UNITED STATES OF AMERI</w:t>
      </w:r>
      <w:r w:rsidRPr="008C01FB">
        <w:rPr>
          <w:szCs w:val="26"/>
        </w:rPr>
        <w:t>CA</w:t>
      </w:r>
    </w:p>
    <w:p w:rsidRPr="008C01FB" w:rsidR="00856466" w:rsidP="00856466" w:rsidRDefault="00856466" w14:paraId="642A3E65" w14:textId="77777777">
      <w:pPr>
        <w:jc w:val="center"/>
        <w:rPr>
          <w:szCs w:val="26"/>
        </w:rPr>
      </w:pPr>
      <w:r w:rsidRPr="008C01FB">
        <w:rPr>
          <w:szCs w:val="26"/>
        </w:rPr>
        <w:t>FEDERAL ENERGY REGULATORY COMMISSION</w:t>
      </w:r>
    </w:p>
    <w:p w:rsidRPr="008C01FB" w:rsidR="00856466" w:rsidP="00856466" w:rsidRDefault="00856466" w14:paraId="43A896B0" w14:textId="77777777">
      <w:pPr>
        <w:rPr>
          <w:szCs w:val="26"/>
        </w:rPr>
      </w:pPr>
    </w:p>
    <w:p w:rsidRPr="008C01FB" w:rsidR="00856466" w:rsidP="00856466" w:rsidRDefault="00856466" w14:paraId="35A9AA4A" w14:textId="77777777">
      <w:pPr>
        <w:jc w:val="center"/>
        <w:rPr>
          <w:szCs w:val="26"/>
        </w:rPr>
      </w:pPr>
      <w:r w:rsidRPr="008C01FB">
        <w:rPr>
          <w:szCs w:val="26"/>
        </w:rPr>
        <w:t>[Docket No. RD20-1-000]</w:t>
      </w:r>
    </w:p>
    <w:p w:rsidRPr="008C01FB" w:rsidR="00856466" w:rsidP="00856466" w:rsidRDefault="00856466" w14:paraId="48F6B63E" w14:textId="77777777">
      <w:pPr>
        <w:rPr>
          <w:szCs w:val="26"/>
        </w:rPr>
      </w:pPr>
    </w:p>
    <w:p w:rsidRPr="008C01FB" w:rsidR="00856466" w:rsidP="00856466" w:rsidRDefault="00856466" w14:paraId="3BBA4ECD" w14:textId="73EF9ACF">
      <w:pPr>
        <w:jc w:val="center"/>
        <w:rPr>
          <w:szCs w:val="26"/>
        </w:rPr>
      </w:pPr>
      <w:r w:rsidRPr="008C01FB">
        <w:rPr>
          <w:szCs w:val="26"/>
        </w:rPr>
        <w:t>COMMISSION INFORMATION COLLECTION ACTIVITIES (FERC-725</w:t>
      </w:r>
      <w:r w:rsidR="007B569A">
        <w:rPr>
          <w:szCs w:val="26"/>
        </w:rPr>
        <w:t>G</w:t>
      </w:r>
      <w:r w:rsidRPr="008C01FB">
        <w:rPr>
          <w:szCs w:val="26"/>
        </w:rPr>
        <w:t>);</w:t>
      </w:r>
    </w:p>
    <w:p w:rsidRPr="008C01FB" w:rsidR="00856466" w:rsidP="00856466" w:rsidRDefault="00856466" w14:paraId="756DE5FC" w14:textId="77777777">
      <w:pPr>
        <w:jc w:val="center"/>
        <w:rPr>
          <w:szCs w:val="26"/>
        </w:rPr>
      </w:pPr>
      <w:r w:rsidRPr="008C01FB">
        <w:rPr>
          <w:szCs w:val="26"/>
        </w:rPr>
        <w:t>COMMENT REQUEST; EXTENSION</w:t>
      </w:r>
    </w:p>
    <w:p w:rsidRPr="008C01FB" w:rsidR="00856466" w:rsidP="00856466" w:rsidRDefault="00856466" w14:paraId="141CFABF" w14:textId="77777777">
      <w:pPr>
        <w:rPr>
          <w:szCs w:val="26"/>
        </w:rPr>
      </w:pPr>
    </w:p>
    <w:p w:rsidR="009F0226" w:rsidP="009F0226" w:rsidRDefault="009F0226" w14:paraId="0EB7E146" w14:textId="514E4889">
      <w:pPr>
        <w:jc w:val="center"/>
        <w:rPr>
          <w:szCs w:val="26"/>
        </w:rPr>
      </w:pPr>
      <w:r w:rsidRPr="009F0226">
        <w:rPr>
          <w:szCs w:val="26"/>
        </w:rPr>
        <w:t>(March 5, 2020)</w:t>
      </w:r>
    </w:p>
    <w:p w:rsidR="009F0226" w:rsidP="009F0226" w:rsidRDefault="009F0226" w14:paraId="43418D21" w14:textId="77777777">
      <w:pPr>
        <w:jc w:val="center"/>
        <w:rPr>
          <w:szCs w:val="26"/>
        </w:rPr>
      </w:pPr>
    </w:p>
    <w:p w:rsidRPr="009F0226" w:rsidR="009F0226" w:rsidP="009F0226" w:rsidRDefault="009F0226" w14:paraId="2EE01D01" w14:textId="77777777">
      <w:pPr>
        <w:rPr>
          <w:szCs w:val="26"/>
        </w:rPr>
      </w:pPr>
      <w:bookmarkStart w:name="_GoBack" w:id="0"/>
      <w:bookmarkEnd w:id="0"/>
    </w:p>
    <w:p w:rsidRPr="008C01FB" w:rsidR="00856466" w:rsidP="00856466" w:rsidRDefault="00856466" w14:paraId="0A537D77" w14:textId="77777777">
      <w:pPr>
        <w:rPr>
          <w:szCs w:val="26"/>
        </w:rPr>
      </w:pPr>
      <w:r w:rsidRPr="008C01FB">
        <w:rPr>
          <w:b/>
          <w:szCs w:val="26"/>
        </w:rPr>
        <w:t>AGENCY:</w:t>
      </w:r>
      <w:r w:rsidRPr="008C01FB">
        <w:rPr>
          <w:szCs w:val="26"/>
        </w:rPr>
        <w:t xml:space="preserve">  Federal Energy Regulatory Commission.</w:t>
      </w:r>
    </w:p>
    <w:p w:rsidRPr="008C01FB" w:rsidR="00856466" w:rsidP="00856466" w:rsidRDefault="00856466" w14:paraId="4000FD2C" w14:textId="77777777">
      <w:pPr>
        <w:rPr>
          <w:szCs w:val="26"/>
        </w:rPr>
      </w:pPr>
    </w:p>
    <w:p w:rsidRPr="008C01FB" w:rsidR="00856466" w:rsidP="00856466" w:rsidRDefault="00856466" w14:paraId="00FD4AA5" w14:textId="77777777">
      <w:pPr>
        <w:spacing w:line="480" w:lineRule="auto"/>
        <w:rPr>
          <w:szCs w:val="26"/>
        </w:rPr>
      </w:pPr>
      <w:r w:rsidRPr="008C01FB">
        <w:rPr>
          <w:b/>
          <w:szCs w:val="26"/>
        </w:rPr>
        <w:t>ACTION:</w:t>
      </w:r>
      <w:r w:rsidRPr="008C01FB">
        <w:rPr>
          <w:szCs w:val="26"/>
        </w:rPr>
        <w:t xml:space="preserve">  Notice of information collection and request for comments.</w:t>
      </w:r>
    </w:p>
    <w:p w:rsidRPr="008C01FB" w:rsidR="009D2301" w:rsidP="00856466" w:rsidRDefault="00856466" w14:paraId="10253E43" w14:textId="59181F05">
      <w:pPr>
        <w:spacing w:line="480" w:lineRule="auto"/>
        <w:rPr>
          <w:szCs w:val="26"/>
        </w:rPr>
      </w:pPr>
      <w:r w:rsidRPr="008C01FB">
        <w:rPr>
          <w:b/>
          <w:szCs w:val="26"/>
        </w:rPr>
        <w:t>SUMMARY:</w:t>
      </w:r>
      <w:r w:rsidRPr="008C01FB">
        <w:rPr>
          <w:szCs w:val="26"/>
        </w:rPr>
        <w:t xml:space="preserve">  In compliance with the requirements of the Paperwork Reduction Act of 1995, the Federal Energy Regulatory Commission (Commission or FERC) is soliciting public comment on the currently approved information collection FERC-725</w:t>
      </w:r>
      <w:r w:rsidR="007B569A">
        <w:rPr>
          <w:szCs w:val="26"/>
        </w:rPr>
        <w:t>G</w:t>
      </w:r>
      <w:r w:rsidRPr="008C01FB">
        <w:rPr>
          <w:szCs w:val="26"/>
        </w:rPr>
        <w:t xml:space="preserve"> (Mandatory Reliability Standards</w:t>
      </w:r>
      <w:r w:rsidR="00AB798F">
        <w:rPr>
          <w:szCs w:val="26"/>
        </w:rPr>
        <w:t xml:space="preserve"> for the Bulk-Power System: PRC Standards</w:t>
      </w:r>
      <w:r w:rsidRPr="008C01FB">
        <w:rPr>
          <w:szCs w:val="26"/>
        </w:rPr>
        <w:t>:</w:t>
      </w:r>
      <w:r w:rsidR="00B8191C">
        <w:rPr>
          <w:szCs w:val="26"/>
        </w:rPr>
        <w:t xml:space="preserve"> </w:t>
      </w:r>
      <w:r w:rsidRPr="008C01FB">
        <w:rPr>
          <w:szCs w:val="26"/>
        </w:rPr>
        <w:t xml:space="preserve"> </w:t>
      </w:r>
      <w:r w:rsidRPr="008C01FB" w:rsidR="00CD4FB8">
        <w:rPr>
          <w:bCs/>
          <w:szCs w:val="26"/>
        </w:rPr>
        <w:t>Regional Reliability Standard PRC-006-NPCC-</w:t>
      </w:r>
      <w:r w:rsidRPr="008C01FB" w:rsidR="008C01FB">
        <w:rPr>
          <w:bCs/>
          <w:szCs w:val="26"/>
        </w:rPr>
        <w:t>2</w:t>
      </w:r>
      <w:r w:rsidRPr="008C01FB" w:rsidR="00CD4FB8">
        <w:rPr>
          <w:bCs/>
          <w:szCs w:val="26"/>
        </w:rPr>
        <w:t xml:space="preserve"> Automatic Underfrequency Load-Shedding (</w:t>
      </w:r>
      <w:r w:rsidRPr="008C01FB" w:rsidR="00B8191C">
        <w:rPr>
          <w:bCs/>
          <w:szCs w:val="26"/>
        </w:rPr>
        <w:t>UF</w:t>
      </w:r>
      <w:r w:rsidR="00B8191C">
        <w:rPr>
          <w:bCs/>
          <w:szCs w:val="26"/>
        </w:rPr>
        <w:t>LS</w:t>
      </w:r>
      <w:r w:rsidR="00357A25">
        <w:rPr>
          <w:bCs/>
          <w:szCs w:val="26"/>
        </w:rPr>
        <w:t>)</w:t>
      </w:r>
      <w:r w:rsidRPr="008C01FB" w:rsidR="00CD4FB8">
        <w:rPr>
          <w:bCs/>
          <w:szCs w:val="26"/>
        </w:rPr>
        <w:t>)</w:t>
      </w:r>
      <w:r w:rsidRPr="008C01FB">
        <w:rPr>
          <w:szCs w:val="26"/>
        </w:rPr>
        <w:t xml:space="preserve"> and submitting the information collection to the Office of Management and Budget (OMB) for review.  Any interested person may file comments directly with OMB and should address a copy of those comments to the Commission as explained below. </w:t>
      </w:r>
    </w:p>
    <w:p w:rsidRPr="008C01FB" w:rsidR="00856466" w:rsidP="00856466" w:rsidRDefault="00856466" w14:paraId="7FD24B28" w14:textId="77777777">
      <w:pPr>
        <w:spacing w:line="480" w:lineRule="auto"/>
        <w:rPr>
          <w:szCs w:val="26"/>
        </w:rPr>
      </w:pPr>
      <w:r w:rsidRPr="008C01FB">
        <w:rPr>
          <w:b/>
          <w:szCs w:val="26"/>
        </w:rPr>
        <w:t>DATES:</w:t>
      </w:r>
      <w:r w:rsidRPr="008C01FB">
        <w:rPr>
          <w:szCs w:val="26"/>
        </w:rPr>
        <w:t xml:space="preserve">  Comments on the collection of information are due </w:t>
      </w:r>
      <w:bookmarkStart w:name="OLE_LINK1" w:id="1"/>
      <w:r w:rsidRPr="008C01FB">
        <w:rPr>
          <w:b/>
          <w:szCs w:val="26"/>
        </w:rPr>
        <w:t>[</w:t>
      </w:r>
      <w:r w:rsidRPr="008C01FB">
        <w:rPr>
          <w:b/>
          <w:caps/>
          <w:szCs w:val="26"/>
        </w:rPr>
        <w:t xml:space="preserve">Insert Date </w:t>
      </w:r>
      <w:r w:rsidRPr="008C01FB" w:rsidR="000D4BE8">
        <w:rPr>
          <w:b/>
          <w:caps/>
          <w:szCs w:val="26"/>
        </w:rPr>
        <w:t>6</w:t>
      </w:r>
      <w:r w:rsidRPr="008C01FB">
        <w:rPr>
          <w:b/>
          <w:caps/>
          <w:szCs w:val="26"/>
        </w:rPr>
        <w:t>0 days after date of publication in the Federal Register].</w:t>
      </w:r>
      <w:r w:rsidRPr="008C01FB">
        <w:rPr>
          <w:caps/>
          <w:szCs w:val="26"/>
        </w:rPr>
        <w:t xml:space="preserve">  </w:t>
      </w:r>
    </w:p>
    <w:p w:rsidRPr="008C01FB" w:rsidR="00856466" w:rsidP="00856466" w:rsidRDefault="00856466" w14:paraId="419A396D" w14:textId="4818776B">
      <w:pPr>
        <w:spacing w:line="480" w:lineRule="auto"/>
        <w:rPr>
          <w:szCs w:val="26"/>
        </w:rPr>
      </w:pPr>
      <w:r w:rsidRPr="008C01FB">
        <w:rPr>
          <w:b/>
          <w:szCs w:val="26"/>
        </w:rPr>
        <w:t>ADDRESSES:</w:t>
      </w:r>
      <w:r w:rsidRPr="008C01FB">
        <w:rPr>
          <w:szCs w:val="26"/>
        </w:rPr>
        <w:t xml:space="preserve">  Comments filed with OMB, identified by OMB Control No. 1902-</w:t>
      </w:r>
      <w:r w:rsidRPr="008C01FB" w:rsidR="008C01FB">
        <w:rPr>
          <w:szCs w:val="26"/>
        </w:rPr>
        <w:t>0</w:t>
      </w:r>
      <w:r w:rsidR="00AB798F">
        <w:rPr>
          <w:szCs w:val="26"/>
        </w:rPr>
        <w:t>252</w:t>
      </w:r>
      <w:r w:rsidRPr="008C01FB">
        <w:rPr>
          <w:szCs w:val="26"/>
        </w:rPr>
        <w:t xml:space="preserve">, should be sent via email to the Office of Information and Regulatory Affairs: </w:t>
      </w:r>
      <w:hyperlink w:history="1" r:id="rId13">
        <w:r w:rsidRPr="008C01FB">
          <w:rPr>
            <w:rStyle w:val="Hyperlink"/>
            <w:szCs w:val="26"/>
          </w:rPr>
          <w:t>oira_submission@omb.gov</w:t>
        </w:r>
      </w:hyperlink>
      <w:r w:rsidRPr="008C01FB">
        <w:rPr>
          <w:szCs w:val="26"/>
        </w:rPr>
        <w:t xml:space="preserve">.  Attention: Federal Energy Regulatory Commission Desk Officer.  </w:t>
      </w:r>
    </w:p>
    <w:p w:rsidRPr="008C01FB" w:rsidR="00856466" w:rsidP="00856466" w:rsidRDefault="00856466" w14:paraId="5499DE71" w14:textId="77777777">
      <w:pPr>
        <w:spacing w:line="480" w:lineRule="auto"/>
        <w:rPr>
          <w:szCs w:val="26"/>
        </w:rPr>
      </w:pPr>
      <w:r w:rsidRPr="008C01FB">
        <w:rPr>
          <w:szCs w:val="26"/>
        </w:rPr>
        <w:lastRenderedPageBreak/>
        <w:t>A copy of the comments should also be sent to the Commission, in Docket No. RD</w:t>
      </w:r>
      <w:r w:rsidRPr="008C01FB" w:rsidR="00D40CB3">
        <w:rPr>
          <w:szCs w:val="26"/>
        </w:rPr>
        <w:t>20</w:t>
      </w:r>
      <w:r w:rsidRPr="008C01FB">
        <w:rPr>
          <w:szCs w:val="26"/>
        </w:rPr>
        <w:t>-</w:t>
      </w:r>
      <w:r w:rsidRPr="008C01FB" w:rsidR="00D40CB3">
        <w:rPr>
          <w:szCs w:val="26"/>
        </w:rPr>
        <w:t>1</w:t>
      </w:r>
      <w:r w:rsidRPr="008C01FB">
        <w:rPr>
          <w:szCs w:val="26"/>
        </w:rPr>
        <w:t>-000, by either of the following methods:</w:t>
      </w:r>
    </w:p>
    <w:p w:rsidRPr="008C01FB" w:rsidR="00856466" w:rsidP="00856466" w:rsidRDefault="00856466" w14:paraId="2DF778B5" w14:textId="77777777">
      <w:pPr>
        <w:numPr>
          <w:ilvl w:val="0"/>
          <w:numId w:val="1"/>
        </w:numPr>
        <w:tabs>
          <w:tab w:val="num" w:pos="1080"/>
        </w:tabs>
        <w:spacing w:line="480" w:lineRule="auto"/>
        <w:rPr>
          <w:szCs w:val="26"/>
        </w:rPr>
      </w:pPr>
      <w:proofErr w:type="spellStart"/>
      <w:r w:rsidRPr="008C01FB">
        <w:rPr>
          <w:szCs w:val="26"/>
        </w:rPr>
        <w:t>eFiling</w:t>
      </w:r>
      <w:proofErr w:type="spellEnd"/>
      <w:r w:rsidRPr="008C01FB">
        <w:rPr>
          <w:szCs w:val="26"/>
        </w:rPr>
        <w:t xml:space="preserve"> at Commission’s Web Site: </w:t>
      </w:r>
      <w:hyperlink w:history="1" r:id="rId14">
        <w:r w:rsidRPr="008C01FB">
          <w:rPr>
            <w:rStyle w:val="Hyperlink"/>
            <w:szCs w:val="26"/>
          </w:rPr>
          <w:t>http://www.ferc.gov/docs-filing/efiling.asp</w:t>
        </w:r>
      </w:hyperlink>
    </w:p>
    <w:p w:rsidRPr="008C01FB" w:rsidR="00856466" w:rsidP="00856466" w:rsidRDefault="00856466" w14:paraId="09DE8190" w14:textId="77777777">
      <w:pPr>
        <w:numPr>
          <w:ilvl w:val="0"/>
          <w:numId w:val="1"/>
        </w:numPr>
        <w:tabs>
          <w:tab w:val="num" w:pos="1080"/>
        </w:tabs>
        <w:spacing w:line="480" w:lineRule="auto"/>
        <w:rPr>
          <w:szCs w:val="26"/>
        </w:rPr>
      </w:pPr>
      <w:r w:rsidRPr="008C01FB">
        <w:rPr>
          <w:szCs w:val="26"/>
        </w:rPr>
        <w:t>Mail/Hand Delivery/Courier: Federal Energy Regulatory Commission, Secretary of the Commission, 888 First Street, NE, Washington, DC 20426.</w:t>
      </w:r>
    </w:p>
    <w:p w:rsidRPr="008C01FB" w:rsidR="00856466" w:rsidP="00856466" w:rsidRDefault="00856466" w14:paraId="381D2191" w14:textId="77777777">
      <w:pPr>
        <w:spacing w:line="480" w:lineRule="auto"/>
        <w:rPr>
          <w:szCs w:val="26"/>
        </w:rPr>
      </w:pPr>
      <w:r w:rsidRPr="008C01FB">
        <w:rPr>
          <w:i/>
          <w:szCs w:val="26"/>
        </w:rPr>
        <w:t xml:space="preserve">Instructions: </w:t>
      </w:r>
      <w:r w:rsidRPr="008C01FB">
        <w:rPr>
          <w:szCs w:val="26"/>
        </w:rPr>
        <w:t xml:space="preserve">All submissions must be formatted and filed in accordance with submission guidelines at: </w:t>
      </w:r>
      <w:hyperlink w:history="1" r:id="rId15">
        <w:r w:rsidRPr="008C01FB">
          <w:rPr>
            <w:rStyle w:val="Hyperlink"/>
            <w:szCs w:val="26"/>
          </w:rPr>
          <w:t>http://www.ferc.gov/help/submission-guide.asp</w:t>
        </w:r>
      </w:hyperlink>
      <w:r w:rsidRPr="008C01FB">
        <w:rPr>
          <w:szCs w:val="26"/>
        </w:rPr>
        <w:t>.  For user assistance, contact FERC Online Support by e-mail at ferconlinesupport@ferc.gov, or by phone at</w:t>
      </w:r>
      <w:proofErr w:type="gramStart"/>
      <w:r w:rsidRPr="008C01FB">
        <w:rPr>
          <w:szCs w:val="26"/>
        </w:rPr>
        <w:t>:  (</w:t>
      </w:r>
      <w:proofErr w:type="gramEnd"/>
      <w:r w:rsidRPr="008C01FB">
        <w:rPr>
          <w:szCs w:val="26"/>
        </w:rPr>
        <w:t>866) 208-3676 (toll-free), or (202) 502-8659 for TTY.</w:t>
      </w:r>
    </w:p>
    <w:p w:rsidRPr="008C01FB" w:rsidR="00856466" w:rsidP="00856466" w:rsidRDefault="00856466" w14:paraId="509D909D" w14:textId="77777777">
      <w:pPr>
        <w:spacing w:line="480" w:lineRule="auto"/>
        <w:rPr>
          <w:szCs w:val="26"/>
        </w:rPr>
      </w:pPr>
      <w:r w:rsidRPr="008C01FB">
        <w:rPr>
          <w:i/>
          <w:szCs w:val="26"/>
        </w:rPr>
        <w:t>Docket:</w:t>
      </w:r>
      <w:r w:rsidRPr="008C01FB">
        <w:rPr>
          <w:szCs w:val="26"/>
        </w:rPr>
        <w:t xml:space="preserve"> Users interested in receiving automatic notification of activity in this docket or in viewing/downloading comments and issuances in this docket may do so at </w:t>
      </w:r>
      <w:hyperlink w:history="1" r:id="rId16">
        <w:r w:rsidRPr="008C01FB">
          <w:rPr>
            <w:rStyle w:val="Hyperlink"/>
            <w:szCs w:val="26"/>
          </w:rPr>
          <w:t>http://www.ferc.gov/docs-filing/docs-filing.asp</w:t>
        </w:r>
      </w:hyperlink>
      <w:r w:rsidRPr="008C01FB">
        <w:rPr>
          <w:szCs w:val="26"/>
        </w:rPr>
        <w:t xml:space="preserve">. </w:t>
      </w:r>
    </w:p>
    <w:bookmarkEnd w:id="1"/>
    <w:p w:rsidRPr="008C01FB" w:rsidR="00856466" w:rsidP="00856466" w:rsidRDefault="00856466" w14:paraId="47C1C82D" w14:textId="77777777">
      <w:pPr>
        <w:spacing w:line="480" w:lineRule="auto"/>
        <w:rPr>
          <w:szCs w:val="26"/>
        </w:rPr>
      </w:pPr>
      <w:r w:rsidRPr="008C01FB">
        <w:rPr>
          <w:b/>
          <w:szCs w:val="26"/>
        </w:rPr>
        <w:t>FOR FURTHER INFORMATION CONTACT:</w:t>
      </w:r>
      <w:r w:rsidRPr="008C01FB">
        <w:rPr>
          <w:szCs w:val="26"/>
        </w:rPr>
        <w:t xml:space="preserve">  Ellen Brown may be reached by e-mail at </w:t>
      </w:r>
      <w:hyperlink w:history="1" r:id="rId17">
        <w:r w:rsidRPr="008C01FB">
          <w:rPr>
            <w:rStyle w:val="Hyperlink"/>
            <w:szCs w:val="26"/>
          </w:rPr>
          <w:t>DataClearance@FERC.gov</w:t>
        </w:r>
      </w:hyperlink>
      <w:r w:rsidRPr="008C01FB">
        <w:rPr>
          <w:szCs w:val="26"/>
        </w:rPr>
        <w:t>, telephone at (202) 502-8663, and fax at (202) 273-0873.</w:t>
      </w:r>
    </w:p>
    <w:p w:rsidRPr="008C01FB" w:rsidR="00856466" w:rsidP="00856466" w:rsidRDefault="00856466" w14:paraId="70294AD3" w14:textId="77777777">
      <w:pPr>
        <w:tabs>
          <w:tab w:val="left" w:pos="7880"/>
        </w:tabs>
        <w:spacing w:line="480" w:lineRule="auto"/>
        <w:rPr>
          <w:szCs w:val="26"/>
        </w:rPr>
      </w:pPr>
      <w:r w:rsidRPr="008C01FB">
        <w:rPr>
          <w:szCs w:val="26"/>
        </w:rPr>
        <w:t xml:space="preserve"> </w:t>
      </w:r>
      <w:r w:rsidRPr="008C01FB">
        <w:rPr>
          <w:b/>
          <w:szCs w:val="26"/>
        </w:rPr>
        <w:t>SUPPLEMENTARY INFORMATION:</w:t>
      </w:r>
      <w:r w:rsidRPr="008C01FB">
        <w:rPr>
          <w:szCs w:val="26"/>
        </w:rPr>
        <w:t xml:space="preserve">  </w:t>
      </w:r>
    </w:p>
    <w:p w:rsidRPr="008C01FB" w:rsidR="00856466" w:rsidP="00856466" w:rsidRDefault="00856466" w14:paraId="7B2870BE" w14:textId="615CF0C3">
      <w:pPr>
        <w:spacing w:line="480" w:lineRule="auto"/>
        <w:rPr>
          <w:i/>
          <w:szCs w:val="26"/>
        </w:rPr>
      </w:pPr>
      <w:r w:rsidRPr="008C01FB">
        <w:rPr>
          <w:i/>
          <w:szCs w:val="26"/>
        </w:rPr>
        <w:t>Title:</w:t>
      </w:r>
      <w:r w:rsidR="00A64ED3">
        <w:rPr>
          <w:i/>
          <w:szCs w:val="26"/>
        </w:rPr>
        <w:t xml:space="preserve"> </w:t>
      </w:r>
      <w:r w:rsidRPr="008C01FB">
        <w:rPr>
          <w:i/>
          <w:szCs w:val="26"/>
        </w:rPr>
        <w:t xml:space="preserve"> </w:t>
      </w:r>
      <w:r w:rsidRPr="008C01FB">
        <w:rPr>
          <w:szCs w:val="26"/>
        </w:rPr>
        <w:t>FERC-725</w:t>
      </w:r>
      <w:r w:rsidR="007B569A">
        <w:rPr>
          <w:szCs w:val="26"/>
        </w:rPr>
        <w:t>G</w:t>
      </w:r>
      <w:r w:rsidR="00AB798F">
        <w:rPr>
          <w:szCs w:val="26"/>
        </w:rPr>
        <w:t xml:space="preserve"> </w:t>
      </w:r>
      <w:r w:rsidRPr="008C01FB">
        <w:rPr>
          <w:szCs w:val="26"/>
        </w:rPr>
        <w:t>(Mandatory Reliability Standards</w:t>
      </w:r>
      <w:r w:rsidR="00106972">
        <w:rPr>
          <w:szCs w:val="26"/>
        </w:rPr>
        <w:t xml:space="preserve"> for the Bulk-Power System:</w:t>
      </w:r>
      <w:r w:rsidRPr="008C01FB">
        <w:rPr>
          <w:szCs w:val="26"/>
        </w:rPr>
        <w:t xml:space="preserve">  </w:t>
      </w:r>
      <w:r w:rsidRPr="008C01FB" w:rsidR="00CD4FB8">
        <w:rPr>
          <w:bCs/>
          <w:szCs w:val="26"/>
        </w:rPr>
        <w:t>Regional Reliability Standard PRC-006-NPCC-</w:t>
      </w:r>
      <w:proofErr w:type="gramStart"/>
      <w:r w:rsidRPr="008C01FB" w:rsidR="00CD4FB8">
        <w:rPr>
          <w:bCs/>
          <w:szCs w:val="26"/>
        </w:rPr>
        <w:t xml:space="preserve">2 </w:t>
      </w:r>
      <w:r w:rsidR="00106972">
        <w:rPr>
          <w:bCs/>
          <w:szCs w:val="26"/>
        </w:rPr>
        <w:t>,</w:t>
      </w:r>
      <w:proofErr w:type="gramEnd"/>
      <w:r w:rsidRPr="008C01FB" w:rsidR="00CD4FB8">
        <w:rPr>
          <w:bCs/>
          <w:szCs w:val="26"/>
        </w:rPr>
        <w:t xml:space="preserve"> Automatic Underfrequency Load-Shedding (</w:t>
      </w:r>
      <w:r w:rsidRPr="008C01FB" w:rsidR="00304F65">
        <w:rPr>
          <w:bCs/>
          <w:szCs w:val="26"/>
        </w:rPr>
        <w:t>UF</w:t>
      </w:r>
      <w:r w:rsidR="00304F65">
        <w:rPr>
          <w:bCs/>
          <w:szCs w:val="26"/>
        </w:rPr>
        <w:t>LS</w:t>
      </w:r>
      <w:r w:rsidRPr="008C01FB" w:rsidR="00CD4FB8">
        <w:rPr>
          <w:bCs/>
          <w:szCs w:val="26"/>
        </w:rPr>
        <w:t>)</w:t>
      </w:r>
      <w:r w:rsidRPr="008C01FB">
        <w:rPr>
          <w:szCs w:val="26"/>
        </w:rPr>
        <w:t>.</w:t>
      </w:r>
    </w:p>
    <w:p w:rsidRPr="008C01FB" w:rsidR="00856466" w:rsidP="00856466" w:rsidRDefault="00856466" w14:paraId="597A1F09" w14:textId="32599FC1">
      <w:pPr>
        <w:spacing w:line="480" w:lineRule="auto"/>
        <w:rPr>
          <w:szCs w:val="26"/>
        </w:rPr>
      </w:pPr>
      <w:r w:rsidRPr="008C01FB">
        <w:rPr>
          <w:i/>
          <w:szCs w:val="26"/>
        </w:rPr>
        <w:t>OMB Control No.:</w:t>
      </w:r>
      <w:r w:rsidRPr="008C01FB">
        <w:rPr>
          <w:szCs w:val="26"/>
        </w:rPr>
        <w:t xml:space="preserve"> 1902-</w:t>
      </w:r>
      <w:r w:rsidRPr="008C01FB" w:rsidR="008C01FB">
        <w:rPr>
          <w:szCs w:val="26"/>
        </w:rPr>
        <w:t>0</w:t>
      </w:r>
      <w:r w:rsidR="00AB798F">
        <w:rPr>
          <w:szCs w:val="26"/>
        </w:rPr>
        <w:t>252</w:t>
      </w:r>
    </w:p>
    <w:p w:rsidRPr="008C01FB" w:rsidR="00856466" w:rsidP="00856466" w:rsidRDefault="00856466" w14:paraId="3D057968" w14:textId="77777777">
      <w:pPr>
        <w:spacing w:line="480" w:lineRule="auto"/>
        <w:rPr>
          <w:rFonts w:eastAsia="Calibri"/>
          <w:szCs w:val="26"/>
        </w:rPr>
      </w:pPr>
      <w:r w:rsidRPr="008C01FB">
        <w:rPr>
          <w:rFonts w:eastAsia="Calibri"/>
          <w:i/>
          <w:szCs w:val="26"/>
        </w:rPr>
        <w:lastRenderedPageBreak/>
        <w:t>Type of Request:</w:t>
      </w:r>
      <w:r w:rsidRPr="008C01FB">
        <w:rPr>
          <w:rFonts w:eastAsia="Calibri"/>
          <w:szCs w:val="26"/>
        </w:rPr>
        <w:t xml:space="preserve"> Revisions to the information collection, as discussed in Docket No. RD</w:t>
      </w:r>
      <w:r w:rsidRPr="008C01FB" w:rsidR="001E062D">
        <w:rPr>
          <w:rFonts w:eastAsia="Calibri"/>
          <w:szCs w:val="26"/>
        </w:rPr>
        <w:t>2</w:t>
      </w:r>
      <w:r w:rsidRPr="008C01FB" w:rsidR="00D40CB3">
        <w:rPr>
          <w:rFonts w:eastAsia="Calibri"/>
          <w:szCs w:val="26"/>
        </w:rPr>
        <w:t>0</w:t>
      </w:r>
      <w:r w:rsidRPr="008C01FB">
        <w:rPr>
          <w:rFonts w:eastAsia="Calibri"/>
          <w:szCs w:val="26"/>
        </w:rPr>
        <w:t>-</w:t>
      </w:r>
      <w:r w:rsidRPr="008C01FB" w:rsidR="00D40CB3">
        <w:rPr>
          <w:rFonts w:eastAsia="Calibri"/>
          <w:szCs w:val="26"/>
        </w:rPr>
        <w:t>1</w:t>
      </w:r>
      <w:r w:rsidRPr="008C01FB">
        <w:rPr>
          <w:rFonts w:eastAsia="Calibri"/>
          <w:szCs w:val="26"/>
        </w:rPr>
        <w:t>-000.</w:t>
      </w:r>
    </w:p>
    <w:p w:rsidRPr="008C01FB" w:rsidR="003034BF" w:rsidP="003034BF" w:rsidRDefault="00856466" w14:paraId="160F5C28" w14:textId="1536DE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eastAsia="Calibri"/>
          <w:color w:val="000000"/>
          <w:szCs w:val="26"/>
        </w:rPr>
      </w:pPr>
      <w:r w:rsidRPr="008C01FB">
        <w:rPr>
          <w:rFonts w:eastAsia="Calibri"/>
          <w:i/>
          <w:szCs w:val="26"/>
        </w:rPr>
        <w:t>Abstract:</w:t>
      </w:r>
      <w:r w:rsidRPr="008C01FB">
        <w:rPr>
          <w:rFonts w:eastAsia="Calibri"/>
          <w:color w:val="000000"/>
          <w:szCs w:val="26"/>
        </w:rPr>
        <w:t xml:space="preserve">  </w:t>
      </w:r>
      <w:r w:rsidRPr="008C01FB" w:rsidR="003034BF">
        <w:rPr>
          <w:rFonts w:eastAsia="Calibri"/>
          <w:color w:val="000000"/>
          <w:szCs w:val="26"/>
        </w:rPr>
        <w:t>The proposed regional Reliability Standard applies to generator owners, planning coordinators, distribution providers, and transmission owners in the Northeast Power Coordinating Council Region and is designed to ensure the development of an effective automatic underfrequency load shedding (UFLS) program to preserve the security and integrity of the Bulk-Power System during declining system frequency events in coordination with the NERC continent-wide UFLS Reliability Standard PRC-006-1.  The Commission also proposes to approve the related violation risk factors, violation severity levels, implementation plan, and effective date proposed by NERC.</w:t>
      </w:r>
    </w:p>
    <w:p w:rsidRPr="008C01FB" w:rsidR="001E062D" w:rsidP="00856466" w:rsidRDefault="003034BF" w14:paraId="664F280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8C01FB">
        <w:rPr>
          <w:szCs w:val="26"/>
        </w:rPr>
        <w:tab/>
      </w:r>
      <w:r w:rsidRPr="008C01FB" w:rsidR="001E062D">
        <w:rPr>
          <w:szCs w:val="26"/>
        </w:rPr>
        <w:t>On August 8, 2005, Congress enacted into law the Electricity Modernization Act of 2005, which is Title XII, Subtitle A, of the Energy Policy Act of 2005 (</w:t>
      </w:r>
      <w:proofErr w:type="spellStart"/>
      <w:r w:rsidRPr="008C01FB" w:rsidR="001E062D">
        <w:rPr>
          <w:szCs w:val="26"/>
        </w:rPr>
        <w:t>EPAct</w:t>
      </w:r>
      <w:proofErr w:type="spellEnd"/>
      <w:r w:rsidRPr="008C01FB" w:rsidR="001E062D">
        <w:rPr>
          <w:szCs w:val="26"/>
        </w:rPr>
        <w:t xml:space="preserve"> 2005).</w:t>
      </w:r>
      <w:r w:rsidRPr="008C01FB" w:rsidR="001E062D">
        <w:rPr>
          <w:b/>
          <w:szCs w:val="26"/>
          <w:vertAlign w:val="superscript"/>
        </w:rPr>
        <w:footnoteReference w:id="1"/>
      </w:r>
      <w:r w:rsidRPr="008C01FB" w:rsidR="001E062D">
        <w:rPr>
          <w:szCs w:val="26"/>
        </w:rPr>
        <w:t xml:space="preserve">  </w:t>
      </w:r>
      <w:proofErr w:type="spellStart"/>
      <w:r w:rsidRPr="008C01FB" w:rsidR="001E062D">
        <w:rPr>
          <w:szCs w:val="26"/>
        </w:rPr>
        <w:t>EPAct</w:t>
      </w:r>
      <w:proofErr w:type="spellEnd"/>
      <w:r w:rsidRPr="008C01FB" w:rsidR="001E062D">
        <w:rPr>
          <w:szCs w:val="26"/>
        </w:rPr>
        <w:t xml:space="preserve"> 2005 added a new section 215 to the FPA, which required a Commission-certified Electric Reliability Organization (ERO) to develop mandatory and enforceable Reliability Standards, which are subject to Commission review and approval.  Once approved, the Reliability Standards may be enforced by the ERO subject to Commission oversight, or the Commission can independently enforce Reliability Standards.</w:t>
      </w:r>
      <w:r w:rsidRPr="008C01FB" w:rsidR="001E062D">
        <w:rPr>
          <w:b/>
          <w:szCs w:val="26"/>
          <w:vertAlign w:val="superscript"/>
        </w:rPr>
        <w:footnoteReference w:id="2"/>
      </w:r>
    </w:p>
    <w:p w:rsidRPr="008C01FB" w:rsidR="00742310" w:rsidP="009D2301" w:rsidRDefault="001E062D" w14:paraId="05C0331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8C01FB">
        <w:rPr>
          <w:szCs w:val="26"/>
        </w:rPr>
        <w:lastRenderedPageBreak/>
        <w:tab/>
      </w:r>
      <w:r w:rsidRPr="008C01FB" w:rsidR="00742310">
        <w:rPr>
          <w:szCs w:val="26"/>
        </w:rPr>
        <w:t>On February 3, 2006, the Commission issued Order No. 672, implementing section 215 of the FPA.</w:t>
      </w:r>
      <w:r w:rsidRPr="008C01FB" w:rsidR="00742310">
        <w:rPr>
          <w:b/>
          <w:szCs w:val="26"/>
          <w:vertAlign w:val="superscript"/>
        </w:rPr>
        <w:footnoteReference w:id="3"/>
      </w:r>
      <w:r w:rsidRPr="008C01FB" w:rsidR="00742310">
        <w:rPr>
          <w:szCs w:val="26"/>
        </w:rPr>
        <w:t xml:space="preserve">  Pursuant to Order No. 672, the Commission certified one organization, North American Electric Reliability Corporation (NERC), as the ERO.</w:t>
      </w:r>
      <w:r w:rsidRPr="008C01FB" w:rsidR="00742310">
        <w:rPr>
          <w:rStyle w:val="FootnoteReference"/>
        </w:rPr>
        <w:footnoteReference w:id="4"/>
      </w:r>
      <w:r w:rsidRPr="008C01FB" w:rsidR="00742310">
        <w:rPr>
          <w:szCs w:val="26"/>
        </w:rPr>
        <w:t xml:space="preserve">  The Reliability Standards developed by the ERO and approved by the Commission apply to users, owners and operators of the Bulk-Power System as set forth in each Reliability Standard.</w:t>
      </w:r>
    </w:p>
    <w:p w:rsidRPr="008C01FB" w:rsidR="009D2301" w:rsidP="00856466" w:rsidRDefault="00742310" w14:paraId="397403CB" w14:textId="4DCFBF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eastAsia="Calibri"/>
          <w:color w:val="000000"/>
          <w:szCs w:val="26"/>
        </w:rPr>
      </w:pPr>
      <w:r w:rsidRPr="008C01FB">
        <w:rPr>
          <w:rFonts w:eastAsia="Calibri"/>
          <w:color w:val="000000"/>
          <w:szCs w:val="26"/>
        </w:rPr>
        <w:tab/>
      </w:r>
      <w:r w:rsidRPr="008C01FB" w:rsidR="009D2301">
        <w:rPr>
          <w:szCs w:val="26"/>
        </w:rPr>
        <w:t xml:space="preserve">On December 23, 2019, the North American Electric Reliability Corporation (NERC) and Northeast Power Coordinating Council, Inc. (NPCC) filed a joint petition seeking approval of proposed regional Reliability Standard PRC-006-NPCC-2 (NPCC Automatic Underfrequency Load Shedding). </w:t>
      </w:r>
      <w:r w:rsidR="00304F65">
        <w:rPr>
          <w:szCs w:val="26"/>
        </w:rPr>
        <w:t xml:space="preserve"> </w:t>
      </w:r>
      <w:r w:rsidRPr="008C01FB" w:rsidR="009D2301">
        <w:rPr>
          <w:szCs w:val="26"/>
        </w:rPr>
        <w:t xml:space="preserve">NERC and NPCC state that regional Reliability Standard PRC-006-NPCC-2 establishes consistent and coordinated requirements for the design, implementation, and analysis of automatic underfrequency load shedding (UFLS) programs among all NPCC applicable entities.  These requirements are more stringent and specific than the NERC continent-wide UFLS Reliability Standard, PRC-006-3, and were established such that the declining frequency is arrested and recovered in accordance with NPCC performance requirements.  NPCC </w:t>
      </w:r>
      <w:r w:rsidRPr="008C01FB" w:rsidR="009D2301">
        <w:rPr>
          <w:szCs w:val="26"/>
        </w:rPr>
        <w:lastRenderedPageBreak/>
        <w:t>revised currently effective Regional Reliability Standard PRC-006-NPCC-1 to remove redundancies with the Reliability Standard PRC-006-3, clarify obligations for registered entities, improve communication of island boundaries to affected registered entities, and provide entities with the flexibility to calculate net load shed for UFLS in certain situations.</w:t>
      </w:r>
    </w:p>
    <w:p w:rsidRPr="008C01FB" w:rsidR="00856466" w:rsidP="00856466" w:rsidRDefault="009D2301" w14:paraId="32C25CD0" w14:textId="30B99C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eastAsia="Calibri"/>
          <w:szCs w:val="26"/>
        </w:rPr>
      </w:pPr>
      <w:r w:rsidRPr="008C01FB">
        <w:rPr>
          <w:rFonts w:eastAsia="Calibri"/>
          <w:color w:val="000000"/>
          <w:szCs w:val="26"/>
        </w:rPr>
        <w:tab/>
      </w:r>
      <w:r w:rsidRPr="008C01FB" w:rsidR="00856466">
        <w:rPr>
          <w:rFonts w:eastAsia="Calibri"/>
          <w:color w:val="000000"/>
          <w:szCs w:val="26"/>
        </w:rPr>
        <w:t xml:space="preserve">On </w:t>
      </w:r>
      <w:r w:rsidRPr="008C01FB" w:rsidR="00D40CB3">
        <w:rPr>
          <w:rFonts w:eastAsia="Calibri"/>
          <w:color w:val="000000"/>
          <w:szCs w:val="26"/>
        </w:rPr>
        <w:t>February 19</w:t>
      </w:r>
      <w:r w:rsidRPr="008C01FB" w:rsidR="00856466">
        <w:rPr>
          <w:rFonts w:eastAsia="Calibri"/>
          <w:color w:val="000000"/>
          <w:szCs w:val="26"/>
        </w:rPr>
        <w:t>, 20</w:t>
      </w:r>
      <w:r w:rsidRPr="008C01FB" w:rsidR="00D40CB3">
        <w:rPr>
          <w:rFonts w:eastAsia="Calibri"/>
          <w:color w:val="000000"/>
          <w:szCs w:val="26"/>
        </w:rPr>
        <w:t>20</w:t>
      </w:r>
      <w:r w:rsidRPr="008C01FB" w:rsidR="00856466">
        <w:rPr>
          <w:rFonts w:eastAsia="Calibri"/>
          <w:color w:val="000000"/>
          <w:szCs w:val="26"/>
        </w:rPr>
        <w:t>, the Commission issued a Delegated Letter Order, Docket No. RD</w:t>
      </w:r>
      <w:r w:rsidRPr="008C01FB" w:rsidR="00D40CB3">
        <w:rPr>
          <w:rFonts w:eastAsia="Calibri"/>
          <w:color w:val="000000"/>
          <w:szCs w:val="26"/>
        </w:rPr>
        <w:t>20</w:t>
      </w:r>
      <w:r w:rsidRPr="008C01FB" w:rsidR="00856466">
        <w:rPr>
          <w:rFonts w:eastAsia="Calibri"/>
          <w:color w:val="000000"/>
          <w:szCs w:val="26"/>
        </w:rPr>
        <w:t>-</w:t>
      </w:r>
      <w:r w:rsidRPr="008C01FB" w:rsidR="001E062D">
        <w:rPr>
          <w:rFonts w:eastAsia="Calibri"/>
          <w:color w:val="000000"/>
          <w:szCs w:val="26"/>
        </w:rPr>
        <w:t>1</w:t>
      </w:r>
      <w:r w:rsidRPr="008C01FB" w:rsidR="00856466">
        <w:rPr>
          <w:rFonts w:eastAsia="Calibri"/>
          <w:color w:val="000000"/>
          <w:szCs w:val="26"/>
        </w:rPr>
        <w:t xml:space="preserve">-000, approving </w:t>
      </w:r>
      <w:r w:rsidRPr="008C01FB" w:rsidR="00856466">
        <w:rPr>
          <w:rFonts w:eastAsia="Calibri"/>
          <w:szCs w:val="26"/>
        </w:rPr>
        <w:t xml:space="preserve">proposed Reliability Standard </w:t>
      </w:r>
      <w:r w:rsidRPr="008C01FB" w:rsidR="001E062D">
        <w:rPr>
          <w:rFonts w:eastAsia="Calibri"/>
          <w:szCs w:val="26"/>
        </w:rPr>
        <w:t>PRC-006-NPCC-2</w:t>
      </w:r>
      <w:r w:rsidRPr="008C01FB">
        <w:rPr>
          <w:rFonts w:eastAsia="Calibri"/>
          <w:szCs w:val="26"/>
        </w:rPr>
        <w:t xml:space="preserve">, the associated </w:t>
      </w:r>
      <w:r w:rsidRPr="008C01FB" w:rsidR="00304F65">
        <w:rPr>
          <w:rFonts w:eastAsia="Calibri"/>
          <w:szCs w:val="26"/>
        </w:rPr>
        <w:t>VR</w:t>
      </w:r>
      <w:r w:rsidR="00304F65">
        <w:rPr>
          <w:rFonts w:eastAsia="Calibri"/>
          <w:szCs w:val="26"/>
        </w:rPr>
        <w:t>F</w:t>
      </w:r>
      <w:r w:rsidRPr="008C01FB" w:rsidR="00304F65">
        <w:rPr>
          <w:rFonts w:eastAsia="Calibri"/>
          <w:szCs w:val="26"/>
        </w:rPr>
        <w:t xml:space="preserve">s </w:t>
      </w:r>
      <w:r w:rsidRPr="008C01FB">
        <w:rPr>
          <w:rFonts w:eastAsia="Calibri"/>
          <w:szCs w:val="26"/>
        </w:rPr>
        <w:t>and VSLs, the Effective Date, and the retirement of the currently effective Regional Rel</w:t>
      </w:r>
      <w:r w:rsidRPr="008C01FB" w:rsidR="009445D1">
        <w:rPr>
          <w:rFonts w:eastAsia="Calibri"/>
          <w:szCs w:val="26"/>
        </w:rPr>
        <w:t>ia</w:t>
      </w:r>
      <w:r w:rsidRPr="008C01FB">
        <w:rPr>
          <w:rFonts w:eastAsia="Calibri"/>
          <w:szCs w:val="26"/>
        </w:rPr>
        <w:t>b</w:t>
      </w:r>
      <w:r w:rsidRPr="008C01FB" w:rsidR="009445D1">
        <w:rPr>
          <w:rFonts w:eastAsia="Calibri"/>
          <w:szCs w:val="26"/>
        </w:rPr>
        <w:t>i</w:t>
      </w:r>
      <w:r w:rsidRPr="008C01FB">
        <w:rPr>
          <w:rFonts w:eastAsia="Calibri"/>
          <w:szCs w:val="26"/>
        </w:rPr>
        <w:t>lity Standard PRC-006-NPCC-1</w:t>
      </w:r>
      <w:r w:rsidRPr="008C01FB" w:rsidR="001E062D">
        <w:rPr>
          <w:rFonts w:eastAsia="Calibri"/>
          <w:szCs w:val="26"/>
        </w:rPr>
        <w:t>.</w:t>
      </w:r>
      <w:r w:rsidR="00304F65">
        <w:rPr>
          <w:rFonts w:eastAsia="Calibri"/>
          <w:szCs w:val="26"/>
        </w:rPr>
        <w:t xml:space="preserve"> </w:t>
      </w:r>
      <w:r w:rsidRPr="008C01FB" w:rsidR="001E062D">
        <w:rPr>
          <w:rFonts w:eastAsia="Calibri"/>
          <w:szCs w:val="26"/>
        </w:rPr>
        <w:t xml:space="preserve"> </w:t>
      </w:r>
      <w:r w:rsidRPr="008C01FB" w:rsidR="009445D1">
        <w:rPr>
          <w:rFonts w:eastAsia="Calibri"/>
          <w:szCs w:val="26"/>
        </w:rPr>
        <w:t>T</w:t>
      </w:r>
      <w:r w:rsidRPr="008C01FB" w:rsidR="00856466">
        <w:rPr>
          <w:rFonts w:eastAsia="Calibri"/>
          <w:szCs w:val="26"/>
        </w:rPr>
        <w:t xml:space="preserve">he effective date for Reliability Standard </w:t>
      </w:r>
      <w:r w:rsidRPr="008C01FB" w:rsidR="001E062D">
        <w:rPr>
          <w:rFonts w:eastAsia="Calibri"/>
          <w:szCs w:val="26"/>
        </w:rPr>
        <w:t>PRC-006-NPC</w:t>
      </w:r>
      <w:r w:rsidRPr="008C01FB" w:rsidR="00742310">
        <w:rPr>
          <w:rFonts w:eastAsia="Calibri"/>
          <w:szCs w:val="26"/>
        </w:rPr>
        <w:t>C</w:t>
      </w:r>
      <w:r w:rsidRPr="008C01FB" w:rsidR="001E062D">
        <w:rPr>
          <w:rFonts w:eastAsia="Calibri"/>
          <w:szCs w:val="26"/>
        </w:rPr>
        <w:t>-</w:t>
      </w:r>
      <w:r w:rsidRPr="008C01FB" w:rsidR="00742310">
        <w:rPr>
          <w:rFonts w:eastAsia="Calibri"/>
          <w:szCs w:val="26"/>
        </w:rPr>
        <w:t>2</w:t>
      </w:r>
      <w:r w:rsidRPr="008C01FB" w:rsidR="00856466">
        <w:rPr>
          <w:rFonts w:eastAsia="Calibri"/>
          <w:szCs w:val="26"/>
        </w:rPr>
        <w:t xml:space="preserve"> is </w:t>
      </w:r>
      <w:r w:rsidRPr="008C01FB" w:rsidR="001E062D">
        <w:rPr>
          <w:rFonts w:eastAsia="Calibri"/>
          <w:szCs w:val="26"/>
        </w:rPr>
        <w:t xml:space="preserve">as of the date of this order, </w:t>
      </w:r>
      <w:r w:rsidRPr="008C01FB" w:rsidR="00856466">
        <w:rPr>
          <w:rFonts w:eastAsia="Calibri"/>
          <w:szCs w:val="26"/>
        </w:rPr>
        <w:t>January 1</w:t>
      </w:r>
      <w:r w:rsidRPr="008C01FB" w:rsidR="001E062D">
        <w:rPr>
          <w:rFonts w:eastAsia="Calibri"/>
          <w:szCs w:val="26"/>
        </w:rPr>
        <w:t>8</w:t>
      </w:r>
      <w:r w:rsidRPr="008C01FB" w:rsidR="00856466">
        <w:rPr>
          <w:rFonts w:eastAsia="Calibri"/>
          <w:szCs w:val="26"/>
        </w:rPr>
        <w:t>, 2020.</w:t>
      </w:r>
    </w:p>
    <w:p w:rsidRPr="008C01FB" w:rsidR="00856466" w:rsidP="00856466" w:rsidRDefault="00856466" w14:paraId="656F57C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eastAsia="Calibri"/>
          <w:szCs w:val="26"/>
        </w:rPr>
      </w:pPr>
      <w:r w:rsidRPr="008C01FB">
        <w:rPr>
          <w:rFonts w:eastAsia="Calibri"/>
          <w:i/>
          <w:szCs w:val="26"/>
        </w:rPr>
        <w:t xml:space="preserve">Type of Respondents: </w:t>
      </w:r>
      <w:r w:rsidRPr="008C01FB" w:rsidR="00B50914">
        <w:rPr>
          <w:rFonts w:eastAsia="Calibri"/>
          <w:szCs w:val="26"/>
        </w:rPr>
        <w:t xml:space="preserve">Generator </w:t>
      </w:r>
      <w:r w:rsidRPr="008C01FB" w:rsidR="002C5B53">
        <w:rPr>
          <w:szCs w:val="26"/>
        </w:rPr>
        <w:t>owners</w:t>
      </w:r>
      <w:r w:rsidRPr="008C01FB" w:rsidR="00B50914">
        <w:rPr>
          <w:szCs w:val="26"/>
        </w:rPr>
        <w:t>, planning coordinators, distribution providers, and transmission owners in the Northeast Power Coordinating Council (NPCC) Region.</w:t>
      </w:r>
    </w:p>
    <w:p w:rsidRPr="008C01FB" w:rsidR="002C5B53" w:rsidP="00B50914" w:rsidRDefault="00856466" w14:paraId="7B873A51" w14:textId="34E103A8">
      <w:pPr>
        <w:pStyle w:val="FERCparanumber"/>
        <w:numPr>
          <w:ilvl w:val="0"/>
          <w:numId w:val="0"/>
        </w:numPr>
        <w:rPr>
          <w:szCs w:val="26"/>
        </w:rPr>
      </w:pPr>
      <w:r w:rsidRPr="008C01FB">
        <w:rPr>
          <w:i/>
          <w:szCs w:val="26"/>
        </w:rPr>
        <w:t>Estimate of Annual Burden:</w:t>
      </w:r>
      <w:r w:rsidRPr="008C01FB">
        <w:rPr>
          <w:rStyle w:val="FootnoteReference"/>
          <w:i/>
        </w:rPr>
        <w:footnoteReference w:id="5"/>
      </w:r>
      <w:r w:rsidRPr="008C01FB">
        <w:rPr>
          <w:i/>
          <w:szCs w:val="26"/>
        </w:rPr>
        <w:t xml:space="preserve"> </w:t>
      </w:r>
      <w:r w:rsidRPr="00801C74" w:rsidR="00801C74">
        <w:rPr>
          <w:szCs w:val="26"/>
        </w:rPr>
        <w:t xml:space="preserve">Our estimates are based on the NERC Compliance Registry </w:t>
      </w:r>
      <w:r w:rsidRPr="00A502A9" w:rsidR="00801C74">
        <w:rPr>
          <w:szCs w:val="26"/>
        </w:rPr>
        <w:t xml:space="preserve">Summary of Entities </w:t>
      </w:r>
      <w:r w:rsidRPr="00A502A9" w:rsidR="00F2773C">
        <w:rPr>
          <w:szCs w:val="26"/>
        </w:rPr>
        <w:t xml:space="preserve">as of </w:t>
      </w:r>
      <w:r w:rsidRPr="00A502A9" w:rsidR="00271A4F">
        <w:rPr>
          <w:szCs w:val="26"/>
        </w:rPr>
        <w:t xml:space="preserve">January 31, 2019.  </w:t>
      </w:r>
      <w:r w:rsidRPr="00A502A9" w:rsidR="008C01FB">
        <w:rPr>
          <w:szCs w:val="26"/>
        </w:rPr>
        <w:t>A</w:t>
      </w:r>
      <w:r w:rsidRPr="00A502A9" w:rsidR="00F2773C">
        <w:rPr>
          <w:szCs w:val="26"/>
        </w:rPr>
        <w:t xml:space="preserve">ccording to the NERC compliance registry, </w:t>
      </w:r>
      <w:r w:rsidRPr="00A502A9" w:rsidR="00801C74">
        <w:rPr>
          <w:szCs w:val="26"/>
        </w:rPr>
        <w:t xml:space="preserve">and Functions as of, which indicates there are registered as </w:t>
      </w:r>
      <w:r w:rsidRPr="00A502A9" w:rsidR="00271A4F">
        <w:rPr>
          <w:szCs w:val="26"/>
        </w:rPr>
        <w:t xml:space="preserve">GO, PC, DP and TO </w:t>
      </w:r>
      <w:r w:rsidRPr="00A502A9" w:rsidR="00801C74">
        <w:rPr>
          <w:szCs w:val="26"/>
        </w:rPr>
        <w:t>entities</w:t>
      </w:r>
      <w:r w:rsidRPr="00A502A9" w:rsidR="00F2773C">
        <w:rPr>
          <w:szCs w:val="26"/>
        </w:rPr>
        <w:t>.</w:t>
      </w:r>
      <w:r w:rsidR="00565C5D">
        <w:rPr>
          <w:szCs w:val="26"/>
        </w:rPr>
        <w:t xml:space="preserve">  </w:t>
      </w:r>
    </w:p>
    <w:p w:rsidRPr="008C01FB" w:rsidR="00F2773C" w:rsidP="00F2773C" w:rsidRDefault="00F2773C" w14:paraId="0DD52B24" w14:textId="2399A2D5">
      <w:pPr>
        <w:pStyle w:val="FERCparanumber"/>
        <w:numPr>
          <w:ilvl w:val="0"/>
          <w:numId w:val="0"/>
        </w:numPr>
        <w:rPr>
          <w:szCs w:val="26"/>
        </w:rPr>
      </w:pPr>
      <w:r w:rsidRPr="008C01FB">
        <w:rPr>
          <w:szCs w:val="26"/>
        </w:rPr>
        <w:t xml:space="preserve">The individual burden estimates are based on the time needed to gather data, run studies, and analyze study results to design or update the underfrequency load shedding </w:t>
      </w:r>
      <w:r w:rsidRPr="008C01FB">
        <w:rPr>
          <w:szCs w:val="26"/>
        </w:rPr>
        <w:lastRenderedPageBreak/>
        <w:t>programs.  Additionally, documentation and the review of underfrequency load shedding</w:t>
      </w:r>
      <w:r w:rsidRPr="008C01FB" w:rsidDel="00F5556D">
        <w:rPr>
          <w:szCs w:val="26"/>
        </w:rPr>
        <w:t xml:space="preserve"> </w:t>
      </w:r>
      <w:r w:rsidRPr="008C01FB">
        <w:rPr>
          <w:szCs w:val="26"/>
        </w:rPr>
        <w:t>program results by supervisors and management is included in the administrative estimations.  These are consistent with estimates for similar tasks in other Commission approved standards.</w:t>
      </w:r>
      <w:r w:rsidR="00F9298F">
        <w:rPr>
          <w:szCs w:val="26"/>
        </w:rPr>
        <w:t xml:space="preserve">  </w:t>
      </w:r>
    </w:p>
    <w:p w:rsidRPr="008C01FB" w:rsidR="00F2773C" w:rsidP="00F2773C" w:rsidRDefault="00F2773C" w14:paraId="45E4C557" w14:textId="77777777">
      <w:pPr>
        <w:pStyle w:val="FERCparanumber"/>
        <w:numPr>
          <w:ilvl w:val="0"/>
          <w:numId w:val="0"/>
        </w:numPr>
        <w:rPr>
          <w:szCs w:val="26"/>
        </w:rPr>
      </w:pPr>
      <w:r w:rsidRPr="008C01FB">
        <w:rPr>
          <w:szCs w:val="26"/>
        </w:rPr>
        <w:t>Estimates for the additional burden and cost imposed by the order in Docket No. RD20-1-000 follow:</w:t>
      </w:r>
    </w:p>
    <w:p w:rsidR="000E072A" w:rsidP="000E072A" w:rsidRDefault="00856466" w14:paraId="56134AC9" w14:textId="77777777">
      <w:pPr>
        <w:spacing w:line="480" w:lineRule="auto"/>
        <w:rPr>
          <w:szCs w:val="26"/>
        </w:rPr>
      </w:pPr>
      <w:r w:rsidRPr="008C01FB">
        <w:rPr>
          <w:szCs w:val="26"/>
        </w:rPr>
        <w:t>Commission estimates the annual burden and cost</w:t>
      </w:r>
      <w:r w:rsidRPr="008C01FB">
        <w:rPr>
          <w:rStyle w:val="FootnoteReference"/>
        </w:rPr>
        <w:footnoteReference w:id="6"/>
      </w:r>
      <w:r w:rsidRPr="008C01FB">
        <w:rPr>
          <w:szCs w:val="26"/>
        </w:rPr>
        <w:t xml:space="preserve"> as follows.</w:t>
      </w:r>
      <w:r w:rsidRPr="008C01FB">
        <w:rPr>
          <w:szCs w:val="26"/>
          <w:vertAlign w:val="superscript"/>
        </w:rPr>
        <w:t xml:space="preserve">  </w:t>
      </w:r>
      <w:r w:rsidRPr="008331D2" w:rsidR="000E072A">
        <w:rPr>
          <w:szCs w:val="26"/>
        </w:rPr>
        <w:t>burden and cost for the information collection as follows</w:t>
      </w:r>
      <w:r w:rsidRPr="008564AB" w:rsidR="000E072A">
        <w:rPr>
          <w:szCs w:val="26"/>
        </w:rPr>
        <w:t>:</w:t>
      </w:r>
    </w:p>
    <w:tbl>
      <w:tblPr>
        <w:tblW w:w="5358"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45"/>
        <w:gridCol w:w="1411"/>
        <w:gridCol w:w="1495"/>
        <w:gridCol w:w="1409"/>
        <w:gridCol w:w="1557"/>
        <w:gridCol w:w="1070"/>
        <w:gridCol w:w="1232"/>
      </w:tblGrid>
      <w:tr w:rsidRPr="0078126D" w:rsidR="000E072A" w:rsidTr="00EF0131" w14:paraId="62B49A5B" w14:textId="77777777">
        <w:trPr>
          <w:cantSplit/>
        </w:trPr>
        <w:tc>
          <w:tcPr>
            <w:tcW w:w="5000" w:type="pct"/>
            <w:gridSpan w:val="7"/>
            <w:tcBorders>
              <w:bottom w:val="single" w:color="auto" w:sz="4" w:space="0"/>
            </w:tcBorders>
            <w:shd w:val="clear" w:color="auto" w:fill="D9D9D9"/>
          </w:tcPr>
          <w:p w:rsidRPr="00D90C78" w:rsidR="000E072A" w:rsidP="00EF0131" w:rsidRDefault="00AC50D8" w14:paraId="3D28D65E" w14:textId="2BCEA620">
            <w:pPr>
              <w:jc w:val="center"/>
              <w:rPr>
                <w:rFonts w:eastAsia="Calibri"/>
                <w:b/>
                <w:szCs w:val="26"/>
              </w:rPr>
            </w:pPr>
            <w:r w:rsidRPr="00D90C78">
              <w:rPr>
                <w:b/>
                <w:szCs w:val="26"/>
              </w:rPr>
              <w:t xml:space="preserve">RD20-1-000: </w:t>
            </w:r>
            <w:r w:rsidRPr="00AB798F" w:rsidR="00AB798F">
              <w:rPr>
                <w:b/>
                <w:szCs w:val="26"/>
              </w:rPr>
              <w:t>Mandatory Reliability Standards for the Bulk-Power System</w:t>
            </w:r>
            <w:r w:rsidR="00AB798F">
              <w:rPr>
                <w:b/>
                <w:szCs w:val="26"/>
              </w:rPr>
              <w:t>: R</w:t>
            </w:r>
            <w:r w:rsidRPr="00D90C78">
              <w:rPr>
                <w:b/>
                <w:szCs w:val="26"/>
              </w:rPr>
              <w:t>egional Reliability Standard PRC-006-NPCC-2 Automatic Underfrequency Load Shedding (UFLS)</w:t>
            </w:r>
            <w:r w:rsidRPr="00D90C78">
              <w:rPr>
                <w:b/>
                <w:szCs w:val="26"/>
              </w:rPr>
              <w:br/>
            </w:r>
          </w:p>
        </w:tc>
      </w:tr>
      <w:tr w:rsidRPr="0078126D" w:rsidR="000E072A" w:rsidTr="003827F0" w14:paraId="68A80686" w14:textId="77777777">
        <w:trPr>
          <w:cantSplit/>
        </w:trPr>
        <w:tc>
          <w:tcPr>
            <w:tcW w:w="921" w:type="pct"/>
            <w:shd w:val="clear" w:color="auto" w:fill="D9D9D9"/>
          </w:tcPr>
          <w:p w:rsidRPr="00D90C78" w:rsidR="00F27993" w:rsidP="00EF0131" w:rsidRDefault="00F27993" w14:paraId="0EFBC491" w14:textId="77777777">
            <w:pPr>
              <w:jc w:val="center"/>
              <w:rPr>
                <w:b/>
                <w:szCs w:val="26"/>
              </w:rPr>
            </w:pPr>
          </w:p>
          <w:p w:rsidRPr="00D90C78" w:rsidR="00F27993" w:rsidP="00EF0131" w:rsidRDefault="00F27993" w14:paraId="710A7231" w14:textId="77777777">
            <w:pPr>
              <w:jc w:val="center"/>
              <w:rPr>
                <w:b/>
                <w:szCs w:val="26"/>
              </w:rPr>
            </w:pPr>
          </w:p>
          <w:p w:rsidRPr="00D90C78" w:rsidR="00F27993" w:rsidP="00EF0131" w:rsidRDefault="00F27993" w14:paraId="7B5FF7CC" w14:textId="77777777">
            <w:pPr>
              <w:jc w:val="center"/>
              <w:rPr>
                <w:b/>
                <w:szCs w:val="26"/>
              </w:rPr>
            </w:pPr>
          </w:p>
          <w:p w:rsidRPr="00D90C78" w:rsidR="000E072A" w:rsidP="00EF0131" w:rsidRDefault="00F27993" w14:paraId="45927677" w14:textId="38CBBEB5">
            <w:pPr>
              <w:jc w:val="center"/>
              <w:rPr>
                <w:rFonts w:eastAsia="Calibri"/>
                <w:szCs w:val="26"/>
              </w:rPr>
            </w:pPr>
            <w:r w:rsidRPr="00D90C78">
              <w:rPr>
                <w:b/>
                <w:szCs w:val="26"/>
              </w:rPr>
              <w:t>Reliability Standard &amp; Requirement</w:t>
            </w:r>
          </w:p>
        </w:tc>
        <w:tc>
          <w:tcPr>
            <w:tcW w:w="704" w:type="pct"/>
            <w:shd w:val="clear" w:color="auto" w:fill="D9D9D9"/>
            <w:vAlign w:val="bottom"/>
          </w:tcPr>
          <w:p w:rsidRPr="00D90C78" w:rsidR="000E072A" w:rsidP="00EF0131" w:rsidRDefault="000E072A" w14:paraId="1ED7922B" w14:textId="0352669B">
            <w:pPr>
              <w:jc w:val="center"/>
              <w:rPr>
                <w:rFonts w:eastAsia="Calibri"/>
                <w:b/>
                <w:szCs w:val="26"/>
              </w:rPr>
            </w:pPr>
            <w:r w:rsidRPr="00D90C78">
              <w:rPr>
                <w:rFonts w:eastAsia="Calibri"/>
                <w:b/>
                <w:szCs w:val="26"/>
              </w:rPr>
              <w:t>Average Annual Number</w:t>
            </w:r>
            <w:r w:rsidRPr="00D90C78" w:rsidR="00F27993">
              <w:rPr>
                <w:rStyle w:val="FootnoteReference"/>
                <w:b w:val="0"/>
              </w:rPr>
              <w:t>1</w:t>
            </w:r>
            <w:r w:rsidRPr="00D90C78">
              <w:rPr>
                <w:rFonts w:eastAsia="Calibri"/>
                <w:b/>
                <w:szCs w:val="26"/>
              </w:rPr>
              <w:t xml:space="preserve"> of Respondents</w:t>
            </w:r>
            <w:r w:rsidRPr="00D90C78">
              <w:rPr>
                <w:rFonts w:eastAsia="Calibri"/>
                <w:b/>
                <w:szCs w:val="26"/>
              </w:rPr>
              <w:br/>
              <w:t>(1)</w:t>
            </w:r>
          </w:p>
        </w:tc>
        <w:tc>
          <w:tcPr>
            <w:tcW w:w="746" w:type="pct"/>
            <w:shd w:val="clear" w:color="auto" w:fill="D9D9D9"/>
            <w:vAlign w:val="bottom"/>
          </w:tcPr>
          <w:p w:rsidRPr="00D90C78" w:rsidR="000E072A" w:rsidP="00EF0131" w:rsidRDefault="000E072A" w14:paraId="4F0F346B" w14:textId="77777777">
            <w:pPr>
              <w:jc w:val="center"/>
              <w:rPr>
                <w:rFonts w:eastAsia="Calibri"/>
                <w:b/>
                <w:szCs w:val="26"/>
              </w:rPr>
            </w:pPr>
            <w:r w:rsidRPr="00D90C78">
              <w:rPr>
                <w:rFonts w:eastAsia="Calibri"/>
                <w:b/>
                <w:szCs w:val="26"/>
              </w:rPr>
              <w:t>Average Annual Number of Responses per Respondent</w:t>
            </w:r>
          </w:p>
          <w:p w:rsidRPr="00D90C78" w:rsidR="000E072A" w:rsidP="00EF0131" w:rsidRDefault="000E072A" w14:paraId="155ABA93" w14:textId="77777777">
            <w:pPr>
              <w:jc w:val="center"/>
              <w:rPr>
                <w:rFonts w:eastAsia="Calibri"/>
                <w:b/>
                <w:szCs w:val="26"/>
              </w:rPr>
            </w:pPr>
            <w:r w:rsidRPr="00D90C78">
              <w:rPr>
                <w:rFonts w:eastAsia="Calibri"/>
                <w:b/>
                <w:szCs w:val="26"/>
              </w:rPr>
              <w:t>(2)</w:t>
            </w:r>
          </w:p>
        </w:tc>
        <w:tc>
          <w:tcPr>
            <w:tcW w:w="703" w:type="pct"/>
            <w:shd w:val="clear" w:color="auto" w:fill="D9D9D9"/>
            <w:vAlign w:val="bottom"/>
          </w:tcPr>
          <w:p w:rsidRPr="00D90C78" w:rsidR="000E072A" w:rsidP="00EF0131" w:rsidRDefault="000E072A" w14:paraId="54B45ABD" w14:textId="77777777">
            <w:pPr>
              <w:jc w:val="center"/>
              <w:rPr>
                <w:rFonts w:eastAsia="Calibri"/>
                <w:b/>
                <w:szCs w:val="26"/>
              </w:rPr>
            </w:pPr>
            <w:r w:rsidRPr="00D90C78">
              <w:rPr>
                <w:rFonts w:eastAsia="Calibri"/>
                <w:b/>
                <w:szCs w:val="26"/>
              </w:rPr>
              <w:t>Average Annual Total Number of Responses (</w:t>
            </w:r>
            <w:proofErr w:type="gramStart"/>
            <w:r w:rsidRPr="00D90C78">
              <w:rPr>
                <w:rFonts w:eastAsia="Calibri"/>
                <w:b/>
                <w:szCs w:val="26"/>
              </w:rPr>
              <w:t>1)*</w:t>
            </w:r>
            <w:proofErr w:type="gramEnd"/>
            <w:r w:rsidRPr="00D90C78">
              <w:rPr>
                <w:rFonts w:eastAsia="Calibri"/>
                <w:b/>
                <w:szCs w:val="26"/>
              </w:rPr>
              <w:t>(2)=(3)</w:t>
            </w:r>
          </w:p>
        </w:tc>
        <w:tc>
          <w:tcPr>
            <w:tcW w:w="777" w:type="pct"/>
            <w:shd w:val="clear" w:color="auto" w:fill="D9D9D9"/>
            <w:vAlign w:val="bottom"/>
          </w:tcPr>
          <w:p w:rsidRPr="00D90C78" w:rsidR="000E072A" w:rsidP="00EF0131" w:rsidRDefault="000E072A" w14:paraId="2609ED7D" w14:textId="77777777">
            <w:pPr>
              <w:jc w:val="center"/>
              <w:rPr>
                <w:rFonts w:eastAsia="Calibri"/>
                <w:b/>
                <w:szCs w:val="26"/>
              </w:rPr>
            </w:pPr>
            <w:r w:rsidRPr="00D90C78">
              <w:rPr>
                <w:rFonts w:eastAsia="Calibri"/>
                <w:b/>
                <w:szCs w:val="26"/>
              </w:rPr>
              <w:t>Average Burden Hrs. &amp; Cost ($) Per Response</w:t>
            </w:r>
          </w:p>
          <w:p w:rsidRPr="00D90C78" w:rsidR="000E072A" w:rsidP="00EF0131" w:rsidRDefault="000E072A" w14:paraId="65E88C4E" w14:textId="77777777">
            <w:pPr>
              <w:jc w:val="center"/>
              <w:rPr>
                <w:rFonts w:eastAsia="Calibri"/>
                <w:b/>
                <w:szCs w:val="26"/>
              </w:rPr>
            </w:pPr>
            <w:r w:rsidRPr="00D90C78">
              <w:rPr>
                <w:rFonts w:eastAsia="Calibri"/>
                <w:b/>
                <w:szCs w:val="26"/>
              </w:rPr>
              <w:t>(4)</w:t>
            </w:r>
          </w:p>
        </w:tc>
        <w:tc>
          <w:tcPr>
            <w:tcW w:w="534" w:type="pct"/>
            <w:shd w:val="clear" w:color="auto" w:fill="D9D9D9"/>
            <w:vAlign w:val="bottom"/>
          </w:tcPr>
          <w:p w:rsidRPr="00D90C78" w:rsidR="000E072A" w:rsidP="00EF0131" w:rsidRDefault="000E072A" w14:paraId="255B7982" w14:textId="090A29BB">
            <w:pPr>
              <w:jc w:val="center"/>
              <w:rPr>
                <w:rFonts w:eastAsia="Calibri"/>
                <w:b/>
                <w:szCs w:val="26"/>
              </w:rPr>
            </w:pPr>
            <w:r w:rsidRPr="00D90C78">
              <w:rPr>
                <w:rFonts w:eastAsia="Calibri"/>
                <w:b/>
                <w:szCs w:val="26"/>
              </w:rPr>
              <w:t>Total Annual Burden Hours &amp; Cost ($) (rounded)</w:t>
            </w:r>
          </w:p>
          <w:p w:rsidRPr="00D90C78" w:rsidR="000E072A" w:rsidP="00EF0131" w:rsidRDefault="000E072A" w14:paraId="41513CA7" w14:textId="77777777">
            <w:pPr>
              <w:jc w:val="center"/>
              <w:rPr>
                <w:rFonts w:eastAsia="Calibri"/>
                <w:b/>
                <w:szCs w:val="26"/>
              </w:rPr>
            </w:pPr>
            <w:r w:rsidRPr="00D90C78">
              <w:rPr>
                <w:rFonts w:eastAsia="Calibri"/>
                <w:b/>
                <w:szCs w:val="26"/>
              </w:rPr>
              <w:t>(</w:t>
            </w:r>
            <w:proofErr w:type="gramStart"/>
            <w:r w:rsidRPr="00D90C78">
              <w:rPr>
                <w:rFonts w:eastAsia="Calibri"/>
                <w:b/>
                <w:szCs w:val="26"/>
              </w:rPr>
              <w:t>3)*</w:t>
            </w:r>
            <w:proofErr w:type="gramEnd"/>
            <w:r w:rsidRPr="00D90C78">
              <w:rPr>
                <w:rFonts w:eastAsia="Calibri"/>
                <w:b/>
                <w:szCs w:val="26"/>
              </w:rPr>
              <w:t>(4)=(5)</w:t>
            </w:r>
          </w:p>
        </w:tc>
        <w:tc>
          <w:tcPr>
            <w:tcW w:w="615" w:type="pct"/>
            <w:shd w:val="clear" w:color="auto" w:fill="D9D9D9"/>
            <w:vAlign w:val="bottom"/>
          </w:tcPr>
          <w:p w:rsidRPr="00D90C78" w:rsidR="000E072A" w:rsidP="00EF0131" w:rsidRDefault="000E072A" w14:paraId="6490B6FF" w14:textId="77777777">
            <w:pPr>
              <w:jc w:val="center"/>
              <w:rPr>
                <w:rFonts w:eastAsia="Calibri"/>
                <w:b/>
                <w:szCs w:val="26"/>
              </w:rPr>
            </w:pPr>
            <w:r w:rsidRPr="00D90C78">
              <w:rPr>
                <w:rFonts w:eastAsia="Calibri"/>
                <w:b/>
                <w:szCs w:val="26"/>
              </w:rPr>
              <w:t>Cost per Respondent</w:t>
            </w:r>
          </w:p>
          <w:p w:rsidRPr="00D90C78" w:rsidR="000E072A" w:rsidP="00EF0131" w:rsidRDefault="000E072A" w14:paraId="1EC936CC" w14:textId="77777777">
            <w:pPr>
              <w:jc w:val="center"/>
              <w:rPr>
                <w:rFonts w:eastAsia="Calibri"/>
                <w:b/>
                <w:szCs w:val="26"/>
              </w:rPr>
            </w:pPr>
            <w:r w:rsidRPr="00D90C78">
              <w:rPr>
                <w:rFonts w:eastAsia="Calibri"/>
                <w:b/>
                <w:szCs w:val="26"/>
              </w:rPr>
              <w:t xml:space="preserve"> ($)</w:t>
            </w:r>
          </w:p>
          <w:p w:rsidRPr="00D90C78" w:rsidR="000E072A" w:rsidP="00EF0131" w:rsidRDefault="000E072A" w14:paraId="2847E1A4" w14:textId="77777777">
            <w:pPr>
              <w:jc w:val="center"/>
              <w:rPr>
                <w:rFonts w:eastAsia="Calibri"/>
                <w:b/>
                <w:szCs w:val="26"/>
              </w:rPr>
            </w:pPr>
            <w:r w:rsidRPr="00D90C78">
              <w:rPr>
                <w:rFonts w:eastAsia="Calibri"/>
                <w:b/>
                <w:szCs w:val="26"/>
              </w:rPr>
              <w:t>(</w:t>
            </w:r>
            <w:proofErr w:type="gramStart"/>
            <w:r w:rsidRPr="00D90C78">
              <w:rPr>
                <w:rFonts w:eastAsia="Calibri"/>
                <w:b/>
                <w:szCs w:val="26"/>
              </w:rPr>
              <w:t>5)÷</w:t>
            </w:r>
            <w:proofErr w:type="gramEnd"/>
            <w:r w:rsidRPr="00D90C78">
              <w:rPr>
                <w:rFonts w:eastAsia="Calibri"/>
                <w:b/>
                <w:szCs w:val="26"/>
              </w:rPr>
              <w:t>(1)</w:t>
            </w:r>
          </w:p>
        </w:tc>
      </w:tr>
      <w:tr w:rsidRPr="0078126D" w:rsidR="00F27993" w:rsidTr="003827F0" w14:paraId="1AA565B9" w14:textId="77777777">
        <w:trPr>
          <w:cantSplit/>
        </w:trPr>
        <w:tc>
          <w:tcPr>
            <w:tcW w:w="921" w:type="pct"/>
            <w:vAlign w:val="center"/>
          </w:tcPr>
          <w:p w:rsidRPr="00D90C78" w:rsidR="00F27993" w:rsidP="00F27993" w:rsidRDefault="00F27993" w14:paraId="211E6C8E" w14:textId="5F033A87">
            <w:pPr>
              <w:autoSpaceDE w:val="0"/>
              <w:autoSpaceDN w:val="0"/>
              <w:adjustRightInd w:val="0"/>
              <w:rPr>
                <w:rFonts w:ascii="Helvetica" w:hAnsi="Helvetica" w:cs="Helvetica" w:eastAsiaTheme="minorHAnsi"/>
                <w:szCs w:val="26"/>
              </w:rPr>
            </w:pPr>
            <w:r w:rsidRPr="00D90C78">
              <w:rPr>
                <w:szCs w:val="26"/>
              </w:rPr>
              <w:t xml:space="preserve">GO </w:t>
            </w:r>
          </w:p>
        </w:tc>
        <w:tc>
          <w:tcPr>
            <w:tcW w:w="704" w:type="pct"/>
            <w:vAlign w:val="center"/>
          </w:tcPr>
          <w:p w:rsidRPr="00D90C78" w:rsidR="00F27993" w:rsidP="00F27993" w:rsidRDefault="00F27993" w14:paraId="27373591" w14:textId="19E9471B">
            <w:pPr>
              <w:jc w:val="right"/>
              <w:rPr>
                <w:rFonts w:eastAsia="Calibri"/>
                <w:szCs w:val="26"/>
              </w:rPr>
            </w:pPr>
            <w:r w:rsidRPr="00D90C78">
              <w:rPr>
                <w:szCs w:val="26"/>
              </w:rPr>
              <w:t>125</w:t>
            </w:r>
          </w:p>
        </w:tc>
        <w:tc>
          <w:tcPr>
            <w:tcW w:w="746" w:type="pct"/>
            <w:vAlign w:val="center"/>
          </w:tcPr>
          <w:p w:rsidRPr="00D90C78" w:rsidR="00F27993" w:rsidP="00F27993" w:rsidRDefault="00F27993" w14:paraId="0C0EB513" w14:textId="2559862A">
            <w:pPr>
              <w:jc w:val="right"/>
              <w:rPr>
                <w:rFonts w:eastAsia="Calibri"/>
                <w:szCs w:val="26"/>
              </w:rPr>
            </w:pPr>
            <w:r w:rsidRPr="00D90C78">
              <w:rPr>
                <w:szCs w:val="26"/>
              </w:rPr>
              <w:t>1</w:t>
            </w:r>
          </w:p>
        </w:tc>
        <w:tc>
          <w:tcPr>
            <w:tcW w:w="703" w:type="pct"/>
            <w:vAlign w:val="center"/>
          </w:tcPr>
          <w:p w:rsidRPr="00D90C78" w:rsidR="00F27993" w:rsidP="00F27993" w:rsidRDefault="00F27993" w14:paraId="2B4552A0" w14:textId="767CCB4D">
            <w:pPr>
              <w:jc w:val="right"/>
              <w:rPr>
                <w:rFonts w:eastAsia="Calibri"/>
                <w:szCs w:val="26"/>
              </w:rPr>
            </w:pPr>
            <w:r w:rsidRPr="00D90C78">
              <w:rPr>
                <w:szCs w:val="26"/>
              </w:rPr>
              <w:t>125</w:t>
            </w:r>
          </w:p>
        </w:tc>
        <w:tc>
          <w:tcPr>
            <w:tcW w:w="777" w:type="pct"/>
            <w:vAlign w:val="center"/>
          </w:tcPr>
          <w:p w:rsidRPr="00D90C78" w:rsidR="00F27993" w:rsidP="00F27993" w:rsidRDefault="00F27993" w14:paraId="1990CCC3" w14:textId="1FBED027">
            <w:pPr>
              <w:jc w:val="right"/>
              <w:rPr>
                <w:szCs w:val="26"/>
              </w:rPr>
            </w:pPr>
            <w:r w:rsidRPr="00D90C78">
              <w:rPr>
                <w:szCs w:val="26"/>
              </w:rPr>
              <w:t>24</w:t>
            </w:r>
            <w:r w:rsidRPr="00D90C78" w:rsidR="003827F0">
              <w:rPr>
                <w:szCs w:val="26"/>
              </w:rPr>
              <w:t xml:space="preserve"> hrs.;</w:t>
            </w:r>
          </w:p>
          <w:p w:rsidRPr="00D90C78" w:rsidR="003827F0" w:rsidP="00F27993" w:rsidRDefault="003827F0" w14:paraId="1D7F8ADC" w14:textId="169F17EE">
            <w:pPr>
              <w:jc w:val="right"/>
              <w:rPr>
                <w:rFonts w:eastAsia="Calibri"/>
                <w:szCs w:val="26"/>
              </w:rPr>
            </w:pPr>
            <w:r w:rsidRPr="00D90C78">
              <w:rPr>
                <w:szCs w:val="26"/>
              </w:rPr>
              <w:t>$80</w:t>
            </w:r>
          </w:p>
        </w:tc>
        <w:tc>
          <w:tcPr>
            <w:tcW w:w="534" w:type="pct"/>
            <w:vAlign w:val="center"/>
          </w:tcPr>
          <w:p w:rsidRPr="00D90C78" w:rsidR="00F27993" w:rsidP="00F27993" w:rsidRDefault="00F27993" w14:paraId="20055458" w14:textId="6293B627">
            <w:pPr>
              <w:jc w:val="right"/>
              <w:rPr>
                <w:szCs w:val="26"/>
              </w:rPr>
            </w:pPr>
            <w:r w:rsidRPr="00D90C78">
              <w:rPr>
                <w:szCs w:val="26"/>
              </w:rPr>
              <w:t>3,000</w:t>
            </w:r>
            <w:r w:rsidRPr="00D90C78" w:rsidR="003827F0">
              <w:rPr>
                <w:szCs w:val="26"/>
              </w:rPr>
              <w:t xml:space="preserve"> hrs.; $10,000</w:t>
            </w:r>
          </w:p>
          <w:p w:rsidRPr="00D90C78" w:rsidR="003827F0" w:rsidP="00F27993" w:rsidRDefault="003827F0" w14:paraId="40FEDF61" w14:textId="13D6519B">
            <w:pPr>
              <w:jc w:val="right"/>
              <w:rPr>
                <w:rFonts w:eastAsia="Calibri"/>
                <w:szCs w:val="26"/>
              </w:rPr>
            </w:pPr>
          </w:p>
        </w:tc>
        <w:tc>
          <w:tcPr>
            <w:tcW w:w="615" w:type="pct"/>
          </w:tcPr>
          <w:p w:rsidRPr="00D90C78" w:rsidR="00F27993" w:rsidP="00F27993" w:rsidRDefault="003827F0" w14:paraId="0CCC74B1" w14:textId="0760AF09">
            <w:pPr>
              <w:jc w:val="right"/>
              <w:rPr>
                <w:rFonts w:eastAsia="Calibri"/>
                <w:szCs w:val="26"/>
              </w:rPr>
            </w:pPr>
            <w:r w:rsidRPr="00D90C78">
              <w:rPr>
                <w:rFonts w:eastAsia="Calibri"/>
                <w:szCs w:val="26"/>
              </w:rPr>
              <w:t>$80</w:t>
            </w:r>
          </w:p>
        </w:tc>
      </w:tr>
      <w:tr w:rsidRPr="0078126D" w:rsidR="00F27993" w:rsidTr="003827F0" w14:paraId="4F6B9F38" w14:textId="77777777">
        <w:trPr>
          <w:cantSplit/>
        </w:trPr>
        <w:tc>
          <w:tcPr>
            <w:tcW w:w="921" w:type="pct"/>
            <w:vAlign w:val="center"/>
          </w:tcPr>
          <w:p w:rsidRPr="00D90C78" w:rsidR="00F27993" w:rsidP="00F27993" w:rsidRDefault="00F27993" w14:paraId="463E6858" w14:textId="12C10672">
            <w:pPr>
              <w:autoSpaceDE w:val="0"/>
              <w:autoSpaceDN w:val="0"/>
              <w:adjustRightInd w:val="0"/>
              <w:rPr>
                <w:rFonts w:ascii="Helvetica" w:hAnsi="Helvetica" w:cs="Helvetica" w:eastAsiaTheme="minorHAnsi"/>
                <w:szCs w:val="26"/>
              </w:rPr>
            </w:pPr>
            <w:r w:rsidRPr="00D90C78">
              <w:rPr>
                <w:szCs w:val="26"/>
              </w:rPr>
              <w:t xml:space="preserve">PC </w:t>
            </w:r>
          </w:p>
        </w:tc>
        <w:tc>
          <w:tcPr>
            <w:tcW w:w="704" w:type="pct"/>
            <w:vAlign w:val="center"/>
          </w:tcPr>
          <w:p w:rsidRPr="00D90C78" w:rsidR="00F27993" w:rsidP="00F27993" w:rsidRDefault="00F27993" w14:paraId="6335C704" w14:textId="1220EEF3">
            <w:pPr>
              <w:jc w:val="right"/>
              <w:rPr>
                <w:rFonts w:eastAsia="Calibri"/>
                <w:szCs w:val="26"/>
              </w:rPr>
            </w:pPr>
            <w:r w:rsidRPr="00D90C78">
              <w:rPr>
                <w:szCs w:val="26"/>
              </w:rPr>
              <w:br/>
              <w:t>2</w:t>
            </w:r>
            <w:r w:rsidRPr="00D90C78">
              <w:rPr>
                <w:szCs w:val="26"/>
              </w:rPr>
              <w:br/>
            </w:r>
          </w:p>
        </w:tc>
        <w:tc>
          <w:tcPr>
            <w:tcW w:w="746" w:type="pct"/>
            <w:vAlign w:val="center"/>
          </w:tcPr>
          <w:p w:rsidRPr="00D90C78" w:rsidR="00F27993" w:rsidP="00F27993" w:rsidRDefault="00F27993" w14:paraId="2120D67F" w14:textId="147BA836">
            <w:pPr>
              <w:jc w:val="right"/>
              <w:rPr>
                <w:rFonts w:eastAsia="Calibri"/>
                <w:szCs w:val="26"/>
              </w:rPr>
            </w:pPr>
            <w:r w:rsidRPr="00D90C78">
              <w:rPr>
                <w:szCs w:val="26"/>
              </w:rPr>
              <w:t>1</w:t>
            </w:r>
          </w:p>
        </w:tc>
        <w:tc>
          <w:tcPr>
            <w:tcW w:w="703" w:type="pct"/>
            <w:vAlign w:val="center"/>
          </w:tcPr>
          <w:p w:rsidRPr="00D90C78" w:rsidR="00F27993" w:rsidP="00F27993" w:rsidRDefault="00F27993" w14:paraId="03D18B26" w14:textId="66F0E17A">
            <w:pPr>
              <w:jc w:val="right"/>
              <w:rPr>
                <w:rFonts w:eastAsia="Calibri"/>
                <w:szCs w:val="26"/>
              </w:rPr>
            </w:pPr>
            <w:r w:rsidRPr="00D90C78">
              <w:rPr>
                <w:szCs w:val="26"/>
              </w:rPr>
              <w:t>2</w:t>
            </w:r>
          </w:p>
        </w:tc>
        <w:tc>
          <w:tcPr>
            <w:tcW w:w="777" w:type="pct"/>
            <w:vAlign w:val="center"/>
          </w:tcPr>
          <w:p w:rsidRPr="00D90C78" w:rsidR="00F27993" w:rsidP="00F27993" w:rsidRDefault="00F27993" w14:paraId="30A2BB0F" w14:textId="77777777">
            <w:pPr>
              <w:jc w:val="right"/>
              <w:rPr>
                <w:szCs w:val="26"/>
              </w:rPr>
            </w:pPr>
            <w:r w:rsidRPr="00D90C78">
              <w:rPr>
                <w:szCs w:val="26"/>
              </w:rPr>
              <w:t>24</w:t>
            </w:r>
            <w:r w:rsidRPr="00D90C78" w:rsidR="003827F0">
              <w:rPr>
                <w:szCs w:val="26"/>
              </w:rPr>
              <w:t xml:space="preserve"> hrs.;</w:t>
            </w:r>
          </w:p>
          <w:p w:rsidRPr="00D90C78" w:rsidR="003827F0" w:rsidP="00F27993" w:rsidRDefault="003827F0" w14:paraId="18D3EF73" w14:textId="05891734">
            <w:pPr>
              <w:jc w:val="right"/>
              <w:rPr>
                <w:rFonts w:eastAsia="Calibri"/>
                <w:szCs w:val="26"/>
              </w:rPr>
            </w:pPr>
            <w:r w:rsidRPr="00D90C78">
              <w:rPr>
                <w:szCs w:val="26"/>
              </w:rPr>
              <w:t>$80</w:t>
            </w:r>
          </w:p>
        </w:tc>
        <w:tc>
          <w:tcPr>
            <w:tcW w:w="534" w:type="pct"/>
            <w:vAlign w:val="center"/>
          </w:tcPr>
          <w:p w:rsidRPr="00D90C78" w:rsidR="00F27993" w:rsidP="00F27993" w:rsidRDefault="00F27993" w14:paraId="6DDB7FE3" w14:textId="77777777">
            <w:pPr>
              <w:jc w:val="right"/>
              <w:rPr>
                <w:szCs w:val="26"/>
              </w:rPr>
            </w:pPr>
            <w:r w:rsidRPr="00D90C78">
              <w:rPr>
                <w:szCs w:val="26"/>
              </w:rPr>
              <w:t>48</w:t>
            </w:r>
            <w:r w:rsidRPr="00D90C78" w:rsidR="003827F0">
              <w:rPr>
                <w:szCs w:val="26"/>
              </w:rPr>
              <w:t xml:space="preserve"> hrs.;</w:t>
            </w:r>
          </w:p>
          <w:p w:rsidRPr="00D90C78" w:rsidR="003827F0" w:rsidP="00F27993" w:rsidRDefault="003827F0" w14:paraId="1595BC90" w14:textId="5D3AFE8A">
            <w:pPr>
              <w:jc w:val="right"/>
              <w:rPr>
                <w:rFonts w:eastAsia="Calibri"/>
                <w:szCs w:val="26"/>
              </w:rPr>
            </w:pPr>
            <w:r w:rsidRPr="00D90C78">
              <w:rPr>
                <w:szCs w:val="26"/>
              </w:rPr>
              <w:t>$160</w:t>
            </w:r>
          </w:p>
        </w:tc>
        <w:tc>
          <w:tcPr>
            <w:tcW w:w="615" w:type="pct"/>
          </w:tcPr>
          <w:p w:rsidRPr="00D90C78" w:rsidR="00F27993" w:rsidP="00F27993" w:rsidRDefault="003827F0" w14:paraId="2C6F931E" w14:textId="3AE843D3">
            <w:pPr>
              <w:jc w:val="right"/>
              <w:rPr>
                <w:rFonts w:eastAsia="Calibri"/>
                <w:szCs w:val="26"/>
              </w:rPr>
            </w:pPr>
            <w:r w:rsidRPr="00D90C78">
              <w:rPr>
                <w:rFonts w:eastAsia="Calibri"/>
                <w:szCs w:val="26"/>
              </w:rPr>
              <w:t>$80</w:t>
            </w:r>
          </w:p>
        </w:tc>
      </w:tr>
      <w:tr w:rsidRPr="0078126D" w:rsidR="00F27993" w:rsidTr="003827F0" w14:paraId="675B052E" w14:textId="77777777">
        <w:trPr>
          <w:cantSplit/>
        </w:trPr>
        <w:tc>
          <w:tcPr>
            <w:tcW w:w="921" w:type="pct"/>
            <w:vAlign w:val="center"/>
          </w:tcPr>
          <w:p w:rsidRPr="00D90C78" w:rsidR="00F27993" w:rsidP="00F27993" w:rsidRDefault="00F27993" w14:paraId="085207E1" w14:textId="7E341717">
            <w:pPr>
              <w:autoSpaceDE w:val="0"/>
              <w:autoSpaceDN w:val="0"/>
              <w:adjustRightInd w:val="0"/>
              <w:rPr>
                <w:rFonts w:ascii="Helvetica" w:hAnsi="Helvetica" w:cs="Helvetica" w:eastAsiaTheme="minorHAnsi"/>
                <w:szCs w:val="26"/>
              </w:rPr>
            </w:pPr>
            <w:r w:rsidRPr="00D90C78">
              <w:rPr>
                <w:szCs w:val="26"/>
              </w:rPr>
              <w:lastRenderedPageBreak/>
              <w:t xml:space="preserve">DP </w:t>
            </w:r>
          </w:p>
        </w:tc>
        <w:tc>
          <w:tcPr>
            <w:tcW w:w="704" w:type="pct"/>
            <w:vAlign w:val="center"/>
          </w:tcPr>
          <w:p w:rsidRPr="00D90C78" w:rsidR="00F27993" w:rsidP="00F27993" w:rsidRDefault="00F27993" w14:paraId="4E04E940" w14:textId="2F66C64B">
            <w:pPr>
              <w:jc w:val="right"/>
              <w:rPr>
                <w:rFonts w:eastAsia="Calibri"/>
                <w:szCs w:val="26"/>
              </w:rPr>
            </w:pPr>
            <w:r w:rsidRPr="00D90C78">
              <w:rPr>
                <w:szCs w:val="26"/>
              </w:rPr>
              <w:t>51</w:t>
            </w:r>
          </w:p>
        </w:tc>
        <w:tc>
          <w:tcPr>
            <w:tcW w:w="746" w:type="pct"/>
            <w:vAlign w:val="center"/>
          </w:tcPr>
          <w:p w:rsidRPr="00D90C78" w:rsidR="00F27993" w:rsidP="00F27993" w:rsidRDefault="00F27993" w14:paraId="2D752407" w14:textId="14D1E552">
            <w:pPr>
              <w:jc w:val="right"/>
              <w:rPr>
                <w:rFonts w:eastAsia="Calibri"/>
                <w:szCs w:val="26"/>
              </w:rPr>
            </w:pPr>
            <w:r w:rsidRPr="00D90C78">
              <w:rPr>
                <w:szCs w:val="26"/>
              </w:rPr>
              <w:t>1</w:t>
            </w:r>
          </w:p>
        </w:tc>
        <w:tc>
          <w:tcPr>
            <w:tcW w:w="703" w:type="pct"/>
            <w:vAlign w:val="center"/>
          </w:tcPr>
          <w:p w:rsidRPr="00D90C78" w:rsidR="00F27993" w:rsidP="00F27993" w:rsidRDefault="00F27993" w14:paraId="01F3E9FA" w14:textId="5357257F">
            <w:pPr>
              <w:jc w:val="right"/>
              <w:rPr>
                <w:rFonts w:eastAsia="Calibri"/>
                <w:szCs w:val="26"/>
              </w:rPr>
            </w:pPr>
            <w:r w:rsidRPr="00D90C78">
              <w:rPr>
                <w:szCs w:val="26"/>
              </w:rPr>
              <w:t>51</w:t>
            </w:r>
          </w:p>
        </w:tc>
        <w:tc>
          <w:tcPr>
            <w:tcW w:w="777" w:type="pct"/>
            <w:vAlign w:val="center"/>
          </w:tcPr>
          <w:p w:rsidRPr="00D90C78" w:rsidR="00F27993" w:rsidP="00F27993" w:rsidRDefault="00F27993" w14:paraId="4BD8CB7D" w14:textId="77777777">
            <w:pPr>
              <w:jc w:val="right"/>
              <w:rPr>
                <w:szCs w:val="26"/>
              </w:rPr>
            </w:pPr>
            <w:r w:rsidRPr="00D90C78">
              <w:rPr>
                <w:szCs w:val="26"/>
              </w:rPr>
              <w:t>24</w:t>
            </w:r>
            <w:r w:rsidRPr="00D90C78" w:rsidR="003827F0">
              <w:rPr>
                <w:szCs w:val="26"/>
              </w:rPr>
              <w:t xml:space="preserve"> hrs.;</w:t>
            </w:r>
          </w:p>
          <w:p w:rsidRPr="00D90C78" w:rsidR="003827F0" w:rsidP="00F27993" w:rsidRDefault="003827F0" w14:paraId="0563CF9A" w14:textId="30F7A2BC">
            <w:pPr>
              <w:jc w:val="right"/>
              <w:rPr>
                <w:rFonts w:eastAsia="Calibri"/>
                <w:szCs w:val="26"/>
              </w:rPr>
            </w:pPr>
            <w:r w:rsidRPr="00D90C78">
              <w:rPr>
                <w:szCs w:val="26"/>
              </w:rPr>
              <w:t>$80</w:t>
            </w:r>
          </w:p>
        </w:tc>
        <w:tc>
          <w:tcPr>
            <w:tcW w:w="534" w:type="pct"/>
            <w:vAlign w:val="center"/>
          </w:tcPr>
          <w:p w:rsidRPr="00D90C78" w:rsidR="00F27993" w:rsidP="00F27993" w:rsidRDefault="00F27993" w14:paraId="18B4E18D" w14:textId="77777777">
            <w:pPr>
              <w:jc w:val="right"/>
              <w:rPr>
                <w:szCs w:val="26"/>
              </w:rPr>
            </w:pPr>
            <w:r w:rsidRPr="00D90C78">
              <w:rPr>
                <w:szCs w:val="26"/>
              </w:rPr>
              <w:t>1,224</w:t>
            </w:r>
            <w:r w:rsidRPr="00D90C78" w:rsidR="003827F0">
              <w:rPr>
                <w:szCs w:val="26"/>
              </w:rPr>
              <w:t xml:space="preserve"> hrs.;</w:t>
            </w:r>
          </w:p>
          <w:p w:rsidRPr="00D90C78" w:rsidR="003827F0" w:rsidP="00F27993" w:rsidRDefault="003827F0" w14:paraId="611FE7C4" w14:textId="7891C43A">
            <w:pPr>
              <w:jc w:val="right"/>
              <w:rPr>
                <w:rFonts w:eastAsia="Calibri"/>
                <w:szCs w:val="26"/>
              </w:rPr>
            </w:pPr>
            <w:r w:rsidRPr="00D90C78">
              <w:rPr>
                <w:szCs w:val="26"/>
              </w:rPr>
              <w:t>$4,080</w:t>
            </w:r>
          </w:p>
        </w:tc>
        <w:tc>
          <w:tcPr>
            <w:tcW w:w="615" w:type="pct"/>
          </w:tcPr>
          <w:p w:rsidRPr="00D90C78" w:rsidR="00F27993" w:rsidP="00F27993" w:rsidRDefault="003827F0" w14:paraId="200B2A1B" w14:textId="0994C2D3">
            <w:pPr>
              <w:jc w:val="right"/>
              <w:rPr>
                <w:rFonts w:eastAsia="Calibri"/>
                <w:szCs w:val="26"/>
              </w:rPr>
            </w:pPr>
            <w:r w:rsidRPr="00D90C78">
              <w:rPr>
                <w:rFonts w:eastAsia="Calibri"/>
                <w:szCs w:val="26"/>
              </w:rPr>
              <w:t>$80</w:t>
            </w:r>
          </w:p>
        </w:tc>
      </w:tr>
      <w:tr w:rsidRPr="0078126D" w:rsidR="00F27993" w:rsidTr="003827F0" w14:paraId="29FD96CD" w14:textId="77777777">
        <w:trPr>
          <w:cantSplit/>
        </w:trPr>
        <w:tc>
          <w:tcPr>
            <w:tcW w:w="921" w:type="pct"/>
            <w:vAlign w:val="center"/>
          </w:tcPr>
          <w:p w:rsidR="00F27993" w:rsidP="00F27993" w:rsidRDefault="00F27993" w14:paraId="3078CA33" w14:textId="2E75683B">
            <w:pPr>
              <w:autoSpaceDE w:val="0"/>
              <w:autoSpaceDN w:val="0"/>
              <w:adjustRightInd w:val="0"/>
            </w:pPr>
            <w:r>
              <w:t>TO</w:t>
            </w:r>
          </w:p>
        </w:tc>
        <w:tc>
          <w:tcPr>
            <w:tcW w:w="704" w:type="pct"/>
            <w:vAlign w:val="center"/>
          </w:tcPr>
          <w:p w:rsidR="00F27993" w:rsidP="00F27993" w:rsidRDefault="00F27993" w14:paraId="24F1D342" w14:textId="692C7779">
            <w:pPr>
              <w:jc w:val="right"/>
            </w:pPr>
            <w:r>
              <w:t>39</w:t>
            </w:r>
          </w:p>
        </w:tc>
        <w:tc>
          <w:tcPr>
            <w:tcW w:w="746" w:type="pct"/>
            <w:vAlign w:val="center"/>
          </w:tcPr>
          <w:p w:rsidR="00F27993" w:rsidP="00F27993" w:rsidRDefault="00F27993" w14:paraId="6C423E73" w14:textId="69F04734">
            <w:pPr>
              <w:jc w:val="right"/>
            </w:pPr>
            <w:r>
              <w:t>1</w:t>
            </w:r>
          </w:p>
        </w:tc>
        <w:tc>
          <w:tcPr>
            <w:tcW w:w="703" w:type="pct"/>
            <w:vAlign w:val="center"/>
          </w:tcPr>
          <w:p w:rsidR="00F27993" w:rsidP="00F27993" w:rsidRDefault="00F27993" w14:paraId="4462B9D0" w14:textId="41E88576">
            <w:pPr>
              <w:jc w:val="right"/>
            </w:pPr>
            <w:r>
              <w:t>39</w:t>
            </w:r>
          </w:p>
        </w:tc>
        <w:tc>
          <w:tcPr>
            <w:tcW w:w="777" w:type="pct"/>
            <w:vAlign w:val="center"/>
          </w:tcPr>
          <w:p w:rsidR="00F27993" w:rsidP="00F27993" w:rsidRDefault="00F27993" w14:paraId="380A21C1" w14:textId="77777777">
            <w:pPr>
              <w:jc w:val="right"/>
            </w:pPr>
            <w:r>
              <w:t>24</w:t>
            </w:r>
            <w:r w:rsidR="003827F0">
              <w:t xml:space="preserve"> hrs.;</w:t>
            </w:r>
          </w:p>
          <w:p w:rsidR="003827F0" w:rsidP="00F27993" w:rsidRDefault="003827F0" w14:paraId="1A7F3A1B" w14:textId="65CD4E3A">
            <w:pPr>
              <w:jc w:val="right"/>
            </w:pPr>
            <w:r>
              <w:t>$80</w:t>
            </w:r>
          </w:p>
        </w:tc>
        <w:tc>
          <w:tcPr>
            <w:tcW w:w="534" w:type="pct"/>
            <w:vAlign w:val="center"/>
          </w:tcPr>
          <w:p w:rsidR="00F27993" w:rsidP="00F27993" w:rsidRDefault="00F27993" w14:paraId="1F1A49FE" w14:textId="77777777">
            <w:pPr>
              <w:jc w:val="center"/>
            </w:pPr>
          </w:p>
          <w:p w:rsidR="003827F0" w:rsidP="00F27993" w:rsidRDefault="00F27993" w14:paraId="172590C2" w14:textId="07E6F242">
            <w:pPr>
              <w:jc w:val="right"/>
            </w:pPr>
            <w:r>
              <w:t>936</w:t>
            </w:r>
            <w:r w:rsidR="003827F0">
              <w:t xml:space="preserve"> hrs.;</w:t>
            </w:r>
          </w:p>
          <w:p w:rsidR="00F27993" w:rsidP="00F27993" w:rsidRDefault="002A670C" w14:paraId="1DE4D39C" w14:textId="1D025825">
            <w:pPr>
              <w:jc w:val="right"/>
            </w:pPr>
            <w:r>
              <w:t>$3,120</w:t>
            </w:r>
            <w:r w:rsidR="00F27993">
              <w:br/>
            </w:r>
          </w:p>
        </w:tc>
        <w:tc>
          <w:tcPr>
            <w:tcW w:w="615" w:type="pct"/>
          </w:tcPr>
          <w:p w:rsidRPr="0078126D" w:rsidR="00F27993" w:rsidP="00F27993" w:rsidRDefault="00F27993" w14:paraId="6E96CB2E" w14:textId="77777777">
            <w:pPr>
              <w:jc w:val="right"/>
              <w:rPr>
                <w:rFonts w:eastAsia="Calibri"/>
                <w:sz w:val="20"/>
                <w:szCs w:val="20"/>
              </w:rPr>
            </w:pPr>
          </w:p>
        </w:tc>
      </w:tr>
      <w:tr w:rsidRPr="00D77538" w:rsidR="00F27993" w:rsidTr="003827F0" w14:paraId="6E2C1D8F" w14:textId="77777777">
        <w:trPr>
          <w:cantSplit/>
          <w:trHeight w:val="485"/>
        </w:trPr>
        <w:tc>
          <w:tcPr>
            <w:tcW w:w="921" w:type="pct"/>
            <w:tcBorders>
              <w:bottom w:val="single" w:color="auto" w:sz="4" w:space="0"/>
            </w:tcBorders>
          </w:tcPr>
          <w:p w:rsidRPr="0078126D" w:rsidR="00F27993" w:rsidP="00F27993" w:rsidRDefault="00F27993" w14:paraId="10B2503A" w14:textId="77777777">
            <w:pPr>
              <w:rPr>
                <w:rFonts w:eastAsia="Calibri"/>
                <w:b/>
                <w:sz w:val="20"/>
                <w:szCs w:val="20"/>
              </w:rPr>
            </w:pPr>
            <w:r w:rsidRPr="0078126D">
              <w:rPr>
                <w:rFonts w:eastAsia="Calibri"/>
                <w:b/>
                <w:sz w:val="20"/>
                <w:szCs w:val="20"/>
              </w:rPr>
              <w:t>TOTAL</w:t>
            </w:r>
          </w:p>
        </w:tc>
        <w:tc>
          <w:tcPr>
            <w:tcW w:w="1450" w:type="pct"/>
            <w:gridSpan w:val="2"/>
            <w:tcBorders>
              <w:bottom w:val="single" w:color="auto" w:sz="4" w:space="0"/>
            </w:tcBorders>
            <w:shd w:val="clear" w:color="auto" w:fill="D9D9D9"/>
          </w:tcPr>
          <w:p w:rsidRPr="0078126D" w:rsidR="00F27993" w:rsidP="00F27993" w:rsidRDefault="00F27993" w14:paraId="23BC6E8E" w14:textId="77777777">
            <w:pPr>
              <w:jc w:val="right"/>
              <w:rPr>
                <w:rFonts w:eastAsia="Calibri"/>
                <w:sz w:val="20"/>
                <w:szCs w:val="20"/>
              </w:rPr>
            </w:pPr>
          </w:p>
        </w:tc>
        <w:tc>
          <w:tcPr>
            <w:tcW w:w="703" w:type="pct"/>
            <w:tcBorders>
              <w:bottom w:val="single" w:color="auto" w:sz="4" w:space="0"/>
            </w:tcBorders>
            <w:shd w:val="clear" w:color="auto" w:fill="auto"/>
          </w:tcPr>
          <w:p w:rsidRPr="0078126D" w:rsidR="00F27993" w:rsidP="00F27993" w:rsidRDefault="00F27993" w14:paraId="0EE9FAE1" w14:textId="4D3FF738">
            <w:pPr>
              <w:jc w:val="right"/>
              <w:rPr>
                <w:rFonts w:eastAsia="Calibri"/>
                <w:b/>
                <w:sz w:val="20"/>
                <w:szCs w:val="20"/>
              </w:rPr>
            </w:pPr>
          </w:p>
        </w:tc>
        <w:tc>
          <w:tcPr>
            <w:tcW w:w="777" w:type="pct"/>
            <w:tcBorders>
              <w:bottom w:val="single" w:color="auto" w:sz="4" w:space="0"/>
            </w:tcBorders>
            <w:shd w:val="clear" w:color="auto" w:fill="D9D9D9"/>
          </w:tcPr>
          <w:p w:rsidRPr="0078126D" w:rsidR="00F27993" w:rsidP="00F27993" w:rsidRDefault="00F27993" w14:paraId="414A538B" w14:textId="77777777">
            <w:pPr>
              <w:jc w:val="right"/>
              <w:rPr>
                <w:rFonts w:eastAsia="Calibri"/>
                <w:sz w:val="20"/>
                <w:szCs w:val="20"/>
              </w:rPr>
            </w:pPr>
          </w:p>
        </w:tc>
        <w:tc>
          <w:tcPr>
            <w:tcW w:w="534" w:type="pct"/>
            <w:tcBorders>
              <w:bottom w:val="single" w:color="auto" w:sz="4" w:space="0"/>
            </w:tcBorders>
          </w:tcPr>
          <w:p w:rsidR="00F27993" w:rsidP="00F27993" w:rsidRDefault="00F27993" w14:paraId="70EF19B6" w14:textId="77777777">
            <w:pPr>
              <w:jc w:val="right"/>
              <w:rPr>
                <w:rFonts w:eastAsia="Calibri"/>
                <w:b/>
                <w:sz w:val="20"/>
                <w:szCs w:val="20"/>
              </w:rPr>
            </w:pPr>
            <w:r>
              <w:rPr>
                <w:rFonts w:eastAsia="Calibri"/>
                <w:b/>
                <w:sz w:val="20"/>
                <w:szCs w:val="20"/>
              </w:rPr>
              <w:t>5,208</w:t>
            </w:r>
            <w:r w:rsidR="002A670C">
              <w:rPr>
                <w:rFonts w:eastAsia="Calibri"/>
                <w:b/>
                <w:sz w:val="20"/>
                <w:szCs w:val="20"/>
              </w:rPr>
              <w:t xml:space="preserve"> hrs.:</w:t>
            </w:r>
          </w:p>
          <w:p w:rsidRPr="006A60CF" w:rsidR="002A670C" w:rsidP="00F27993" w:rsidRDefault="002A670C" w14:paraId="05507B7B" w14:textId="668B4220">
            <w:pPr>
              <w:jc w:val="right"/>
              <w:rPr>
                <w:rFonts w:eastAsia="Calibri"/>
                <w:b/>
                <w:sz w:val="20"/>
                <w:szCs w:val="20"/>
              </w:rPr>
            </w:pPr>
            <w:r>
              <w:rPr>
                <w:rFonts w:eastAsia="Calibri"/>
                <w:b/>
                <w:sz w:val="20"/>
                <w:szCs w:val="20"/>
              </w:rPr>
              <w:t>$17,360</w:t>
            </w:r>
          </w:p>
        </w:tc>
        <w:tc>
          <w:tcPr>
            <w:tcW w:w="615" w:type="pct"/>
            <w:tcBorders>
              <w:bottom w:val="single" w:color="auto" w:sz="4" w:space="0"/>
            </w:tcBorders>
            <w:shd w:val="clear" w:color="auto" w:fill="D9D9D9"/>
          </w:tcPr>
          <w:p w:rsidRPr="006A60CF" w:rsidR="00F27993" w:rsidP="00F27993" w:rsidRDefault="00F27993" w14:paraId="7B9DC218" w14:textId="77777777">
            <w:pPr>
              <w:jc w:val="right"/>
              <w:rPr>
                <w:rFonts w:eastAsia="Calibri"/>
                <w:b/>
                <w:sz w:val="20"/>
                <w:szCs w:val="20"/>
              </w:rPr>
            </w:pPr>
          </w:p>
        </w:tc>
      </w:tr>
    </w:tbl>
    <w:p w:rsidR="00856466" w:rsidP="00856466" w:rsidRDefault="00856466" w14:paraId="74737C75" w14:textId="56F01A41">
      <w:pPr>
        <w:spacing w:line="480" w:lineRule="auto"/>
        <w:rPr>
          <w:szCs w:val="26"/>
          <w:vertAlign w:val="superscript"/>
        </w:rPr>
      </w:pPr>
    </w:p>
    <w:p w:rsidRPr="008C01FB" w:rsidR="00856466" w:rsidP="00856466" w:rsidRDefault="00856466" w14:paraId="490D2B0D" w14:textId="77777777">
      <w:pPr>
        <w:spacing w:line="480" w:lineRule="auto"/>
        <w:rPr>
          <w:szCs w:val="26"/>
        </w:rPr>
      </w:pPr>
      <w:r w:rsidRPr="008C01FB">
        <w:rPr>
          <w:i/>
          <w:szCs w:val="26"/>
        </w:rPr>
        <w:t xml:space="preserve">Comments:  </w:t>
      </w:r>
      <w:r w:rsidRPr="008C01FB">
        <w:rPr>
          <w:szCs w:val="26"/>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rsidR="00856466" w:rsidP="00856466" w:rsidRDefault="00856466" w14:paraId="7B430B1F" w14:textId="5229E9A1">
      <w:pPr>
        <w:rPr>
          <w:szCs w:val="26"/>
        </w:rPr>
      </w:pPr>
    </w:p>
    <w:p w:rsidRPr="008C01FB" w:rsidR="009F0226" w:rsidP="009F0226" w:rsidRDefault="009F0226" w14:paraId="2CF4AACB" w14:textId="77777777">
      <w:pPr>
        <w:tabs>
          <w:tab w:val="left" w:pos="5040"/>
        </w:tabs>
        <w:rPr>
          <w:szCs w:val="26"/>
        </w:rPr>
      </w:pPr>
    </w:p>
    <w:p w:rsidRPr="008C01FB" w:rsidR="00856466" w:rsidP="00856466" w:rsidRDefault="00856466" w14:paraId="560E915B" w14:textId="77777777">
      <w:pPr>
        <w:rPr>
          <w:szCs w:val="26"/>
        </w:rPr>
      </w:pPr>
    </w:p>
    <w:p w:rsidRPr="008C01FB" w:rsidR="00856466" w:rsidP="009F0226" w:rsidRDefault="009F0226" w14:paraId="07EB3BE2" w14:textId="2D3D2843">
      <w:pPr>
        <w:tabs>
          <w:tab w:val="left" w:pos="5040"/>
        </w:tabs>
        <w:ind w:firstLine="2174"/>
        <w:jc w:val="center"/>
        <w:rPr>
          <w:szCs w:val="26"/>
        </w:rPr>
      </w:pPr>
      <w:r>
        <w:rPr>
          <w:szCs w:val="26"/>
        </w:rPr>
        <w:t xml:space="preserve">       </w:t>
      </w:r>
      <w:r w:rsidRPr="008C01FB" w:rsidR="00856466">
        <w:rPr>
          <w:szCs w:val="26"/>
        </w:rPr>
        <w:t>Kimberly D. Bose,</w:t>
      </w:r>
    </w:p>
    <w:p w:rsidRPr="008C01FB" w:rsidR="00856466" w:rsidP="00856466" w:rsidRDefault="009F0226" w14:paraId="66650F30" w14:textId="3DB4DC04">
      <w:pPr>
        <w:ind w:firstLine="2174"/>
        <w:jc w:val="center"/>
        <w:rPr>
          <w:szCs w:val="26"/>
        </w:rPr>
      </w:pPr>
      <w:r>
        <w:rPr>
          <w:szCs w:val="26"/>
        </w:rPr>
        <w:t xml:space="preserve">          </w:t>
      </w:r>
      <w:r w:rsidRPr="008C01FB" w:rsidR="00856466">
        <w:rPr>
          <w:szCs w:val="26"/>
        </w:rPr>
        <w:t>Secretary.</w:t>
      </w:r>
    </w:p>
    <w:p w:rsidRPr="008C01FB" w:rsidR="00856466" w:rsidP="00856466" w:rsidRDefault="00856466" w14:paraId="4E048638" w14:textId="77777777">
      <w:pPr>
        <w:rPr>
          <w:szCs w:val="26"/>
        </w:rPr>
      </w:pPr>
    </w:p>
    <w:p w:rsidRPr="008C01FB" w:rsidR="00E704E3" w:rsidRDefault="00E704E3" w14:paraId="1E9DEDC2" w14:textId="77777777">
      <w:pPr>
        <w:rPr>
          <w:szCs w:val="26"/>
        </w:rPr>
      </w:pPr>
    </w:p>
    <w:sectPr w:rsidRPr="008C01FB" w:rsidR="00E704E3" w:rsidSect="00BF2D7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B33CBE" w14:textId="77777777" w:rsidR="00FB7628" w:rsidRDefault="00FB7628" w:rsidP="00856466">
      <w:r>
        <w:separator/>
      </w:r>
    </w:p>
  </w:endnote>
  <w:endnote w:type="continuationSeparator" w:id="0">
    <w:p w14:paraId="129FB5C6" w14:textId="77777777" w:rsidR="00FB7628" w:rsidRDefault="00FB7628" w:rsidP="00856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F8111" w14:textId="77777777" w:rsidR="00743358" w:rsidRDefault="007433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8208823"/>
      <w:docPartObj>
        <w:docPartGallery w:val="Page Numbers (Bottom of Page)"/>
        <w:docPartUnique/>
      </w:docPartObj>
    </w:sdtPr>
    <w:sdtEndPr>
      <w:rPr>
        <w:noProof/>
      </w:rPr>
    </w:sdtEndPr>
    <w:sdtContent>
      <w:p w14:paraId="70128DFC" w14:textId="77777777" w:rsidR="00856466" w:rsidRDefault="008564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DDF5B6" w14:textId="77777777" w:rsidR="00856466" w:rsidRDefault="008564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32EE7" w14:textId="77777777" w:rsidR="00743358" w:rsidRDefault="007433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FF25EF" w14:textId="77777777" w:rsidR="00FB7628" w:rsidRDefault="00FB7628" w:rsidP="00856466">
      <w:r>
        <w:separator/>
      </w:r>
    </w:p>
  </w:footnote>
  <w:footnote w:type="continuationSeparator" w:id="0">
    <w:p w14:paraId="468A7EE6" w14:textId="77777777" w:rsidR="00FB7628" w:rsidRDefault="00FB7628" w:rsidP="00856466">
      <w:r>
        <w:continuationSeparator/>
      </w:r>
    </w:p>
  </w:footnote>
  <w:footnote w:id="1">
    <w:p w14:paraId="114619CE" w14:textId="77777777" w:rsidR="001E062D" w:rsidRPr="00A4214A" w:rsidRDefault="001E062D" w:rsidP="003034BF">
      <w:pPr>
        <w:pStyle w:val="FootnoteText"/>
        <w:spacing w:after="260"/>
        <w:rPr>
          <w:sz w:val="26"/>
          <w:szCs w:val="26"/>
        </w:rPr>
      </w:pPr>
      <w:r w:rsidRPr="00A4214A">
        <w:rPr>
          <w:rStyle w:val="FootnoteReference"/>
        </w:rPr>
        <w:footnoteRef/>
      </w:r>
      <w:r>
        <w:rPr>
          <w:sz w:val="26"/>
          <w:szCs w:val="26"/>
        </w:rPr>
        <w:t xml:space="preserve"> </w:t>
      </w:r>
      <w:r w:rsidRPr="00A4214A">
        <w:rPr>
          <w:sz w:val="26"/>
          <w:szCs w:val="26"/>
        </w:rPr>
        <w:t xml:space="preserve"> Energy Policy Act of 2005, Pub. L. No. 109-58, Title XII, Subtitle A, 119 Stat. 594, 941</w:t>
      </w:r>
      <w:r>
        <w:rPr>
          <w:sz w:val="26"/>
          <w:szCs w:val="26"/>
        </w:rPr>
        <w:t xml:space="preserve"> (codified at</w:t>
      </w:r>
      <w:r w:rsidRPr="00A4214A">
        <w:rPr>
          <w:sz w:val="26"/>
          <w:szCs w:val="26"/>
        </w:rPr>
        <w:t xml:space="preserve"> 16 U</w:t>
      </w:r>
      <w:r>
        <w:rPr>
          <w:sz w:val="26"/>
          <w:szCs w:val="26"/>
        </w:rPr>
        <w:t>.</w:t>
      </w:r>
      <w:r w:rsidRPr="00A4214A">
        <w:rPr>
          <w:sz w:val="26"/>
          <w:szCs w:val="26"/>
        </w:rPr>
        <w:t>S</w:t>
      </w:r>
      <w:r>
        <w:rPr>
          <w:sz w:val="26"/>
          <w:szCs w:val="26"/>
        </w:rPr>
        <w:t>.</w:t>
      </w:r>
      <w:r w:rsidRPr="00A4214A">
        <w:rPr>
          <w:sz w:val="26"/>
          <w:szCs w:val="26"/>
        </w:rPr>
        <w:t>C</w:t>
      </w:r>
      <w:r>
        <w:rPr>
          <w:sz w:val="26"/>
          <w:szCs w:val="26"/>
        </w:rPr>
        <w:t>.</w:t>
      </w:r>
      <w:r w:rsidRPr="00A4214A">
        <w:rPr>
          <w:sz w:val="26"/>
          <w:szCs w:val="26"/>
        </w:rPr>
        <w:t xml:space="preserve"> 824</w:t>
      </w:r>
      <w:r w:rsidRPr="00A4214A">
        <w:rPr>
          <w:i/>
          <w:sz w:val="26"/>
          <w:szCs w:val="26"/>
        </w:rPr>
        <w:t>o</w:t>
      </w:r>
      <w:r>
        <w:rPr>
          <w:sz w:val="26"/>
          <w:szCs w:val="26"/>
        </w:rPr>
        <w:t>)</w:t>
      </w:r>
      <w:r w:rsidRPr="00A4214A">
        <w:rPr>
          <w:sz w:val="26"/>
          <w:szCs w:val="26"/>
        </w:rPr>
        <w:t>.</w:t>
      </w:r>
    </w:p>
  </w:footnote>
  <w:footnote w:id="2">
    <w:p w14:paraId="4958B792" w14:textId="77777777" w:rsidR="001E062D" w:rsidRPr="00A4214A" w:rsidRDefault="001E062D" w:rsidP="009D2301">
      <w:pPr>
        <w:pStyle w:val="FootnoteText"/>
        <w:spacing w:after="260"/>
        <w:rPr>
          <w:sz w:val="26"/>
          <w:szCs w:val="26"/>
        </w:rPr>
      </w:pPr>
      <w:r w:rsidRPr="00A4214A">
        <w:rPr>
          <w:rStyle w:val="FootnoteReference"/>
        </w:rPr>
        <w:footnoteRef/>
      </w:r>
      <w:r w:rsidRPr="00A4214A">
        <w:rPr>
          <w:sz w:val="26"/>
          <w:szCs w:val="26"/>
        </w:rPr>
        <w:t xml:space="preserve">  16 U</w:t>
      </w:r>
      <w:r>
        <w:rPr>
          <w:sz w:val="26"/>
          <w:szCs w:val="26"/>
        </w:rPr>
        <w:t>.</w:t>
      </w:r>
      <w:r w:rsidRPr="00A4214A">
        <w:rPr>
          <w:sz w:val="26"/>
          <w:szCs w:val="26"/>
        </w:rPr>
        <w:t>S</w:t>
      </w:r>
      <w:r>
        <w:rPr>
          <w:sz w:val="26"/>
          <w:szCs w:val="26"/>
        </w:rPr>
        <w:t>.</w:t>
      </w:r>
      <w:r w:rsidRPr="00A4214A">
        <w:rPr>
          <w:sz w:val="26"/>
          <w:szCs w:val="26"/>
        </w:rPr>
        <w:t>C</w:t>
      </w:r>
      <w:r>
        <w:rPr>
          <w:sz w:val="26"/>
          <w:szCs w:val="26"/>
        </w:rPr>
        <w:t>.</w:t>
      </w:r>
      <w:r w:rsidRPr="00A4214A">
        <w:rPr>
          <w:sz w:val="26"/>
          <w:szCs w:val="26"/>
        </w:rPr>
        <w:t xml:space="preserve"> 824</w:t>
      </w:r>
      <w:r w:rsidRPr="00A4214A">
        <w:rPr>
          <w:i/>
          <w:sz w:val="26"/>
          <w:szCs w:val="26"/>
        </w:rPr>
        <w:t>o</w:t>
      </w:r>
      <w:r w:rsidRPr="00A4214A">
        <w:rPr>
          <w:sz w:val="26"/>
          <w:szCs w:val="26"/>
        </w:rPr>
        <w:t>(e)(3).</w:t>
      </w:r>
    </w:p>
  </w:footnote>
  <w:footnote w:id="3">
    <w:p w14:paraId="6B873DAB" w14:textId="77777777" w:rsidR="00742310" w:rsidRPr="00A4214A" w:rsidRDefault="00742310" w:rsidP="009D2301">
      <w:pPr>
        <w:pStyle w:val="FootnoteText"/>
        <w:keepLines/>
        <w:spacing w:after="260"/>
        <w:rPr>
          <w:sz w:val="26"/>
          <w:szCs w:val="26"/>
        </w:rPr>
      </w:pPr>
      <w:r w:rsidRPr="00A4214A">
        <w:rPr>
          <w:rStyle w:val="FootnoteReference"/>
        </w:rPr>
        <w:footnoteRef/>
      </w:r>
      <w:r w:rsidRPr="00A4214A">
        <w:rPr>
          <w:sz w:val="26"/>
          <w:szCs w:val="26"/>
        </w:rPr>
        <w:t xml:space="preserve">  </w:t>
      </w:r>
      <w:r w:rsidRPr="00A4214A">
        <w:rPr>
          <w:i/>
          <w:iCs/>
          <w:sz w:val="26"/>
          <w:szCs w:val="26"/>
        </w:rPr>
        <w:t>Rules Concerning Certification of the Electric Reliability Organization; and Procedures for the Establishment, Approval, and Enforcement of Electric Reliability Standards</w:t>
      </w:r>
      <w:r w:rsidRPr="00A4214A">
        <w:rPr>
          <w:sz w:val="26"/>
          <w:szCs w:val="26"/>
        </w:rPr>
        <w:t xml:space="preserve">, Order No. 672, FERC Stats. &amp; Regs. ¶ 31,204, </w:t>
      </w:r>
      <w:r w:rsidRPr="00A4214A">
        <w:rPr>
          <w:i/>
          <w:iCs/>
          <w:sz w:val="26"/>
          <w:szCs w:val="26"/>
        </w:rPr>
        <w:t>order on reh’g</w:t>
      </w:r>
      <w:r w:rsidRPr="00A4214A">
        <w:rPr>
          <w:sz w:val="26"/>
          <w:szCs w:val="26"/>
        </w:rPr>
        <w:t>, Order No. 672-A, FERC Stats. &amp; Regs. ¶ 31,212 (2006).</w:t>
      </w:r>
    </w:p>
  </w:footnote>
  <w:footnote w:id="4">
    <w:p w14:paraId="3E55BCF6" w14:textId="77777777" w:rsidR="00742310" w:rsidRPr="00863D20" w:rsidRDefault="00742310" w:rsidP="009D2301">
      <w:pPr>
        <w:pStyle w:val="FootnoteText"/>
        <w:spacing w:after="260"/>
        <w:rPr>
          <w:sz w:val="26"/>
          <w:szCs w:val="26"/>
        </w:rPr>
      </w:pPr>
      <w:r w:rsidRPr="006E258B">
        <w:rPr>
          <w:rStyle w:val="FootnoteReference"/>
        </w:rPr>
        <w:footnoteRef/>
      </w:r>
      <w:r w:rsidRPr="006E258B">
        <w:rPr>
          <w:sz w:val="26"/>
          <w:szCs w:val="26"/>
        </w:rPr>
        <w:t xml:space="preserve"> </w:t>
      </w:r>
      <w:r>
        <w:rPr>
          <w:sz w:val="26"/>
          <w:szCs w:val="26"/>
        </w:rPr>
        <w:t xml:space="preserve"> </w:t>
      </w:r>
      <w:r w:rsidRPr="00863D20">
        <w:rPr>
          <w:i/>
          <w:sz w:val="26"/>
          <w:szCs w:val="26"/>
        </w:rPr>
        <w:t>North American Electric Reliability Corp</w:t>
      </w:r>
      <w:r w:rsidRPr="00863D20">
        <w:rPr>
          <w:sz w:val="26"/>
          <w:szCs w:val="26"/>
        </w:rPr>
        <w:t xml:space="preserve">., 116 FERC ¶ 61,062, </w:t>
      </w:r>
      <w:r w:rsidRPr="00863D20">
        <w:rPr>
          <w:i/>
          <w:sz w:val="26"/>
          <w:szCs w:val="26"/>
        </w:rPr>
        <w:t>order on reh’g and compliance</w:t>
      </w:r>
      <w:r w:rsidRPr="00863D20">
        <w:rPr>
          <w:sz w:val="26"/>
          <w:szCs w:val="26"/>
        </w:rPr>
        <w:t>, 117 FERC ¶ 61,126 (2006),</w:t>
      </w:r>
      <w:r w:rsidRPr="00863D20">
        <w:rPr>
          <w:i/>
          <w:sz w:val="26"/>
          <w:szCs w:val="26"/>
        </w:rPr>
        <w:t xml:space="preserve"> order on compliance</w:t>
      </w:r>
      <w:r w:rsidRPr="00863D20">
        <w:rPr>
          <w:sz w:val="26"/>
          <w:szCs w:val="26"/>
        </w:rPr>
        <w:t xml:space="preserve">, 118 FERC ¶ 61,190, </w:t>
      </w:r>
      <w:r w:rsidRPr="00863D20">
        <w:rPr>
          <w:i/>
          <w:sz w:val="26"/>
          <w:szCs w:val="26"/>
        </w:rPr>
        <w:t>order on reh’g</w:t>
      </w:r>
      <w:r w:rsidRPr="00863D20">
        <w:rPr>
          <w:sz w:val="26"/>
          <w:szCs w:val="26"/>
        </w:rPr>
        <w:t xml:space="preserve">, 119 FERC ¶ 61,046 (2007), </w:t>
      </w:r>
      <w:r w:rsidRPr="00863D20">
        <w:rPr>
          <w:i/>
          <w:sz w:val="26"/>
          <w:szCs w:val="26"/>
        </w:rPr>
        <w:t>aff’d sub nom. Alcoa Inc. v. FERC</w:t>
      </w:r>
      <w:r w:rsidRPr="00863D20">
        <w:rPr>
          <w:sz w:val="26"/>
          <w:szCs w:val="26"/>
        </w:rPr>
        <w:t>, 564 F.3d 1342 (D.C. Cir. 2009).</w:t>
      </w:r>
    </w:p>
  </w:footnote>
  <w:footnote w:id="5">
    <w:p w14:paraId="7A3EFC4F" w14:textId="77777777" w:rsidR="00A17300" w:rsidRPr="00A17300" w:rsidRDefault="00856466" w:rsidP="00A17300">
      <w:pPr>
        <w:pStyle w:val="FootnoteText"/>
        <w:rPr>
          <w:sz w:val="26"/>
          <w:szCs w:val="26"/>
        </w:rPr>
      </w:pPr>
      <w:r w:rsidRPr="00A2003C">
        <w:rPr>
          <w:rStyle w:val="FootnoteReference"/>
        </w:rPr>
        <w:footnoteRef/>
      </w:r>
      <w:r w:rsidRPr="004C19E9">
        <w:rPr>
          <w:sz w:val="26"/>
          <w:szCs w:val="26"/>
        </w:rPr>
        <w:t xml:space="preserve"> </w:t>
      </w:r>
      <w:r w:rsidR="00A17300" w:rsidRPr="00A17300">
        <w:rPr>
          <w:sz w:val="26"/>
          <w:szCs w:val="26"/>
        </w:rPr>
        <w:t>Burden is defined as the total time, effort, or financial resources expended by persons to generate, maintain, retain, or disclose or provide information to or for a federal agency.  See 5 CFR 1320 for additional information on the definition of information collection burden.</w:t>
      </w:r>
    </w:p>
    <w:p w14:paraId="5D6265D3" w14:textId="77777777" w:rsidR="00856466" w:rsidRDefault="00856466" w:rsidP="00856466">
      <w:pPr>
        <w:pStyle w:val="FootnoteText"/>
        <w:rPr>
          <w:sz w:val="26"/>
          <w:szCs w:val="26"/>
        </w:rPr>
      </w:pPr>
    </w:p>
    <w:p w14:paraId="22E924B3" w14:textId="77777777" w:rsidR="00856466" w:rsidRPr="004C19E9" w:rsidRDefault="00856466" w:rsidP="00856466">
      <w:pPr>
        <w:pStyle w:val="FootnoteText"/>
        <w:rPr>
          <w:sz w:val="26"/>
          <w:szCs w:val="26"/>
        </w:rPr>
      </w:pPr>
    </w:p>
  </w:footnote>
  <w:footnote w:id="6">
    <w:p w14:paraId="6531A0B8" w14:textId="77777777" w:rsidR="00856466" w:rsidRPr="004C19E9" w:rsidRDefault="00856466" w:rsidP="00856466">
      <w:pPr>
        <w:pStyle w:val="FootnoteText"/>
        <w:rPr>
          <w:sz w:val="26"/>
          <w:szCs w:val="26"/>
        </w:rPr>
      </w:pPr>
      <w:r w:rsidRPr="00A2003C">
        <w:rPr>
          <w:rStyle w:val="FootnoteReference"/>
        </w:rPr>
        <w:footnoteRef/>
      </w:r>
      <w:r w:rsidRPr="004C19E9">
        <w:rPr>
          <w:sz w:val="26"/>
          <w:szCs w:val="26"/>
        </w:rPr>
        <w:t xml:space="preserve"> </w:t>
      </w:r>
      <w:r w:rsidR="00A17300">
        <w:rPr>
          <w:sz w:val="26"/>
          <w:szCs w:val="26"/>
        </w:rPr>
        <w:t>The Commission staff estimates that industry is similarly situated in terms of hourly cost (for wages plus benefits). Based on the Commission’s FY (Fiscal Year) 2019 average cost (for wages plus benefits), $80.00/hour is used.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37818" w14:textId="77777777" w:rsidR="00743358" w:rsidRDefault="007433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BA318" w14:textId="40A55D85" w:rsidR="00810D18" w:rsidRDefault="00E60C8E" w:rsidP="00810D18">
    <w:pPr>
      <w:pStyle w:val="Header"/>
    </w:pPr>
    <w:r>
      <w:rPr>
        <w:noProof/>
      </w:rPr>
      <mc:AlternateContent>
        <mc:Choice Requires="wps">
          <w:drawing>
            <wp:anchor distT="0" distB="0" distL="114300" distR="114300" simplePos="0" relativeHeight="251657216" behindDoc="0" locked="0" layoutInCell="0" allowOverlap="1" wp14:anchorId="5AF8F510" wp14:editId="06BF429B">
              <wp:simplePos x="0" y="0"/>
              <wp:positionH relativeFrom="page">
                <wp:posOffset>0</wp:posOffset>
              </wp:positionH>
              <wp:positionV relativeFrom="page">
                <wp:posOffset>190500</wp:posOffset>
              </wp:positionV>
              <wp:extent cx="7772400" cy="266700"/>
              <wp:effectExtent l="0" t="0" r="0" b="0"/>
              <wp:wrapNone/>
              <wp:docPr id="1" name="MSIPCM9aec4bb1a45a87720a7667de" descr="{&quot;HashCode&quot;:-175139966,&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CA54E0" w14:textId="7A38518E" w:rsidR="00E60C8E" w:rsidRPr="00E60C8E" w:rsidRDefault="00E60C8E" w:rsidP="00E60C8E">
                          <w:pPr>
                            <w:jc w:val="center"/>
                            <w:rPr>
                              <w:color w:val="A8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AF8F510" id="_x0000_t202" coordsize="21600,21600" o:spt="202" path="m,l,21600r21600,l21600,xe">
              <v:stroke joinstyle="miter"/>
              <v:path gradientshapeok="t" o:connecttype="rect"/>
            </v:shapetype>
            <v:shape id="MSIPCM9aec4bb1a45a87720a7667de" o:spid="_x0000_s1026" type="#_x0000_t202" alt="{&quot;HashCode&quot;:-175139966,&quot;Height&quot;:792.0,&quot;Width&quot;:612.0,&quot;Placement&quot;:&quot;Header&quot;,&quot;Index&quot;:&quot;Primary&quot;,&quot;Section&quot;:1,&quot;Top&quot;:0.0,&quot;Left&quot;:0.0}" style="position:absolute;margin-left:0;margin-top:15pt;width:612pt;height:21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" o:allowincell="f" filled="f" stroked="f" strokeweight=".5pt">
              <v:textbox inset=",0,,0">
                <w:txbxContent>
                  <w:p w14:paraId="09CA54E0" w14:textId="7A38518E" w:rsidR="00E60C8E" w:rsidRPr="00E60C8E" w:rsidRDefault="00E60C8E" w:rsidP="00E60C8E">
                    <w:pPr>
                      <w:jc w:val="center"/>
                      <w:rPr>
                        <w:color w:val="A80000"/>
                      </w:rPr>
                    </w:pPr>
                  </w:p>
                </w:txbxContent>
              </v:textbox>
              <w10:wrap anchorx="page" anchory="page"/>
            </v:shape>
          </w:pict>
        </mc:Fallback>
      </mc:AlternateContent>
    </w:r>
    <w:r w:rsidR="004752EC">
      <w:t>Docket No. RD</w:t>
    </w:r>
    <w:r w:rsidR="00856466">
      <w:t>20</w:t>
    </w:r>
    <w:r w:rsidR="004752EC">
      <w:t>-</w:t>
    </w:r>
    <w:r w:rsidR="00856466">
      <w:t>1</w:t>
    </w:r>
    <w:r w:rsidR="004752EC">
      <w:t>-000</w:t>
    </w:r>
    <w:r w:rsidR="004752EC">
      <w:tab/>
    </w:r>
  </w:p>
  <w:p w14:paraId="0EFC9E19" w14:textId="77777777" w:rsidR="00BF2D74" w:rsidRDefault="00AC5A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15632" w14:textId="091A2967" w:rsidR="009445D1" w:rsidRDefault="00E60C8E">
    <w:pPr>
      <w:pStyle w:val="Header"/>
    </w:pPr>
    <w:r>
      <w:rPr>
        <w:noProof/>
      </w:rPr>
      <mc:AlternateContent>
        <mc:Choice Requires="wps">
          <w:drawing>
            <wp:anchor distT="0" distB="0" distL="114300" distR="114300" simplePos="0" relativeHeight="251659264" behindDoc="0" locked="0" layoutInCell="0" allowOverlap="1" wp14:anchorId="4BB31648" wp14:editId="269A7A10">
              <wp:simplePos x="0" y="0"/>
              <wp:positionH relativeFrom="page">
                <wp:posOffset>0</wp:posOffset>
              </wp:positionH>
              <wp:positionV relativeFrom="page">
                <wp:posOffset>190500</wp:posOffset>
              </wp:positionV>
              <wp:extent cx="7772400" cy="266700"/>
              <wp:effectExtent l="0" t="0" r="0" b="0"/>
              <wp:wrapNone/>
              <wp:docPr id="2" name="MSIPCM254e47ba9488835b23d606f2" descr="{&quot;HashCode&quot;:-175139966,&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D27201" w14:textId="5D9DA534" w:rsidR="00E60C8E" w:rsidRPr="00E60C8E" w:rsidRDefault="00E60C8E" w:rsidP="00E60C8E">
                          <w:pPr>
                            <w:jc w:val="center"/>
                            <w:rPr>
                              <w:color w:val="A8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BB31648" id="_x0000_t202" coordsize="21600,21600" o:spt="202" path="m,l,21600r21600,l21600,xe">
              <v:stroke joinstyle="miter"/>
              <v:path gradientshapeok="t" o:connecttype="rect"/>
            </v:shapetype>
            <v:shape id="MSIPCM254e47ba9488835b23d606f2" o:spid="_x0000_s1027" type="#_x0000_t202" alt="{&quot;HashCode&quot;:-175139966,&quot;Height&quot;:792.0,&quot;Width&quot;:612.0,&quot;Placement&quot;:&quot;Header&quot;,&quot;Index&quot;:&quot;FirstPage&quot;,&quot;Section&quot;:1,&quot;Top&quot;:0.0,&quot;Left&quot;:0.0}" style="position:absolute;margin-left:0;margin-top:15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" o:allowincell="f" filled="f" stroked="f" strokeweight=".5pt">
              <v:textbox inset=",0,,0">
                <w:txbxContent>
                  <w:p w14:paraId="65D27201" w14:textId="5D9DA534" w:rsidR="00E60C8E" w:rsidRPr="00E60C8E" w:rsidRDefault="00E60C8E" w:rsidP="00E60C8E">
                    <w:pPr>
                      <w:jc w:val="center"/>
                      <w:rPr>
                        <w:color w:val="A8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 w15:restartNumberingAfterBreak="0">
    <w:nsid w:val="7E4E4DD3"/>
    <w:multiLevelType w:val="hybridMultilevel"/>
    <w:tmpl w:val="8EBADEA0"/>
    <w:lvl w:ilvl="0" w:tplc="E4FAF836">
      <w:start w:val="1"/>
      <w:numFmt w:val="decimal"/>
      <w:pStyle w:val="FERCparanumber"/>
      <w:lvlText w:val="%1."/>
      <w:lvlJc w:val="left"/>
      <w:pPr>
        <w:tabs>
          <w:tab w:val="num" w:pos="720"/>
        </w:tabs>
        <w:ind w:left="0" w:firstLine="0"/>
      </w:pPr>
      <w:rPr>
        <w:rFonts w:hint="default"/>
      </w:rPr>
    </w:lvl>
    <w:lvl w:ilvl="1" w:tplc="04090019">
      <w:start w:val="2"/>
      <w:numFmt w:val="upperLetter"/>
      <w:lvlText w:val="%2."/>
      <w:lvlJc w:val="left"/>
      <w:pPr>
        <w:tabs>
          <w:tab w:val="num" w:pos="1800"/>
        </w:tabs>
        <w:ind w:left="1800" w:hanging="720"/>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466"/>
    <w:rsid w:val="000103D4"/>
    <w:rsid w:val="000237F0"/>
    <w:rsid w:val="00081BF7"/>
    <w:rsid w:val="000D4BE8"/>
    <w:rsid w:val="000E072A"/>
    <w:rsid w:val="00106972"/>
    <w:rsid w:val="00117E8D"/>
    <w:rsid w:val="001E062D"/>
    <w:rsid w:val="00271A4F"/>
    <w:rsid w:val="002A670C"/>
    <w:rsid w:val="002C5B53"/>
    <w:rsid w:val="003034BF"/>
    <w:rsid w:val="00304F65"/>
    <w:rsid w:val="00357A25"/>
    <w:rsid w:val="00361482"/>
    <w:rsid w:val="003827F0"/>
    <w:rsid w:val="003835AD"/>
    <w:rsid w:val="003E2CFC"/>
    <w:rsid w:val="00421406"/>
    <w:rsid w:val="00435D6B"/>
    <w:rsid w:val="004752EC"/>
    <w:rsid w:val="004B43C9"/>
    <w:rsid w:val="005162CC"/>
    <w:rsid w:val="005422B8"/>
    <w:rsid w:val="00562254"/>
    <w:rsid w:val="00565C5D"/>
    <w:rsid w:val="005E71CB"/>
    <w:rsid w:val="005F3C47"/>
    <w:rsid w:val="006B4E6A"/>
    <w:rsid w:val="007319A0"/>
    <w:rsid w:val="00742310"/>
    <w:rsid w:val="00743358"/>
    <w:rsid w:val="007B569A"/>
    <w:rsid w:val="00801C74"/>
    <w:rsid w:val="00856466"/>
    <w:rsid w:val="00877E12"/>
    <w:rsid w:val="008C01FB"/>
    <w:rsid w:val="009445D1"/>
    <w:rsid w:val="00952F7F"/>
    <w:rsid w:val="0096752F"/>
    <w:rsid w:val="009B1A8B"/>
    <w:rsid w:val="009D2301"/>
    <w:rsid w:val="009E6CE9"/>
    <w:rsid w:val="009F0226"/>
    <w:rsid w:val="00A17300"/>
    <w:rsid w:val="00A502A9"/>
    <w:rsid w:val="00A64ED3"/>
    <w:rsid w:val="00AA153C"/>
    <w:rsid w:val="00AB577D"/>
    <w:rsid w:val="00AB798F"/>
    <w:rsid w:val="00AC20BA"/>
    <w:rsid w:val="00AC50D8"/>
    <w:rsid w:val="00AC5A4B"/>
    <w:rsid w:val="00AC6669"/>
    <w:rsid w:val="00AF7B92"/>
    <w:rsid w:val="00B42FC3"/>
    <w:rsid w:val="00B50914"/>
    <w:rsid w:val="00B70737"/>
    <w:rsid w:val="00B8191C"/>
    <w:rsid w:val="00C74B85"/>
    <w:rsid w:val="00CD4FB8"/>
    <w:rsid w:val="00D314D9"/>
    <w:rsid w:val="00D40CB3"/>
    <w:rsid w:val="00D41CBB"/>
    <w:rsid w:val="00D90C78"/>
    <w:rsid w:val="00E60C8E"/>
    <w:rsid w:val="00E704E3"/>
    <w:rsid w:val="00F2773C"/>
    <w:rsid w:val="00F27993"/>
    <w:rsid w:val="00F340CF"/>
    <w:rsid w:val="00F9298F"/>
    <w:rsid w:val="00FB7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CDD1D5C"/>
  <w15:chartTrackingRefBased/>
  <w15:docId w15:val="{51E50857-0933-4626-9AFE-2DBB1DC63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5646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uiPriority w:val="99"/>
    <w:rsid w:val="0085646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Footnote Text Char1"/>
    <w:basedOn w:val="Normal"/>
    <w:link w:val="FootnoteTextChar"/>
    <w:rsid w:val="0085646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rsid w:val="00856466"/>
    <w:rPr>
      <w:rFonts w:ascii="Times New Roman" w:eastAsia="Times New Roman" w:hAnsi="Times New Roman" w:cs="Times New Roman"/>
      <w:szCs w:val="20"/>
    </w:rPr>
  </w:style>
  <w:style w:type="character" w:styleId="Hyperlink">
    <w:name w:val="Hyperlink"/>
    <w:rsid w:val="00856466"/>
    <w:rPr>
      <w:color w:val="0000FF"/>
      <w:u w:val="single"/>
    </w:rPr>
  </w:style>
  <w:style w:type="paragraph" w:styleId="Header">
    <w:name w:val="header"/>
    <w:basedOn w:val="Normal"/>
    <w:link w:val="HeaderChar"/>
    <w:uiPriority w:val="99"/>
    <w:unhideWhenUsed/>
    <w:rsid w:val="00856466"/>
    <w:pPr>
      <w:tabs>
        <w:tab w:val="center" w:pos="4680"/>
        <w:tab w:val="right" w:pos="9360"/>
      </w:tabs>
    </w:pPr>
  </w:style>
  <w:style w:type="character" w:customStyle="1" w:styleId="HeaderChar">
    <w:name w:val="Header Char"/>
    <w:basedOn w:val="DefaultParagraphFont"/>
    <w:link w:val="Header"/>
    <w:uiPriority w:val="99"/>
    <w:rsid w:val="00856466"/>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856466"/>
    <w:pPr>
      <w:tabs>
        <w:tab w:val="center" w:pos="4680"/>
        <w:tab w:val="right" w:pos="9360"/>
      </w:tabs>
    </w:pPr>
  </w:style>
  <w:style w:type="character" w:customStyle="1" w:styleId="FooterChar">
    <w:name w:val="Footer Char"/>
    <w:basedOn w:val="DefaultParagraphFont"/>
    <w:link w:val="Footer"/>
    <w:uiPriority w:val="99"/>
    <w:rsid w:val="00856466"/>
    <w:rPr>
      <w:rFonts w:ascii="Times New Roman" w:eastAsia="Times New Roman" w:hAnsi="Times New Roman" w:cs="Times New Roman"/>
      <w:sz w:val="26"/>
      <w:szCs w:val="24"/>
    </w:rPr>
  </w:style>
  <w:style w:type="character" w:customStyle="1" w:styleId="StyleFootnoteReference">
    <w:name w:val="Style Footnote Reference"/>
    <w:basedOn w:val="FootnoteReference"/>
    <w:rsid w:val="001E062D"/>
    <w:rPr>
      <w:rFonts w:ascii="Times New Roman" w:hAnsi="Times New Roman"/>
      <w:b/>
      <w:caps w:val="0"/>
      <w:smallCaps w:val="0"/>
      <w:strike w:val="0"/>
      <w:dstrike w:val="0"/>
      <w:vanish w:val="0"/>
      <w:sz w:val="26"/>
      <w:szCs w:val="26"/>
      <w:u w:val="none"/>
      <w:vertAlign w:val="superscript"/>
    </w:rPr>
  </w:style>
  <w:style w:type="paragraph" w:customStyle="1" w:styleId="FERCparanumber">
    <w:name w:val="FERC paranumber"/>
    <w:basedOn w:val="Normal"/>
    <w:link w:val="FERCparanumberChar1"/>
    <w:rsid w:val="00F2773C"/>
    <w:pPr>
      <w:numPr>
        <w:numId w:val="2"/>
      </w:numPr>
      <w:autoSpaceDE w:val="0"/>
      <w:autoSpaceDN w:val="0"/>
      <w:adjustRightInd w:val="0"/>
      <w:spacing w:line="480" w:lineRule="auto"/>
    </w:pPr>
  </w:style>
  <w:style w:type="character" w:customStyle="1" w:styleId="FERCparanumberChar1">
    <w:name w:val="FERC paranumber Char1"/>
    <w:link w:val="FERCparanumber"/>
    <w:rsid w:val="00F2773C"/>
    <w:rPr>
      <w:rFonts w:ascii="Times New Roman" w:eastAsia="Times New Roman" w:hAnsi="Times New Roman" w:cs="Times New Roman"/>
      <w:sz w:val="26"/>
      <w:szCs w:val="24"/>
    </w:rPr>
  </w:style>
  <w:style w:type="paragraph" w:styleId="ListContinue">
    <w:name w:val="List Continue"/>
    <w:basedOn w:val="Normal"/>
    <w:rsid w:val="00B50914"/>
    <w:pPr>
      <w:numPr>
        <w:numId w:val="3"/>
      </w:numPr>
      <w:spacing w:after="120" w:line="480" w:lineRule="auto"/>
    </w:pPr>
  </w:style>
  <w:style w:type="paragraph" w:customStyle="1" w:styleId="LegalFormat">
    <w:name w:val="Legal Format"/>
    <w:basedOn w:val="ListContinue"/>
    <w:rsid w:val="00B50914"/>
    <w:pPr>
      <w:spacing w:after="0"/>
      <w:ind w:left="0"/>
    </w:pPr>
    <w:rPr>
      <w:u w:val="single"/>
    </w:rPr>
  </w:style>
  <w:style w:type="character" w:styleId="CommentReference">
    <w:name w:val="annotation reference"/>
    <w:basedOn w:val="DefaultParagraphFont"/>
    <w:uiPriority w:val="99"/>
    <w:semiHidden/>
    <w:unhideWhenUsed/>
    <w:rsid w:val="00B50914"/>
    <w:rPr>
      <w:sz w:val="16"/>
      <w:szCs w:val="16"/>
    </w:rPr>
  </w:style>
  <w:style w:type="paragraph" w:styleId="CommentText">
    <w:name w:val="annotation text"/>
    <w:basedOn w:val="Normal"/>
    <w:link w:val="CommentTextChar"/>
    <w:uiPriority w:val="99"/>
    <w:semiHidden/>
    <w:unhideWhenUsed/>
    <w:rsid w:val="00B50914"/>
    <w:rPr>
      <w:sz w:val="20"/>
      <w:szCs w:val="20"/>
    </w:rPr>
  </w:style>
  <w:style w:type="character" w:customStyle="1" w:styleId="CommentTextChar">
    <w:name w:val="Comment Text Char"/>
    <w:basedOn w:val="DefaultParagraphFont"/>
    <w:link w:val="CommentText"/>
    <w:uiPriority w:val="99"/>
    <w:semiHidden/>
    <w:rsid w:val="00B5091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0914"/>
    <w:rPr>
      <w:b/>
      <w:bCs/>
    </w:rPr>
  </w:style>
  <w:style w:type="character" w:customStyle="1" w:styleId="CommentSubjectChar">
    <w:name w:val="Comment Subject Char"/>
    <w:basedOn w:val="CommentTextChar"/>
    <w:link w:val="CommentSubject"/>
    <w:uiPriority w:val="99"/>
    <w:semiHidden/>
    <w:rsid w:val="00B5091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509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914"/>
    <w:rPr>
      <w:rFonts w:ascii="Segoe UI" w:eastAsia="Times New Roman" w:hAnsi="Segoe UI" w:cs="Segoe UI"/>
      <w:sz w:val="18"/>
      <w:szCs w:val="18"/>
    </w:rPr>
  </w:style>
  <w:style w:type="table" w:styleId="TableGrid">
    <w:name w:val="Table Grid"/>
    <w:basedOn w:val="TableNormal"/>
    <w:uiPriority w:val="39"/>
    <w:rsid w:val="00117E8D"/>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09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oira_submission@omb.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DataClearance@FERC.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ferc.gov/docs-filing/docs-filing.as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rc.gov/help/submission-guide.asp"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docs-filing/efiling.asp"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60-Day Notice</Renewal_x0020_Document_x0020_Type>
    <Rulemaking_x0020_Document_x0020_Type xmlns="d6eefc7d-9817-4fa6-84d5-3bc009be21b8">NOI, Policy Statements, and Rehearing</Rulemaking_x0020_Document_x0020_Type>
    <_x0033__x002e__x0020_Docket_x0020_Number xmlns="d6eefc7d-9817-4fa6-84d5-3bc009be21b8" xsi:nil="true"/>
    <_x0031__x002e__x0020_Collection_x0020_Number xmlns="d6eefc7d-9817-4fa6-84d5-3bc009be21b8">725G</_x0031__x002e__x0020_Collection_x0020_Number>
    <Date xmlns="d6eefc7d-9817-4fa6-84d5-3bc009be21b8">2020-03-05T05:00:00.000Z</Date>
    <Status xmlns="d6eefc7d-9817-4fa6-84d5-3bc009be21b8">Issued</Status>
    <_x0032__x002e__x0020_Docket_x0020_Number xmlns="d6eefc7d-9817-4fa6-84d5-3bc009be21b8" xsi:nil="true"/>
    <_x0032__x002e__x0020_Collection_x0020_Number xmlns="d6eefc7d-9817-4fa6-84d5-3bc009be21b8" xsi:nil="true"/>
    <_x0031__x002e__x0020_Docket_x0020_Number xmlns="d6eefc7d-9817-4fa6-84d5-3bc009be21b8">RD20-1</_x0031__x002e__x0020_Docket_x0020_Number>
    <_x0033__x002e__x0020_Collection_x0020_Number xmlns="d6eefc7d-9817-4fa6-84d5-3bc009be21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9ECDC-7736-4D4A-8AEA-1BEADA592E74}">
  <ds:schemaRefs>
    <ds:schemaRef ds:uri="http://purl.org/dc/elements/1.1/"/>
    <ds:schemaRef ds:uri="http://schemas.microsoft.com/office/2006/metadata/properties"/>
    <ds:schemaRef ds:uri="d6eefc7d-9817-4fa6-84d5-3bc009be21b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EB01569-6CAD-4CB7-A354-3028611D5C3D}">
  <ds:schemaRefs>
    <ds:schemaRef ds:uri="http://schemas.microsoft.com/sharepoint/v3/contenttype/forms"/>
  </ds:schemaRefs>
</ds:datastoreItem>
</file>

<file path=customXml/itemProps3.xml><?xml version="1.0" encoding="utf-8"?>
<ds:datastoreItem xmlns:ds="http://schemas.openxmlformats.org/officeDocument/2006/customXml" ds:itemID="{96FD4AA2-BA15-4AAE-BA45-31D63BB45B39}">
  <ds:schemaRefs>
    <ds:schemaRef ds:uri="Microsoft.SharePoint.Taxonomy.ContentTypeSync"/>
  </ds:schemaRefs>
</ds:datastoreItem>
</file>

<file path=customXml/itemProps4.xml><?xml version="1.0" encoding="utf-8"?>
<ds:datastoreItem xmlns:ds="http://schemas.openxmlformats.org/officeDocument/2006/customXml" ds:itemID="{059D68BF-D180-4C17-8D7D-6CCA00252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08FC2D9-1F73-4F2B-AFD9-42353F8EBD0B}">
  <ds:schemaRefs>
    <ds:schemaRef ds:uri="http://schemas.microsoft.com/office/2006/metadata/customXsn"/>
  </ds:schemaRefs>
</ds:datastoreItem>
</file>

<file path=customXml/itemProps6.xml><?xml version="1.0" encoding="utf-8"?>
<ds:datastoreItem xmlns:ds="http://schemas.openxmlformats.org/officeDocument/2006/customXml" ds:itemID="{3AA50438-431A-44ED-8565-A4EC9B980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1299</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Mandatory Reliability Standards for the Bulk-Power System: PRC Standards:  Regional Reliability Standard PRC-006-NPCC-2 Automatic Underfrequency Load-Shedding (UFLS</vt:lpstr>
    </vt:vector>
  </TitlesOfParts>
  <Manager/>
  <Company/>
  <LinksUpToDate>false</LinksUpToDate>
  <CharactersWithSpaces>8692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Mandatory Reliability Standards for the Bulk-Power System: PRC Standards:  Regional Reliability Standard PRC-006-NPCC-2 Automatic Underfrequency Load-Shedding (UFLS</dc:title>
  <dc:subject/>
  <dc:creator>Michele Chambers</dc:creator>
  <cp:keywords/>
  <dc:description/>
  <cp:lastModifiedBy>Michele Chambers</cp:lastModifiedBy>
  <cp:revision>2</cp:revision>
  <dcterms:created xsi:type="dcterms:W3CDTF">2020-04-09T14:52:00Z</dcterms:created>
  <dcterms:modified xsi:type="dcterms:W3CDTF">2020-04-09T14:52:00Z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