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7396" w:rsidR="000D4C02" w:rsidP="000D4C02" w:rsidRDefault="000D4C02" w14:paraId="3D809B3F" w14:textId="77777777">
      <w:pPr>
        <w:pStyle w:val="Heading1"/>
        <w:jc w:val="center"/>
        <w:rPr>
          <w:szCs w:val="24"/>
        </w:rPr>
      </w:pPr>
      <w:bookmarkStart w:name="_GoBack" w:id="0"/>
      <w:bookmarkEnd w:id="0"/>
      <w:r w:rsidRPr="00117396">
        <w:rPr>
          <w:szCs w:val="24"/>
        </w:rPr>
        <w:t>SUPPPORTING STATEMENT</w:t>
      </w:r>
    </w:p>
    <w:p w:rsidRPr="00117396" w:rsidR="000D4C02" w:rsidP="000D4C02" w:rsidRDefault="000D4C02" w14:paraId="09D094A2" w14:textId="77777777">
      <w:pPr>
        <w:jc w:val="center"/>
        <w:rPr>
          <w:b/>
          <w:szCs w:val="24"/>
        </w:rPr>
      </w:pPr>
      <w:r w:rsidRPr="00117396">
        <w:rPr>
          <w:b/>
          <w:szCs w:val="24"/>
        </w:rPr>
        <w:t>PART A</w:t>
      </w:r>
    </w:p>
    <w:p w:rsidRPr="00117396" w:rsidR="000D4C02" w:rsidP="000D4C02" w:rsidRDefault="000D4C02" w14:paraId="21E2CF0A" w14:textId="77777777">
      <w:pPr>
        <w:spacing w:before="120"/>
        <w:contextualSpacing/>
      </w:pPr>
    </w:p>
    <w:p w:rsidRPr="00117396" w:rsidR="000D4C02" w:rsidP="000D4C02" w:rsidRDefault="000D4C02" w14:paraId="152D715A" w14:textId="77777777">
      <w:pPr>
        <w:spacing w:before="120"/>
        <w:contextualSpacing/>
      </w:pPr>
    </w:p>
    <w:p w:rsidRPr="00117396" w:rsidR="000D4C02" w:rsidP="000D4C02" w:rsidRDefault="000D4C02" w14:paraId="0B623E73" w14:textId="77777777">
      <w:pPr>
        <w:pStyle w:val="ListParagraph"/>
        <w:numPr>
          <w:ilvl w:val="0"/>
          <w:numId w:val="5"/>
        </w:numPr>
        <w:spacing w:before="120"/>
        <w:rPr>
          <w:b/>
        </w:rPr>
      </w:pPr>
      <w:r w:rsidRPr="00117396">
        <w:rPr>
          <w:b/>
        </w:rPr>
        <w:t>I</w:t>
      </w:r>
      <w:r w:rsidRPr="00117396">
        <w:rPr>
          <w:b/>
          <w:u w:val="single"/>
        </w:rPr>
        <w:t>dentification of the Information Collection</w:t>
      </w:r>
    </w:p>
    <w:p w:rsidRPr="00117396" w:rsidR="000D4C02" w:rsidP="000D4C02" w:rsidRDefault="000D4C02" w14:paraId="53027075" w14:textId="77777777">
      <w:pPr>
        <w:pStyle w:val="ListParagraph"/>
        <w:spacing w:before="120"/>
      </w:pPr>
    </w:p>
    <w:p w:rsidRPr="00117396" w:rsidR="000D4C02" w:rsidP="000D4C02" w:rsidRDefault="000D4C02" w14:paraId="1FA11890" w14:textId="6D9949CE">
      <w:pPr>
        <w:pStyle w:val="ListParagraph"/>
        <w:numPr>
          <w:ilvl w:val="1"/>
          <w:numId w:val="5"/>
        </w:numPr>
        <w:spacing w:before="120"/>
      </w:pPr>
      <w:r w:rsidRPr="00117396">
        <w:rPr>
          <w:u w:val="single"/>
        </w:rPr>
        <w:t>Title:</w:t>
      </w:r>
      <w:r w:rsidRPr="00117396">
        <w:t xml:space="preserve"> </w:t>
      </w:r>
      <w:r w:rsidRPr="00117396" w:rsidR="00A15906">
        <w:t xml:space="preserve">Renewable Fuel Standard Program: Standards for 2020 and Biomass-Based Diesel Volume for 2021, Response to the Remand of the 2016 Standards, and Other Changes. </w:t>
      </w:r>
      <w:r w:rsidRPr="00117396">
        <w:t>(Proposed Rule), EPA ICR No.</w:t>
      </w:r>
      <w:r w:rsidRPr="00117396" w:rsidR="00A15906">
        <w:t>2595</w:t>
      </w:r>
      <w:r w:rsidRPr="00117396">
        <w:t>.01; OMB Control Number: 2060-NEW</w:t>
      </w:r>
      <w:r w:rsidRPr="00117396" w:rsidR="00FD35FA">
        <w:t>.</w:t>
      </w:r>
    </w:p>
    <w:p w:rsidRPr="00117396" w:rsidR="000D4C02" w:rsidP="000D4C02" w:rsidRDefault="000D4C02" w14:paraId="023820E9" w14:textId="77777777">
      <w:pPr>
        <w:pStyle w:val="ListParagraph"/>
        <w:spacing w:before="120"/>
      </w:pPr>
    </w:p>
    <w:p w:rsidRPr="00117396" w:rsidR="000D4C02" w:rsidP="00694679" w:rsidRDefault="0875F576" w14:paraId="3E5340E5" w14:textId="7A7CAC10">
      <w:pPr>
        <w:pStyle w:val="ListParagraph"/>
        <w:numPr>
          <w:ilvl w:val="1"/>
          <w:numId w:val="5"/>
        </w:numPr>
      </w:pPr>
      <w:r w:rsidRPr="00117396">
        <w:rPr>
          <w:u w:val="single"/>
        </w:rPr>
        <w:t>Short characterization</w:t>
      </w:r>
      <w:r w:rsidRPr="00117396">
        <w:t xml:space="preserve">: This Information Collection Request (ICR) includes all additional Renewable Fuel Standard (RFS) related information collection activities resulting from the proposed regulations clarifying diesel renewable volume obligation (RVO) calculations and proposed regulations related to pathway petition conditions; esterification pathway, distillers corn and sorghum oil pathways; and certified non-transportation 15 ppm distillate fuel ("certified NTDF"). These information collection activities include new recordkeeping and reporting requirements proposed under 40 CFR Part 80, subpart M. Please note that these estimates supplement </w:t>
      </w:r>
      <w:r w:rsidRPr="00117396" w:rsidR="00694679">
        <w:t>"Recordkeeping and Reporting for the Renewable Fuel Standard Program</w:t>
      </w:r>
      <w:r w:rsidRPr="00117396">
        <w:t>,</w:t>
      </w:r>
      <w:r w:rsidRPr="00117396" w:rsidR="00694679">
        <w:t>"</w:t>
      </w:r>
      <w:r w:rsidRPr="00117396">
        <w:t xml:space="preserve"> EPA ICR No. 2546.01, OMB Control Number 2060-NEW ("the existing RFS ICR"), which is currently under OMB review. </w:t>
      </w:r>
    </w:p>
    <w:p w:rsidRPr="00117396" w:rsidR="008C38D1" w:rsidP="008C38D1" w:rsidRDefault="008C38D1" w14:paraId="1AED5827" w14:textId="77777777">
      <w:pPr>
        <w:spacing w:before="120"/>
        <w:ind w:left="360"/>
        <w:rPr>
          <w:szCs w:val="24"/>
        </w:rPr>
      </w:pPr>
    </w:p>
    <w:p w:rsidRPr="00117396" w:rsidR="007B7082" w:rsidP="007B7082" w:rsidRDefault="007B7082" w14:paraId="1E5B9B2C" w14:textId="77777777">
      <w:pPr>
        <w:spacing w:before="120"/>
        <w:ind w:left="360"/>
        <w:jc w:val="center"/>
        <w:rPr>
          <w:i/>
          <w:szCs w:val="24"/>
        </w:rPr>
      </w:pPr>
      <w:r w:rsidRPr="00117396">
        <w:rPr>
          <w:i/>
          <w:szCs w:val="24"/>
        </w:rPr>
        <w:t>Abstract:</w:t>
      </w:r>
    </w:p>
    <w:p w:rsidRPr="00117396" w:rsidR="007B7082" w:rsidP="007B7082" w:rsidRDefault="007B7082" w14:paraId="3B5CBA01" w14:textId="77777777">
      <w:pPr>
        <w:spacing w:before="120"/>
        <w:ind w:left="360"/>
        <w:rPr>
          <w:szCs w:val="24"/>
        </w:rPr>
      </w:pPr>
    </w:p>
    <w:p w:rsidRPr="00117396" w:rsidR="007B7082" w:rsidP="007B7082" w:rsidRDefault="007B7082" w14:paraId="6F589C17" w14:textId="75CD543E">
      <w:pPr>
        <w:spacing w:before="120"/>
        <w:ind w:left="360"/>
        <w:rPr>
          <w:szCs w:val="24"/>
        </w:rPr>
      </w:pPr>
      <w:r w:rsidRPr="00117396">
        <w:rPr>
          <w:szCs w:val="24"/>
        </w:rPr>
        <w:t xml:space="preserve">The background information regarding the RFS </w:t>
      </w:r>
      <w:r w:rsidRPr="00117396" w:rsidR="00FC1E10">
        <w:rPr>
          <w:szCs w:val="24"/>
        </w:rPr>
        <w:t xml:space="preserve">program, its history, and existing recordkeeping and reporting requirements </w:t>
      </w:r>
      <w:r w:rsidRPr="00117396">
        <w:rPr>
          <w:szCs w:val="24"/>
        </w:rPr>
        <w:t>are included</w:t>
      </w:r>
      <w:r w:rsidRPr="00117396" w:rsidR="00A70FF5">
        <w:rPr>
          <w:szCs w:val="24"/>
        </w:rPr>
        <w:t xml:space="preserve"> in the existing RFS ICR</w:t>
      </w:r>
      <w:r w:rsidRPr="00117396">
        <w:rPr>
          <w:szCs w:val="24"/>
        </w:rPr>
        <w:t xml:space="preserve">. </w:t>
      </w:r>
      <w:r w:rsidRPr="00117396" w:rsidR="00FC1E10">
        <w:rPr>
          <w:szCs w:val="24"/>
        </w:rPr>
        <w:t>This supporting statement is focused upon the additional recordkeeping and reporting provisions being proposed</w:t>
      </w:r>
      <w:r w:rsidRPr="00117396" w:rsidR="00B618A3">
        <w:rPr>
          <w:szCs w:val="24"/>
        </w:rPr>
        <w:t xml:space="preserve"> in the NPRM</w:t>
      </w:r>
      <w:r w:rsidRPr="00117396" w:rsidR="00FC1E10">
        <w:rPr>
          <w:szCs w:val="24"/>
        </w:rPr>
        <w:t xml:space="preserve">. </w:t>
      </w:r>
    </w:p>
    <w:p w:rsidRPr="00117396" w:rsidR="007B7082" w:rsidP="007B7082" w:rsidRDefault="007B7082" w14:paraId="3569157E" w14:textId="77777777">
      <w:pPr>
        <w:spacing w:before="120"/>
        <w:ind w:left="360"/>
        <w:rPr>
          <w:szCs w:val="24"/>
        </w:rPr>
      </w:pPr>
    </w:p>
    <w:p w:rsidRPr="00117396" w:rsidR="007B7082" w:rsidP="007B7082" w:rsidRDefault="007B7082" w14:paraId="1B6A556C" w14:textId="77777777">
      <w:pPr>
        <w:spacing w:before="120"/>
        <w:ind w:left="360"/>
        <w:rPr>
          <w:b/>
          <w:szCs w:val="24"/>
        </w:rPr>
      </w:pPr>
      <w:r w:rsidRPr="00117396">
        <w:rPr>
          <w:b/>
          <w:szCs w:val="24"/>
        </w:rPr>
        <w:t xml:space="preserve">Who are the Respondents for this ICR? </w:t>
      </w:r>
    </w:p>
    <w:p w:rsidRPr="00117396" w:rsidR="007B7082" w:rsidP="007B7082" w:rsidRDefault="007B7082" w14:paraId="595BD11F" w14:textId="77777777">
      <w:pPr>
        <w:spacing w:before="120"/>
        <w:ind w:left="360"/>
        <w:rPr>
          <w:szCs w:val="24"/>
        </w:rPr>
      </w:pPr>
    </w:p>
    <w:p w:rsidRPr="00117396" w:rsidR="007B7082" w:rsidP="007B7082" w:rsidRDefault="007B7082" w14:paraId="327277A4" w14:textId="77777777">
      <w:pPr>
        <w:spacing w:before="120"/>
        <w:ind w:left="360"/>
        <w:rPr>
          <w:szCs w:val="24"/>
        </w:rPr>
      </w:pPr>
      <w:r w:rsidRPr="00117396">
        <w:rPr>
          <w:szCs w:val="24"/>
        </w:rPr>
        <w:t xml:space="preserve">The main categories of respondents are discussed below.  Respondents register according to their business activity or activities, which means that a party may be registered under multiple business activities.  For ease of understanding, we have grouped the parties in this ICR according to the following activities:  </w:t>
      </w:r>
    </w:p>
    <w:p w:rsidRPr="00117396" w:rsidR="007B7082" w:rsidP="007B7082" w:rsidRDefault="007B7082" w14:paraId="6C649F33" w14:textId="77777777">
      <w:pPr>
        <w:spacing w:before="120"/>
        <w:ind w:left="360"/>
        <w:rPr>
          <w:szCs w:val="24"/>
        </w:rPr>
      </w:pPr>
    </w:p>
    <w:p w:rsidRPr="00117396" w:rsidR="007B7082" w:rsidP="007B7082" w:rsidRDefault="007B7082" w14:paraId="6B3C5273" w14:textId="77777777">
      <w:pPr>
        <w:spacing w:before="120"/>
        <w:ind w:left="360"/>
        <w:rPr>
          <w:szCs w:val="24"/>
        </w:rPr>
      </w:pPr>
      <w:r w:rsidRPr="00117396">
        <w:rPr>
          <w:szCs w:val="24"/>
        </w:rPr>
        <w:t>Table I - RIN Generators</w:t>
      </w:r>
    </w:p>
    <w:p w:rsidRPr="00117396" w:rsidR="007B7082" w:rsidP="007B7082" w:rsidRDefault="007B7082" w14:paraId="0433E76A" w14:textId="77777777">
      <w:pPr>
        <w:spacing w:before="120"/>
        <w:ind w:left="360"/>
        <w:rPr>
          <w:szCs w:val="24"/>
        </w:rPr>
      </w:pPr>
    </w:p>
    <w:p w:rsidRPr="00117396" w:rsidR="007B7082" w:rsidP="007B7082" w:rsidRDefault="007B7082" w14:paraId="2826AA6E" w14:textId="707420FD">
      <w:pPr>
        <w:spacing w:before="120"/>
        <w:ind w:left="360"/>
        <w:rPr>
          <w:szCs w:val="24"/>
        </w:rPr>
      </w:pPr>
      <w:r w:rsidRPr="00117396">
        <w:rPr>
          <w:szCs w:val="24"/>
        </w:rPr>
        <w:t>The information collection activities for RIN Generators</w:t>
      </w:r>
      <w:r w:rsidRPr="00117396" w:rsidR="00FC1E10">
        <w:rPr>
          <w:szCs w:val="24"/>
        </w:rPr>
        <w:t xml:space="preserve"> under the RFS program</w:t>
      </w:r>
      <w:r w:rsidRPr="00117396">
        <w:rPr>
          <w:szCs w:val="24"/>
        </w:rPr>
        <w:t xml:space="preserve"> are designed to properly characterize and credit the type of renewable fuel being produced or imported, and to properly account for that fuel in terms of associated RINs and RIN </w:t>
      </w:r>
      <w:r w:rsidRPr="00117396">
        <w:rPr>
          <w:szCs w:val="24"/>
        </w:rPr>
        <w:lastRenderedPageBreak/>
        <w:t xml:space="preserve">transactions. </w:t>
      </w:r>
      <w:r w:rsidRPr="00117396" w:rsidR="006A35B9">
        <w:rPr>
          <w:szCs w:val="24"/>
        </w:rPr>
        <w:t xml:space="preserve">There are currently 717 RIN Generators, including 595 producers and 122 importers of renewable fuel. We do not anticipate any change for existing registrants, but anticipate up to five (5) new registrants per year, as described generally below and in detail on Table I.  </w:t>
      </w:r>
      <w:r w:rsidRPr="00117396">
        <w:rPr>
          <w:szCs w:val="24"/>
        </w:rPr>
        <w:t xml:space="preserve">Information collection activities for these parties include:  program registration (to receive EPA-issued company and facility identification numbers), transactional and compliance reporting system registration (to engage in on-line trading of RINs and to submit compliance reports), submission of RIN transactions and period compliance reports and attest engagements; and recordkeeping.  Although registration is typically a one-time process, parties are responsible for keeping their information current and for initiating updates as needed. </w:t>
      </w:r>
    </w:p>
    <w:p w:rsidRPr="00117396" w:rsidR="00F0556F" w:rsidP="00A51AE6" w:rsidRDefault="00A51AE6" w14:paraId="62252041" w14:textId="03841F84">
      <w:pPr>
        <w:spacing w:before="120"/>
        <w:ind w:left="360"/>
        <w:rPr>
          <w:szCs w:val="24"/>
        </w:rPr>
      </w:pPr>
      <w:r w:rsidRPr="00117396">
        <w:rPr>
          <w:szCs w:val="24"/>
        </w:rPr>
        <w:t xml:space="preserve">EPA is proposing four modifications to Table 1 to 40 CFR 80.1426 ("pathways"). We believe the modifications to Table 1 should have no impact upon the number of </w:t>
      </w:r>
      <w:r w:rsidRPr="00117396" w:rsidR="00FC1E10">
        <w:rPr>
          <w:szCs w:val="24"/>
        </w:rPr>
        <w:t xml:space="preserve">actual pathways </w:t>
      </w:r>
      <w:r w:rsidRPr="00117396">
        <w:rPr>
          <w:szCs w:val="24"/>
        </w:rPr>
        <w:t>petitions or the burden associated with petitions - but may indirectly lead in an increase of approximately five (5) registrations per year.</w:t>
      </w:r>
      <w:r w:rsidRPr="00117396" w:rsidR="00FC1E10">
        <w:rPr>
          <w:szCs w:val="24"/>
        </w:rPr>
        <w:t xml:space="preserve"> The recordkeeping and reporting burden associated with pathways petitions is already accounted for in the existing RFS ICR.</w:t>
      </w:r>
    </w:p>
    <w:p w:rsidRPr="00117396" w:rsidR="00A51AE6" w:rsidP="00B06A33" w:rsidRDefault="00BE0731" w14:paraId="6431F413" w14:textId="6C8B2510">
      <w:pPr>
        <w:pStyle w:val="ListParagraph"/>
        <w:numPr>
          <w:ilvl w:val="0"/>
          <w:numId w:val="21"/>
        </w:numPr>
        <w:spacing w:before="120"/>
        <w:ind w:left="360"/>
        <w:rPr>
          <w:szCs w:val="24"/>
        </w:rPr>
      </w:pPr>
      <w:r w:rsidRPr="00117396">
        <w:rPr>
          <w:szCs w:val="24"/>
        </w:rPr>
        <w:t xml:space="preserve">Registration: </w:t>
      </w:r>
      <w:r w:rsidRPr="00117396" w:rsidR="00467689">
        <w:rPr>
          <w:szCs w:val="24"/>
        </w:rPr>
        <w:t xml:space="preserve">We anticipate </w:t>
      </w:r>
      <w:r w:rsidRPr="00117396" w:rsidR="009D7809">
        <w:rPr>
          <w:szCs w:val="24"/>
        </w:rPr>
        <w:t xml:space="preserve">five (5) </w:t>
      </w:r>
      <w:r w:rsidRPr="00117396" w:rsidR="00467689">
        <w:rPr>
          <w:szCs w:val="24"/>
        </w:rPr>
        <w:t>new registrants</w:t>
      </w:r>
      <w:r w:rsidRPr="00117396" w:rsidR="00A51AE6">
        <w:rPr>
          <w:szCs w:val="24"/>
        </w:rPr>
        <w:t xml:space="preserve"> per year</w:t>
      </w:r>
      <w:r w:rsidRPr="00117396" w:rsidR="00467689">
        <w:rPr>
          <w:szCs w:val="24"/>
        </w:rPr>
        <w:t>.</w:t>
      </w:r>
      <w:r w:rsidRPr="00117396" w:rsidR="00E93234">
        <w:rPr>
          <w:szCs w:val="24"/>
        </w:rPr>
        <w:t xml:space="preserve"> It is also possible for one item that there will be five (5) new and </w:t>
      </w:r>
      <w:r w:rsidRPr="00117396" w:rsidR="00AF22A2">
        <w:rPr>
          <w:szCs w:val="24"/>
        </w:rPr>
        <w:t>f</w:t>
      </w:r>
      <w:r w:rsidRPr="00117396" w:rsidR="00E93234">
        <w:rPr>
          <w:szCs w:val="24"/>
        </w:rPr>
        <w:t xml:space="preserve">ive (5) updates, for a total of 10. These items are laid out in the table.  </w:t>
      </w:r>
    </w:p>
    <w:p w:rsidRPr="00117396" w:rsidR="00FC1E10" w:rsidP="00FC1E10" w:rsidRDefault="00BE0731" w14:paraId="02ACEEBE" w14:textId="1351236D">
      <w:pPr>
        <w:pStyle w:val="ListParagraph"/>
        <w:numPr>
          <w:ilvl w:val="0"/>
          <w:numId w:val="21"/>
        </w:numPr>
        <w:spacing w:before="120"/>
        <w:ind w:left="360"/>
        <w:rPr>
          <w:szCs w:val="24"/>
        </w:rPr>
      </w:pPr>
      <w:r w:rsidRPr="00117396">
        <w:rPr>
          <w:szCs w:val="24"/>
        </w:rPr>
        <w:t>Recordkeeping</w:t>
      </w:r>
      <w:r w:rsidRPr="00117396" w:rsidR="00FC1E10">
        <w:rPr>
          <w:szCs w:val="24"/>
        </w:rPr>
        <w:t xml:space="preserve"> and Reporting: We have provided recordkeeping and reporting estimates for these five (5) new parties</w:t>
      </w:r>
      <w:r w:rsidRPr="00117396" w:rsidR="00D0589E">
        <w:rPr>
          <w:szCs w:val="24"/>
        </w:rPr>
        <w:t xml:space="preserve"> and, where appropriate, the ten (10) new and updated parties</w:t>
      </w:r>
      <w:r w:rsidRPr="00117396" w:rsidR="00FC1E10">
        <w:rPr>
          <w:szCs w:val="24"/>
        </w:rPr>
        <w:t xml:space="preserve">. </w:t>
      </w:r>
    </w:p>
    <w:p w:rsidRPr="00117396" w:rsidR="00FC1E10" w:rsidP="00FC1E10" w:rsidRDefault="00FC1E10" w14:paraId="0F26E9AD" w14:textId="77777777">
      <w:pPr>
        <w:spacing w:before="120"/>
        <w:rPr>
          <w:szCs w:val="24"/>
        </w:rPr>
      </w:pPr>
    </w:p>
    <w:p w:rsidRPr="00117396" w:rsidR="008B65D8" w:rsidP="008B65D8" w:rsidRDefault="007B7082" w14:paraId="16D87215" w14:textId="35D71E5C">
      <w:pPr>
        <w:rPr>
          <w:szCs w:val="24"/>
        </w:rPr>
      </w:pPr>
      <w:r w:rsidRPr="00117396">
        <w:rPr>
          <w:szCs w:val="24"/>
        </w:rPr>
        <w:t>Table II - Obligated Parties</w:t>
      </w:r>
      <w:r w:rsidRPr="00117396" w:rsidR="008B65D8">
        <w:rPr>
          <w:szCs w:val="24"/>
        </w:rPr>
        <w:t xml:space="preserve"> </w:t>
      </w:r>
    </w:p>
    <w:p w:rsidRPr="00117396" w:rsidR="007B7082" w:rsidP="007B7082" w:rsidRDefault="007B7082" w14:paraId="187E91A6" w14:textId="77777777">
      <w:pPr>
        <w:spacing w:before="120"/>
        <w:ind w:left="360"/>
        <w:rPr>
          <w:szCs w:val="24"/>
        </w:rPr>
      </w:pPr>
    </w:p>
    <w:p w:rsidRPr="00117396" w:rsidR="007B7082" w:rsidP="007B7082" w:rsidRDefault="007B7082" w14:paraId="6812BEB0" w14:textId="1A82AB93">
      <w:pPr>
        <w:spacing w:before="120"/>
        <w:ind w:left="360"/>
        <w:rPr>
          <w:szCs w:val="24"/>
        </w:rPr>
      </w:pPr>
      <w:r w:rsidRPr="00117396">
        <w:rPr>
          <w:szCs w:val="24"/>
        </w:rPr>
        <w:t xml:space="preserve">The information collection activities for Obligated Parties are designed to ensure and document compliance with the annual RFS standard, and to properly account for that fuel in terms of associated RINs and RIN transactions. </w:t>
      </w:r>
      <w:r w:rsidRPr="00117396" w:rsidR="00B618A3">
        <w:rPr>
          <w:szCs w:val="24"/>
        </w:rPr>
        <w:t>Obligated parties are typically refiners and importers, and Table II distinguishes between them as appropriate</w:t>
      </w:r>
      <w:r w:rsidRPr="00117396" w:rsidR="00DB334B">
        <w:rPr>
          <w:szCs w:val="24"/>
        </w:rPr>
        <w:t xml:space="preserve"> and by activity</w:t>
      </w:r>
      <w:r w:rsidRPr="00117396" w:rsidR="00B618A3">
        <w:rPr>
          <w:szCs w:val="24"/>
        </w:rPr>
        <w:t>.</w:t>
      </w:r>
      <w:r w:rsidRPr="00117396" w:rsidR="00DB334B">
        <w:rPr>
          <w:szCs w:val="24"/>
        </w:rPr>
        <w:t xml:space="preserve"> There are currently 723 obligated parties registered with EPA, including 460 refiners and 263 importers. </w:t>
      </w:r>
      <w:r w:rsidRPr="00117396" w:rsidR="006A35B9">
        <w:rPr>
          <w:szCs w:val="24"/>
        </w:rPr>
        <w:t xml:space="preserve">The number of existing and new parties affected is described generally below and in detail on Table II. </w:t>
      </w:r>
      <w:r w:rsidRPr="00117396">
        <w:rPr>
          <w:szCs w:val="24"/>
        </w:rPr>
        <w:t xml:space="preserve">Information collection activities for these parties include:  program registration (to receive EPA-issued company and facility identification numbers), EMTS and compliance reporting system registration (to engage in on-line trading of RINs and to submit compliance reports), submission of RIN transactions and period compliance reports and attest engagements; and recordkeeping.  Although registration is typically a one-time process, parties are responsible for keeping their information current and for initiating updates as needed. </w:t>
      </w:r>
    </w:p>
    <w:p w:rsidRPr="00117396" w:rsidR="007B7082" w:rsidP="007B7082" w:rsidRDefault="007B7082" w14:paraId="322A4C11" w14:textId="5FA2A407">
      <w:pPr>
        <w:spacing w:before="120"/>
        <w:ind w:left="360"/>
        <w:rPr>
          <w:szCs w:val="24"/>
        </w:rPr>
      </w:pPr>
    </w:p>
    <w:p w:rsidRPr="00117396" w:rsidR="0034058E" w:rsidP="007B7082" w:rsidRDefault="0034058E" w14:paraId="7D7B81A6" w14:textId="39A8911A">
      <w:pPr>
        <w:spacing w:before="120"/>
        <w:ind w:left="360"/>
        <w:rPr>
          <w:szCs w:val="24"/>
        </w:rPr>
      </w:pPr>
      <w:r w:rsidRPr="00117396">
        <w:rPr>
          <w:szCs w:val="24"/>
        </w:rPr>
        <w:t xml:space="preserve">Because this proposal would create a new description of fuel (certified NTDF), and </w:t>
      </w:r>
      <w:r w:rsidRPr="00117396" w:rsidR="00716DB4">
        <w:rPr>
          <w:szCs w:val="24"/>
        </w:rPr>
        <w:t>because this proposal includes</w:t>
      </w:r>
      <w:r w:rsidRPr="00117396">
        <w:rPr>
          <w:szCs w:val="24"/>
        </w:rPr>
        <w:t xml:space="preserve"> certain recordkeeping and reporting requirements related to exclusion of certified NTDF from </w:t>
      </w:r>
      <w:r w:rsidRPr="00117396" w:rsidR="00B618A3">
        <w:rPr>
          <w:szCs w:val="24"/>
        </w:rPr>
        <w:t xml:space="preserve">obligated parties' </w:t>
      </w:r>
      <w:r w:rsidRPr="00117396">
        <w:rPr>
          <w:szCs w:val="24"/>
        </w:rPr>
        <w:t>renewable volume obligation (RVO), we have identified new items of registration, recordkeeping, and</w:t>
      </w:r>
      <w:r w:rsidRPr="00117396" w:rsidR="00B618A3">
        <w:rPr>
          <w:szCs w:val="24"/>
        </w:rPr>
        <w:t xml:space="preserve"> reporting</w:t>
      </w:r>
      <w:r w:rsidRPr="00117396">
        <w:rPr>
          <w:szCs w:val="24"/>
        </w:rPr>
        <w:t>. Specifically</w:t>
      </w:r>
      <w:r w:rsidRPr="00117396" w:rsidR="00636D61">
        <w:rPr>
          <w:szCs w:val="24"/>
        </w:rPr>
        <w:t>, under EPA's proposal</w:t>
      </w:r>
      <w:r w:rsidRPr="00117396" w:rsidR="00636D61">
        <w:rPr>
          <w:rStyle w:val="FootnoteReference"/>
          <w:szCs w:val="24"/>
        </w:rPr>
        <w:footnoteReference w:id="2"/>
      </w:r>
      <w:r w:rsidRPr="00117396" w:rsidR="00636D61">
        <w:rPr>
          <w:szCs w:val="24"/>
        </w:rPr>
        <w:t>,</w:t>
      </w:r>
      <w:r w:rsidRPr="00117396">
        <w:rPr>
          <w:szCs w:val="24"/>
        </w:rPr>
        <w:t xml:space="preserve">: </w:t>
      </w:r>
    </w:p>
    <w:p w:rsidRPr="00117396" w:rsidR="0034058E" w:rsidP="007B7082" w:rsidRDefault="0034058E" w14:paraId="7ED6EB20" w14:textId="16073206">
      <w:pPr>
        <w:spacing w:before="120"/>
        <w:ind w:left="360"/>
        <w:rPr>
          <w:szCs w:val="24"/>
        </w:rPr>
      </w:pPr>
    </w:p>
    <w:p w:rsidRPr="00117396" w:rsidR="008B65D8" w:rsidP="008B65D8" w:rsidRDefault="008B65D8" w14:paraId="0F1BB1BF" w14:textId="2AF17600">
      <w:pPr>
        <w:pStyle w:val="ListParagraph"/>
        <w:numPr>
          <w:ilvl w:val="0"/>
          <w:numId w:val="20"/>
        </w:numPr>
        <w:spacing w:before="120"/>
        <w:rPr>
          <w:szCs w:val="24"/>
        </w:rPr>
      </w:pPr>
      <w:r w:rsidRPr="00117396">
        <w:rPr>
          <w:szCs w:val="24"/>
        </w:rPr>
        <w:t xml:space="preserve">Registration: </w:t>
      </w:r>
      <w:r w:rsidRPr="00117396" w:rsidR="00636D61">
        <w:rPr>
          <w:szCs w:val="24"/>
        </w:rPr>
        <w:t>A refiner or importer</w:t>
      </w:r>
      <w:r w:rsidRPr="00117396">
        <w:rPr>
          <w:szCs w:val="24"/>
        </w:rPr>
        <w:t xml:space="preserve"> who re-designates certified NTDF as MVNRLM diesel fuel would be a refiner for purposes of the RFS program and would be required to register as a </w:t>
      </w:r>
      <w:r w:rsidRPr="00117396">
        <w:rPr>
          <w:szCs w:val="24"/>
          <w:u w:val="single"/>
        </w:rPr>
        <w:t>refiner</w:t>
      </w:r>
      <w:r w:rsidRPr="00117396">
        <w:rPr>
          <w:szCs w:val="24"/>
        </w:rPr>
        <w:t xml:space="preserve">. </w:t>
      </w:r>
      <w:r w:rsidRPr="00117396" w:rsidR="00D0589E">
        <w:rPr>
          <w:szCs w:val="24"/>
        </w:rPr>
        <w:t xml:space="preserve">We have estimated that there are approximately </w:t>
      </w:r>
      <w:r w:rsidRPr="00117396" w:rsidR="003A75B2">
        <w:rPr>
          <w:szCs w:val="24"/>
        </w:rPr>
        <w:t xml:space="preserve">272 companies with </w:t>
      </w:r>
      <w:r w:rsidRPr="00117396" w:rsidR="00B618A3">
        <w:rPr>
          <w:szCs w:val="24"/>
        </w:rPr>
        <w:t>up to 613</w:t>
      </w:r>
      <w:r w:rsidRPr="00117396" w:rsidR="003A75B2">
        <w:rPr>
          <w:szCs w:val="24"/>
        </w:rPr>
        <w:t xml:space="preserve"> facilities that </w:t>
      </w:r>
      <w:r w:rsidRPr="00117396" w:rsidR="00D0589E">
        <w:rPr>
          <w:szCs w:val="24"/>
        </w:rPr>
        <w:t>may engage in this activity and be required to add "refiner" to their registration. We also anticipate an additional 20 parties</w:t>
      </w:r>
      <w:r w:rsidRPr="00117396" w:rsidR="003A75B2">
        <w:rPr>
          <w:szCs w:val="24"/>
        </w:rPr>
        <w:t xml:space="preserve"> who are new registrants</w:t>
      </w:r>
      <w:r w:rsidRPr="00117396" w:rsidR="00D0589E">
        <w:rPr>
          <w:szCs w:val="24"/>
        </w:rPr>
        <w:t>, as well.</w:t>
      </w:r>
      <w:r w:rsidRPr="00117396" w:rsidR="00E93234">
        <w:rPr>
          <w:szCs w:val="24"/>
        </w:rPr>
        <w:t xml:space="preserve"> We have laid out the items and number of affected parties in Table II. </w:t>
      </w:r>
    </w:p>
    <w:p w:rsidRPr="00117396" w:rsidR="00730C3D" w:rsidP="00730C3D" w:rsidRDefault="00636D61" w14:paraId="42EE9AB9" w14:textId="77777777">
      <w:pPr>
        <w:pStyle w:val="ListParagraph"/>
        <w:numPr>
          <w:ilvl w:val="0"/>
          <w:numId w:val="20"/>
        </w:numPr>
        <w:spacing w:before="120"/>
        <w:rPr>
          <w:szCs w:val="24"/>
        </w:rPr>
      </w:pPr>
      <w:r w:rsidRPr="00117396">
        <w:rPr>
          <w:szCs w:val="24"/>
        </w:rPr>
        <w:t xml:space="preserve">Recordkeeping: </w:t>
      </w:r>
    </w:p>
    <w:p w:rsidRPr="00117396" w:rsidR="00730C3D" w:rsidP="00730C3D" w:rsidRDefault="008578A7" w14:paraId="5F902681" w14:textId="159EA480">
      <w:pPr>
        <w:pStyle w:val="ListParagraph"/>
        <w:numPr>
          <w:ilvl w:val="1"/>
          <w:numId w:val="20"/>
        </w:numPr>
        <w:spacing w:before="120"/>
        <w:rPr>
          <w:szCs w:val="24"/>
        </w:rPr>
      </w:pPr>
      <w:r w:rsidRPr="00117396">
        <w:rPr>
          <w:szCs w:val="24"/>
        </w:rPr>
        <w:t xml:space="preserve">To </w:t>
      </w:r>
      <w:r w:rsidRPr="00117396" w:rsidR="00636D61">
        <w:rPr>
          <w:szCs w:val="24"/>
        </w:rPr>
        <w:t xml:space="preserve">exclude certified NTDF from their RVO calculations, an obligated party must have a reasonable expectation that it will be used for a non-transportation purpose. </w:t>
      </w:r>
      <w:r w:rsidRPr="00117396" w:rsidR="00B618A3">
        <w:rPr>
          <w:szCs w:val="24"/>
        </w:rPr>
        <w:t xml:space="preserve">Records </w:t>
      </w:r>
      <w:r w:rsidRPr="00117396" w:rsidR="00B034A1">
        <w:rPr>
          <w:szCs w:val="24"/>
        </w:rPr>
        <w:t xml:space="preserve">may be consulted </w:t>
      </w:r>
      <w:r w:rsidRPr="00117396" w:rsidR="00F27678">
        <w:rPr>
          <w:szCs w:val="24"/>
        </w:rPr>
        <w:t xml:space="preserve">to </w:t>
      </w:r>
      <w:r w:rsidRPr="00117396" w:rsidR="00B034A1">
        <w:rPr>
          <w:szCs w:val="24"/>
        </w:rPr>
        <w:t xml:space="preserve">establish that reasonable expectation. </w:t>
      </w:r>
    </w:p>
    <w:p w:rsidRPr="00117396" w:rsidR="00730C3D" w:rsidP="00730C3D" w:rsidRDefault="00730C3D" w14:paraId="1A7305DA" w14:textId="487FE063">
      <w:pPr>
        <w:pStyle w:val="ListParagraph"/>
        <w:numPr>
          <w:ilvl w:val="1"/>
          <w:numId w:val="20"/>
        </w:numPr>
        <w:spacing w:before="120"/>
        <w:rPr>
          <w:szCs w:val="24"/>
        </w:rPr>
      </w:pPr>
      <w:r w:rsidRPr="00117396">
        <w:rPr>
          <w:szCs w:val="24"/>
        </w:rPr>
        <w:t xml:space="preserve">Parties who re-designate certified NTDF as MVNRLM diesel fuel would need to </w:t>
      </w:r>
      <w:r w:rsidRPr="00117396" w:rsidR="00AF22A2">
        <w:rPr>
          <w:szCs w:val="24"/>
        </w:rPr>
        <w:t xml:space="preserve">ensure that </w:t>
      </w:r>
      <w:r w:rsidRPr="00117396" w:rsidR="00F72B87">
        <w:rPr>
          <w:szCs w:val="24"/>
        </w:rPr>
        <w:t>their running</w:t>
      </w:r>
      <w:r w:rsidRPr="00117396">
        <w:rPr>
          <w:szCs w:val="24"/>
        </w:rPr>
        <w:t xml:space="preserve"> balance of MVNRLM diesel fuel that they deliver each quarter does not exceed the volume of MVRNLM diesel fuel that they receive during the quarter. </w:t>
      </w:r>
    </w:p>
    <w:p w:rsidRPr="00117396" w:rsidR="00730C3D" w:rsidP="00730C3D" w:rsidRDefault="00730C3D" w14:paraId="09C0537A" w14:textId="24482C18">
      <w:pPr>
        <w:pStyle w:val="ListParagraph"/>
        <w:numPr>
          <w:ilvl w:val="1"/>
          <w:numId w:val="20"/>
        </w:numPr>
        <w:spacing w:before="120"/>
        <w:rPr>
          <w:szCs w:val="24"/>
        </w:rPr>
      </w:pPr>
      <w:r w:rsidRPr="00117396">
        <w:rPr>
          <w:szCs w:val="24"/>
        </w:rPr>
        <w:t>Parties would be required to program</w:t>
      </w:r>
      <w:r w:rsidRPr="00117396" w:rsidR="002D042C">
        <w:rPr>
          <w:szCs w:val="24"/>
        </w:rPr>
        <w:t xml:space="preserve"> new codes for use by upstream parties and would need to program the specified PTD statement that will be applied to </w:t>
      </w:r>
      <w:r w:rsidRPr="00117396" w:rsidR="005711DF">
        <w:rPr>
          <w:szCs w:val="24"/>
        </w:rPr>
        <w:t>PTDs.</w:t>
      </w:r>
      <w:r w:rsidRPr="00117396" w:rsidR="00F27678">
        <w:rPr>
          <w:szCs w:val="24"/>
        </w:rPr>
        <w:t xml:space="preserve"> </w:t>
      </w:r>
    </w:p>
    <w:p w:rsidRPr="00117396" w:rsidR="00926B93" w:rsidP="00730C3D" w:rsidRDefault="00926B93" w14:paraId="0E0A95C2" w14:textId="041C34F9">
      <w:pPr>
        <w:pStyle w:val="ListParagraph"/>
        <w:numPr>
          <w:ilvl w:val="1"/>
          <w:numId w:val="20"/>
        </w:numPr>
        <w:spacing w:before="120"/>
        <w:rPr>
          <w:szCs w:val="24"/>
        </w:rPr>
      </w:pPr>
      <w:r w:rsidRPr="00117396">
        <w:rPr>
          <w:szCs w:val="24"/>
        </w:rPr>
        <w:t xml:space="preserve">Parties would have to retain </w:t>
      </w:r>
      <w:r w:rsidRPr="00117396" w:rsidR="00B618A3">
        <w:rPr>
          <w:szCs w:val="24"/>
        </w:rPr>
        <w:t xml:space="preserve">all </w:t>
      </w:r>
      <w:r w:rsidRPr="00117396">
        <w:rPr>
          <w:szCs w:val="24"/>
        </w:rPr>
        <w:t>records related to their compliance, and that support reports submitted to EPA</w:t>
      </w:r>
      <w:r w:rsidRPr="00117396" w:rsidR="00B034A1">
        <w:rPr>
          <w:szCs w:val="24"/>
        </w:rPr>
        <w:t xml:space="preserve"> and the additional provisions proposed for attest engagements</w:t>
      </w:r>
      <w:r w:rsidRPr="00117396">
        <w:rPr>
          <w:szCs w:val="24"/>
        </w:rPr>
        <w:t>.</w:t>
      </w:r>
      <w:r w:rsidRPr="00117396" w:rsidR="00B034A1">
        <w:rPr>
          <w:szCs w:val="24"/>
        </w:rPr>
        <w:t xml:space="preserve"> </w:t>
      </w:r>
      <w:r w:rsidRPr="00117396">
        <w:rPr>
          <w:szCs w:val="24"/>
        </w:rPr>
        <w:t xml:space="preserve"> </w:t>
      </w:r>
    </w:p>
    <w:p w:rsidRPr="00117396" w:rsidR="007157F1" w:rsidP="00730C3D" w:rsidRDefault="007157F1" w14:paraId="4928E815" w14:textId="026207C2">
      <w:pPr>
        <w:pStyle w:val="ListParagraph"/>
        <w:numPr>
          <w:ilvl w:val="1"/>
          <w:numId w:val="20"/>
        </w:numPr>
        <w:spacing w:before="120"/>
        <w:rPr>
          <w:szCs w:val="24"/>
        </w:rPr>
      </w:pPr>
      <w:r w:rsidRPr="00117396">
        <w:rPr>
          <w:szCs w:val="24"/>
        </w:rPr>
        <w:t xml:space="preserve">Many of the records required to be kept are already kept under customary business practices (CBP). These items are marked in the tables. </w:t>
      </w:r>
    </w:p>
    <w:p w:rsidRPr="00117396" w:rsidR="00BE0731" w:rsidP="00023675" w:rsidRDefault="00023675" w14:paraId="5EAB7B96" w14:textId="77777777">
      <w:pPr>
        <w:pStyle w:val="ListParagraph"/>
        <w:numPr>
          <w:ilvl w:val="0"/>
          <w:numId w:val="20"/>
        </w:numPr>
        <w:spacing w:before="120"/>
        <w:rPr>
          <w:szCs w:val="24"/>
        </w:rPr>
      </w:pPr>
      <w:r w:rsidRPr="00117396">
        <w:rPr>
          <w:szCs w:val="24"/>
        </w:rPr>
        <w:t xml:space="preserve">Reporting: </w:t>
      </w:r>
    </w:p>
    <w:p w:rsidRPr="00117396" w:rsidR="00BE0731" w:rsidP="00BE0731" w:rsidRDefault="005E3454" w14:paraId="6A2156CE" w14:textId="5018EBE7">
      <w:pPr>
        <w:pStyle w:val="ListParagraph"/>
        <w:numPr>
          <w:ilvl w:val="1"/>
          <w:numId w:val="20"/>
        </w:numPr>
        <w:spacing w:before="120"/>
        <w:rPr>
          <w:szCs w:val="24"/>
        </w:rPr>
      </w:pPr>
      <w:r w:rsidRPr="00117396">
        <w:rPr>
          <w:szCs w:val="24"/>
        </w:rPr>
        <w:t xml:space="preserve">The proposal includes </w:t>
      </w:r>
      <w:r w:rsidRPr="00117396" w:rsidR="00BE0731">
        <w:rPr>
          <w:szCs w:val="24"/>
        </w:rPr>
        <w:t xml:space="preserve">revisions to RFS reporting that would require refiners and importers to report the volume of MVNRLM diesel fuel they produce or import, the volume of distillate fuel they produce or import that is not transportation fuel, and the volume of distillate fuel they produce or import that is certified NTDF. </w:t>
      </w:r>
    </w:p>
    <w:p w:rsidRPr="00117396" w:rsidR="00023675" w:rsidP="00BE0731" w:rsidRDefault="00BE0731" w14:paraId="027452FC" w14:textId="53081D55">
      <w:pPr>
        <w:pStyle w:val="ListParagraph"/>
        <w:numPr>
          <w:ilvl w:val="1"/>
          <w:numId w:val="20"/>
        </w:numPr>
        <w:spacing w:before="120"/>
        <w:rPr>
          <w:szCs w:val="24"/>
        </w:rPr>
      </w:pPr>
      <w:r w:rsidRPr="00117396">
        <w:rPr>
          <w:szCs w:val="24"/>
        </w:rPr>
        <w:t xml:space="preserve">The proposal would also require </w:t>
      </w:r>
      <w:r w:rsidRPr="00117396" w:rsidR="009D7809">
        <w:rPr>
          <w:szCs w:val="24"/>
        </w:rPr>
        <w:t xml:space="preserve">refiners and importers </w:t>
      </w:r>
      <w:r w:rsidRPr="00117396">
        <w:rPr>
          <w:szCs w:val="24"/>
        </w:rPr>
        <w:t>to submit reports to EPA identifying the volume of MVNRLM diesel fuel received, the volume of MVNRLM diesel fuel discharged, and the volume of fuel re-designated from certified NTDF to MVNRLM diesel fuel</w:t>
      </w:r>
      <w:r w:rsidRPr="00117396" w:rsidR="009D7809">
        <w:rPr>
          <w:szCs w:val="24"/>
        </w:rPr>
        <w:t>. We are proposing new</w:t>
      </w:r>
      <w:r w:rsidRPr="00117396" w:rsidR="00B618A3">
        <w:rPr>
          <w:szCs w:val="24"/>
        </w:rPr>
        <w:t xml:space="preserve"> reporting fields or formats and have noted these in the table; draft fields and formats have been docketed with this supporting statement</w:t>
      </w:r>
      <w:r w:rsidRPr="00117396">
        <w:rPr>
          <w:szCs w:val="24"/>
        </w:rPr>
        <w:t xml:space="preserve">. </w:t>
      </w:r>
    </w:p>
    <w:p w:rsidRPr="00117396" w:rsidR="00926B93" w:rsidP="00BE0731" w:rsidRDefault="00926B93" w14:paraId="29B22AD3" w14:textId="629DB07B">
      <w:pPr>
        <w:pStyle w:val="ListParagraph"/>
        <w:numPr>
          <w:ilvl w:val="1"/>
          <w:numId w:val="20"/>
        </w:numPr>
        <w:spacing w:before="120"/>
        <w:rPr>
          <w:szCs w:val="24"/>
        </w:rPr>
      </w:pPr>
      <w:r w:rsidRPr="00117396">
        <w:rPr>
          <w:szCs w:val="24"/>
        </w:rPr>
        <w:t>Additional records and reports would be reviewed as part of the attest engagement</w:t>
      </w:r>
      <w:r w:rsidRPr="00117396" w:rsidR="00263401">
        <w:rPr>
          <w:szCs w:val="24"/>
        </w:rPr>
        <w:t>s for obligated parties</w:t>
      </w:r>
      <w:r w:rsidRPr="00117396">
        <w:rPr>
          <w:szCs w:val="24"/>
        </w:rPr>
        <w:t xml:space="preserve">; therefore, we have adjusted the burden </w:t>
      </w:r>
      <w:r w:rsidRPr="00117396" w:rsidR="00263401">
        <w:rPr>
          <w:szCs w:val="24"/>
        </w:rPr>
        <w:t>vis-à-vis the existing RFS ICR upward to reflect the additional burden posed by this proposal</w:t>
      </w:r>
      <w:r w:rsidRPr="00117396">
        <w:rPr>
          <w:szCs w:val="24"/>
        </w:rPr>
        <w:t>.</w:t>
      </w:r>
      <w:r w:rsidRPr="00117396" w:rsidR="00263401">
        <w:rPr>
          <w:szCs w:val="24"/>
        </w:rPr>
        <w:t xml:space="preserve"> </w:t>
      </w:r>
      <w:r w:rsidRPr="00117396">
        <w:rPr>
          <w:szCs w:val="24"/>
        </w:rPr>
        <w:t xml:space="preserve"> </w:t>
      </w:r>
    </w:p>
    <w:p w:rsidRPr="00117396" w:rsidR="002C4BBC" w:rsidP="00730C3D" w:rsidRDefault="00730C3D" w14:paraId="7D5CF69A" w14:textId="18FEFF97">
      <w:pPr>
        <w:spacing w:before="120"/>
        <w:rPr>
          <w:szCs w:val="24"/>
        </w:rPr>
      </w:pPr>
      <w:r w:rsidRPr="00117396">
        <w:rPr>
          <w:szCs w:val="24"/>
        </w:rPr>
        <w:tab/>
      </w:r>
    </w:p>
    <w:p w:rsidRPr="00117396" w:rsidR="000D4C02" w:rsidP="000D4C02" w:rsidRDefault="000D4C02" w14:paraId="0272D656" w14:textId="77777777">
      <w:pPr>
        <w:pStyle w:val="ListParagraph"/>
        <w:numPr>
          <w:ilvl w:val="0"/>
          <w:numId w:val="5"/>
        </w:numPr>
        <w:spacing w:before="120"/>
        <w:rPr>
          <w:b/>
        </w:rPr>
      </w:pPr>
      <w:r w:rsidRPr="00117396">
        <w:rPr>
          <w:b/>
        </w:rPr>
        <w:t>N</w:t>
      </w:r>
      <w:r w:rsidRPr="00117396" w:rsidR="00AD7F2C">
        <w:rPr>
          <w:b/>
        </w:rPr>
        <w:t>eed for and Use of</w:t>
      </w:r>
      <w:r w:rsidRPr="00117396">
        <w:rPr>
          <w:b/>
        </w:rPr>
        <w:t xml:space="preserve"> the Collection</w:t>
      </w:r>
    </w:p>
    <w:p w:rsidRPr="00117396" w:rsidR="000D4C02" w:rsidP="000D4C02" w:rsidRDefault="000D4C02" w14:paraId="0A9565CE" w14:textId="77777777">
      <w:pPr>
        <w:pStyle w:val="ListParagraph"/>
        <w:spacing w:before="120"/>
        <w:ind w:left="360"/>
        <w:rPr>
          <w:b/>
        </w:rPr>
      </w:pPr>
    </w:p>
    <w:p w:rsidRPr="00117396" w:rsidR="000D4C02" w:rsidP="000D4C02" w:rsidRDefault="000D4C02" w14:paraId="206F4B09" w14:textId="11B53BE0">
      <w:pPr>
        <w:pStyle w:val="ListParagraph"/>
        <w:numPr>
          <w:ilvl w:val="1"/>
          <w:numId w:val="5"/>
        </w:numPr>
        <w:spacing w:before="120"/>
      </w:pPr>
      <w:r w:rsidRPr="00117396">
        <w:rPr>
          <w:u w:val="single"/>
        </w:rPr>
        <w:t xml:space="preserve">Authority for the Collection: </w:t>
      </w:r>
      <w:r w:rsidRPr="00117396">
        <w:fldChar w:fldCharType="begin"/>
      </w:r>
      <w:r w:rsidRPr="00117396">
        <w:instrText xml:space="preserve"> SEQ CHAPTER \h \r 1</w:instrText>
      </w:r>
      <w:r w:rsidRPr="00117396">
        <w:fldChar w:fldCharType="end"/>
      </w:r>
      <w:r w:rsidRPr="00117396">
        <w:t xml:space="preserve">Sections 114 and 208 of the Clean Air Act (CAA), 42 U.S.C. §§ 7414 and 7542, authorize EPA to require recordkeeping and reporting regarding enforcement of the provisions of Title II of the CAA. </w:t>
      </w:r>
    </w:p>
    <w:p w:rsidRPr="00117396" w:rsidR="000D4C02" w:rsidP="000D4C02" w:rsidRDefault="000D4C02" w14:paraId="689E4F68" w14:textId="77777777">
      <w:pPr>
        <w:pStyle w:val="ListParagraph"/>
        <w:spacing w:before="120"/>
      </w:pPr>
    </w:p>
    <w:p w:rsidRPr="00117396" w:rsidR="000D4C02" w:rsidP="000D4C02" w:rsidRDefault="000D4C02" w14:paraId="1C592DC0" w14:textId="77777777">
      <w:pPr>
        <w:pStyle w:val="ListParagraph"/>
        <w:numPr>
          <w:ilvl w:val="1"/>
          <w:numId w:val="5"/>
        </w:numPr>
        <w:spacing w:before="120"/>
      </w:pPr>
      <w:r w:rsidRPr="00117396">
        <w:rPr>
          <w:u w:val="single"/>
        </w:rPr>
        <w:t xml:space="preserve">Practical Utility/Uses of the Data: </w:t>
      </w:r>
      <w:r w:rsidRPr="00117396">
        <w:t xml:space="preserve">The recordkeeping </w:t>
      </w:r>
      <w:r w:rsidRPr="00117396" w:rsidR="00AD7F2C">
        <w:t xml:space="preserve">and reporting </w:t>
      </w:r>
      <w:r w:rsidRPr="00117396">
        <w:t xml:space="preserve">requirements of this </w:t>
      </w:r>
      <w:r w:rsidRPr="00117396" w:rsidR="0023654A">
        <w:t>proposed rulemaking</w:t>
      </w:r>
      <w:r w:rsidRPr="00117396">
        <w:t xml:space="preserve"> will allow EPA to monitor compliance with </w:t>
      </w:r>
      <w:r w:rsidRPr="00117396" w:rsidR="0023654A">
        <w:t xml:space="preserve">the proposed modifications to </w:t>
      </w:r>
      <w:r w:rsidRPr="00117396">
        <w:t>the RFS program.</w:t>
      </w:r>
    </w:p>
    <w:p w:rsidRPr="00117396" w:rsidR="000D4C02" w:rsidP="000D4C02" w:rsidRDefault="000D4C02" w14:paraId="243CDC31" w14:textId="77777777">
      <w:pPr>
        <w:pStyle w:val="ListParagraph"/>
        <w:spacing w:before="120"/>
      </w:pPr>
    </w:p>
    <w:p w:rsidRPr="00117396" w:rsidR="000D4C02" w:rsidP="000D4C02" w:rsidRDefault="000D4C02" w14:paraId="4DD81B8B" w14:textId="77777777">
      <w:pPr>
        <w:pStyle w:val="ListParagraph"/>
        <w:numPr>
          <w:ilvl w:val="0"/>
          <w:numId w:val="5"/>
        </w:numPr>
        <w:spacing w:before="120"/>
      </w:pPr>
      <w:r w:rsidRPr="00117396">
        <w:rPr>
          <w:b/>
        </w:rPr>
        <w:t>Non-duplication, Consultation, and other Collection Criteria</w:t>
      </w:r>
    </w:p>
    <w:p w:rsidRPr="00117396" w:rsidR="000D4C02" w:rsidP="000D4C02" w:rsidRDefault="000D4C02" w14:paraId="76A571DE" w14:textId="77777777">
      <w:pPr>
        <w:pStyle w:val="ListParagraph"/>
        <w:spacing w:before="120"/>
        <w:ind w:left="360"/>
      </w:pPr>
    </w:p>
    <w:p w:rsidRPr="00117396" w:rsidR="00DB334B" w:rsidP="00032CA8" w:rsidRDefault="000D4C02" w14:paraId="33634436" w14:textId="120582D6">
      <w:pPr>
        <w:pStyle w:val="ListParagraph"/>
        <w:numPr>
          <w:ilvl w:val="1"/>
          <w:numId w:val="8"/>
        </w:numPr>
        <w:spacing w:before="120" w:after="240"/>
      </w:pPr>
      <w:r w:rsidRPr="00117396">
        <w:rPr>
          <w:u w:val="single"/>
        </w:rPr>
        <w:t xml:space="preserve">Non-duplication: </w:t>
      </w:r>
      <w:r w:rsidRPr="00117396">
        <w:fldChar w:fldCharType="begin"/>
      </w:r>
      <w:r w:rsidRPr="00117396">
        <w:instrText xml:space="preserve"> SEQ CHAPTER \h \r 1</w:instrText>
      </w:r>
      <w:r w:rsidRPr="00117396">
        <w:fldChar w:fldCharType="end"/>
      </w:r>
      <w:r w:rsidRPr="00117396">
        <w:t>Efforts have been made to eliminate unnecessary duplication. Although other agencies are involved in aspects of RFS (DOE and USDA), all compliance reports related to this program are submitted to EPA. Although EPA implements other fuels programs that include recordkeeping and reporting requirements, EPA does not require the same information to be submitted more than one time, and parties who are registered under other fuels programs do not have to initiate any new registration to participate in RFS.</w:t>
      </w:r>
      <w:r w:rsidRPr="00117396" w:rsidR="009445BD">
        <w:t xml:space="preserve"> EPA is aware that EIA may </w:t>
      </w:r>
      <w:r w:rsidRPr="00117396" w:rsidR="00DB334B">
        <w:t xml:space="preserve">also </w:t>
      </w:r>
      <w:r w:rsidRPr="00117396" w:rsidR="009445BD">
        <w:t xml:space="preserve">collect information about </w:t>
      </w:r>
      <w:r w:rsidRPr="00117396" w:rsidR="00DB334B">
        <w:t xml:space="preserve">MVNRLM diesel fuel from refineries; however, the EPA definition of refiner applies to a broader range of fuel manufacturing activities.  </w:t>
      </w:r>
    </w:p>
    <w:p w:rsidRPr="00117396" w:rsidR="00DB334B" w:rsidP="00DB334B" w:rsidRDefault="00DB334B" w14:paraId="6B2B909B" w14:textId="77777777">
      <w:pPr>
        <w:pStyle w:val="ListParagraph"/>
        <w:spacing w:before="120" w:after="240"/>
        <w:ind w:left="360"/>
      </w:pPr>
    </w:p>
    <w:p w:rsidRPr="00117396" w:rsidR="000D4C02" w:rsidP="00032CA8" w:rsidRDefault="000D4C02" w14:paraId="4E9CCF20" w14:textId="023CA250">
      <w:pPr>
        <w:pStyle w:val="ListParagraph"/>
        <w:numPr>
          <w:ilvl w:val="1"/>
          <w:numId w:val="8"/>
        </w:numPr>
        <w:spacing w:before="120" w:after="240"/>
      </w:pPr>
      <w:r w:rsidRPr="00117396">
        <w:rPr>
          <w:u w:val="single"/>
        </w:rPr>
        <w:t>Public Notice:</w:t>
      </w:r>
      <w:r w:rsidRPr="00117396">
        <w:t xml:space="preserve"> EPA </w:t>
      </w:r>
      <w:r w:rsidRPr="00117396" w:rsidR="00A6586C">
        <w:t xml:space="preserve">has </w:t>
      </w:r>
      <w:r w:rsidRPr="00117396">
        <w:t xml:space="preserve">published a </w:t>
      </w:r>
      <w:r w:rsidRPr="00117396" w:rsidR="00124270">
        <w:t xml:space="preserve">Notice of Proposed Rulemaking </w:t>
      </w:r>
      <w:r w:rsidRPr="00117396" w:rsidR="00961D06">
        <w:t xml:space="preserve">(NPRM) </w:t>
      </w:r>
      <w:r w:rsidRPr="00117396" w:rsidR="00124270">
        <w:t xml:space="preserve">in the </w:t>
      </w:r>
      <w:r w:rsidRPr="00117396">
        <w:rPr>
          <w:i/>
        </w:rPr>
        <w:t>Federal Register</w:t>
      </w:r>
      <w:r w:rsidRPr="00117396">
        <w:t>. EPA encourage</w:t>
      </w:r>
      <w:r w:rsidRPr="00117396" w:rsidR="007F62CB">
        <w:t>s</w:t>
      </w:r>
      <w:r w:rsidRPr="00117396">
        <w:t xml:space="preserve"> all interested parties to review and provide feedback </w:t>
      </w:r>
      <w:r w:rsidRPr="00117396" w:rsidR="00961D06">
        <w:t>on all elements of the NPRM, including</w:t>
      </w:r>
      <w:r w:rsidRPr="00117396">
        <w:t xml:space="preserve"> </w:t>
      </w:r>
      <w:r w:rsidRPr="00117396" w:rsidR="00A6586C">
        <w:t xml:space="preserve">the information collection items discussed in </w:t>
      </w:r>
      <w:r w:rsidRPr="00117396">
        <w:t>this ICR</w:t>
      </w:r>
      <w:r w:rsidRPr="00117396" w:rsidR="00961D06">
        <w:t>.</w:t>
      </w:r>
      <w:r w:rsidRPr="00117396" w:rsidR="00A6586C">
        <w:t xml:space="preserve"> Supporting materials related to this ICR have been placed in the public docket for the rulemaking. </w:t>
      </w:r>
    </w:p>
    <w:p w:rsidRPr="00117396" w:rsidR="000D4C02" w:rsidP="000D4C02" w:rsidRDefault="000D4C02" w14:paraId="70C2EE57" w14:textId="77777777">
      <w:pPr>
        <w:pStyle w:val="ListParagraph"/>
        <w:spacing w:before="120"/>
      </w:pPr>
    </w:p>
    <w:p w:rsidRPr="00117396" w:rsidR="00124270" w:rsidP="00546C60" w:rsidRDefault="000D4C02" w14:paraId="013E7925" w14:textId="0D67F605">
      <w:pPr>
        <w:pStyle w:val="ListParagraph"/>
        <w:numPr>
          <w:ilvl w:val="1"/>
          <w:numId w:val="8"/>
        </w:numPr>
        <w:spacing w:before="120"/>
      </w:pPr>
      <w:r w:rsidRPr="00117396">
        <w:rPr>
          <w:u w:val="single"/>
        </w:rPr>
        <w:t xml:space="preserve">Consultations:  </w:t>
      </w:r>
      <w:r w:rsidRPr="00117396">
        <w:t xml:space="preserve">EPA </w:t>
      </w:r>
      <w:r w:rsidRPr="00117396" w:rsidR="00546C60">
        <w:rPr>
          <w:bCs/>
          <w:szCs w:val="24"/>
        </w:rPr>
        <w:t>draws upon its experience in implementing the RFS program</w:t>
      </w:r>
      <w:r w:rsidRPr="00117396" w:rsidR="009B3E5C">
        <w:rPr>
          <w:bCs/>
          <w:szCs w:val="24"/>
        </w:rPr>
        <w:t xml:space="preserve"> in estimating the number of parties that may be affected by the NPRM</w:t>
      </w:r>
      <w:r w:rsidRPr="00117396" w:rsidR="00546C60">
        <w:rPr>
          <w:bCs/>
          <w:szCs w:val="24"/>
        </w:rPr>
        <w:t xml:space="preserve">. </w:t>
      </w:r>
      <w:r w:rsidRPr="00117396" w:rsidR="009B3E5C">
        <w:rPr>
          <w:bCs/>
          <w:szCs w:val="24"/>
        </w:rPr>
        <w:t xml:space="preserve"> We anticipate receiving comments from affected respondents on both the NPRM and this ICR. </w:t>
      </w:r>
      <w:r w:rsidRPr="00117396" w:rsidR="00546C60">
        <w:rPr>
          <w:bCs/>
          <w:szCs w:val="24"/>
        </w:rPr>
        <w:t>We have utilized the estimates used by the Bureau of Labor Statistics figures from “National Industry-Specific Occupational Employment &amp; Wage Estimate” – “Petroleum and Coal Products Manufacturing” (May 201</w:t>
      </w:r>
      <w:r w:rsidRPr="00117396" w:rsidR="00014C74">
        <w:rPr>
          <w:bCs/>
          <w:szCs w:val="24"/>
        </w:rPr>
        <w:t>7</w:t>
      </w:r>
      <w:r w:rsidRPr="00117396" w:rsidR="00546C60">
        <w:rPr>
          <w:bCs/>
          <w:szCs w:val="24"/>
        </w:rPr>
        <w:t>) to calculate the industry cost burden associated with this ICR.</w:t>
      </w:r>
    </w:p>
    <w:p w:rsidRPr="00117396" w:rsidR="00124270" w:rsidP="00124270" w:rsidRDefault="00124270" w14:paraId="54BA2588" w14:textId="77777777">
      <w:pPr>
        <w:pStyle w:val="ListParagraph"/>
        <w:spacing w:before="120"/>
      </w:pPr>
    </w:p>
    <w:p w:rsidRPr="00117396" w:rsidR="000D4C02" w:rsidP="000D4C02" w:rsidRDefault="000D4C02" w14:paraId="043EA8E1" w14:textId="77777777">
      <w:pPr>
        <w:pStyle w:val="ListParagraph"/>
        <w:numPr>
          <w:ilvl w:val="1"/>
          <w:numId w:val="8"/>
        </w:numPr>
        <w:spacing w:before="120"/>
      </w:pPr>
      <w:r w:rsidRPr="00117396">
        <w:rPr>
          <w:u w:val="single"/>
        </w:rPr>
        <w:t xml:space="preserve">Effects of Less Frequent Data Collection: </w:t>
      </w:r>
      <w:r w:rsidRPr="00117396">
        <w:t xml:space="preserve">EPA has designed </w:t>
      </w:r>
      <w:r w:rsidRPr="00117396" w:rsidR="009437F1">
        <w:t>recordkeeping and reporting to work within the framework and deadlines already established for RFS</w:t>
      </w:r>
      <w:r w:rsidRPr="00117396">
        <w:t>. A less frequent collection would compromise our ability to meet the requirements of the CAA.</w:t>
      </w:r>
    </w:p>
    <w:p w:rsidRPr="00117396" w:rsidR="000D4C02" w:rsidP="000D4C02" w:rsidRDefault="000D4C02" w14:paraId="72E16FD7" w14:textId="77777777">
      <w:pPr>
        <w:pStyle w:val="ListParagraph"/>
        <w:spacing w:before="120"/>
      </w:pPr>
    </w:p>
    <w:p w:rsidRPr="00117396" w:rsidR="000D4C02" w:rsidP="000D4C02" w:rsidRDefault="000D4C02" w14:paraId="4D8C7C79" w14:textId="77777777">
      <w:pPr>
        <w:pStyle w:val="ListParagraph"/>
        <w:numPr>
          <w:ilvl w:val="1"/>
          <w:numId w:val="8"/>
        </w:numPr>
        <w:spacing w:before="120"/>
      </w:pPr>
      <w:r w:rsidRPr="00117396">
        <w:rPr>
          <w:u w:val="single"/>
        </w:rPr>
        <w:t>General Guidelines:</w:t>
      </w:r>
      <w:r w:rsidRPr="00117396">
        <w:t xml:space="preserve"> This rule </w:t>
      </w:r>
      <w:r w:rsidRPr="00117396" w:rsidR="001F34C2">
        <w:t>requires</w:t>
      </w:r>
      <w:r w:rsidRPr="00117396">
        <w:t xml:space="preserve"> that records be kept for five (5) years is longer than the typical OMB guideline for record retention, which is three (3) years. EPA believes the five (5) year retention period is necessary for this program, to ensure proper compliance oversight. EPA has a five (5) year record retention for other fuels regulations in 40 CFR Part 80 and this record retention period is familiar to the regulated community. </w:t>
      </w:r>
    </w:p>
    <w:p w:rsidRPr="00117396" w:rsidR="000D4C02" w:rsidP="000D4C02" w:rsidRDefault="000D4C02" w14:paraId="2190010E" w14:textId="77777777">
      <w:pPr>
        <w:pStyle w:val="ListParagraph"/>
      </w:pPr>
    </w:p>
    <w:p w:rsidRPr="00117396" w:rsidR="000D4C02" w:rsidP="000D4C02" w:rsidRDefault="000D4C02" w14:paraId="2C853A6C" w14:textId="77777777">
      <w:pPr>
        <w:pStyle w:val="ListParagraph"/>
        <w:numPr>
          <w:ilvl w:val="1"/>
          <w:numId w:val="8"/>
        </w:numPr>
        <w:spacing w:before="120"/>
      </w:pPr>
      <w:r w:rsidRPr="00117396">
        <w:rPr>
          <w:u w:val="single"/>
        </w:rPr>
        <w:t xml:space="preserve">Confidentiality: </w:t>
      </w:r>
      <w:r w:rsidRPr="00117396">
        <w:t>EPA inform respondents that they may assert claims of business confidentiality (CBI) for much of the information they submit. Any information claimed as CBI will be treated in accordance with 40 CFR Part 2 and established Agency procedures. Information that is received without a claim of confidentiality may be made available to the public without further notice to the submitter under 40 CFR § 2.203.</w:t>
      </w:r>
    </w:p>
    <w:p w:rsidRPr="00117396" w:rsidR="000D4C02" w:rsidP="000D4C02" w:rsidRDefault="000D4C02" w14:paraId="0E1F0DE4" w14:textId="77777777">
      <w:pPr>
        <w:pStyle w:val="ListParagraph"/>
      </w:pPr>
    </w:p>
    <w:p w:rsidRPr="00117396" w:rsidR="000D4C02" w:rsidP="000D4C02" w:rsidRDefault="000D4C02" w14:paraId="58649056" w14:textId="77777777">
      <w:pPr>
        <w:pStyle w:val="ListParagraph"/>
        <w:numPr>
          <w:ilvl w:val="1"/>
          <w:numId w:val="8"/>
        </w:numPr>
        <w:spacing w:before="120"/>
      </w:pPr>
      <w:r w:rsidRPr="00117396">
        <w:rPr>
          <w:u w:val="single"/>
        </w:rPr>
        <w:t>Sensitive Information:</w:t>
      </w:r>
      <w:r w:rsidRPr="00117396">
        <w:t xml:space="preserve"> This information collection does not require submission of any sensitive or personally identifiable information (PII).</w:t>
      </w:r>
    </w:p>
    <w:p w:rsidRPr="00117396" w:rsidR="000D4C02" w:rsidP="000D4C02" w:rsidRDefault="000D4C02" w14:paraId="25020909" w14:textId="77777777">
      <w:pPr>
        <w:pStyle w:val="ListParagraph"/>
      </w:pPr>
    </w:p>
    <w:p w:rsidRPr="00117396" w:rsidR="000D4C02" w:rsidP="000D4C02" w:rsidRDefault="000D4C02" w14:paraId="5A217748" w14:textId="77777777">
      <w:pPr>
        <w:pStyle w:val="ListParagraph"/>
        <w:numPr>
          <w:ilvl w:val="0"/>
          <w:numId w:val="9"/>
        </w:numPr>
        <w:spacing w:before="120"/>
        <w:rPr>
          <w:b/>
          <w:u w:val="single"/>
        </w:rPr>
      </w:pPr>
      <w:r w:rsidRPr="00117396">
        <w:rPr>
          <w:b/>
          <w:u w:val="single"/>
        </w:rPr>
        <w:t>The Respondents and the Information Requested</w:t>
      </w:r>
    </w:p>
    <w:p w:rsidRPr="00117396" w:rsidR="000D4C02" w:rsidP="000D4C02" w:rsidRDefault="000D4C02" w14:paraId="50E9FD44" w14:textId="77777777">
      <w:pPr>
        <w:pStyle w:val="ListParagraph"/>
        <w:spacing w:before="120"/>
        <w:rPr>
          <w:b/>
          <w:u w:val="single"/>
        </w:rPr>
      </w:pPr>
    </w:p>
    <w:p w:rsidRPr="00117396" w:rsidR="000D4C02" w:rsidP="000D4C02" w:rsidRDefault="000D4C02" w14:paraId="3BA5FA10" w14:textId="55A75038">
      <w:pPr>
        <w:pStyle w:val="ListParagraph"/>
        <w:numPr>
          <w:ilvl w:val="1"/>
          <w:numId w:val="9"/>
        </w:numPr>
        <w:spacing w:before="120"/>
      </w:pPr>
      <w:r w:rsidRPr="00117396">
        <w:rPr>
          <w:u w:val="single"/>
        </w:rPr>
        <w:t xml:space="preserve">Respondents/with NAICS and SIC Codes: </w:t>
      </w:r>
      <w:r w:rsidRPr="00117396">
        <w:rPr>
          <w:lang w:val="en-CA"/>
        </w:rPr>
        <w:fldChar w:fldCharType="begin"/>
      </w:r>
      <w:r w:rsidRPr="00117396">
        <w:rPr>
          <w:lang w:val="en-CA"/>
        </w:rPr>
        <w:instrText xml:space="preserve"> SEQ CHAPTER \h \r 1</w:instrText>
      </w:r>
      <w:r w:rsidRPr="00117396">
        <w:rPr>
          <w:lang w:val="en-CA"/>
        </w:rPr>
        <w:fldChar w:fldCharType="end"/>
      </w:r>
      <w:r w:rsidRPr="00117396">
        <w:t xml:space="preserve">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w:t>
      </w:r>
      <w:r w:rsidRPr="00117396" w:rsidR="00A02753">
        <w:t>gasoline service stations</w:t>
      </w:r>
      <w:r w:rsidRPr="00117396">
        <w:t xml:space="preserve"> (454319/5989)</w:t>
      </w:r>
      <w:r w:rsidRPr="00117396" w:rsidR="00A02753">
        <w:t>, and marine service stations (447190/5541)</w:t>
      </w:r>
      <w:r w:rsidRPr="00117396">
        <w:t xml:space="preserve">. </w:t>
      </w:r>
    </w:p>
    <w:p w:rsidRPr="00117396" w:rsidR="000D4C02" w:rsidP="000D4C02" w:rsidRDefault="000D4C02" w14:paraId="697701EA" w14:textId="77777777">
      <w:pPr>
        <w:pStyle w:val="ListParagraph"/>
        <w:spacing w:before="120"/>
      </w:pPr>
    </w:p>
    <w:p w:rsidRPr="00117396" w:rsidR="000D4C02" w:rsidP="000D4C02" w:rsidRDefault="000D4C02" w14:paraId="15916080" w14:textId="6D0A7170">
      <w:pPr>
        <w:pStyle w:val="ListParagraph"/>
        <w:numPr>
          <w:ilvl w:val="1"/>
          <w:numId w:val="9"/>
        </w:numPr>
        <w:spacing w:before="120"/>
      </w:pPr>
      <w:r w:rsidRPr="00117396">
        <w:rPr>
          <w:u w:val="single"/>
        </w:rPr>
        <w:t>Information Requested:</w:t>
      </w:r>
      <w:r w:rsidRPr="00117396">
        <w:t xml:space="preserve"> The items of information requested are listed in detail in </w:t>
      </w:r>
      <w:r w:rsidRPr="00117396" w:rsidR="008B3EC1">
        <w:t>the Appendix</w:t>
      </w:r>
      <w:r w:rsidRPr="00117396" w:rsidR="00F27678">
        <w:t xml:space="preserve"> Tables. </w:t>
      </w:r>
    </w:p>
    <w:p w:rsidRPr="00117396" w:rsidR="000D4C02" w:rsidP="000D4C02" w:rsidRDefault="000D4C02" w14:paraId="052FD6F6" w14:textId="77777777">
      <w:pPr>
        <w:pStyle w:val="ListParagraph"/>
      </w:pPr>
    </w:p>
    <w:p w:rsidRPr="00117396" w:rsidR="000D4C02" w:rsidP="000D4C02" w:rsidRDefault="000D4C02" w14:paraId="17564149" w14:textId="77777777">
      <w:pPr>
        <w:pStyle w:val="ListParagraph"/>
        <w:numPr>
          <w:ilvl w:val="0"/>
          <w:numId w:val="9"/>
        </w:numPr>
        <w:spacing w:before="120"/>
        <w:rPr>
          <w:b/>
          <w:u w:val="single"/>
        </w:rPr>
      </w:pPr>
      <w:r w:rsidRPr="00117396">
        <w:rPr>
          <w:b/>
          <w:u w:val="single"/>
        </w:rPr>
        <w:t>The Information Collected, Agency Activities, Collection Methodology, and Information Management</w:t>
      </w:r>
    </w:p>
    <w:p w:rsidRPr="00117396" w:rsidR="000D4C02" w:rsidP="000D4C02" w:rsidRDefault="000D4C02" w14:paraId="63133D8C" w14:textId="77777777">
      <w:pPr>
        <w:pStyle w:val="ListParagraph"/>
        <w:spacing w:before="120"/>
        <w:rPr>
          <w:b/>
          <w:u w:val="single"/>
        </w:rPr>
      </w:pPr>
    </w:p>
    <w:p w:rsidRPr="00117396" w:rsidR="000D4C02" w:rsidP="000D4C02" w:rsidRDefault="000D4C02" w14:paraId="742D0E41" w14:textId="77777777">
      <w:pPr>
        <w:pStyle w:val="ListParagraph"/>
        <w:numPr>
          <w:ilvl w:val="1"/>
          <w:numId w:val="9"/>
        </w:numPr>
        <w:spacing w:before="120"/>
        <w:rPr>
          <w:b/>
          <w:u w:val="single"/>
        </w:rPr>
      </w:pPr>
      <w:r w:rsidRPr="00117396">
        <w:rPr>
          <w:u w:val="single"/>
        </w:rPr>
        <w:t>Agency Activities:</w:t>
      </w:r>
      <w:r w:rsidRPr="00117396">
        <w:t xml:space="preserve"> All reports and registrations will be reviewed by EPA for completeness and for potential violations.</w:t>
      </w:r>
    </w:p>
    <w:p w:rsidRPr="00117396" w:rsidR="000D4C02" w:rsidP="000D4C02" w:rsidRDefault="000D4C02" w14:paraId="7F88D11D" w14:textId="77777777">
      <w:pPr>
        <w:pStyle w:val="ListParagraph"/>
        <w:numPr>
          <w:ilvl w:val="0"/>
          <w:numId w:val="10"/>
        </w:numPr>
        <w:spacing w:before="120"/>
      </w:pPr>
      <w:r w:rsidRPr="00117396">
        <w:t>Potential violations will be referred to enforcement personnel.</w:t>
      </w:r>
    </w:p>
    <w:p w:rsidRPr="00117396" w:rsidR="000D4C02" w:rsidP="000D4C02" w:rsidRDefault="000D4C02" w14:paraId="3ECB4F54" w14:textId="77777777">
      <w:pPr>
        <w:pStyle w:val="ListParagraph"/>
        <w:numPr>
          <w:ilvl w:val="0"/>
          <w:numId w:val="10"/>
        </w:numPr>
        <w:spacing w:before="120"/>
      </w:pPr>
      <w:r w:rsidRPr="00117396">
        <w:t>EPA will contact reporting parties if there is a problem with their submission</w:t>
      </w:r>
    </w:p>
    <w:p w:rsidRPr="00117396" w:rsidR="000D4C02" w:rsidP="000D4C02" w:rsidRDefault="000D4C02" w14:paraId="18AF24DB" w14:textId="77777777">
      <w:pPr>
        <w:pStyle w:val="ListParagraph"/>
        <w:spacing w:before="120"/>
        <w:ind w:left="1080"/>
      </w:pPr>
    </w:p>
    <w:p w:rsidRPr="00117396" w:rsidR="000D4C02" w:rsidP="000D4C02" w:rsidRDefault="000D4C02" w14:paraId="1225A926" w14:textId="77777777">
      <w:pPr>
        <w:pStyle w:val="ListParagraph"/>
        <w:numPr>
          <w:ilvl w:val="1"/>
          <w:numId w:val="11"/>
        </w:numPr>
        <w:spacing w:before="120"/>
      </w:pPr>
      <w:r w:rsidRPr="00117396">
        <w:rPr>
          <w:u w:val="single"/>
        </w:rPr>
        <w:t>Collection Methodology and Management:</w:t>
      </w:r>
      <w:r w:rsidRPr="00117396">
        <w:t xml:space="preserve"> EPA receives </w:t>
      </w:r>
      <w:r w:rsidRPr="00117396" w:rsidR="008D1C98">
        <w:t xml:space="preserve">registration and reporting </w:t>
      </w:r>
      <w:r w:rsidRPr="00117396">
        <w:t xml:space="preserve">data in a simplified and secure fashion via </w:t>
      </w:r>
      <w:r w:rsidRPr="00117396" w:rsidR="008D1C98">
        <w:t xml:space="preserve">OTAQReg, </w:t>
      </w:r>
      <w:r w:rsidRPr="00117396">
        <w:t>EMTS and CDX (via its DCFUEL system). Information claimed as CBI will be stored in appropriately controlled areas.</w:t>
      </w:r>
    </w:p>
    <w:p w:rsidRPr="00117396" w:rsidR="000D4C02" w:rsidP="000D4C02" w:rsidRDefault="000D4C02" w14:paraId="49D6C423" w14:textId="77777777">
      <w:pPr>
        <w:pStyle w:val="ListParagraph"/>
        <w:spacing w:before="120"/>
      </w:pPr>
    </w:p>
    <w:p w:rsidRPr="00117396" w:rsidR="000D4C02" w:rsidP="003539C3" w:rsidRDefault="000D4C02" w14:paraId="63FA9C5E" w14:textId="2B691F1A">
      <w:pPr>
        <w:pStyle w:val="ListParagraph"/>
        <w:numPr>
          <w:ilvl w:val="1"/>
          <w:numId w:val="11"/>
        </w:numPr>
        <w:spacing w:before="120"/>
      </w:pPr>
      <w:r w:rsidRPr="00117396">
        <w:rPr>
          <w:u w:val="single"/>
        </w:rPr>
        <w:t>Small Entity Flexibility:</w:t>
      </w:r>
      <w:r w:rsidRPr="00117396">
        <w:t xml:space="preserve"> </w:t>
      </w:r>
      <w:r w:rsidRPr="00117396" w:rsidR="007157F1">
        <w:t xml:space="preserve">Today's proposed rule and the associated information collection is not expected to have any adverse effect upon small entities. No special flexibility for small entities is needed. </w:t>
      </w:r>
    </w:p>
    <w:p w:rsidRPr="00117396" w:rsidR="000D4C02" w:rsidP="000D4C02" w:rsidRDefault="000D4C02" w14:paraId="204DBE62" w14:textId="77777777">
      <w:pPr>
        <w:pStyle w:val="ListParagraph"/>
        <w:numPr>
          <w:ilvl w:val="1"/>
          <w:numId w:val="11"/>
        </w:numPr>
        <w:spacing w:before="120"/>
      </w:pPr>
      <w:r w:rsidRPr="00117396">
        <w:rPr>
          <w:u w:val="single"/>
        </w:rPr>
        <w:t>Collection Schedule:</w:t>
      </w:r>
      <w:r w:rsidRPr="00117396">
        <w:t xml:space="preserve"> </w:t>
      </w:r>
    </w:p>
    <w:p w:rsidRPr="00117396" w:rsidR="000D4C02" w:rsidP="00981ADC" w:rsidRDefault="000D4C02" w14:paraId="618D6F38" w14:textId="77777777">
      <w:pPr>
        <w:spacing w:before="120"/>
        <w:ind w:left="720"/>
      </w:pPr>
      <w:r w:rsidRPr="00117396">
        <w:t xml:space="preserve">Reporting </w:t>
      </w:r>
      <w:r w:rsidRPr="00117396" w:rsidR="00981ADC">
        <w:t xml:space="preserve">varies by the type of information collected by </w:t>
      </w:r>
      <w:r w:rsidRPr="00117396">
        <w:t>is</w:t>
      </w:r>
      <w:r w:rsidRPr="00117396" w:rsidR="00981ADC">
        <w:t xml:space="preserve"> generally</w:t>
      </w:r>
      <w:r w:rsidRPr="00117396">
        <w:t xml:space="preserve"> occasional, quarterly, </w:t>
      </w:r>
      <w:r w:rsidRPr="00117396" w:rsidR="00981ADC">
        <w:t>or</w:t>
      </w:r>
      <w:r w:rsidRPr="00117396">
        <w:t xml:space="preserve"> annual.</w:t>
      </w:r>
    </w:p>
    <w:p w:rsidRPr="00117396" w:rsidR="000D4C02" w:rsidP="000D4C02" w:rsidRDefault="000D4C02" w14:paraId="09F0AB56" w14:textId="77777777">
      <w:pPr>
        <w:pStyle w:val="ListParagraph"/>
        <w:rPr>
          <w:u w:val="single"/>
        </w:rPr>
      </w:pPr>
    </w:p>
    <w:p w:rsidRPr="00117396" w:rsidR="000D4C02" w:rsidP="000D4C02" w:rsidRDefault="000D4C02" w14:paraId="70E9BC9C" w14:textId="77777777">
      <w:pPr>
        <w:pStyle w:val="ListParagraph"/>
        <w:numPr>
          <w:ilvl w:val="0"/>
          <w:numId w:val="12"/>
        </w:numPr>
        <w:spacing w:before="120"/>
        <w:rPr>
          <w:b/>
        </w:rPr>
      </w:pPr>
      <w:r w:rsidRPr="00117396">
        <w:rPr>
          <w:b/>
          <w:u w:val="single"/>
        </w:rPr>
        <w:t>Estimating the Burden and Cost of Collection</w:t>
      </w:r>
    </w:p>
    <w:p w:rsidRPr="00117396" w:rsidR="000D4C02" w:rsidP="000D4C02" w:rsidRDefault="000D4C02" w14:paraId="51F5999E" w14:textId="77777777">
      <w:pPr>
        <w:spacing w:before="120"/>
        <w:contextualSpacing/>
      </w:pPr>
    </w:p>
    <w:p w:rsidRPr="00117396" w:rsidR="000D4C02" w:rsidP="00B06A33" w:rsidRDefault="000D4C02" w14:paraId="36D01A97" w14:textId="21A7C144">
      <w:pPr>
        <w:pStyle w:val="ListParagraph"/>
        <w:numPr>
          <w:ilvl w:val="1"/>
          <w:numId w:val="13"/>
        </w:numPr>
        <w:spacing w:before="120"/>
      </w:pPr>
      <w:r w:rsidRPr="00117396">
        <w:rPr>
          <w:u w:val="single"/>
        </w:rPr>
        <w:t>Estimating the Respondent Universe:</w:t>
      </w:r>
      <w:r w:rsidRPr="00117396">
        <w:t xml:space="preserve"> EPA drew upon experience with </w:t>
      </w:r>
      <w:r w:rsidRPr="00117396" w:rsidR="00981ADC">
        <w:t xml:space="preserve">implementing </w:t>
      </w:r>
      <w:r w:rsidRPr="00117396">
        <w:t xml:space="preserve">the RFS program and the actual number of respondents registered as of </w:t>
      </w:r>
      <w:r w:rsidRPr="00117396" w:rsidR="006164E4">
        <w:t>February</w:t>
      </w:r>
      <w:r w:rsidRPr="00117396">
        <w:t xml:space="preserve"> 201</w:t>
      </w:r>
      <w:r w:rsidRPr="00117396" w:rsidR="006164E4">
        <w:t>9</w:t>
      </w:r>
      <w:r w:rsidRPr="00117396">
        <w:t xml:space="preserve"> to develop estimates of the burden </w:t>
      </w:r>
      <w:r w:rsidRPr="00117396" w:rsidR="00981ADC">
        <w:t>associated with this collection.</w:t>
      </w:r>
      <w:r w:rsidRPr="00117396">
        <w:t xml:space="preserve"> </w:t>
      </w:r>
    </w:p>
    <w:p w:rsidRPr="00117396" w:rsidR="00F27678" w:rsidP="00F27678" w:rsidRDefault="00F27678" w14:paraId="3BAE1E54" w14:textId="77777777">
      <w:pPr>
        <w:spacing w:before="120"/>
        <w:ind w:left="360"/>
      </w:pPr>
    </w:p>
    <w:p w:rsidRPr="00117396" w:rsidR="000D4C02" w:rsidP="000D4C02" w:rsidRDefault="000D4C02" w14:paraId="6898EBA5" w14:textId="421CA66F">
      <w:pPr>
        <w:pStyle w:val="ListParagraph"/>
        <w:numPr>
          <w:ilvl w:val="1"/>
          <w:numId w:val="13"/>
        </w:numPr>
        <w:spacing w:before="120"/>
      </w:pPr>
      <w:r w:rsidRPr="00117396">
        <w:rPr>
          <w:u w:val="single"/>
        </w:rPr>
        <w:t>Estimating the Respondent Burden and Cost:</w:t>
      </w:r>
      <w:r w:rsidRPr="00117396">
        <w:t xml:space="preserve"> EPA has provided detailed estimates, described as recordkeeping and reporting in </w:t>
      </w:r>
      <w:r w:rsidRPr="00117396" w:rsidR="00F27678">
        <w:t xml:space="preserve">the Tables, </w:t>
      </w:r>
      <w:r w:rsidRPr="00117396">
        <w:t xml:space="preserve">for each type of </w:t>
      </w:r>
      <w:r w:rsidRPr="00117396" w:rsidR="00AC088F">
        <w:t xml:space="preserve">affected </w:t>
      </w:r>
      <w:r w:rsidRPr="00117396">
        <w:t xml:space="preserve">respondent. These tables provided citations to the appropriate sections in 40 CFR Part 80 and reference each form or reporting template, as appropriate. To ensure parties may review all information relevant to this collection, EPA has docketed all </w:t>
      </w:r>
      <w:r w:rsidRPr="00117396" w:rsidR="00874FED">
        <w:t xml:space="preserve">draft </w:t>
      </w:r>
      <w:r w:rsidRPr="00117396">
        <w:t>forms and templates. EPA has utilized the Bureau of Labor Statistics, National Industry-Specific Occupational Employment and Wage Estimate - Petroleum and Coal Products" (</w:t>
      </w:r>
      <w:r w:rsidRPr="00117396" w:rsidR="00874FED">
        <w:t>May</w:t>
      </w:r>
      <w:r w:rsidRPr="00117396">
        <w:t xml:space="preserve"> 201</w:t>
      </w:r>
      <w:r w:rsidRPr="00117396" w:rsidR="00B7222E">
        <w:t>7</w:t>
      </w:r>
      <w:r w:rsidRPr="00117396">
        <w:t xml:space="preserve">), the most current estimates available for development of the Federal Register notice announcing our intention to submit this information collection to OMB. In developing the estimates in the Tables, we assumed a standard industry mix to develop a typical respondent. We based our assumption upon our experience with the regulated community. Specifically, we assume a typical respondent who is 5% managerial, 70% technical/professional, 20% clerical, and 5% legal. For purchased services, we have doubled the labor cost to allow for overhead. For the type of purchased services under this ICR (i.e., professional engineer, accountant), this method yields a figure that is consistent with the hourly rates for these professions. Please refer to </w:t>
      </w:r>
      <w:r w:rsidRPr="00117396" w:rsidR="00F27678">
        <w:t xml:space="preserve">the Tables </w:t>
      </w:r>
      <w:r w:rsidRPr="00117396">
        <w:t xml:space="preserve">for more detail and a breakdown of the estimates by respondent type, section, and form. </w:t>
      </w:r>
    </w:p>
    <w:p w:rsidRPr="00117396" w:rsidR="000D4C02" w:rsidP="000D4C02" w:rsidRDefault="000D4C02" w14:paraId="4D94FC25" w14:textId="77777777">
      <w:pPr>
        <w:spacing w:before="120"/>
        <w:ind w:left="360"/>
      </w:pPr>
      <w:r w:rsidRPr="00117396">
        <w:t xml:space="preserve"> </w:t>
      </w:r>
    </w:p>
    <w:p w:rsidRPr="00117396" w:rsidR="000D4C02" w:rsidP="000D4C02" w:rsidRDefault="000D4C02" w14:paraId="679A0429" w14:textId="77777777">
      <w:pPr>
        <w:pStyle w:val="ListParagraph"/>
        <w:numPr>
          <w:ilvl w:val="1"/>
          <w:numId w:val="13"/>
        </w:numPr>
        <w:spacing w:before="120"/>
      </w:pPr>
      <w:r w:rsidRPr="00117396">
        <w:rPr>
          <w:u w:val="single"/>
        </w:rPr>
        <w:t>Estimating the Agency Burden and Cost:</w:t>
      </w:r>
      <w:r w:rsidRPr="00117396">
        <w:t xml:space="preserve"> EPA must </w:t>
      </w:r>
      <w:r w:rsidRPr="00117396" w:rsidR="00071E37">
        <w:t>develop</w:t>
      </w:r>
      <w:r w:rsidRPr="00117396">
        <w:t xml:space="preserve"> </w:t>
      </w:r>
      <w:r w:rsidRPr="00117396" w:rsidR="00071E37">
        <w:t>r</w:t>
      </w:r>
      <w:r w:rsidRPr="00117396">
        <w:t xml:space="preserve">eport formats and instructions/guidance must be prepared and occasionally updated. Reports are processed by EPA contractors and must be reviewed for compliance purposes by EPA personnel. Reporting parties must be contacted if there is a problem with their submission. </w:t>
      </w:r>
    </w:p>
    <w:p w:rsidRPr="00117396" w:rsidR="000D4C02" w:rsidP="000D4C02" w:rsidRDefault="000D4C02" w14:paraId="1A9E883E" w14:textId="77777777">
      <w:pPr>
        <w:pStyle w:val="ListParagraph"/>
      </w:pPr>
    </w:p>
    <w:p w:rsidRPr="00117396" w:rsidR="00E34759" w:rsidP="00E34759" w:rsidRDefault="000D4C02" w14:paraId="4EDD62DA" w14:textId="77777777">
      <w:pPr>
        <w:pStyle w:val="ListParagraph"/>
        <w:spacing w:before="120"/>
      </w:pPr>
      <w:r w:rsidRPr="00117396">
        <w:t>Using the RFS</w:t>
      </w:r>
      <w:r w:rsidRPr="00117396" w:rsidR="00071E37">
        <w:t xml:space="preserve"> </w:t>
      </w:r>
      <w:r w:rsidRPr="00117396">
        <w:t>and other recent fuels-related ICRs as a guide in developing</w:t>
      </w:r>
      <w:r w:rsidRPr="00117396" w:rsidR="00071E37">
        <w:t xml:space="preserve"> these initial estimates</w:t>
      </w:r>
      <w:r w:rsidRPr="00117396">
        <w:t>, EPA anticipate</w:t>
      </w:r>
      <w:r w:rsidRPr="00117396" w:rsidR="00071E37">
        <w:t>s</w:t>
      </w:r>
      <w:r w:rsidRPr="00117396">
        <w:t xml:space="preserve"> that </w:t>
      </w:r>
      <w:r w:rsidRPr="00117396" w:rsidR="00071E37">
        <w:t>it</w:t>
      </w:r>
      <w:r w:rsidRPr="00117396">
        <w:t xml:space="preserve"> may require the </w:t>
      </w:r>
      <w:r w:rsidRPr="00117396" w:rsidR="00E34759">
        <w:t>additional 1/</w:t>
      </w:r>
      <w:r w:rsidRPr="00117396" w:rsidR="00A63895">
        <w:t>10</w:t>
      </w:r>
      <w:r w:rsidRPr="00117396" w:rsidR="00E34759">
        <w:t xml:space="preserve"> of one GS-13 professional employee’s time</w:t>
      </w:r>
      <w:r w:rsidRPr="00117396">
        <w:t xml:space="preserve"> </w:t>
      </w:r>
      <w:r w:rsidRPr="00117396" w:rsidR="00A63895">
        <w:t>(</w:t>
      </w:r>
      <w:r w:rsidRPr="00117396">
        <w:t>$</w:t>
      </w:r>
      <w:r w:rsidRPr="00117396" w:rsidR="00A63895">
        <w:t>20,200) and an additional 1/10 of one GS-15 manager's time ($26,400)</w:t>
      </w:r>
      <w:r w:rsidRPr="00117396">
        <w:t>.</w:t>
      </w:r>
      <w:r w:rsidRPr="00117396">
        <w:rPr>
          <w:rStyle w:val="FootnoteReference"/>
        </w:rPr>
        <w:footnoteReference w:id="3"/>
      </w:r>
      <w:r w:rsidRPr="00117396">
        <w:t xml:space="preserve">  </w:t>
      </w:r>
    </w:p>
    <w:p w:rsidRPr="00117396" w:rsidR="00E34759" w:rsidP="00E34759" w:rsidRDefault="00E34759" w14:paraId="1E26251B" w14:textId="77777777">
      <w:pPr>
        <w:pStyle w:val="ListParagraph"/>
        <w:spacing w:before="120"/>
      </w:pPr>
    </w:p>
    <w:p w:rsidRPr="00117396" w:rsidR="00E34759" w:rsidP="00E34759" w:rsidRDefault="00E34759" w14:paraId="386A4377" w14:textId="7FD69E91">
      <w:pPr>
        <w:pStyle w:val="ListParagraph"/>
        <w:spacing w:before="120"/>
      </w:pPr>
      <w:r w:rsidRPr="00117396">
        <w:t xml:space="preserve">All other costs related to systems (CDX, EMTS) subscriptions, systems operations &amp; maintenance, and contractor support are being excluded from these calculations </w:t>
      </w:r>
      <w:r w:rsidRPr="00117396" w:rsidR="00E93234">
        <w:t>to</w:t>
      </w:r>
      <w:r w:rsidRPr="00117396">
        <w:t xml:space="preserve"> prevent double counting of costs. These are existing costs that are accounted for in XXX and the additional information collections in this proposed rule will not substantially alter these costs. </w:t>
      </w:r>
    </w:p>
    <w:p w:rsidRPr="00117396" w:rsidR="00E34759" w:rsidP="00E34759" w:rsidRDefault="00E34759" w14:paraId="5FAB1115" w14:textId="77777777">
      <w:pPr>
        <w:pStyle w:val="ListParagraph"/>
        <w:spacing w:before="120"/>
      </w:pPr>
    </w:p>
    <w:p w:rsidRPr="00117396" w:rsidR="000D4C02" w:rsidP="000D4C02" w:rsidRDefault="000D4C02" w14:paraId="40BB3F33" w14:textId="77777777">
      <w:pPr>
        <w:pStyle w:val="ListParagraph"/>
        <w:spacing w:before="120"/>
      </w:pPr>
      <w:r w:rsidRPr="00117396">
        <w:t>Adding the following values results in an annual estimated Agency burden as follows:</w:t>
      </w:r>
    </w:p>
    <w:p w:rsidRPr="00117396" w:rsidR="000D4C02" w:rsidP="000D4C02" w:rsidRDefault="00E34759" w14:paraId="6A7468EF" w14:textId="77777777">
      <w:pPr>
        <w:pStyle w:val="Standard"/>
        <w:spacing w:before="120"/>
        <w:ind w:left="1440"/>
        <w:contextualSpacing/>
      </w:pPr>
      <w:r w:rsidRPr="00117396">
        <w:t>One</w:t>
      </w:r>
      <w:r w:rsidRPr="00117396" w:rsidR="000D4C02">
        <w:t xml:space="preserve"> GS-13 technical employee (</w:t>
      </w:r>
      <w:r w:rsidRPr="00117396">
        <w:t>1/</w:t>
      </w:r>
      <w:r w:rsidRPr="00117396" w:rsidR="00A63895">
        <w:t>10</w:t>
      </w:r>
      <w:r w:rsidRPr="00117396">
        <w:t xml:space="preserve"> time</w:t>
      </w:r>
      <w:r w:rsidRPr="00117396" w:rsidR="000D4C02">
        <w:t xml:space="preserve">) </w:t>
      </w:r>
      <w:r w:rsidRPr="00117396" w:rsidR="00523621">
        <w:t xml:space="preserve">    </w:t>
      </w:r>
      <w:r w:rsidRPr="00117396" w:rsidR="000D4C02">
        <w:t xml:space="preserve">=    </w:t>
      </w:r>
      <w:r w:rsidRPr="00117396" w:rsidR="00071E37">
        <w:t xml:space="preserve"> </w:t>
      </w:r>
      <w:r w:rsidRPr="00117396">
        <w:tab/>
        <w:t xml:space="preserve">   </w:t>
      </w:r>
      <w:r w:rsidRPr="00117396" w:rsidR="00071E37">
        <w:t xml:space="preserve"> </w:t>
      </w:r>
      <w:r w:rsidRPr="00117396" w:rsidR="000D4C02">
        <w:t xml:space="preserve">$ </w:t>
      </w:r>
      <w:r w:rsidRPr="00117396" w:rsidR="00071E37">
        <w:t xml:space="preserve"> </w:t>
      </w:r>
      <w:r w:rsidRPr="00117396" w:rsidR="000D4C02">
        <w:t xml:space="preserve">  </w:t>
      </w:r>
      <w:r w:rsidRPr="00117396" w:rsidR="00A63895">
        <w:t xml:space="preserve">  20,200</w:t>
      </w:r>
    </w:p>
    <w:p w:rsidRPr="00117396" w:rsidR="000D4C02" w:rsidP="000D4C02" w:rsidRDefault="000D4C02" w14:paraId="0EEA77C3" w14:textId="77777777">
      <w:pPr>
        <w:pStyle w:val="Standard"/>
        <w:spacing w:before="120"/>
        <w:ind w:left="1440"/>
        <w:contextualSpacing/>
      </w:pPr>
      <w:r w:rsidRPr="00117396">
        <w:t>One GS-15 manager (1/</w:t>
      </w:r>
      <w:r w:rsidRPr="00117396" w:rsidR="00A63895">
        <w:t>10</w:t>
      </w:r>
      <w:r w:rsidRPr="00117396">
        <w:t xml:space="preserve"> time) </w:t>
      </w:r>
      <w:r w:rsidRPr="00117396">
        <w:tab/>
        <w:t xml:space="preserve"> </w:t>
      </w:r>
      <w:r w:rsidRPr="00117396" w:rsidR="00523621">
        <w:t xml:space="preserve">           =</w:t>
      </w:r>
      <w:r w:rsidRPr="00117396">
        <w:tab/>
      </w:r>
      <w:r w:rsidRPr="00117396">
        <w:rPr>
          <w:u w:val="single"/>
        </w:rPr>
        <w:t xml:space="preserve">    $   </w:t>
      </w:r>
      <w:r w:rsidRPr="00117396" w:rsidR="00071E37">
        <w:rPr>
          <w:u w:val="single"/>
        </w:rPr>
        <w:t xml:space="preserve">  </w:t>
      </w:r>
      <w:r w:rsidRPr="00117396" w:rsidR="00337449">
        <w:rPr>
          <w:u w:val="single"/>
        </w:rPr>
        <w:t xml:space="preserve"> </w:t>
      </w:r>
      <w:r w:rsidRPr="00117396" w:rsidR="00A63895">
        <w:rPr>
          <w:u w:val="single"/>
        </w:rPr>
        <w:t>26</w:t>
      </w:r>
      <w:r w:rsidRPr="00117396">
        <w:rPr>
          <w:u w:val="single"/>
        </w:rPr>
        <w:t>,</w:t>
      </w:r>
      <w:r w:rsidRPr="00117396" w:rsidR="00A63895">
        <w:rPr>
          <w:u w:val="single"/>
        </w:rPr>
        <w:t>4</w:t>
      </w:r>
      <w:r w:rsidRPr="00117396">
        <w:rPr>
          <w:u w:val="single"/>
        </w:rPr>
        <w:t>00</w:t>
      </w:r>
    </w:p>
    <w:p w:rsidRPr="00117396" w:rsidR="00174BD8" w:rsidP="00174BD8" w:rsidRDefault="000D4C02" w14:paraId="54012CA2" w14:textId="77777777">
      <w:pPr>
        <w:pStyle w:val="Standard"/>
        <w:spacing w:before="120"/>
        <w:ind w:left="1440"/>
        <w:contextualSpacing/>
      </w:pPr>
      <w:r w:rsidRPr="00117396">
        <w:t xml:space="preserve">TOTAL AGENCY COST </w:t>
      </w:r>
      <w:r w:rsidRPr="00117396" w:rsidR="00523621">
        <w:t xml:space="preserve">                              =</w:t>
      </w:r>
      <w:r w:rsidRPr="00117396" w:rsidR="00523621">
        <w:tab/>
        <w:t xml:space="preserve">  </w:t>
      </w:r>
      <w:r w:rsidRPr="00117396">
        <w:t xml:space="preserve">  $ </w:t>
      </w:r>
      <w:r w:rsidRPr="00117396" w:rsidR="00800762">
        <w:t xml:space="preserve">   </w:t>
      </w:r>
      <w:r w:rsidRPr="00117396" w:rsidR="00A63895">
        <w:t xml:space="preserve">  46,600</w:t>
      </w:r>
    </w:p>
    <w:p w:rsidRPr="00117396" w:rsidR="00174BD8" w:rsidP="00174BD8" w:rsidRDefault="00174BD8" w14:paraId="4C1A36EA" w14:textId="77777777">
      <w:pPr>
        <w:pStyle w:val="Standard"/>
        <w:spacing w:before="120"/>
        <w:ind w:left="1440"/>
        <w:contextualSpacing/>
      </w:pPr>
    </w:p>
    <w:p w:rsidRPr="00117396" w:rsidR="000D4C02" w:rsidP="00F27678" w:rsidRDefault="000D4C02" w14:paraId="7ED78693" w14:textId="52A448A7">
      <w:pPr>
        <w:pStyle w:val="Standard"/>
        <w:numPr>
          <w:ilvl w:val="1"/>
          <w:numId w:val="13"/>
        </w:numPr>
        <w:spacing w:before="120"/>
        <w:contextualSpacing/>
      </w:pPr>
      <w:r w:rsidRPr="00117396">
        <w:rPr>
          <w:u w:val="single"/>
        </w:rPr>
        <w:t>Estimating the Respondent Universe</w:t>
      </w:r>
      <w:r w:rsidRPr="00117396">
        <w:t>: The number of regulated entities used in this ICR have been estimated based upon EPA's previous experience managing the</w:t>
      </w:r>
      <w:r w:rsidRPr="00117396" w:rsidR="00BA508C">
        <w:t xml:space="preserve"> RFS program</w:t>
      </w:r>
      <w:r w:rsidRPr="00117396">
        <w:t xml:space="preserve">. </w:t>
      </w:r>
      <w:r w:rsidRPr="00117396" w:rsidR="00F27678">
        <w:t xml:space="preserve">We estimate five new registrants due to the pathways provisions and 20 new registrants due to the certified NTDF </w:t>
      </w:r>
      <w:r w:rsidRPr="00117396" w:rsidR="00E93234">
        <w:t>provisions and</w:t>
      </w:r>
      <w:r w:rsidRPr="00117396" w:rsidR="00F27678">
        <w:t xml:space="preserve"> have carried the estimates through associated recordkeeping and reporting. </w:t>
      </w:r>
    </w:p>
    <w:p w:rsidRPr="00117396" w:rsidR="00F27678" w:rsidP="00F27678" w:rsidRDefault="00F27678" w14:paraId="5925D42F" w14:textId="77777777">
      <w:pPr>
        <w:pStyle w:val="Standard"/>
        <w:spacing w:before="120"/>
        <w:ind w:left="360"/>
        <w:contextualSpacing/>
      </w:pPr>
    </w:p>
    <w:p w:rsidRPr="00117396" w:rsidR="000D4C02" w:rsidP="000D4C02" w:rsidRDefault="000D4C02" w14:paraId="2D52BA07" w14:textId="77777777">
      <w:pPr>
        <w:pStyle w:val="Standard"/>
        <w:numPr>
          <w:ilvl w:val="1"/>
          <w:numId w:val="13"/>
        </w:numPr>
        <w:spacing w:before="120"/>
        <w:contextualSpacing/>
      </w:pPr>
      <w:r w:rsidRPr="00117396">
        <w:rPr>
          <w:u w:val="single"/>
        </w:rPr>
        <w:t>Bottom Line Burden Hours and Costs:</w:t>
      </w:r>
      <w:r w:rsidRPr="00117396">
        <w:t xml:space="preserve"> From the tables, EPA estimate the following totals:</w:t>
      </w:r>
    </w:p>
    <w:p w:rsidRPr="00117396" w:rsidR="000D4C02" w:rsidP="000D4C02" w:rsidRDefault="000D4C02" w14:paraId="59B76580" w14:textId="7590AAFF">
      <w:pPr>
        <w:spacing w:before="120"/>
        <w:ind w:left="1440"/>
        <w:contextualSpacing/>
      </w:pPr>
      <w:r w:rsidRPr="00117396">
        <w:t xml:space="preserve">TOTAL NO. OF RESPONDENTS:    </w:t>
      </w:r>
      <w:r w:rsidRPr="00117396">
        <w:tab/>
        <w:t xml:space="preserve">    </w:t>
      </w:r>
      <w:r w:rsidRPr="00117396" w:rsidR="005A3D95">
        <w:t xml:space="preserve">  </w:t>
      </w:r>
      <w:r w:rsidRPr="00117396">
        <w:tab/>
      </w:r>
      <w:r w:rsidRPr="00117396" w:rsidR="000E02FF">
        <w:t xml:space="preserve">     </w:t>
      </w:r>
      <w:r w:rsidRPr="00117396" w:rsidR="000B4AEC">
        <w:tab/>
      </w:r>
      <w:r w:rsidRPr="00117396" w:rsidR="00B618A3">
        <w:t xml:space="preserve">         6,323</w:t>
      </w:r>
    </w:p>
    <w:p w:rsidRPr="00117396" w:rsidR="000D4C02" w:rsidP="000D4C02" w:rsidRDefault="000D4C02" w14:paraId="6BBDB9DC" w14:textId="74D3CB36">
      <w:pPr>
        <w:spacing w:before="120"/>
        <w:ind w:left="1440"/>
        <w:contextualSpacing/>
      </w:pPr>
      <w:r w:rsidRPr="00117396">
        <w:t>TOTAL NO. OF RESPONSES:</w:t>
      </w:r>
      <w:r w:rsidRPr="00117396">
        <w:tab/>
      </w:r>
      <w:r w:rsidRPr="00117396">
        <w:tab/>
      </w:r>
      <w:r w:rsidRPr="00117396" w:rsidR="000E02FF">
        <w:tab/>
      </w:r>
      <w:r w:rsidRPr="00117396" w:rsidR="000B4AEC">
        <w:tab/>
      </w:r>
      <w:r w:rsidRPr="00117396" w:rsidR="00B618A3">
        <w:t xml:space="preserve">     </w:t>
      </w:r>
      <w:r w:rsidRPr="00117396" w:rsidR="004543C6">
        <w:t>3</w:t>
      </w:r>
      <w:r w:rsidRPr="00117396" w:rsidR="00127648">
        <w:t>57</w:t>
      </w:r>
      <w:r w:rsidRPr="00117396" w:rsidR="00B618A3">
        <w:t>,</w:t>
      </w:r>
      <w:r w:rsidRPr="00117396" w:rsidR="004543C6">
        <w:t>826</w:t>
      </w:r>
      <w:r w:rsidRPr="00117396" w:rsidR="00A63895">
        <w:t xml:space="preserve"> </w:t>
      </w:r>
    </w:p>
    <w:p w:rsidRPr="00117396" w:rsidR="000D4C02" w:rsidP="000D4C02" w:rsidRDefault="000D4C02" w14:paraId="68902F5F" w14:textId="7BFEF7D2">
      <w:pPr>
        <w:spacing w:before="120"/>
        <w:ind w:left="1440"/>
        <w:contextualSpacing/>
      </w:pPr>
      <w:r w:rsidRPr="00117396">
        <w:t xml:space="preserve">TOTAL BURDEN HOURS:    </w:t>
      </w:r>
      <w:r w:rsidRPr="00117396">
        <w:tab/>
        <w:t xml:space="preserve">    </w:t>
      </w:r>
      <w:r w:rsidRPr="00117396">
        <w:tab/>
      </w:r>
      <w:r w:rsidRPr="00117396" w:rsidR="000E02FF">
        <w:tab/>
        <w:t xml:space="preserve">  </w:t>
      </w:r>
      <w:r w:rsidRPr="00117396" w:rsidR="000B4AEC">
        <w:tab/>
      </w:r>
      <w:r w:rsidRPr="00117396" w:rsidR="00B618A3">
        <w:t xml:space="preserve">       </w:t>
      </w:r>
      <w:r w:rsidRPr="00117396" w:rsidR="004543C6">
        <w:t>28,902</w:t>
      </w:r>
      <w:r w:rsidRPr="00117396" w:rsidR="00A63895">
        <w:rPr>
          <w:u w:val="single"/>
        </w:rPr>
        <w:t xml:space="preserve"> </w:t>
      </w:r>
    </w:p>
    <w:p w:rsidRPr="00117396" w:rsidR="00174BD8" w:rsidP="00174BD8" w:rsidRDefault="000D4C02" w14:paraId="7E76327D" w14:textId="2C6EB42B">
      <w:pPr>
        <w:spacing w:before="120"/>
        <w:ind w:left="1440"/>
        <w:contextualSpacing/>
      </w:pPr>
      <w:r w:rsidRPr="00117396">
        <w:t xml:space="preserve">TOTAL COST TO RESPONDENTS:  </w:t>
      </w:r>
      <w:r w:rsidRPr="00117396">
        <w:tab/>
      </w:r>
      <w:r w:rsidRPr="00117396" w:rsidR="000E02FF">
        <w:tab/>
      </w:r>
      <w:r w:rsidRPr="00117396" w:rsidR="00B618A3">
        <w:t xml:space="preserve">           </w:t>
      </w:r>
      <w:r w:rsidRPr="00117396" w:rsidR="000E02FF">
        <w:t xml:space="preserve">$ </w:t>
      </w:r>
      <w:r w:rsidRPr="00117396" w:rsidR="004543C6">
        <w:t>3,162,321</w:t>
      </w:r>
    </w:p>
    <w:p w:rsidRPr="00117396" w:rsidR="00174BD8" w:rsidP="00174BD8" w:rsidRDefault="00174BD8" w14:paraId="177BE398" w14:textId="77777777">
      <w:pPr>
        <w:spacing w:before="120"/>
        <w:ind w:left="1440"/>
        <w:contextualSpacing/>
      </w:pPr>
    </w:p>
    <w:p w:rsidRPr="00117396" w:rsidR="000D4C02" w:rsidP="000D4C02" w:rsidRDefault="000D4C02" w14:paraId="06D6ED34" w14:textId="32C1917C">
      <w:pPr>
        <w:pStyle w:val="ListParagraph"/>
        <w:numPr>
          <w:ilvl w:val="1"/>
          <w:numId w:val="13"/>
        </w:numPr>
        <w:spacing w:before="120"/>
      </w:pPr>
      <w:r w:rsidRPr="00117396">
        <w:rPr>
          <w:u w:val="single"/>
        </w:rPr>
        <w:t>Burden Statement:</w:t>
      </w:r>
      <w:r w:rsidRPr="00117396">
        <w:t xml:space="preserve"> The annual public reporting and recordkeeping burden for this collection of information is estimated to be </w:t>
      </w:r>
      <w:r w:rsidRPr="00117396" w:rsidR="00544577">
        <w:t xml:space="preserve">0.08 </w:t>
      </w:r>
      <w:r w:rsidRPr="00117396">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117396" w:rsidR="000D4C02" w:rsidP="000D4C02" w:rsidRDefault="000D4C02" w14:paraId="7E569318" w14:textId="77777777">
      <w:pPr>
        <w:spacing w:before="120"/>
      </w:pPr>
    </w:p>
    <w:p w:rsidRPr="00117396" w:rsidR="000D4C02" w:rsidP="00174BD8" w:rsidRDefault="000D4C02" w14:paraId="5A55EA31" w14:textId="29C5BB37">
      <w:pPr>
        <w:spacing w:before="120"/>
        <w:ind w:left="720"/>
      </w:pPr>
      <w:r w:rsidRPr="00117396">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Pr="00117396" w:rsidR="00803A29">
        <w:t>OA</w:t>
      </w:r>
      <w:r w:rsidRPr="00117396" w:rsidR="000B4AEC">
        <w:t>R-</w:t>
      </w:r>
      <w:r w:rsidRPr="00117396" w:rsidR="00B06A33">
        <w:t>2019-0136</w:t>
      </w:r>
      <w:r w:rsidRPr="00117396">
        <w:t xml:space="preserve">, which is available for online viewing at www.regulations.gov, or in person viewing at the Air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117396" w:rsidR="00803A29">
        <w:t>EPA-HQ-OAR</w:t>
      </w:r>
      <w:r w:rsidRPr="00117396" w:rsidR="00BD5E2D">
        <w:t xml:space="preserve">-2019-0136 </w:t>
      </w:r>
      <w:r w:rsidRPr="00117396">
        <w:t>and OMB Control Number 2060-NEW in any correspondence.</w:t>
      </w:r>
    </w:p>
    <w:p w:rsidRPr="00117396" w:rsidR="000D4C02" w:rsidP="000D4C02" w:rsidRDefault="000D4C02" w14:paraId="2D0637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contextualSpacing/>
      </w:pPr>
    </w:p>
    <w:p w:rsidRPr="00117396" w:rsidR="000D4C02" w:rsidP="000D4C02" w:rsidRDefault="000D4C02" w14:paraId="629EA4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59"/>
        <w:contextualSpacing/>
      </w:pPr>
    </w:p>
    <w:p w:rsidRPr="00117396" w:rsidR="000D4C02" w:rsidP="00B06A33" w:rsidRDefault="000D4C02" w14:paraId="0F1A8991" w14:textId="0A71AE01">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59"/>
      </w:pPr>
      <w:r w:rsidRPr="00117396">
        <w:rPr>
          <w:b/>
        </w:rPr>
        <w:t>APPENDIX</w:t>
      </w:r>
      <w:r w:rsidRPr="00117396" w:rsidR="00B06A33">
        <w:rPr>
          <w:b/>
        </w:rPr>
        <w:t xml:space="preserve"> </w:t>
      </w:r>
      <w:r w:rsidRPr="00117396">
        <w:rPr>
          <w:b/>
        </w:rPr>
        <w:t>– Detailed Bur</w:t>
      </w:r>
      <w:r w:rsidRPr="00117396" w:rsidR="00174BD8">
        <w:rPr>
          <w:b/>
        </w:rPr>
        <w:t>den Estimate</w:t>
      </w:r>
      <w:r w:rsidRPr="00117396" w:rsidR="00F27678">
        <w:rPr>
          <w:b/>
        </w:rPr>
        <w:t xml:space="preserve"> Tables</w:t>
      </w:r>
      <w:r w:rsidRPr="00117396" w:rsidR="00B06A33">
        <w:rPr>
          <w:b/>
        </w:rPr>
        <w:t xml:space="preserve"> and Proposed Additional Reporting Formats</w:t>
      </w:r>
    </w:p>
    <w:sectPr w:rsidRPr="00117396" w:rsidR="000D4C02" w:rsidSect="001003B8">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0C9E5" w14:textId="77777777" w:rsidR="002C50DD" w:rsidRDefault="002C50DD" w:rsidP="000D4C02">
      <w:r>
        <w:separator/>
      </w:r>
    </w:p>
  </w:endnote>
  <w:endnote w:type="continuationSeparator" w:id="0">
    <w:p w14:paraId="09017071" w14:textId="77777777" w:rsidR="002C50DD" w:rsidRDefault="002C50DD" w:rsidP="000D4C02">
      <w:r>
        <w:continuationSeparator/>
      </w:r>
    </w:p>
  </w:endnote>
  <w:endnote w:type="continuationNotice" w:id="1">
    <w:p w14:paraId="0FEC7240" w14:textId="77777777" w:rsidR="002C50DD" w:rsidRDefault="002C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213B" w14:textId="77777777" w:rsidR="002C50DD" w:rsidRDefault="002C50DD" w:rsidP="000D4C02">
      <w:r>
        <w:separator/>
      </w:r>
    </w:p>
  </w:footnote>
  <w:footnote w:type="continuationSeparator" w:id="0">
    <w:p w14:paraId="12114B2B" w14:textId="77777777" w:rsidR="002C50DD" w:rsidRDefault="002C50DD" w:rsidP="000D4C02">
      <w:r>
        <w:continuationSeparator/>
      </w:r>
    </w:p>
  </w:footnote>
  <w:footnote w:type="continuationNotice" w:id="1">
    <w:p w14:paraId="30ACADCF" w14:textId="77777777" w:rsidR="002C50DD" w:rsidRDefault="002C50DD"/>
  </w:footnote>
  <w:footnote w:id="2">
    <w:p w14:paraId="4FF237CC" w14:textId="77777777" w:rsidR="00B06A33" w:rsidRDefault="00B06A33" w:rsidP="00636D61">
      <w:pPr>
        <w:pStyle w:val="FootnoteText"/>
      </w:pPr>
      <w:r>
        <w:rPr>
          <w:rStyle w:val="FootnoteReference"/>
        </w:rPr>
        <w:footnoteRef/>
      </w:r>
      <w:r>
        <w:t xml:space="preserve"> EPA's proposal identifies three approaches, with the first approach as the recommended approach. These estimates are based on the recommended approach ("option 1"). </w:t>
      </w:r>
    </w:p>
  </w:footnote>
  <w:footnote w:id="3">
    <w:p w14:paraId="58D70DB9" w14:textId="77777777" w:rsidR="00B06A33" w:rsidRDefault="00B06A33" w:rsidP="000D4C02">
      <w:pPr>
        <w:pStyle w:val="FootnoteText"/>
      </w:pPr>
      <w:r w:rsidRPr="00DE102F">
        <w:rPr>
          <w:rStyle w:val="FootnoteReference"/>
        </w:rPr>
        <w:footnoteRef/>
      </w:r>
      <w:r>
        <w:t xml:space="preserve"> These estimates are derived from "</w:t>
      </w:r>
      <w:r w:rsidRPr="00071E37">
        <w:t>OPM Salary Table 2019-DCB</w:t>
      </w:r>
      <w:r>
        <w:t xml:space="preserve">," effective January 2019. This table may be found at </w:t>
      </w:r>
      <w:hyperlink r:id="rId1" w:history="1">
        <w:r w:rsidRPr="00311A06">
          <w:rPr>
            <w:rStyle w:val="Hyperlink"/>
          </w:rPr>
          <w:t>https://www.opm.gov/policy-data-oversight/pay-leave/salaries-wages/salary-tables/pdf/2019/DCB.pdf</w:t>
        </w:r>
      </w:hyperlink>
      <w:r>
        <w:t>. The extreme of step 10 was assumed for all categories. All values were multiplied by 1.6 (which is a common factor utilized in ICRs to account for overhead costs). EPA rounded the resulting dollar value to the nearest thousand. This FTE cost of $158,000 is per year.</w:t>
      </w:r>
    </w:p>
    <w:p w14:paraId="4D365B7B" w14:textId="77777777" w:rsidR="00B06A33" w:rsidRDefault="00B06A33" w:rsidP="000D4C02">
      <w:pPr>
        <w:pStyle w:val="FootnoteText"/>
      </w:pPr>
    </w:p>
    <w:p w14:paraId="39605F64" w14:textId="77777777" w:rsidR="00B06A33" w:rsidRDefault="00B06A33" w:rsidP="000D4C02">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813321"/>
      <w:docPartObj>
        <w:docPartGallery w:val="Page Numbers (Top of Page)"/>
        <w:docPartUnique/>
      </w:docPartObj>
    </w:sdtPr>
    <w:sdtEndPr>
      <w:rPr>
        <w:noProof/>
      </w:rPr>
    </w:sdtEndPr>
    <w:sdtContent>
      <w:p w14:paraId="46A7B4CA" w14:textId="77777777" w:rsidR="00B06A33" w:rsidRDefault="00B06A33" w:rsidP="001003B8">
        <w:pPr>
          <w:pStyle w:val="Header"/>
          <w:jc w:val="center"/>
        </w:pPr>
      </w:p>
      <w:p w14:paraId="2ACF7EA7" w14:textId="77777777" w:rsidR="00B06A33" w:rsidRDefault="002C50DD">
        <w:pPr>
          <w:pStyle w:val="Header"/>
          <w:jc w:val="center"/>
        </w:pPr>
      </w:p>
    </w:sdtContent>
  </w:sdt>
  <w:p w14:paraId="753A9B44" w14:textId="77777777" w:rsidR="00B06A33" w:rsidRDefault="00B06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5663"/>
    <w:multiLevelType w:val="hybridMultilevel"/>
    <w:tmpl w:val="D7D0CA00"/>
    <w:lvl w:ilvl="0" w:tplc="461CEE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675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395704"/>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25C0C5C"/>
    <w:multiLevelType w:val="hybridMultilevel"/>
    <w:tmpl w:val="CF86CA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EB7A24"/>
    <w:multiLevelType w:val="multilevel"/>
    <w:tmpl w:val="0C44088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AF47CE"/>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8FC7386"/>
    <w:multiLevelType w:val="multilevel"/>
    <w:tmpl w:val="68448FC0"/>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C65EC"/>
    <w:multiLevelType w:val="hybridMultilevel"/>
    <w:tmpl w:val="BE30C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644475"/>
    <w:multiLevelType w:val="multilevel"/>
    <w:tmpl w:val="9028E06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FA2897"/>
    <w:multiLevelType w:val="multilevel"/>
    <w:tmpl w:val="D5F25F96"/>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FB3B0E"/>
    <w:multiLevelType w:val="multilevel"/>
    <w:tmpl w:val="74067B8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EB1"/>
    <w:multiLevelType w:val="hybridMultilevel"/>
    <w:tmpl w:val="DD98D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6939C1"/>
    <w:multiLevelType w:val="hybridMultilevel"/>
    <w:tmpl w:val="E65CD352"/>
    <w:lvl w:ilvl="0" w:tplc="2F1ED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3B49F4"/>
    <w:multiLevelType w:val="hybridMultilevel"/>
    <w:tmpl w:val="C29C83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4810F7"/>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546C7886"/>
    <w:multiLevelType w:val="multilevel"/>
    <w:tmpl w:val="74067B8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6D1007"/>
    <w:multiLevelType w:val="hybridMultilevel"/>
    <w:tmpl w:val="2FB8EE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551E94"/>
    <w:multiLevelType w:val="multilevel"/>
    <w:tmpl w:val="651C3866"/>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5F4A7E"/>
    <w:multiLevelType w:val="multilevel"/>
    <w:tmpl w:val="0A64F0E2"/>
    <w:lvl w:ilvl="0">
      <w:start w:val="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8321730"/>
    <w:multiLevelType w:val="hybridMultilevel"/>
    <w:tmpl w:val="65387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0"/>
  </w:num>
  <w:num w:numId="3">
    <w:abstractNumId w:val="12"/>
  </w:num>
  <w:num w:numId="4">
    <w:abstractNumId w:val="20"/>
  </w:num>
  <w:num w:numId="5">
    <w:abstractNumId w:val="4"/>
  </w:num>
  <w:num w:numId="6">
    <w:abstractNumId w:val="14"/>
  </w:num>
  <w:num w:numId="7">
    <w:abstractNumId w:val="2"/>
  </w:num>
  <w:num w:numId="8">
    <w:abstractNumId w:val="1"/>
  </w:num>
  <w:num w:numId="9">
    <w:abstractNumId w:val="6"/>
  </w:num>
  <w:num w:numId="10">
    <w:abstractNumId w:val="5"/>
  </w:num>
  <w:num w:numId="11">
    <w:abstractNumId w:val="8"/>
  </w:num>
  <w:num w:numId="12">
    <w:abstractNumId w:val="18"/>
  </w:num>
  <w:num w:numId="13">
    <w:abstractNumId w:val="17"/>
  </w:num>
  <w:num w:numId="14">
    <w:abstractNumId w:val="10"/>
  </w:num>
  <w:num w:numId="15">
    <w:abstractNumId w:val="15"/>
  </w:num>
  <w:num w:numId="16">
    <w:abstractNumId w:val="9"/>
  </w:num>
  <w:num w:numId="17">
    <w:abstractNumId w:val="3"/>
  </w:num>
  <w:num w:numId="18">
    <w:abstractNumId w:val="19"/>
  </w:num>
  <w:num w:numId="19">
    <w:abstractNumId w:val="11"/>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83"/>
    <w:rsid w:val="0000605A"/>
    <w:rsid w:val="00014C74"/>
    <w:rsid w:val="00023675"/>
    <w:rsid w:val="0002686C"/>
    <w:rsid w:val="00035D79"/>
    <w:rsid w:val="00047235"/>
    <w:rsid w:val="00071E37"/>
    <w:rsid w:val="000B4AEC"/>
    <w:rsid w:val="000C6F9F"/>
    <w:rsid w:val="000D4C02"/>
    <w:rsid w:val="000E02FF"/>
    <w:rsid w:val="000E55FA"/>
    <w:rsid w:val="000E5C2E"/>
    <w:rsid w:val="001003B8"/>
    <w:rsid w:val="001077C0"/>
    <w:rsid w:val="00117396"/>
    <w:rsid w:val="00124270"/>
    <w:rsid w:val="0012666E"/>
    <w:rsid w:val="00127648"/>
    <w:rsid w:val="00151072"/>
    <w:rsid w:val="0016257B"/>
    <w:rsid w:val="00162968"/>
    <w:rsid w:val="00174BD8"/>
    <w:rsid w:val="001E28F8"/>
    <w:rsid w:val="001F34C2"/>
    <w:rsid w:val="00213677"/>
    <w:rsid w:val="0023654A"/>
    <w:rsid w:val="00252D99"/>
    <w:rsid w:val="00263401"/>
    <w:rsid w:val="00270CB6"/>
    <w:rsid w:val="00293D78"/>
    <w:rsid w:val="002C3548"/>
    <w:rsid w:val="002C4BBC"/>
    <w:rsid w:val="002C50DD"/>
    <w:rsid w:val="002D042C"/>
    <w:rsid w:val="00337449"/>
    <w:rsid w:val="0034058E"/>
    <w:rsid w:val="003A75B2"/>
    <w:rsid w:val="003B44C5"/>
    <w:rsid w:val="004543C6"/>
    <w:rsid w:val="00467689"/>
    <w:rsid w:val="004B76B2"/>
    <w:rsid w:val="00510E95"/>
    <w:rsid w:val="00523621"/>
    <w:rsid w:val="00526216"/>
    <w:rsid w:val="00531BD2"/>
    <w:rsid w:val="00544577"/>
    <w:rsid w:val="00546C60"/>
    <w:rsid w:val="005711DF"/>
    <w:rsid w:val="00593BCA"/>
    <w:rsid w:val="005A3D95"/>
    <w:rsid w:val="005A68E2"/>
    <w:rsid w:val="005C636D"/>
    <w:rsid w:val="005C64B8"/>
    <w:rsid w:val="005D0177"/>
    <w:rsid w:val="005E3454"/>
    <w:rsid w:val="005E6DE1"/>
    <w:rsid w:val="0060019E"/>
    <w:rsid w:val="006164E4"/>
    <w:rsid w:val="00636D61"/>
    <w:rsid w:val="00645112"/>
    <w:rsid w:val="00694679"/>
    <w:rsid w:val="006A35B9"/>
    <w:rsid w:val="006D0130"/>
    <w:rsid w:val="007157F1"/>
    <w:rsid w:val="00716DB4"/>
    <w:rsid w:val="00730C3D"/>
    <w:rsid w:val="007B7082"/>
    <w:rsid w:val="007E587B"/>
    <w:rsid w:val="007F62CB"/>
    <w:rsid w:val="00800762"/>
    <w:rsid w:val="00803A29"/>
    <w:rsid w:val="008541A5"/>
    <w:rsid w:val="008578A7"/>
    <w:rsid w:val="00864CB7"/>
    <w:rsid w:val="00874FED"/>
    <w:rsid w:val="00876BA8"/>
    <w:rsid w:val="008A2E34"/>
    <w:rsid w:val="008B3EC1"/>
    <w:rsid w:val="008B65D8"/>
    <w:rsid w:val="008C38D1"/>
    <w:rsid w:val="008D1C98"/>
    <w:rsid w:val="008F7F4C"/>
    <w:rsid w:val="00926B93"/>
    <w:rsid w:val="00941F14"/>
    <w:rsid w:val="009437F1"/>
    <w:rsid w:val="009445BD"/>
    <w:rsid w:val="00961D06"/>
    <w:rsid w:val="00964ADB"/>
    <w:rsid w:val="00981ADC"/>
    <w:rsid w:val="009B3E5C"/>
    <w:rsid w:val="009D7809"/>
    <w:rsid w:val="009E5963"/>
    <w:rsid w:val="009F24D5"/>
    <w:rsid w:val="00A02753"/>
    <w:rsid w:val="00A15906"/>
    <w:rsid w:val="00A51AE6"/>
    <w:rsid w:val="00A63895"/>
    <w:rsid w:val="00A6586C"/>
    <w:rsid w:val="00A70FF5"/>
    <w:rsid w:val="00A97108"/>
    <w:rsid w:val="00AB198F"/>
    <w:rsid w:val="00AC088F"/>
    <w:rsid w:val="00AD7F2C"/>
    <w:rsid w:val="00AE20A3"/>
    <w:rsid w:val="00AE589F"/>
    <w:rsid w:val="00AF22A2"/>
    <w:rsid w:val="00B034A1"/>
    <w:rsid w:val="00B06A33"/>
    <w:rsid w:val="00B46CC1"/>
    <w:rsid w:val="00B618A3"/>
    <w:rsid w:val="00B71F83"/>
    <w:rsid w:val="00B7222E"/>
    <w:rsid w:val="00B84A9C"/>
    <w:rsid w:val="00BA508C"/>
    <w:rsid w:val="00BA5D89"/>
    <w:rsid w:val="00BD5CC3"/>
    <w:rsid w:val="00BD5E2D"/>
    <w:rsid w:val="00BE0731"/>
    <w:rsid w:val="00C07DFC"/>
    <w:rsid w:val="00C51F4D"/>
    <w:rsid w:val="00CA4416"/>
    <w:rsid w:val="00CD140C"/>
    <w:rsid w:val="00CE0F61"/>
    <w:rsid w:val="00D0589E"/>
    <w:rsid w:val="00D74E62"/>
    <w:rsid w:val="00DB334B"/>
    <w:rsid w:val="00DE6888"/>
    <w:rsid w:val="00E017FF"/>
    <w:rsid w:val="00E34759"/>
    <w:rsid w:val="00E93234"/>
    <w:rsid w:val="00E97124"/>
    <w:rsid w:val="00EA7445"/>
    <w:rsid w:val="00EC4407"/>
    <w:rsid w:val="00F0556F"/>
    <w:rsid w:val="00F27678"/>
    <w:rsid w:val="00F46ECD"/>
    <w:rsid w:val="00F72B87"/>
    <w:rsid w:val="00FA3F91"/>
    <w:rsid w:val="00FC1E10"/>
    <w:rsid w:val="00FD35FA"/>
    <w:rsid w:val="00FF0C11"/>
    <w:rsid w:val="0875F576"/>
    <w:rsid w:val="6867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8681"/>
  <w15:chartTrackingRefBased/>
  <w15:docId w15:val="{C6CA8410-5658-4504-86E4-7A172965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C02"/>
    <w:pPr>
      <w:keepNext/>
      <w:keepLines/>
      <w:autoSpaceDE w:val="0"/>
      <w:autoSpaceDN w:val="0"/>
      <w:adjustRightInd w:val="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D4C02"/>
    <w:pPr>
      <w:keepNext/>
      <w:keepLines/>
      <w:autoSpaceDE w:val="0"/>
      <w:autoSpaceDN w:val="0"/>
      <w:adjustRightInd w:val="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D4C02"/>
    <w:pPr>
      <w:keepNext/>
      <w:keepLines/>
      <w:autoSpaceDE w:val="0"/>
      <w:autoSpaceDN w:val="0"/>
      <w:adjustRightInd w:val="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0D4C02"/>
    <w:pPr>
      <w:keepNext/>
      <w:keepLines/>
      <w:autoSpaceDE w:val="0"/>
      <w:autoSpaceDN w:val="0"/>
      <w:adjustRightInd w:val="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02"/>
    <w:pPr>
      <w:ind w:left="720"/>
      <w:contextualSpacing/>
    </w:pPr>
  </w:style>
  <w:style w:type="character" w:customStyle="1" w:styleId="Heading1Char">
    <w:name w:val="Heading 1 Char"/>
    <w:basedOn w:val="DefaultParagraphFont"/>
    <w:link w:val="Heading1"/>
    <w:uiPriority w:val="9"/>
    <w:rsid w:val="000D4C0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D4C0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D4C02"/>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0D4C02"/>
    <w:rPr>
      <w:rFonts w:ascii="Times New Roman" w:eastAsiaTheme="majorEastAsia" w:hAnsi="Times New Roman" w:cstheme="majorBidi"/>
      <w:i/>
      <w:iCs/>
      <w:sz w:val="24"/>
      <w:szCs w:val="20"/>
    </w:rPr>
  </w:style>
  <w:style w:type="paragraph" w:styleId="FootnoteText">
    <w:name w:val="footnote text"/>
    <w:basedOn w:val="Normal"/>
    <w:link w:val="FootnoteTextChar"/>
    <w:rsid w:val="000D4C02"/>
    <w:pPr>
      <w:autoSpaceDE w:val="0"/>
      <w:autoSpaceDN w:val="0"/>
      <w:adjustRightInd w:val="0"/>
    </w:pPr>
    <w:rPr>
      <w:sz w:val="20"/>
    </w:rPr>
  </w:style>
  <w:style w:type="character" w:customStyle="1" w:styleId="FootnoteTextChar">
    <w:name w:val="Footnote Text Char"/>
    <w:basedOn w:val="DefaultParagraphFont"/>
    <w:link w:val="FootnoteText"/>
    <w:rsid w:val="000D4C02"/>
    <w:rPr>
      <w:rFonts w:ascii="Times New Roman" w:eastAsia="Times New Roman" w:hAnsi="Times New Roman" w:cs="Times New Roman"/>
      <w:sz w:val="20"/>
      <w:szCs w:val="20"/>
    </w:rPr>
  </w:style>
  <w:style w:type="character" w:styleId="FootnoteReference">
    <w:name w:val="footnote reference"/>
    <w:basedOn w:val="DefaultParagraphFont"/>
    <w:rsid w:val="000D4C02"/>
    <w:rPr>
      <w:vertAlign w:val="superscript"/>
    </w:rPr>
  </w:style>
  <w:style w:type="character" w:styleId="CommentReference">
    <w:name w:val="annotation reference"/>
    <w:basedOn w:val="DefaultParagraphFont"/>
    <w:uiPriority w:val="99"/>
    <w:semiHidden/>
    <w:unhideWhenUsed/>
    <w:rsid w:val="000D4C02"/>
    <w:rPr>
      <w:sz w:val="16"/>
      <w:szCs w:val="16"/>
    </w:rPr>
  </w:style>
  <w:style w:type="paragraph" w:styleId="CommentText">
    <w:name w:val="annotation text"/>
    <w:basedOn w:val="Normal"/>
    <w:link w:val="CommentTextChar"/>
    <w:uiPriority w:val="99"/>
    <w:semiHidden/>
    <w:unhideWhenUsed/>
    <w:rsid w:val="000D4C02"/>
    <w:pPr>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0D4C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C02"/>
    <w:rPr>
      <w:b/>
      <w:bCs/>
    </w:rPr>
  </w:style>
  <w:style w:type="character" w:customStyle="1" w:styleId="CommentSubjectChar">
    <w:name w:val="Comment Subject Char"/>
    <w:basedOn w:val="CommentTextChar"/>
    <w:link w:val="CommentSubject"/>
    <w:uiPriority w:val="99"/>
    <w:semiHidden/>
    <w:rsid w:val="000D4C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4C02"/>
    <w:pPr>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02"/>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0D4C02"/>
    <w:pPr>
      <w:autoSpaceDE w:val="0"/>
      <w:autoSpaceDN w:val="0"/>
      <w:adjustRightInd w:val="0"/>
    </w:pPr>
    <w:rPr>
      <w:sz w:val="20"/>
    </w:rPr>
  </w:style>
  <w:style w:type="character" w:customStyle="1" w:styleId="EndnoteTextChar">
    <w:name w:val="Endnote Text Char"/>
    <w:basedOn w:val="DefaultParagraphFont"/>
    <w:link w:val="EndnoteText"/>
    <w:uiPriority w:val="99"/>
    <w:semiHidden/>
    <w:rsid w:val="000D4C0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D4C02"/>
    <w:rPr>
      <w:vertAlign w:val="superscript"/>
    </w:rPr>
  </w:style>
  <w:style w:type="character" w:styleId="Hyperlink">
    <w:name w:val="Hyperlink"/>
    <w:basedOn w:val="DefaultParagraphFont"/>
    <w:rsid w:val="000D4C02"/>
    <w:rPr>
      <w:color w:val="0000FF"/>
      <w:u w:val="single"/>
    </w:rPr>
  </w:style>
  <w:style w:type="table" w:styleId="TableGrid">
    <w:name w:val="Table Grid"/>
    <w:basedOn w:val="TableNormal"/>
    <w:uiPriority w:val="39"/>
    <w:rsid w:val="000D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C02"/>
    <w:pPr>
      <w:tabs>
        <w:tab w:val="center" w:pos="4680"/>
        <w:tab w:val="right" w:pos="9360"/>
      </w:tabs>
      <w:autoSpaceDE w:val="0"/>
      <w:autoSpaceDN w:val="0"/>
      <w:adjustRightInd w:val="0"/>
    </w:pPr>
    <w:rPr>
      <w:sz w:val="20"/>
    </w:rPr>
  </w:style>
  <w:style w:type="character" w:customStyle="1" w:styleId="HeaderChar">
    <w:name w:val="Header Char"/>
    <w:basedOn w:val="DefaultParagraphFont"/>
    <w:link w:val="Header"/>
    <w:uiPriority w:val="99"/>
    <w:rsid w:val="000D4C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4C02"/>
    <w:pPr>
      <w:tabs>
        <w:tab w:val="center" w:pos="4680"/>
        <w:tab w:val="right" w:pos="9360"/>
      </w:tabs>
      <w:autoSpaceDE w:val="0"/>
      <w:autoSpaceDN w:val="0"/>
      <w:adjustRightInd w:val="0"/>
    </w:pPr>
    <w:rPr>
      <w:sz w:val="20"/>
    </w:rPr>
  </w:style>
  <w:style w:type="character" w:customStyle="1" w:styleId="FooterChar">
    <w:name w:val="Footer Char"/>
    <w:basedOn w:val="DefaultParagraphFont"/>
    <w:link w:val="Footer"/>
    <w:uiPriority w:val="99"/>
    <w:rsid w:val="000D4C02"/>
    <w:rPr>
      <w:rFonts w:ascii="Times New Roman" w:eastAsia="Times New Roman" w:hAnsi="Times New Roman" w:cs="Times New Roman"/>
      <w:sz w:val="20"/>
      <w:szCs w:val="20"/>
    </w:rPr>
  </w:style>
  <w:style w:type="paragraph" w:styleId="Revision">
    <w:name w:val="Revision"/>
    <w:hidden/>
    <w:uiPriority w:val="99"/>
    <w:semiHidden/>
    <w:rsid w:val="000D4C02"/>
    <w:pPr>
      <w:spacing w:after="0" w:line="240" w:lineRule="auto"/>
    </w:pPr>
    <w:rPr>
      <w:rFonts w:ascii="Times New Roman" w:eastAsia="Times New Roman" w:hAnsi="Times New Roman" w:cs="Times New Roman"/>
      <w:sz w:val="20"/>
      <w:szCs w:val="20"/>
    </w:rPr>
  </w:style>
  <w:style w:type="paragraph" w:customStyle="1" w:styleId="Standard">
    <w:name w:val="Standard"/>
    <w:rsid w:val="000D4C02"/>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0D4C02"/>
    <w:pPr>
      <w:suppressLineNumbers/>
      <w:ind w:left="283" w:hanging="283"/>
    </w:pPr>
    <w:rPr>
      <w:sz w:val="20"/>
      <w:szCs w:val="20"/>
    </w:rPr>
  </w:style>
  <w:style w:type="character" w:styleId="FollowedHyperlink">
    <w:name w:val="FollowedHyperlink"/>
    <w:basedOn w:val="DefaultParagraphFont"/>
    <w:uiPriority w:val="99"/>
    <w:semiHidden/>
    <w:unhideWhenUsed/>
    <w:rsid w:val="00071E37"/>
    <w:rPr>
      <w:color w:val="954F72" w:themeColor="followedHyperlink"/>
      <w:u w:val="single"/>
    </w:rPr>
  </w:style>
  <w:style w:type="character" w:styleId="UnresolvedMention">
    <w:name w:val="Unresolved Mention"/>
    <w:basedOn w:val="DefaultParagraphFont"/>
    <w:uiPriority w:val="99"/>
    <w:semiHidden/>
    <w:unhideWhenUsed/>
    <w:rsid w:val="00071E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463281">
      <w:bodyDiv w:val="1"/>
      <w:marLeft w:val="0"/>
      <w:marRight w:val="0"/>
      <w:marTop w:val="0"/>
      <w:marBottom w:val="0"/>
      <w:divBdr>
        <w:top w:val="none" w:sz="0" w:space="0" w:color="auto"/>
        <w:left w:val="none" w:sz="0" w:space="0" w:color="auto"/>
        <w:bottom w:val="none" w:sz="0" w:space="0" w:color="auto"/>
        <w:right w:val="none" w:sz="0" w:space="0" w:color="auto"/>
      </w:divBdr>
      <w:divsChild>
        <w:div w:id="1790733611">
          <w:marLeft w:val="0"/>
          <w:marRight w:val="0"/>
          <w:marTop w:val="0"/>
          <w:marBottom w:val="0"/>
          <w:divBdr>
            <w:top w:val="none" w:sz="0" w:space="0" w:color="auto"/>
            <w:left w:val="none" w:sz="0" w:space="0" w:color="auto"/>
            <w:bottom w:val="none" w:sz="0" w:space="0" w:color="auto"/>
            <w:right w:val="none" w:sz="0" w:space="0" w:color="auto"/>
          </w:divBdr>
          <w:divsChild>
            <w:div w:id="1770202127">
              <w:marLeft w:val="0"/>
              <w:marRight w:val="0"/>
              <w:marTop w:val="0"/>
              <w:marBottom w:val="0"/>
              <w:divBdr>
                <w:top w:val="none" w:sz="0" w:space="0" w:color="auto"/>
                <w:left w:val="none" w:sz="0" w:space="0" w:color="auto"/>
                <w:bottom w:val="none" w:sz="0" w:space="0" w:color="auto"/>
                <w:right w:val="none" w:sz="0" w:space="0" w:color="auto"/>
              </w:divBdr>
              <w:divsChild>
                <w:div w:id="1030766779">
                  <w:marLeft w:val="0"/>
                  <w:marRight w:val="0"/>
                  <w:marTop w:val="0"/>
                  <w:marBottom w:val="0"/>
                  <w:divBdr>
                    <w:top w:val="none" w:sz="0" w:space="0" w:color="auto"/>
                    <w:left w:val="none" w:sz="0" w:space="0" w:color="auto"/>
                    <w:bottom w:val="none" w:sz="0" w:space="0" w:color="auto"/>
                    <w:right w:val="none" w:sz="0" w:space="0" w:color="auto"/>
                  </w:divBdr>
                  <w:divsChild>
                    <w:div w:id="1214542828">
                      <w:marLeft w:val="0"/>
                      <w:marRight w:val="0"/>
                      <w:marTop w:val="0"/>
                      <w:marBottom w:val="0"/>
                      <w:divBdr>
                        <w:top w:val="none" w:sz="0" w:space="0" w:color="auto"/>
                        <w:left w:val="none" w:sz="0" w:space="0" w:color="auto"/>
                        <w:bottom w:val="none" w:sz="0" w:space="0" w:color="auto"/>
                        <w:right w:val="none" w:sz="0" w:space="0" w:color="auto"/>
                      </w:divBdr>
                      <w:divsChild>
                        <w:div w:id="795635898">
                          <w:marLeft w:val="0"/>
                          <w:marRight w:val="0"/>
                          <w:marTop w:val="0"/>
                          <w:marBottom w:val="0"/>
                          <w:divBdr>
                            <w:top w:val="none" w:sz="0" w:space="0" w:color="auto"/>
                            <w:left w:val="none" w:sz="0" w:space="0" w:color="auto"/>
                            <w:bottom w:val="none" w:sz="0" w:space="0" w:color="auto"/>
                            <w:right w:val="none" w:sz="0" w:space="0" w:color="auto"/>
                          </w:divBdr>
                          <w:divsChild>
                            <w:div w:id="1781531693">
                              <w:marLeft w:val="15"/>
                              <w:marRight w:val="195"/>
                              <w:marTop w:val="0"/>
                              <w:marBottom w:val="0"/>
                              <w:divBdr>
                                <w:top w:val="none" w:sz="0" w:space="0" w:color="auto"/>
                                <w:left w:val="none" w:sz="0" w:space="0" w:color="auto"/>
                                <w:bottom w:val="none" w:sz="0" w:space="0" w:color="auto"/>
                                <w:right w:val="none" w:sz="0" w:space="0" w:color="auto"/>
                              </w:divBdr>
                              <w:divsChild>
                                <w:div w:id="1195465947">
                                  <w:marLeft w:val="0"/>
                                  <w:marRight w:val="0"/>
                                  <w:marTop w:val="0"/>
                                  <w:marBottom w:val="0"/>
                                  <w:divBdr>
                                    <w:top w:val="none" w:sz="0" w:space="0" w:color="auto"/>
                                    <w:left w:val="none" w:sz="0" w:space="0" w:color="auto"/>
                                    <w:bottom w:val="none" w:sz="0" w:space="0" w:color="auto"/>
                                    <w:right w:val="none" w:sz="0" w:space="0" w:color="auto"/>
                                  </w:divBdr>
                                  <w:divsChild>
                                    <w:div w:id="468212547">
                                      <w:marLeft w:val="0"/>
                                      <w:marRight w:val="0"/>
                                      <w:marTop w:val="0"/>
                                      <w:marBottom w:val="0"/>
                                      <w:divBdr>
                                        <w:top w:val="none" w:sz="0" w:space="0" w:color="auto"/>
                                        <w:left w:val="none" w:sz="0" w:space="0" w:color="auto"/>
                                        <w:bottom w:val="none" w:sz="0" w:space="0" w:color="auto"/>
                                        <w:right w:val="none" w:sz="0" w:space="0" w:color="auto"/>
                                      </w:divBdr>
                                      <w:divsChild>
                                        <w:div w:id="735249903">
                                          <w:marLeft w:val="0"/>
                                          <w:marRight w:val="0"/>
                                          <w:marTop w:val="0"/>
                                          <w:marBottom w:val="0"/>
                                          <w:divBdr>
                                            <w:top w:val="none" w:sz="0" w:space="0" w:color="auto"/>
                                            <w:left w:val="none" w:sz="0" w:space="0" w:color="auto"/>
                                            <w:bottom w:val="none" w:sz="0" w:space="0" w:color="auto"/>
                                            <w:right w:val="none" w:sz="0" w:space="0" w:color="auto"/>
                                          </w:divBdr>
                                          <w:divsChild>
                                            <w:div w:id="1139155798">
                                              <w:marLeft w:val="0"/>
                                              <w:marRight w:val="0"/>
                                              <w:marTop w:val="0"/>
                                              <w:marBottom w:val="0"/>
                                              <w:divBdr>
                                                <w:top w:val="none" w:sz="0" w:space="0" w:color="auto"/>
                                                <w:left w:val="none" w:sz="0" w:space="0" w:color="auto"/>
                                                <w:bottom w:val="none" w:sz="0" w:space="0" w:color="auto"/>
                                                <w:right w:val="none" w:sz="0" w:space="0" w:color="auto"/>
                                              </w:divBdr>
                                              <w:divsChild>
                                                <w:div w:id="2115049242">
                                                  <w:marLeft w:val="0"/>
                                                  <w:marRight w:val="0"/>
                                                  <w:marTop w:val="0"/>
                                                  <w:marBottom w:val="0"/>
                                                  <w:divBdr>
                                                    <w:top w:val="none" w:sz="0" w:space="0" w:color="auto"/>
                                                    <w:left w:val="none" w:sz="0" w:space="0" w:color="auto"/>
                                                    <w:bottom w:val="none" w:sz="0" w:space="0" w:color="auto"/>
                                                    <w:right w:val="none" w:sz="0" w:space="0" w:color="auto"/>
                                                  </w:divBdr>
                                                  <w:divsChild>
                                                    <w:div w:id="59208375">
                                                      <w:marLeft w:val="0"/>
                                                      <w:marRight w:val="0"/>
                                                      <w:marTop w:val="0"/>
                                                      <w:marBottom w:val="0"/>
                                                      <w:divBdr>
                                                        <w:top w:val="none" w:sz="0" w:space="0" w:color="auto"/>
                                                        <w:left w:val="none" w:sz="0" w:space="0" w:color="auto"/>
                                                        <w:bottom w:val="none" w:sz="0" w:space="0" w:color="auto"/>
                                                        <w:right w:val="none" w:sz="0" w:space="0" w:color="auto"/>
                                                      </w:divBdr>
                                                      <w:divsChild>
                                                        <w:div w:id="1735422974">
                                                          <w:marLeft w:val="0"/>
                                                          <w:marRight w:val="0"/>
                                                          <w:marTop w:val="0"/>
                                                          <w:marBottom w:val="0"/>
                                                          <w:divBdr>
                                                            <w:top w:val="none" w:sz="0" w:space="0" w:color="auto"/>
                                                            <w:left w:val="none" w:sz="0" w:space="0" w:color="auto"/>
                                                            <w:bottom w:val="none" w:sz="0" w:space="0" w:color="auto"/>
                                                            <w:right w:val="none" w:sz="0" w:space="0" w:color="auto"/>
                                                          </w:divBdr>
                                                          <w:divsChild>
                                                            <w:div w:id="1866014975">
                                                              <w:marLeft w:val="0"/>
                                                              <w:marRight w:val="0"/>
                                                              <w:marTop w:val="0"/>
                                                              <w:marBottom w:val="0"/>
                                                              <w:divBdr>
                                                                <w:top w:val="none" w:sz="0" w:space="0" w:color="auto"/>
                                                                <w:left w:val="none" w:sz="0" w:space="0" w:color="auto"/>
                                                                <w:bottom w:val="none" w:sz="0" w:space="0" w:color="auto"/>
                                                                <w:right w:val="none" w:sz="0" w:space="0" w:color="auto"/>
                                                              </w:divBdr>
                                                              <w:divsChild>
                                                                <w:div w:id="707879999">
                                                                  <w:marLeft w:val="0"/>
                                                                  <w:marRight w:val="0"/>
                                                                  <w:marTop w:val="0"/>
                                                                  <w:marBottom w:val="0"/>
                                                                  <w:divBdr>
                                                                    <w:top w:val="none" w:sz="0" w:space="0" w:color="auto"/>
                                                                    <w:left w:val="none" w:sz="0" w:space="0" w:color="auto"/>
                                                                    <w:bottom w:val="none" w:sz="0" w:space="0" w:color="auto"/>
                                                                    <w:right w:val="none" w:sz="0" w:space="0" w:color="auto"/>
                                                                  </w:divBdr>
                                                                  <w:divsChild>
                                                                    <w:div w:id="2132287781">
                                                                      <w:marLeft w:val="405"/>
                                                                      <w:marRight w:val="0"/>
                                                                      <w:marTop w:val="0"/>
                                                                      <w:marBottom w:val="0"/>
                                                                      <w:divBdr>
                                                                        <w:top w:val="none" w:sz="0" w:space="0" w:color="auto"/>
                                                                        <w:left w:val="none" w:sz="0" w:space="0" w:color="auto"/>
                                                                        <w:bottom w:val="none" w:sz="0" w:space="0" w:color="auto"/>
                                                                        <w:right w:val="none" w:sz="0" w:space="0" w:color="auto"/>
                                                                      </w:divBdr>
                                                                      <w:divsChild>
                                                                        <w:div w:id="58679006">
                                                                          <w:marLeft w:val="0"/>
                                                                          <w:marRight w:val="0"/>
                                                                          <w:marTop w:val="0"/>
                                                                          <w:marBottom w:val="0"/>
                                                                          <w:divBdr>
                                                                            <w:top w:val="none" w:sz="0" w:space="0" w:color="auto"/>
                                                                            <w:left w:val="none" w:sz="0" w:space="0" w:color="auto"/>
                                                                            <w:bottom w:val="none" w:sz="0" w:space="0" w:color="auto"/>
                                                                            <w:right w:val="none" w:sz="0" w:space="0" w:color="auto"/>
                                                                          </w:divBdr>
                                                                          <w:divsChild>
                                                                            <w:div w:id="2097164221">
                                                                              <w:marLeft w:val="0"/>
                                                                              <w:marRight w:val="0"/>
                                                                              <w:marTop w:val="0"/>
                                                                              <w:marBottom w:val="0"/>
                                                                              <w:divBdr>
                                                                                <w:top w:val="none" w:sz="0" w:space="0" w:color="auto"/>
                                                                                <w:left w:val="none" w:sz="0" w:space="0" w:color="auto"/>
                                                                                <w:bottom w:val="none" w:sz="0" w:space="0" w:color="auto"/>
                                                                                <w:right w:val="none" w:sz="0" w:space="0" w:color="auto"/>
                                                                              </w:divBdr>
                                                                              <w:divsChild>
                                                                                <w:div w:id="1474786929">
                                                                                  <w:marLeft w:val="0"/>
                                                                                  <w:marRight w:val="0"/>
                                                                                  <w:marTop w:val="60"/>
                                                                                  <w:marBottom w:val="0"/>
                                                                                  <w:divBdr>
                                                                                    <w:top w:val="none" w:sz="0" w:space="0" w:color="auto"/>
                                                                                    <w:left w:val="none" w:sz="0" w:space="0" w:color="auto"/>
                                                                                    <w:bottom w:val="none" w:sz="0" w:space="0" w:color="auto"/>
                                                                                    <w:right w:val="none" w:sz="0" w:space="0" w:color="auto"/>
                                                                                  </w:divBdr>
                                                                                  <w:divsChild>
                                                                                    <w:div w:id="1428307834">
                                                                                      <w:marLeft w:val="0"/>
                                                                                      <w:marRight w:val="0"/>
                                                                                      <w:marTop w:val="0"/>
                                                                                      <w:marBottom w:val="0"/>
                                                                                      <w:divBdr>
                                                                                        <w:top w:val="none" w:sz="0" w:space="0" w:color="auto"/>
                                                                                        <w:left w:val="none" w:sz="0" w:space="0" w:color="auto"/>
                                                                                        <w:bottom w:val="none" w:sz="0" w:space="0" w:color="auto"/>
                                                                                        <w:right w:val="none" w:sz="0" w:space="0" w:color="auto"/>
                                                                                      </w:divBdr>
                                                                                      <w:divsChild>
                                                                                        <w:div w:id="2142116728">
                                                                                          <w:marLeft w:val="0"/>
                                                                                          <w:marRight w:val="0"/>
                                                                                          <w:marTop w:val="0"/>
                                                                                          <w:marBottom w:val="0"/>
                                                                                          <w:divBdr>
                                                                                            <w:top w:val="none" w:sz="0" w:space="0" w:color="auto"/>
                                                                                            <w:left w:val="none" w:sz="0" w:space="0" w:color="auto"/>
                                                                                            <w:bottom w:val="none" w:sz="0" w:space="0" w:color="auto"/>
                                                                                            <w:right w:val="none" w:sz="0" w:space="0" w:color="auto"/>
                                                                                          </w:divBdr>
                                                                                          <w:divsChild>
                                                                                            <w:div w:id="1259410810">
                                                                                              <w:marLeft w:val="0"/>
                                                                                              <w:marRight w:val="0"/>
                                                                                              <w:marTop w:val="0"/>
                                                                                              <w:marBottom w:val="0"/>
                                                                                              <w:divBdr>
                                                                                                <w:top w:val="none" w:sz="0" w:space="0" w:color="auto"/>
                                                                                                <w:left w:val="none" w:sz="0" w:space="0" w:color="auto"/>
                                                                                                <w:bottom w:val="none" w:sz="0" w:space="0" w:color="auto"/>
                                                                                                <w:right w:val="none" w:sz="0" w:space="0" w:color="auto"/>
                                                                                              </w:divBdr>
                                                                                              <w:divsChild>
                                                                                                <w:div w:id="899680852">
                                                                                                  <w:marLeft w:val="0"/>
                                                                                                  <w:marRight w:val="0"/>
                                                                                                  <w:marTop w:val="0"/>
                                                                                                  <w:marBottom w:val="0"/>
                                                                                                  <w:divBdr>
                                                                                                    <w:top w:val="none" w:sz="0" w:space="0" w:color="auto"/>
                                                                                                    <w:left w:val="none" w:sz="0" w:space="0" w:color="auto"/>
                                                                                                    <w:bottom w:val="none" w:sz="0" w:space="0" w:color="auto"/>
                                                                                                    <w:right w:val="none" w:sz="0" w:space="0" w:color="auto"/>
                                                                                                  </w:divBdr>
                                                                                                  <w:divsChild>
                                                                                                    <w:div w:id="1681926525">
                                                                                                      <w:marLeft w:val="0"/>
                                                                                                      <w:marRight w:val="0"/>
                                                                                                      <w:marTop w:val="0"/>
                                                                                                      <w:marBottom w:val="0"/>
                                                                                                      <w:divBdr>
                                                                                                        <w:top w:val="none" w:sz="0" w:space="0" w:color="auto"/>
                                                                                                        <w:left w:val="none" w:sz="0" w:space="0" w:color="auto"/>
                                                                                                        <w:bottom w:val="none" w:sz="0" w:space="0" w:color="auto"/>
                                                                                                        <w:right w:val="none" w:sz="0" w:space="0" w:color="auto"/>
                                                                                                      </w:divBdr>
                                                                                                      <w:divsChild>
                                                                                                        <w:div w:id="908344560">
                                                                                                          <w:marLeft w:val="0"/>
                                                                                                          <w:marRight w:val="0"/>
                                                                                                          <w:marTop w:val="0"/>
                                                                                                          <w:marBottom w:val="0"/>
                                                                                                          <w:divBdr>
                                                                                                            <w:top w:val="none" w:sz="0" w:space="0" w:color="auto"/>
                                                                                                            <w:left w:val="none" w:sz="0" w:space="0" w:color="auto"/>
                                                                                                            <w:bottom w:val="none" w:sz="0" w:space="0" w:color="auto"/>
                                                                                                            <w:right w:val="none" w:sz="0" w:space="0" w:color="auto"/>
                                                                                                          </w:divBdr>
                                                                                                          <w:divsChild>
                                                                                                            <w:div w:id="12358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2019-03-20T19:52:51+00:00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E83D8E165CDD94BAB4245CF27B475E6" ma:contentTypeVersion="8" ma:contentTypeDescription="Create a new document." ma:contentTypeScope="" ma:versionID="73c52df25e338128a18b3fc65cda177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684b591-4bfe-4634-ad08-7851179d68d8" xmlns:ns6="7d8dd676-26ca-4e08-b90f-b4e0026a58ac" targetNamespace="http://schemas.microsoft.com/office/2006/metadata/properties" ma:root="true" ma:fieldsID="f0d8bd8c67bf87852ad8ec022832950d" ns1:_="" ns2:_="" ns3:_="" ns4:_="" ns5:_="" ns6:_="">
    <xsd:import namespace="http://schemas.microsoft.com/sharepoint/v3"/>
    <xsd:import namespace="4ffa91fb-a0ff-4ac5-b2db-65c790d184a4"/>
    <xsd:import namespace="http://schemas.microsoft.com/sharepoint.v3"/>
    <xsd:import namespace="http://schemas.microsoft.com/sharepoint/v3/fields"/>
    <xsd:import namespace="9684b591-4bfe-4634-ad08-7851179d68d8"/>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84b591-4bfe-4634-ad08-7851179d68d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A1ACE-39FD-429A-8C39-9D51409D401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F7EB44F6-AA43-4CD4-831E-392B7030E7EA}">
  <ds:schemaRefs>
    <ds:schemaRef ds:uri="http://schemas.microsoft.com/sharepoint/v3/contenttype/forms"/>
  </ds:schemaRefs>
</ds:datastoreItem>
</file>

<file path=customXml/itemProps3.xml><?xml version="1.0" encoding="utf-8"?>
<ds:datastoreItem xmlns:ds="http://schemas.openxmlformats.org/officeDocument/2006/customXml" ds:itemID="{F436B023-A9FD-4435-8B77-01B24FEF3431}">
  <ds:schemaRefs>
    <ds:schemaRef ds:uri="Microsoft.SharePoint.Taxonomy.ContentTypeSync"/>
  </ds:schemaRefs>
</ds:datastoreItem>
</file>

<file path=customXml/itemProps4.xml><?xml version="1.0" encoding="utf-8"?>
<ds:datastoreItem xmlns:ds="http://schemas.openxmlformats.org/officeDocument/2006/customXml" ds:itemID="{3F44204F-AB55-453E-AA42-5B657DC85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684b591-4bfe-4634-ad08-7851179d68d8"/>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8FCD49-C1D3-48D0-AE28-9BD81DD3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Boylan, Thomas</dc:creator>
  <cp:keywords/>
  <dc:description/>
  <cp:lastModifiedBy>Salahuddin, Diane</cp:lastModifiedBy>
  <cp:revision>2</cp:revision>
  <cp:lastPrinted>2019-06-04T20:31:00Z</cp:lastPrinted>
  <dcterms:created xsi:type="dcterms:W3CDTF">2019-10-17T15:20:00Z</dcterms:created>
  <dcterms:modified xsi:type="dcterms:W3CDTF">2019-10-17T15:20:00Z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0x010100DE83D8E165CDD94BAB4245CF27B475E6</vt:lpwstr>
  </property>
  <property fmtid="{D5CDD505-2E9C-101B-9397-08002B2CF9AE}" pid="3" name="TaxKeyword">
    <vt:lpwstr/>
  </property>
  <property fmtid="{D5CDD505-2E9C-101B-9397-08002B2CF9AE}" pid="4" name="AuthorIds_UIVersion_2048">
    <vt:lpwstr>3809</vt:lpwstr>
  </property>
  <property fmtid="{D5CDD505-2E9C-101B-9397-08002B2CF9AE}" pid="5" name="EPA Subject">
    <vt:lpwstr/>
  </property>
  <property fmtid="{D5CDD505-2E9C-101B-9397-08002B2CF9AE}" pid="6" name="Document Type">
    <vt:lpwstr/>
  </property>
</Properties>
</file>