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08A0" w:rsidR="00D608A0" w:rsidP="00D608A0" w:rsidRDefault="00D608A0" w14:paraId="6A0F94A4" w14:textId="77777777">
      <w:pPr>
        <w:widowControl w:val="0"/>
        <w:autoSpaceDE w:val="0"/>
        <w:autoSpaceDN w:val="0"/>
        <w:spacing w:before="2376" w:after="0" w:line="240" w:lineRule="auto"/>
        <w:jc w:val="center"/>
        <w:rPr>
          <w:rFonts w:ascii="Times New Roman" w:hAnsi="Times New Roman" w:eastAsia="Times New Roman" w:cs="Times New Roman"/>
          <w:spacing w:val="8"/>
          <w:sz w:val="24"/>
          <w:szCs w:val="24"/>
        </w:rPr>
      </w:pPr>
      <w:r w:rsidRPr="00D608A0">
        <w:rPr>
          <w:rFonts w:ascii="Times New Roman" w:hAnsi="Times New Roman" w:eastAsia="Times New Roman" w:cs="Times New Roman"/>
          <w:spacing w:val="8"/>
          <w:sz w:val="24"/>
          <w:szCs w:val="24"/>
        </w:rPr>
        <w:t>Supporting Statement</w:t>
      </w:r>
      <w:r w:rsidRPr="00D608A0">
        <w:rPr>
          <w:rFonts w:ascii="Times New Roman" w:hAnsi="Times New Roman" w:eastAsia="Times New Roman" w:cs="Times New Roman"/>
          <w:spacing w:val="8"/>
          <w:sz w:val="24"/>
          <w:szCs w:val="24"/>
        </w:rPr>
        <w:br/>
        <w:t>for</w:t>
      </w:r>
      <w:r w:rsidRPr="00D608A0">
        <w:rPr>
          <w:rFonts w:ascii="Times New Roman" w:hAnsi="Times New Roman" w:eastAsia="Times New Roman" w:cs="Times New Roman"/>
          <w:spacing w:val="8"/>
          <w:sz w:val="24"/>
          <w:szCs w:val="24"/>
        </w:rPr>
        <w:br/>
        <w:t>Information Collection Request</w:t>
      </w:r>
    </w:p>
    <w:p w:rsidR="006F6195" w:rsidRDefault="006F6195" w14:paraId="72C656E1" w14:textId="77777777"/>
    <w:p w:rsidR="00D608A0" w:rsidP="00D608A0" w:rsidRDefault="00D608A0" w14:paraId="3DFFE6E1" w14:textId="346C7485">
      <w:pPr>
        <w:jc w:val="center"/>
        <w:rPr>
          <w:rFonts w:ascii="Times New Roman" w:hAnsi="Times New Roman" w:cs="Times New Roman"/>
          <w:sz w:val="24"/>
          <w:szCs w:val="24"/>
        </w:rPr>
      </w:pPr>
      <w:r w:rsidRPr="00D608A0">
        <w:rPr>
          <w:rFonts w:ascii="Times New Roman" w:hAnsi="Times New Roman" w:cs="Times New Roman"/>
          <w:sz w:val="24"/>
          <w:szCs w:val="24"/>
        </w:rPr>
        <w:t>On-Highway Motorcycle Certification and Compliance Program</w:t>
      </w:r>
      <w:r w:rsidR="00CE5CCD">
        <w:rPr>
          <w:rFonts w:ascii="Times New Roman" w:hAnsi="Times New Roman" w:cs="Times New Roman"/>
          <w:sz w:val="24"/>
          <w:szCs w:val="24"/>
        </w:rPr>
        <w:t xml:space="preserve"> (Renewal)</w:t>
      </w:r>
    </w:p>
    <w:p w:rsidR="00F313FD" w:rsidP="00D608A0" w:rsidRDefault="00F313FD" w14:paraId="14A8407C" w14:textId="77777777">
      <w:pPr>
        <w:jc w:val="center"/>
        <w:rPr>
          <w:rFonts w:ascii="Times New Roman" w:hAnsi="Times New Roman" w:cs="Times New Roman"/>
          <w:sz w:val="24"/>
          <w:szCs w:val="24"/>
        </w:rPr>
      </w:pPr>
      <w:r>
        <w:rPr>
          <w:rFonts w:ascii="Times New Roman" w:hAnsi="Times New Roman" w:cs="Times New Roman"/>
          <w:sz w:val="24"/>
          <w:szCs w:val="24"/>
        </w:rPr>
        <w:t>OMB Control Number 2060-0710</w:t>
      </w:r>
    </w:p>
    <w:p w:rsidR="00D608A0" w:rsidP="00D608A0" w:rsidRDefault="00D608A0" w14:paraId="1D492A5F" w14:textId="0720E971">
      <w:pPr>
        <w:jc w:val="center"/>
        <w:rPr>
          <w:rFonts w:ascii="Times New Roman" w:hAnsi="Times New Roman" w:cs="Times New Roman"/>
          <w:sz w:val="24"/>
          <w:szCs w:val="24"/>
        </w:rPr>
      </w:pPr>
      <w:r w:rsidRPr="00D608A0">
        <w:rPr>
          <w:rFonts w:ascii="Times New Roman" w:hAnsi="Times New Roman" w:cs="Times New Roman"/>
          <w:sz w:val="24"/>
          <w:szCs w:val="24"/>
        </w:rPr>
        <w:t>EPA ICR Number 2535.0</w:t>
      </w:r>
      <w:r w:rsidR="00CE5CCD">
        <w:rPr>
          <w:rFonts w:ascii="Times New Roman" w:hAnsi="Times New Roman" w:cs="Times New Roman"/>
          <w:sz w:val="24"/>
          <w:szCs w:val="24"/>
        </w:rPr>
        <w:t>2</w:t>
      </w:r>
    </w:p>
    <w:p w:rsidR="00D608A0" w:rsidP="00D608A0" w:rsidRDefault="00D608A0" w14:paraId="1AEB2FD1" w14:textId="77777777">
      <w:pPr>
        <w:jc w:val="center"/>
        <w:rPr>
          <w:rFonts w:ascii="Times New Roman" w:hAnsi="Times New Roman" w:cs="Times New Roman"/>
          <w:sz w:val="24"/>
          <w:szCs w:val="24"/>
        </w:rPr>
      </w:pPr>
    </w:p>
    <w:p w:rsidR="00D608A0" w:rsidP="00D608A0" w:rsidRDefault="00D608A0" w14:paraId="4B962C55" w14:textId="77777777">
      <w:pPr>
        <w:jc w:val="center"/>
        <w:rPr>
          <w:rFonts w:ascii="Times New Roman" w:hAnsi="Times New Roman" w:cs="Times New Roman"/>
          <w:sz w:val="24"/>
          <w:szCs w:val="24"/>
        </w:rPr>
      </w:pPr>
    </w:p>
    <w:p w:rsidR="00D608A0" w:rsidP="00D608A0" w:rsidRDefault="00D608A0" w14:paraId="5B2F96B0" w14:textId="77777777">
      <w:pPr>
        <w:jc w:val="center"/>
        <w:rPr>
          <w:rFonts w:ascii="Times New Roman" w:hAnsi="Times New Roman" w:cs="Times New Roman"/>
          <w:sz w:val="24"/>
          <w:szCs w:val="24"/>
        </w:rPr>
      </w:pPr>
    </w:p>
    <w:p w:rsidR="00D608A0" w:rsidP="00D608A0" w:rsidRDefault="00D608A0" w14:paraId="4BB4C7A9" w14:textId="77777777">
      <w:pPr>
        <w:jc w:val="center"/>
        <w:rPr>
          <w:rFonts w:ascii="Times New Roman" w:hAnsi="Times New Roman" w:cs="Times New Roman"/>
          <w:sz w:val="24"/>
          <w:szCs w:val="24"/>
        </w:rPr>
      </w:pPr>
    </w:p>
    <w:p w:rsidR="00D608A0" w:rsidP="00D608A0" w:rsidRDefault="00D608A0" w14:paraId="052F73F2" w14:textId="77777777">
      <w:pPr>
        <w:jc w:val="center"/>
        <w:rPr>
          <w:rFonts w:ascii="Times New Roman" w:hAnsi="Times New Roman" w:cs="Times New Roman"/>
          <w:sz w:val="24"/>
          <w:szCs w:val="24"/>
        </w:rPr>
      </w:pPr>
    </w:p>
    <w:p w:rsidRPr="00D608A0" w:rsidR="00D608A0" w:rsidP="00D608A0" w:rsidRDefault="00D608A0" w14:paraId="087FB58D" w14:textId="77777777">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Compliance Division</w:t>
      </w:r>
    </w:p>
    <w:p w:rsidRPr="00D608A0" w:rsidR="00D608A0" w:rsidP="00D608A0" w:rsidRDefault="00D608A0" w14:paraId="2664A343" w14:textId="77777777">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Office of Transportation and Air Quality</w:t>
      </w:r>
    </w:p>
    <w:p w:rsidRPr="00D608A0" w:rsidR="00D608A0" w:rsidP="00D608A0" w:rsidRDefault="00D608A0" w14:paraId="7DD80E4A" w14:textId="77777777">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Office of Air and Radiation</w:t>
      </w:r>
    </w:p>
    <w:p w:rsidR="00D608A0" w:rsidP="00D608A0" w:rsidRDefault="00D608A0" w14:paraId="64A91BA0" w14:textId="77777777">
      <w:pPr>
        <w:spacing w:after="0" w:line="240" w:lineRule="auto"/>
        <w:jc w:val="center"/>
        <w:rPr>
          <w:rFonts w:ascii="Times New Roman" w:hAnsi="Times New Roman" w:cs="Times New Roman"/>
          <w:sz w:val="24"/>
          <w:szCs w:val="24"/>
        </w:rPr>
      </w:pPr>
      <w:r w:rsidRPr="00D608A0">
        <w:rPr>
          <w:rFonts w:ascii="Times New Roman" w:hAnsi="Times New Roman" w:cs="Times New Roman"/>
          <w:sz w:val="24"/>
          <w:szCs w:val="24"/>
        </w:rPr>
        <w:t>U.S. Environmental Protection Agency</w:t>
      </w:r>
    </w:p>
    <w:p w:rsidR="00D608A0" w:rsidP="00D608A0" w:rsidRDefault="00D608A0" w14:paraId="4695B4F2" w14:textId="77777777">
      <w:pPr>
        <w:spacing w:after="0" w:line="240" w:lineRule="auto"/>
        <w:jc w:val="center"/>
        <w:rPr>
          <w:rFonts w:ascii="Times New Roman" w:hAnsi="Times New Roman" w:cs="Times New Roman"/>
          <w:sz w:val="24"/>
          <w:szCs w:val="24"/>
        </w:rPr>
      </w:pPr>
    </w:p>
    <w:p w:rsidR="00D608A0" w:rsidRDefault="00D608A0" w14:paraId="784B905C" w14:textId="77777777">
      <w:pPr>
        <w:rPr>
          <w:rFonts w:ascii="Times New Roman" w:hAnsi="Times New Roman" w:cs="Times New Roman"/>
          <w:sz w:val="24"/>
          <w:szCs w:val="24"/>
        </w:rPr>
      </w:pPr>
      <w:r>
        <w:rPr>
          <w:rFonts w:ascii="Times New Roman" w:hAnsi="Times New Roman" w:cs="Times New Roman"/>
          <w:sz w:val="24"/>
          <w:szCs w:val="24"/>
        </w:rPr>
        <w:br w:type="page"/>
      </w:r>
    </w:p>
    <w:p w:rsidR="00D608A0" w:rsidP="00D608A0" w:rsidRDefault="00D608A0" w14:paraId="05EE2192"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Part A </w:t>
      </w:r>
      <w:r w:rsidR="00DD779A">
        <w:rPr>
          <w:rFonts w:ascii="Times New Roman" w:hAnsi="Times New Roman" w:cs="Times New Roman"/>
          <w:sz w:val="24"/>
          <w:szCs w:val="24"/>
        </w:rPr>
        <w:t>of the Supporting Statement</w:t>
      </w:r>
    </w:p>
    <w:p w:rsidR="00DD779A" w:rsidP="00D608A0" w:rsidRDefault="00DD779A" w14:paraId="1B8A932A" w14:textId="77777777">
      <w:pPr>
        <w:widowControl w:val="0"/>
        <w:autoSpaceDE w:val="0"/>
        <w:autoSpaceDN w:val="0"/>
        <w:spacing w:after="0" w:line="480" w:lineRule="auto"/>
        <w:ind w:right="3456" w:firstLine="3456"/>
        <w:rPr>
          <w:rFonts w:ascii="Times New Roman" w:hAnsi="Times New Roman" w:cs="Times New Roman"/>
          <w:sz w:val="24"/>
          <w:szCs w:val="24"/>
        </w:rPr>
      </w:pPr>
    </w:p>
    <w:p w:rsidRPr="00D608A0" w:rsidR="00D608A0" w:rsidP="00DD779A" w:rsidRDefault="00D608A0" w14:paraId="2E3C83C8" w14:textId="77777777">
      <w:pPr>
        <w:widowControl w:val="0"/>
        <w:autoSpaceDE w:val="0"/>
        <w:autoSpaceDN w:val="0"/>
        <w:spacing w:after="0" w:line="480" w:lineRule="auto"/>
        <w:rPr>
          <w:rFonts w:ascii="Times New Roman" w:hAnsi="Times New Roman" w:eastAsia="Times New Roman" w:cs="Times New Roman"/>
          <w:spacing w:val="6"/>
          <w:sz w:val="24"/>
          <w:szCs w:val="24"/>
          <w:u w:val="single"/>
        </w:rPr>
      </w:pPr>
      <w:r w:rsidRPr="00D608A0">
        <w:rPr>
          <w:rFonts w:ascii="Times New Roman" w:hAnsi="Times New Roman" w:eastAsia="Times New Roman" w:cs="Times New Roman"/>
          <w:spacing w:val="6"/>
          <w:sz w:val="24"/>
          <w:szCs w:val="24"/>
          <w:u w:val="single"/>
        </w:rPr>
        <w:t xml:space="preserve">Section 1: Identification </w:t>
      </w:r>
      <w:r>
        <w:rPr>
          <w:rFonts w:ascii="Times New Roman" w:hAnsi="Times New Roman" w:eastAsia="Times New Roman" w:cs="Times New Roman"/>
          <w:spacing w:val="6"/>
          <w:sz w:val="24"/>
          <w:szCs w:val="24"/>
          <w:u w:val="single"/>
        </w:rPr>
        <w:t>o</w:t>
      </w:r>
      <w:r w:rsidRPr="00D608A0">
        <w:rPr>
          <w:rFonts w:ascii="Times New Roman" w:hAnsi="Times New Roman" w:eastAsia="Times New Roman" w:cs="Times New Roman"/>
          <w:spacing w:val="6"/>
          <w:sz w:val="24"/>
          <w:szCs w:val="24"/>
          <w:u w:val="single"/>
        </w:rPr>
        <w:t>f the Information Collection</w:t>
      </w:r>
    </w:p>
    <w:p w:rsidRPr="00D608A0" w:rsidR="00D608A0" w:rsidP="00D608A0" w:rsidRDefault="00D608A0" w14:paraId="62985B1B" w14:textId="77777777">
      <w:pPr>
        <w:widowControl w:val="0"/>
        <w:autoSpaceDE w:val="0"/>
        <w:autoSpaceDN w:val="0"/>
        <w:spacing w:after="0" w:line="480" w:lineRule="auto"/>
        <w:ind w:right="3456"/>
        <w:outlineLvl w:val="0"/>
        <w:rPr>
          <w:rFonts w:ascii="Times New Roman" w:hAnsi="Times New Roman" w:eastAsia="Times New Roman" w:cs="Times New Roman"/>
          <w:spacing w:val="6"/>
          <w:sz w:val="24"/>
          <w:szCs w:val="24"/>
        </w:rPr>
      </w:pPr>
      <w:r w:rsidRPr="00D608A0">
        <w:rPr>
          <w:rFonts w:ascii="Times New Roman" w:hAnsi="Times New Roman" w:eastAsia="Times New Roman" w:cs="Times New Roman"/>
          <w:spacing w:val="6"/>
          <w:sz w:val="24"/>
          <w:szCs w:val="24"/>
        </w:rPr>
        <w:t xml:space="preserve">1(a) </w:t>
      </w:r>
      <w:r>
        <w:rPr>
          <w:rFonts w:ascii="Times New Roman" w:hAnsi="Times New Roman" w:eastAsia="Times New Roman" w:cs="Times New Roman"/>
          <w:spacing w:val="6"/>
          <w:sz w:val="24"/>
          <w:szCs w:val="24"/>
          <w:u w:val="single"/>
        </w:rPr>
        <w:t>Title a</w:t>
      </w:r>
      <w:r w:rsidRPr="00D608A0">
        <w:rPr>
          <w:rFonts w:ascii="Times New Roman" w:hAnsi="Times New Roman" w:eastAsia="Times New Roman" w:cs="Times New Roman"/>
          <w:spacing w:val="6"/>
          <w:sz w:val="24"/>
          <w:szCs w:val="24"/>
          <w:u w:val="single"/>
        </w:rPr>
        <w:t>nd</w:t>
      </w:r>
      <w:r>
        <w:rPr>
          <w:rFonts w:ascii="Times New Roman" w:hAnsi="Times New Roman" w:eastAsia="Times New Roman" w:cs="Times New Roman"/>
          <w:spacing w:val="6"/>
          <w:sz w:val="24"/>
          <w:szCs w:val="24"/>
          <w:u w:val="single"/>
        </w:rPr>
        <w:t xml:space="preserve"> Number o</w:t>
      </w:r>
      <w:r w:rsidRPr="00D608A0">
        <w:rPr>
          <w:rFonts w:ascii="Times New Roman" w:hAnsi="Times New Roman" w:eastAsia="Times New Roman" w:cs="Times New Roman"/>
          <w:spacing w:val="6"/>
          <w:sz w:val="24"/>
          <w:szCs w:val="24"/>
          <w:u w:val="single"/>
        </w:rPr>
        <w:t>f the Information Collection</w:t>
      </w:r>
    </w:p>
    <w:p w:rsidR="00D608A0" w:rsidP="00D608A0" w:rsidRDefault="00604141" w14:paraId="09EC17A5" w14:textId="38C57203">
      <w:pPr>
        <w:widowControl w:val="0"/>
        <w:autoSpaceDE w:val="0"/>
        <w:autoSpaceDN w:val="0"/>
        <w:spacing w:after="0" w:line="240" w:lineRule="auto"/>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On-</w:t>
      </w:r>
      <w:r w:rsidRPr="00D608A0" w:rsidR="00D608A0">
        <w:rPr>
          <w:rFonts w:ascii="Times New Roman" w:hAnsi="Times New Roman" w:eastAsia="Times New Roman" w:cs="Times New Roman"/>
          <w:spacing w:val="6"/>
          <w:sz w:val="24"/>
          <w:szCs w:val="24"/>
        </w:rPr>
        <w:t xml:space="preserve">Highway Motorcycle </w:t>
      </w:r>
      <w:r w:rsidR="00B85F7C">
        <w:rPr>
          <w:rFonts w:ascii="Times New Roman" w:hAnsi="Times New Roman" w:eastAsia="Times New Roman" w:cs="Times New Roman"/>
          <w:spacing w:val="6"/>
          <w:sz w:val="24"/>
          <w:szCs w:val="24"/>
        </w:rPr>
        <w:t xml:space="preserve">(HMC) </w:t>
      </w:r>
      <w:r w:rsidRPr="00D608A0" w:rsidR="00D608A0">
        <w:rPr>
          <w:rFonts w:ascii="Times New Roman" w:hAnsi="Times New Roman" w:eastAsia="Times New Roman" w:cs="Times New Roman"/>
          <w:spacing w:val="6"/>
          <w:sz w:val="24"/>
          <w:szCs w:val="24"/>
        </w:rPr>
        <w:t>Certification and Compliance Program</w:t>
      </w:r>
      <w:r w:rsidR="000578E9">
        <w:rPr>
          <w:rFonts w:ascii="Times New Roman" w:hAnsi="Times New Roman" w:eastAsia="Times New Roman" w:cs="Times New Roman"/>
          <w:spacing w:val="6"/>
          <w:sz w:val="24"/>
          <w:szCs w:val="24"/>
        </w:rPr>
        <w:t xml:space="preserve"> (Renewal)</w:t>
      </w:r>
      <w:r w:rsidR="00FA57CB">
        <w:rPr>
          <w:rFonts w:ascii="Times New Roman" w:hAnsi="Times New Roman" w:eastAsia="Times New Roman" w:cs="Times New Roman"/>
          <w:spacing w:val="6"/>
          <w:sz w:val="24"/>
          <w:szCs w:val="24"/>
        </w:rPr>
        <w:t>;</w:t>
      </w:r>
      <w:r w:rsidRPr="00D608A0" w:rsidR="00D608A0">
        <w:rPr>
          <w:rFonts w:ascii="Times New Roman" w:hAnsi="Times New Roman" w:eastAsia="Times New Roman" w:cs="Times New Roman"/>
          <w:spacing w:val="6"/>
          <w:sz w:val="24"/>
          <w:szCs w:val="24"/>
        </w:rPr>
        <w:t xml:space="preserve"> EPA</w:t>
      </w:r>
      <w:r w:rsidR="007514F8">
        <w:rPr>
          <w:rFonts w:ascii="Times New Roman" w:hAnsi="Times New Roman" w:eastAsia="Times New Roman" w:cs="Times New Roman"/>
          <w:spacing w:val="6"/>
          <w:sz w:val="24"/>
          <w:szCs w:val="24"/>
        </w:rPr>
        <w:t xml:space="preserve"> </w:t>
      </w:r>
      <w:r w:rsidRPr="00D608A0" w:rsidR="00D608A0">
        <w:rPr>
          <w:rFonts w:ascii="Times New Roman" w:hAnsi="Times New Roman" w:eastAsia="Times New Roman" w:cs="Times New Roman"/>
          <w:spacing w:val="6"/>
          <w:sz w:val="24"/>
          <w:szCs w:val="24"/>
        </w:rPr>
        <w:t>ICR Number</w:t>
      </w:r>
      <w:r w:rsidR="00FA57CB">
        <w:rPr>
          <w:rFonts w:ascii="Times New Roman" w:hAnsi="Times New Roman" w:eastAsia="Times New Roman" w:cs="Times New Roman"/>
          <w:spacing w:val="6"/>
          <w:sz w:val="24"/>
          <w:szCs w:val="24"/>
        </w:rPr>
        <w:t>:</w:t>
      </w:r>
      <w:r w:rsidRPr="00D608A0" w:rsidR="00D608A0">
        <w:rPr>
          <w:rFonts w:ascii="Times New Roman" w:hAnsi="Times New Roman" w:eastAsia="Times New Roman" w:cs="Times New Roman"/>
          <w:spacing w:val="6"/>
          <w:sz w:val="24"/>
          <w:szCs w:val="24"/>
        </w:rPr>
        <w:t xml:space="preserve"> 2535.0</w:t>
      </w:r>
      <w:r w:rsidR="00CE5CCD">
        <w:rPr>
          <w:rFonts w:ascii="Times New Roman" w:hAnsi="Times New Roman" w:eastAsia="Times New Roman" w:cs="Times New Roman"/>
          <w:spacing w:val="6"/>
          <w:sz w:val="24"/>
          <w:szCs w:val="24"/>
        </w:rPr>
        <w:t>2</w:t>
      </w:r>
      <w:r w:rsidR="00FA57CB">
        <w:rPr>
          <w:rFonts w:ascii="Times New Roman" w:hAnsi="Times New Roman" w:eastAsia="Times New Roman" w:cs="Times New Roman"/>
          <w:spacing w:val="6"/>
          <w:sz w:val="24"/>
          <w:szCs w:val="24"/>
        </w:rPr>
        <w:t xml:space="preserve">; </w:t>
      </w:r>
      <w:r w:rsidRPr="00D608A0" w:rsidR="00D608A0">
        <w:rPr>
          <w:rFonts w:ascii="Times New Roman" w:hAnsi="Times New Roman" w:eastAsia="Times New Roman" w:cs="Times New Roman"/>
          <w:spacing w:val="6"/>
          <w:sz w:val="24"/>
          <w:szCs w:val="24"/>
        </w:rPr>
        <w:t>OMB Control Number</w:t>
      </w:r>
      <w:r w:rsidR="00FA57CB">
        <w:rPr>
          <w:rFonts w:ascii="Times New Roman" w:hAnsi="Times New Roman" w:eastAsia="Times New Roman" w:cs="Times New Roman"/>
          <w:spacing w:val="6"/>
          <w:sz w:val="24"/>
          <w:szCs w:val="24"/>
        </w:rPr>
        <w:t xml:space="preserve">: </w:t>
      </w:r>
      <w:r w:rsidRPr="001033AA" w:rsidR="00B61B65">
        <w:rPr>
          <w:rFonts w:ascii="Times New Roman" w:hAnsi="Times New Roman" w:cs="Times New Roman"/>
          <w:sz w:val="24"/>
          <w:szCs w:val="24"/>
        </w:rPr>
        <w:t>2060-</w:t>
      </w:r>
      <w:r w:rsidR="00B61B65">
        <w:rPr>
          <w:rFonts w:ascii="Times New Roman" w:hAnsi="Times New Roman" w:cs="Times New Roman"/>
          <w:sz w:val="24"/>
          <w:szCs w:val="24"/>
        </w:rPr>
        <w:t>0710</w:t>
      </w:r>
      <w:r w:rsidR="00DD779A">
        <w:rPr>
          <w:rFonts w:ascii="Times New Roman" w:hAnsi="Times New Roman" w:eastAsia="Times New Roman" w:cs="Times New Roman"/>
          <w:spacing w:val="6"/>
          <w:sz w:val="24"/>
          <w:szCs w:val="24"/>
        </w:rPr>
        <w:t xml:space="preserve">. </w:t>
      </w:r>
    </w:p>
    <w:p w:rsidR="00D608A0" w:rsidP="00D608A0" w:rsidRDefault="00D608A0" w14:paraId="4153B995" w14:textId="77777777">
      <w:pPr>
        <w:widowControl w:val="0"/>
        <w:autoSpaceDE w:val="0"/>
        <w:autoSpaceDN w:val="0"/>
        <w:spacing w:after="0" w:line="240" w:lineRule="auto"/>
        <w:rPr>
          <w:rFonts w:ascii="Times New Roman" w:hAnsi="Times New Roman" w:eastAsia="Times New Roman" w:cs="Times New Roman"/>
          <w:spacing w:val="6"/>
          <w:sz w:val="24"/>
          <w:szCs w:val="24"/>
        </w:rPr>
      </w:pPr>
    </w:p>
    <w:p w:rsidRPr="00D608A0" w:rsidR="00D608A0" w:rsidP="00D608A0" w:rsidRDefault="00D608A0" w14:paraId="44035C26" w14:textId="77777777">
      <w:pPr>
        <w:widowControl w:val="0"/>
        <w:autoSpaceDE w:val="0"/>
        <w:autoSpaceDN w:val="0"/>
        <w:spacing w:after="0" w:line="240" w:lineRule="auto"/>
        <w:rPr>
          <w:rFonts w:ascii="Times New Roman" w:hAnsi="Times New Roman" w:eastAsia="Times New Roman" w:cs="Times New Roman"/>
          <w:spacing w:val="6"/>
          <w:sz w:val="24"/>
          <w:szCs w:val="24"/>
        </w:rPr>
      </w:pPr>
      <w:r w:rsidRPr="00D608A0">
        <w:rPr>
          <w:rFonts w:ascii="Times New Roman" w:hAnsi="Times New Roman" w:eastAsia="Times New Roman" w:cs="Times New Roman"/>
          <w:spacing w:val="6"/>
          <w:sz w:val="24"/>
          <w:szCs w:val="24"/>
        </w:rPr>
        <w:t xml:space="preserve">1(b) </w:t>
      </w:r>
      <w:r w:rsidRPr="00D608A0">
        <w:rPr>
          <w:rFonts w:ascii="Times New Roman" w:hAnsi="Times New Roman" w:eastAsia="Times New Roman" w:cs="Times New Roman"/>
          <w:spacing w:val="6"/>
          <w:sz w:val="24"/>
          <w:szCs w:val="24"/>
          <w:u w:val="single"/>
        </w:rPr>
        <w:t>Short Characterization/Abstract</w:t>
      </w:r>
    </w:p>
    <w:p w:rsidR="00D608A0" w:rsidP="00D608A0" w:rsidRDefault="00D608A0" w14:paraId="4FF30189" w14:textId="77777777">
      <w:pPr>
        <w:spacing w:after="0" w:line="240" w:lineRule="auto"/>
        <w:rPr>
          <w:rFonts w:ascii="Times New Roman" w:hAnsi="Times New Roman" w:cs="Times New Roman"/>
          <w:sz w:val="24"/>
          <w:szCs w:val="24"/>
        </w:rPr>
      </w:pPr>
    </w:p>
    <w:p w:rsidR="009A2618" w:rsidP="00D608A0" w:rsidRDefault="00D608A0" w14:paraId="388EB58B" w14:textId="253A57FA">
      <w:pPr>
        <w:spacing w:after="0" w:line="240" w:lineRule="auto"/>
        <w:rPr>
          <w:rFonts w:ascii="Times New Roman" w:hAnsi="Times New Roman" w:cs="Times New Roman"/>
          <w:sz w:val="24"/>
          <w:szCs w:val="24"/>
        </w:rPr>
      </w:pPr>
      <w:r w:rsidRPr="00D608A0">
        <w:rPr>
          <w:rFonts w:ascii="Times New Roman" w:hAnsi="Times New Roman" w:cs="Times New Roman"/>
          <w:sz w:val="24"/>
          <w:szCs w:val="24"/>
        </w:rPr>
        <w:t xml:space="preserve">Under the Clean Air Act (42 U.S.C. 7521 et seq.) manufacturers and importers of on-highway motorcycles must have a certificate of conformity issued by </w:t>
      </w:r>
      <w:r w:rsidR="0098599F">
        <w:rPr>
          <w:rFonts w:ascii="Times New Roman" w:hAnsi="Times New Roman" w:cs="Times New Roman"/>
          <w:sz w:val="24"/>
          <w:szCs w:val="24"/>
        </w:rPr>
        <w:t xml:space="preserve">the </w:t>
      </w:r>
      <w:r w:rsidRPr="00D608A0">
        <w:rPr>
          <w:rFonts w:ascii="Times New Roman" w:hAnsi="Times New Roman" w:cs="Times New Roman"/>
          <w:sz w:val="24"/>
          <w:szCs w:val="24"/>
        </w:rPr>
        <w:t xml:space="preserve">EPA covering any vehicle they intend to offer for sale in the United States. A certificate of conformity represents </w:t>
      </w:r>
      <w:r w:rsidR="009A2618">
        <w:rPr>
          <w:rFonts w:ascii="Times New Roman" w:hAnsi="Times New Roman" w:cs="Times New Roman"/>
          <w:sz w:val="24"/>
          <w:szCs w:val="24"/>
        </w:rPr>
        <w:t xml:space="preserve">to the prospective purchaser </w:t>
      </w:r>
      <w:r w:rsidRPr="00D608A0">
        <w:rPr>
          <w:rFonts w:ascii="Times New Roman" w:hAnsi="Times New Roman" w:cs="Times New Roman"/>
          <w:sz w:val="24"/>
          <w:szCs w:val="24"/>
        </w:rPr>
        <w:t xml:space="preserve">that the respective vehicle conforms to all applicable emissions </w:t>
      </w:r>
      <w:r w:rsidRPr="000578E9">
        <w:rPr>
          <w:rFonts w:ascii="Times New Roman" w:hAnsi="Times New Roman" w:cs="Times New Roman"/>
          <w:sz w:val="24"/>
          <w:szCs w:val="24"/>
        </w:rPr>
        <w:t>requirements. In issuing a certificate of conformity,</w:t>
      </w:r>
      <w:r w:rsidRPr="000578E9" w:rsidR="0098599F">
        <w:rPr>
          <w:rFonts w:ascii="Times New Roman" w:hAnsi="Times New Roman" w:cs="Times New Roman"/>
          <w:sz w:val="24"/>
          <w:szCs w:val="24"/>
        </w:rPr>
        <w:t xml:space="preserve"> the</w:t>
      </w:r>
      <w:r w:rsidRPr="000578E9">
        <w:rPr>
          <w:rFonts w:ascii="Times New Roman" w:hAnsi="Times New Roman" w:cs="Times New Roman"/>
          <w:sz w:val="24"/>
          <w:szCs w:val="24"/>
        </w:rPr>
        <w:t xml:space="preserve"> EPA reviews vehicle information and</w:t>
      </w:r>
      <w:r w:rsidRPr="00D608A0">
        <w:rPr>
          <w:rFonts w:ascii="Times New Roman" w:hAnsi="Times New Roman" w:cs="Times New Roman"/>
          <w:sz w:val="24"/>
          <w:szCs w:val="24"/>
        </w:rPr>
        <w:t xml:space="preserve"> emissions test data to determine if the required testing has been performed </w:t>
      </w:r>
      <w:r w:rsidR="009A2618">
        <w:rPr>
          <w:rFonts w:ascii="Times New Roman" w:hAnsi="Times New Roman" w:cs="Times New Roman"/>
          <w:sz w:val="24"/>
          <w:szCs w:val="24"/>
        </w:rPr>
        <w:t xml:space="preserve">by the certificate applicant </w:t>
      </w:r>
      <w:r w:rsidRPr="00D608A0">
        <w:rPr>
          <w:rFonts w:ascii="Times New Roman" w:hAnsi="Times New Roman" w:cs="Times New Roman"/>
          <w:sz w:val="24"/>
          <w:szCs w:val="24"/>
        </w:rPr>
        <w:t xml:space="preserve">and the required emissions levels have been demonstrated. After a certificate of conformity has been issued, the Agency may request additional information to verify that the product continues to meet its certified emissions standards throughout its useful life. </w:t>
      </w:r>
    </w:p>
    <w:p w:rsidR="005D51B6" w:rsidP="00D608A0" w:rsidRDefault="005D51B6" w14:paraId="55D767FE" w14:textId="77777777">
      <w:pPr>
        <w:spacing w:after="0" w:line="240" w:lineRule="auto"/>
        <w:rPr>
          <w:rFonts w:ascii="Times New Roman" w:hAnsi="Times New Roman" w:cs="Times New Roman"/>
          <w:sz w:val="24"/>
          <w:szCs w:val="24"/>
        </w:rPr>
      </w:pPr>
    </w:p>
    <w:p w:rsidR="000578E9" w:rsidP="00D608A0" w:rsidRDefault="000578E9" w14:paraId="30DBDD12" w14:textId="77777777">
      <w:pPr>
        <w:spacing w:after="0" w:line="240" w:lineRule="auto"/>
        <w:rPr>
          <w:rFonts w:ascii="Times New Roman" w:hAnsi="Times New Roman" w:cs="Times New Roman"/>
          <w:sz w:val="24"/>
          <w:szCs w:val="24"/>
        </w:rPr>
      </w:pPr>
    </w:p>
    <w:p w:rsidR="009A2618" w:rsidP="00D608A0" w:rsidRDefault="009D68AE" w14:paraId="43BD5497" w14:textId="25FC4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578E9">
        <w:rPr>
          <w:rFonts w:ascii="Times New Roman" w:hAnsi="Times New Roman" w:cs="Times New Roman"/>
          <w:sz w:val="24"/>
          <w:szCs w:val="24"/>
        </w:rPr>
        <w:t xml:space="preserve">burden under this </w:t>
      </w:r>
      <w:r w:rsidR="0098599F">
        <w:rPr>
          <w:rFonts w:ascii="Times New Roman" w:hAnsi="Times New Roman" w:cs="Times New Roman"/>
          <w:sz w:val="24"/>
          <w:szCs w:val="24"/>
        </w:rPr>
        <w:t>HMC</w:t>
      </w:r>
      <w:r w:rsidR="001033AA">
        <w:rPr>
          <w:rFonts w:ascii="Times New Roman" w:hAnsi="Times New Roman" w:cs="Times New Roman"/>
          <w:sz w:val="24"/>
          <w:szCs w:val="24"/>
        </w:rPr>
        <w:t xml:space="preserve"> </w:t>
      </w:r>
      <w:r>
        <w:rPr>
          <w:rFonts w:ascii="Times New Roman" w:hAnsi="Times New Roman" w:cs="Times New Roman"/>
          <w:sz w:val="24"/>
          <w:szCs w:val="24"/>
        </w:rPr>
        <w:t xml:space="preserve">ICR </w:t>
      </w:r>
      <w:r w:rsidRPr="009A2618" w:rsidR="009A2618">
        <w:rPr>
          <w:rFonts w:ascii="Times New Roman" w:hAnsi="Times New Roman" w:cs="Times New Roman"/>
          <w:sz w:val="24"/>
          <w:szCs w:val="24"/>
        </w:rPr>
        <w:t xml:space="preserve">covers the application </w:t>
      </w:r>
      <w:r w:rsidR="00D573E7">
        <w:rPr>
          <w:rFonts w:ascii="Times New Roman" w:hAnsi="Times New Roman" w:cs="Times New Roman"/>
          <w:sz w:val="24"/>
          <w:szCs w:val="24"/>
        </w:rPr>
        <w:t xml:space="preserve">for a certificate of conformity </w:t>
      </w:r>
      <w:r w:rsidRPr="009A2618" w:rsidR="009A2618">
        <w:rPr>
          <w:rFonts w:ascii="Times New Roman" w:hAnsi="Times New Roman" w:cs="Times New Roman"/>
          <w:sz w:val="24"/>
          <w:szCs w:val="24"/>
        </w:rPr>
        <w:t xml:space="preserve">(and supporting test results) submitted by </w:t>
      </w:r>
      <w:r w:rsidR="00191852">
        <w:rPr>
          <w:rFonts w:ascii="Times New Roman" w:hAnsi="Times New Roman" w:cs="Times New Roman"/>
          <w:sz w:val="24"/>
          <w:szCs w:val="24"/>
        </w:rPr>
        <w:t xml:space="preserve">HMC </w:t>
      </w:r>
      <w:r w:rsidR="009A2618">
        <w:rPr>
          <w:rFonts w:ascii="Times New Roman" w:hAnsi="Times New Roman" w:cs="Times New Roman"/>
          <w:sz w:val="24"/>
          <w:szCs w:val="24"/>
        </w:rPr>
        <w:t>certificat</w:t>
      </w:r>
      <w:r w:rsidR="00376EBF">
        <w:rPr>
          <w:rFonts w:ascii="Times New Roman" w:hAnsi="Times New Roman" w:cs="Times New Roman"/>
          <w:sz w:val="24"/>
          <w:szCs w:val="24"/>
        </w:rPr>
        <w:t>ion applicants</w:t>
      </w:r>
      <w:r w:rsidR="009A2618">
        <w:rPr>
          <w:rFonts w:ascii="Times New Roman" w:hAnsi="Times New Roman" w:cs="Times New Roman"/>
          <w:sz w:val="24"/>
          <w:szCs w:val="24"/>
        </w:rPr>
        <w:t xml:space="preserve"> </w:t>
      </w:r>
      <w:r w:rsidRPr="009A2618" w:rsidR="009A2618">
        <w:rPr>
          <w:rFonts w:ascii="Times New Roman" w:hAnsi="Times New Roman" w:cs="Times New Roman"/>
          <w:sz w:val="24"/>
          <w:szCs w:val="24"/>
        </w:rPr>
        <w:t xml:space="preserve">prior to </w:t>
      </w:r>
      <w:r w:rsidR="00830BDD">
        <w:rPr>
          <w:rFonts w:ascii="Times New Roman" w:hAnsi="Times New Roman" w:cs="Times New Roman"/>
          <w:sz w:val="24"/>
          <w:szCs w:val="24"/>
        </w:rPr>
        <w:t>introduction into US commerce</w:t>
      </w:r>
      <w:r w:rsidRPr="009A2618" w:rsidR="009A2618">
        <w:rPr>
          <w:rFonts w:ascii="Times New Roman" w:hAnsi="Times New Roman" w:cs="Times New Roman"/>
          <w:sz w:val="24"/>
          <w:szCs w:val="24"/>
        </w:rPr>
        <w:t xml:space="preserve"> as well as various reports and information during and after production</w:t>
      </w:r>
      <w:r w:rsidR="009203CB">
        <w:rPr>
          <w:rFonts w:ascii="Times New Roman" w:hAnsi="Times New Roman" w:cs="Times New Roman"/>
          <w:sz w:val="24"/>
          <w:szCs w:val="24"/>
        </w:rPr>
        <w:t>; but</w:t>
      </w:r>
      <w:r w:rsidRPr="009A2618" w:rsidR="009A2618">
        <w:rPr>
          <w:rFonts w:ascii="Times New Roman" w:hAnsi="Times New Roman" w:cs="Times New Roman"/>
          <w:sz w:val="24"/>
          <w:szCs w:val="24"/>
        </w:rPr>
        <w:t xml:space="preserve"> </w:t>
      </w:r>
      <w:r w:rsidRPr="009A2618" w:rsidR="009203CB">
        <w:rPr>
          <w:rFonts w:ascii="Times New Roman" w:hAnsi="Times New Roman" w:cs="Times New Roman"/>
          <w:sz w:val="24"/>
          <w:szCs w:val="24"/>
        </w:rPr>
        <w:t>includ</w:t>
      </w:r>
      <w:r w:rsidR="009203CB">
        <w:rPr>
          <w:rFonts w:ascii="Times New Roman" w:hAnsi="Times New Roman" w:cs="Times New Roman"/>
          <w:sz w:val="24"/>
          <w:szCs w:val="24"/>
        </w:rPr>
        <w:t>es</w:t>
      </w:r>
      <w:r w:rsidRPr="009A2618" w:rsidR="009203CB">
        <w:rPr>
          <w:rFonts w:ascii="Times New Roman" w:hAnsi="Times New Roman" w:cs="Times New Roman"/>
          <w:sz w:val="24"/>
          <w:szCs w:val="24"/>
        </w:rPr>
        <w:t xml:space="preserve"> </w:t>
      </w:r>
      <w:r w:rsidRPr="009A2618" w:rsidR="009A2618">
        <w:rPr>
          <w:rFonts w:ascii="Times New Roman" w:hAnsi="Times New Roman" w:cs="Times New Roman"/>
          <w:sz w:val="24"/>
          <w:szCs w:val="24"/>
        </w:rPr>
        <w:t xml:space="preserve">the </w:t>
      </w:r>
      <w:r w:rsidR="009A2618">
        <w:rPr>
          <w:rFonts w:ascii="Times New Roman" w:hAnsi="Times New Roman" w:cs="Times New Roman"/>
          <w:sz w:val="24"/>
          <w:szCs w:val="24"/>
        </w:rPr>
        <w:t xml:space="preserve">defect </w:t>
      </w:r>
      <w:r w:rsidR="006640D0">
        <w:rPr>
          <w:rFonts w:ascii="Times New Roman" w:hAnsi="Times New Roman" w:cs="Times New Roman"/>
          <w:sz w:val="24"/>
          <w:szCs w:val="24"/>
        </w:rPr>
        <w:t xml:space="preserve">information </w:t>
      </w:r>
      <w:r w:rsidR="009A2618">
        <w:rPr>
          <w:rFonts w:ascii="Times New Roman" w:hAnsi="Times New Roman" w:cs="Times New Roman"/>
          <w:sz w:val="24"/>
          <w:szCs w:val="24"/>
        </w:rPr>
        <w:t>report (</w:t>
      </w:r>
      <w:r w:rsidRPr="009A2618" w:rsidR="009A2618">
        <w:rPr>
          <w:rFonts w:ascii="Times New Roman" w:hAnsi="Times New Roman" w:cs="Times New Roman"/>
          <w:sz w:val="24"/>
          <w:szCs w:val="24"/>
        </w:rPr>
        <w:t>DR</w:t>
      </w:r>
      <w:r w:rsidR="009A2618">
        <w:rPr>
          <w:rFonts w:ascii="Times New Roman" w:hAnsi="Times New Roman" w:cs="Times New Roman"/>
          <w:sz w:val="24"/>
          <w:szCs w:val="24"/>
        </w:rPr>
        <w:t xml:space="preserve">) and </w:t>
      </w:r>
      <w:r w:rsidR="006640D0">
        <w:rPr>
          <w:rFonts w:ascii="Times New Roman" w:hAnsi="Times New Roman" w:cs="Times New Roman"/>
          <w:sz w:val="24"/>
          <w:szCs w:val="24"/>
        </w:rPr>
        <w:t>voluntary emissions recall report (</w:t>
      </w:r>
      <w:r w:rsidRPr="009A2618" w:rsidR="009A2618">
        <w:rPr>
          <w:rFonts w:ascii="Times New Roman" w:hAnsi="Times New Roman" w:cs="Times New Roman"/>
          <w:sz w:val="24"/>
          <w:szCs w:val="24"/>
        </w:rPr>
        <w:t>VERR</w:t>
      </w:r>
      <w:r w:rsidR="006640D0">
        <w:rPr>
          <w:rFonts w:ascii="Times New Roman" w:hAnsi="Times New Roman" w:cs="Times New Roman"/>
          <w:sz w:val="24"/>
          <w:szCs w:val="24"/>
        </w:rPr>
        <w:t>)</w:t>
      </w:r>
      <w:r w:rsidR="00222E80">
        <w:rPr>
          <w:rFonts w:ascii="Times New Roman" w:hAnsi="Times New Roman" w:cs="Times New Roman"/>
          <w:sz w:val="24"/>
          <w:szCs w:val="24"/>
        </w:rPr>
        <w:t xml:space="preserve"> </w:t>
      </w:r>
      <w:r w:rsidR="009203CB">
        <w:rPr>
          <w:rFonts w:ascii="Times New Roman" w:hAnsi="Times New Roman" w:cs="Times New Roman"/>
          <w:sz w:val="24"/>
          <w:szCs w:val="24"/>
        </w:rPr>
        <w:t>that may not be applicable to manufacturers unless certain conditions are met</w:t>
      </w:r>
      <w:r w:rsidRPr="009A2618" w:rsidR="009A2618">
        <w:rPr>
          <w:rFonts w:ascii="Times New Roman" w:hAnsi="Times New Roman" w:cs="Times New Roman"/>
          <w:sz w:val="24"/>
          <w:szCs w:val="24"/>
        </w:rPr>
        <w:t>.</w:t>
      </w:r>
      <w:r w:rsidRPr="006640D0" w:rsidR="006640D0">
        <w:t xml:space="preserve"> </w:t>
      </w:r>
      <w:r w:rsidR="000578E9">
        <w:rPr>
          <w:rFonts w:ascii="Times New Roman" w:hAnsi="Times New Roman" w:cs="Times New Roman"/>
          <w:sz w:val="24"/>
          <w:szCs w:val="24"/>
        </w:rPr>
        <w:t xml:space="preserve">The </w:t>
      </w:r>
      <w:r w:rsidRPr="006640D0" w:rsidR="006640D0">
        <w:rPr>
          <w:rFonts w:ascii="Times New Roman" w:hAnsi="Times New Roman" w:cs="Times New Roman"/>
          <w:sz w:val="24"/>
          <w:szCs w:val="24"/>
        </w:rPr>
        <w:t>EPA’s processing of this information is conducted by the Compliance Division, Office of Transportation and Air Quality, Office of Air and Radiation, US</w:t>
      </w:r>
      <w:r w:rsidR="00392E85">
        <w:rPr>
          <w:rFonts w:ascii="Times New Roman" w:hAnsi="Times New Roman" w:cs="Times New Roman"/>
          <w:sz w:val="24"/>
          <w:szCs w:val="24"/>
        </w:rPr>
        <w:t xml:space="preserve"> </w:t>
      </w:r>
      <w:r w:rsidRPr="006640D0" w:rsidR="006640D0">
        <w:rPr>
          <w:rFonts w:ascii="Times New Roman" w:hAnsi="Times New Roman" w:cs="Times New Roman"/>
          <w:sz w:val="24"/>
          <w:szCs w:val="24"/>
        </w:rPr>
        <w:t>EPA.</w:t>
      </w:r>
      <w:r>
        <w:rPr>
          <w:rFonts w:ascii="Times New Roman" w:hAnsi="Times New Roman" w:cs="Times New Roman"/>
          <w:sz w:val="24"/>
          <w:szCs w:val="24"/>
        </w:rPr>
        <w:t xml:space="preserve"> </w:t>
      </w:r>
      <w:r w:rsidR="00E21A5A">
        <w:rPr>
          <w:rFonts w:ascii="Times New Roman" w:hAnsi="Times New Roman" w:cs="Times New Roman"/>
          <w:sz w:val="24"/>
          <w:szCs w:val="24"/>
        </w:rPr>
        <w:t xml:space="preserve">Since the last ICR was submitted, there have been no changes to the </w:t>
      </w:r>
      <w:r>
        <w:rPr>
          <w:rFonts w:ascii="Times New Roman" w:hAnsi="Times New Roman" w:cs="Times New Roman"/>
          <w:sz w:val="24"/>
          <w:szCs w:val="24"/>
        </w:rPr>
        <w:t>on-highway motorcycle program</w:t>
      </w:r>
      <w:r w:rsidR="00E21A5A">
        <w:rPr>
          <w:rFonts w:ascii="Times New Roman" w:hAnsi="Times New Roman" w:cs="Times New Roman"/>
          <w:sz w:val="24"/>
          <w:szCs w:val="24"/>
        </w:rPr>
        <w:t>.  H</w:t>
      </w:r>
      <w:r>
        <w:rPr>
          <w:rFonts w:ascii="Times New Roman" w:hAnsi="Times New Roman" w:cs="Times New Roman"/>
          <w:sz w:val="24"/>
          <w:szCs w:val="24"/>
        </w:rPr>
        <w:t xml:space="preserve">owever, </w:t>
      </w:r>
      <w:r w:rsidR="0057142D">
        <w:rPr>
          <w:rFonts w:ascii="Times New Roman" w:hAnsi="Times New Roman" w:cs="Times New Roman"/>
          <w:sz w:val="24"/>
          <w:szCs w:val="24"/>
        </w:rPr>
        <w:t xml:space="preserve">the </w:t>
      </w:r>
      <w:r w:rsidR="0072031B">
        <w:rPr>
          <w:rFonts w:ascii="Times New Roman" w:hAnsi="Times New Roman" w:cs="Times New Roman"/>
          <w:sz w:val="24"/>
          <w:szCs w:val="24"/>
        </w:rPr>
        <w:t>EPA has developed several templates that manufacturers may use to meet their reporting obligations</w:t>
      </w:r>
      <w:r>
        <w:rPr>
          <w:rFonts w:ascii="Times New Roman" w:hAnsi="Times New Roman" w:cs="Times New Roman"/>
          <w:sz w:val="24"/>
          <w:szCs w:val="24"/>
        </w:rPr>
        <w:t xml:space="preserve">. </w:t>
      </w:r>
    </w:p>
    <w:p w:rsidR="009A2618" w:rsidP="00D608A0" w:rsidRDefault="009A2618" w14:paraId="5162EC1D" w14:textId="77777777">
      <w:pPr>
        <w:spacing w:after="0" w:line="240" w:lineRule="auto"/>
        <w:rPr>
          <w:rFonts w:ascii="Times New Roman" w:hAnsi="Times New Roman" w:cs="Times New Roman"/>
          <w:sz w:val="24"/>
          <w:szCs w:val="24"/>
        </w:rPr>
      </w:pPr>
    </w:p>
    <w:p w:rsidR="003413BD" w:rsidP="003413BD" w:rsidRDefault="003413BD" w14:paraId="7BCE6152" w14:textId="77777777">
      <w:pPr>
        <w:spacing w:after="0" w:line="240" w:lineRule="auto"/>
        <w:rPr>
          <w:rFonts w:ascii="Times New Roman" w:hAnsi="Times New Roman" w:cs="Times New Roman"/>
          <w:sz w:val="24"/>
          <w:szCs w:val="24"/>
        </w:rPr>
      </w:pPr>
    </w:p>
    <w:p w:rsidRPr="00321096" w:rsidR="00321096" w:rsidP="00321096" w:rsidRDefault="00321096" w14:paraId="37787B14" w14:textId="5D549A60">
      <w:pPr>
        <w:spacing w:after="0" w:line="240" w:lineRule="auto"/>
        <w:rPr>
          <w:rFonts w:ascii="Times New Roman" w:hAnsi="Times New Roman" w:cs="Times New Roman"/>
          <w:sz w:val="24"/>
          <w:szCs w:val="24"/>
        </w:rPr>
      </w:pPr>
      <w:r w:rsidRPr="00321096">
        <w:rPr>
          <w:rFonts w:ascii="Times New Roman" w:hAnsi="Times New Roman" w:cs="Times New Roman"/>
          <w:sz w:val="24"/>
          <w:szCs w:val="24"/>
        </w:rPr>
        <w:t xml:space="preserve">Information collected </w:t>
      </w:r>
      <w:r>
        <w:rPr>
          <w:rFonts w:ascii="Times New Roman" w:hAnsi="Times New Roman" w:cs="Times New Roman"/>
          <w:sz w:val="24"/>
          <w:szCs w:val="24"/>
        </w:rPr>
        <w:t xml:space="preserve">for the purposes listed above </w:t>
      </w:r>
      <w:r w:rsidRPr="00321096">
        <w:rPr>
          <w:rFonts w:ascii="Times New Roman" w:hAnsi="Times New Roman" w:cs="Times New Roman"/>
          <w:sz w:val="24"/>
          <w:szCs w:val="24"/>
        </w:rPr>
        <w:t xml:space="preserve">consists of descriptions of </w:t>
      </w:r>
      <w:r w:rsidR="008A26AF">
        <w:rPr>
          <w:rFonts w:ascii="Times New Roman" w:hAnsi="Times New Roman" w:cs="Times New Roman"/>
          <w:sz w:val="24"/>
          <w:szCs w:val="24"/>
        </w:rPr>
        <w:t>on-highway motorcycles</w:t>
      </w:r>
      <w:r w:rsidRPr="00321096">
        <w:rPr>
          <w:rFonts w:ascii="Times New Roman" w:hAnsi="Times New Roman" w:cs="Times New Roman"/>
          <w:sz w:val="24"/>
          <w:szCs w:val="24"/>
        </w:rPr>
        <w:t xml:space="preserve"> (with emphasis on emission control systems), test results, defect and recall reports</w:t>
      </w:r>
      <w:r w:rsidR="009203CB">
        <w:rPr>
          <w:rFonts w:ascii="Times New Roman" w:hAnsi="Times New Roman" w:cs="Times New Roman"/>
          <w:sz w:val="24"/>
          <w:szCs w:val="24"/>
        </w:rPr>
        <w:t xml:space="preserve"> (if any)</w:t>
      </w:r>
      <w:r w:rsidRPr="00321096">
        <w:rPr>
          <w:rFonts w:ascii="Times New Roman" w:hAnsi="Times New Roman" w:cs="Times New Roman"/>
          <w:sz w:val="24"/>
          <w:szCs w:val="24"/>
        </w:rPr>
        <w:t>, and sales information. These data are reviewed to verify that the necessary tests have been performed</w:t>
      </w:r>
      <w:r>
        <w:rPr>
          <w:rFonts w:ascii="Times New Roman" w:hAnsi="Times New Roman" w:cs="Times New Roman"/>
          <w:sz w:val="24"/>
          <w:szCs w:val="24"/>
        </w:rPr>
        <w:t xml:space="preserve"> and</w:t>
      </w:r>
      <w:r w:rsidRPr="00321096">
        <w:rPr>
          <w:rFonts w:ascii="Times New Roman" w:hAnsi="Times New Roman" w:cs="Times New Roman"/>
          <w:sz w:val="24"/>
          <w:szCs w:val="24"/>
        </w:rPr>
        <w:t xml:space="preserve"> the manufacturer’s product line </w:t>
      </w:r>
      <w:r w:rsidR="009203CB">
        <w:rPr>
          <w:rFonts w:ascii="Times New Roman" w:hAnsi="Times New Roman" w:cs="Times New Roman"/>
          <w:sz w:val="24"/>
          <w:szCs w:val="24"/>
        </w:rPr>
        <w:t>complies</w:t>
      </w:r>
      <w:r w:rsidRPr="00321096" w:rsidR="009203CB">
        <w:rPr>
          <w:rFonts w:ascii="Times New Roman" w:hAnsi="Times New Roman" w:cs="Times New Roman"/>
          <w:sz w:val="24"/>
          <w:szCs w:val="24"/>
        </w:rPr>
        <w:t xml:space="preserve"> </w:t>
      </w:r>
      <w:r w:rsidR="00222E80">
        <w:rPr>
          <w:rFonts w:ascii="Times New Roman" w:hAnsi="Times New Roman" w:cs="Times New Roman"/>
          <w:sz w:val="24"/>
          <w:szCs w:val="24"/>
        </w:rPr>
        <w:t xml:space="preserve">with </w:t>
      </w:r>
      <w:r w:rsidRPr="00321096">
        <w:rPr>
          <w:rFonts w:ascii="Times New Roman" w:hAnsi="Times New Roman" w:cs="Times New Roman"/>
          <w:sz w:val="24"/>
          <w:szCs w:val="24"/>
        </w:rPr>
        <w:t>emission standards</w:t>
      </w:r>
      <w:r w:rsidR="009203CB">
        <w:rPr>
          <w:rFonts w:ascii="Times New Roman" w:hAnsi="Times New Roman" w:cs="Times New Roman"/>
          <w:sz w:val="24"/>
          <w:szCs w:val="24"/>
        </w:rPr>
        <w:t xml:space="preserve"> throughout its useful life</w:t>
      </w:r>
      <w:r w:rsidRPr="00321096">
        <w:rPr>
          <w:rFonts w:ascii="Times New Roman" w:hAnsi="Times New Roman" w:cs="Times New Roman"/>
          <w:sz w:val="24"/>
          <w:szCs w:val="24"/>
        </w:rPr>
        <w:t xml:space="preserve">. </w:t>
      </w:r>
    </w:p>
    <w:p w:rsidRPr="00321096" w:rsidR="00321096" w:rsidP="00321096" w:rsidRDefault="00321096" w14:paraId="24168483" w14:textId="77777777">
      <w:pPr>
        <w:spacing w:after="0" w:line="240" w:lineRule="auto"/>
        <w:rPr>
          <w:rFonts w:ascii="Times New Roman" w:hAnsi="Times New Roman" w:cs="Times New Roman"/>
          <w:sz w:val="24"/>
          <w:szCs w:val="24"/>
        </w:rPr>
      </w:pPr>
    </w:p>
    <w:p w:rsidRPr="003413BD" w:rsidR="009D68AE" w:rsidP="009D68AE" w:rsidRDefault="009D68AE" w14:paraId="7F9FC134" w14:textId="30A62922">
      <w:pPr>
        <w:spacing w:after="0" w:line="240" w:lineRule="auto"/>
        <w:rPr>
          <w:rFonts w:ascii="Times New Roman" w:hAnsi="Times New Roman" w:cs="Times New Roman"/>
          <w:sz w:val="24"/>
          <w:szCs w:val="24"/>
          <w:u w:val="single"/>
        </w:rPr>
      </w:pPr>
      <w:r w:rsidRPr="003413BD">
        <w:rPr>
          <w:rFonts w:ascii="Times New Roman" w:hAnsi="Times New Roman" w:cs="Times New Roman"/>
          <w:sz w:val="24"/>
          <w:szCs w:val="24"/>
          <w:u w:val="single"/>
        </w:rPr>
        <w:t xml:space="preserve">Section 2: Need </w:t>
      </w:r>
      <w:r w:rsidRPr="003413BD" w:rsidR="00575074">
        <w:rPr>
          <w:rFonts w:ascii="Times New Roman" w:hAnsi="Times New Roman" w:cs="Times New Roman"/>
          <w:sz w:val="24"/>
          <w:szCs w:val="24"/>
          <w:u w:val="single"/>
        </w:rPr>
        <w:t>for</w:t>
      </w:r>
      <w:r w:rsidRPr="003413BD">
        <w:rPr>
          <w:rFonts w:ascii="Times New Roman" w:hAnsi="Times New Roman" w:cs="Times New Roman"/>
          <w:sz w:val="24"/>
          <w:szCs w:val="24"/>
          <w:u w:val="single"/>
        </w:rPr>
        <w:t xml:space="preserve"> and Use of the Collection </w:t>
      </w:r>
    </w:p>
    <w:p w:rsidRPr="009D68AE" w:rsidR="003413BD" w:rsidP="009D68AE" w:rsidRDefault="003413BD" w14:paraId="2EC3D79C" w14:textId="77777777">
      <w:pPr>
        <w:spacing w:after="0" w:line="240" w:lineRule="auto"/>
        <w:rPr>
          <w:rFonts w:ascii="Times New Roman" w:hAnsi="Times New Roman" w:cs="Times New Roman"/>
          <w:sz w:val="24"/>
          <w:szCs w:val="24"/>
        </w:rPr>
      </w:pPr>
    </w:p>
    <w:p w:rsidR="003413BD" w:rsidP="009D68AE" w:rsidRDefault="003413BD" w14:paraId="2A334EEB" w14:textId="77777777">
      <w:pPr>
        <w:spacing w:after="0" w:line="240" w:lineRule="auto"/>
        <w:rPr>
          <w:rFonts w:ascii="Times New Roman" w:hAnsi="Times New Roman" w:cs="Times New Roman"/>
          <w:sz w:val="24"/>
          <w:szCs w:val="24"/>
        </w:rPr>
      </w:pPr>
      <w:r w:rsidRPr="009D68AE">
        <w:rPr>
          <w:rFonts w:ascii="Times New Roman" w:hAnsi="Times New Roman" w:cs="Times New Roman"/>
          <w:sz w:val="24"/>
          <w:szCs w:val="24"/>
        </w:rPr>
        <w:t xml:space="preserve">2(a) </w:t>
      </w:r>
      <w:r w:rsidRPr="003413BD">
        <w:rPr>
          <w:rFonts w:ascii="Times New Roman" w:hAnsi="Times New Roman" w:cs="Times New Roman"/>
          <w:sz w:val="24"/>
          <w:szCs w:val="24"/>
          <w:u w:val="single"/>
        </w:rPr>
        <w:t>Need/Authority for the Collection</w:t>
      </w:r>
      <w:r w:rsidRPr="00B66A34">
        <w:rPr>
          <w:rFonts w:ascii="Times New Roman" w:hAnsi="Times New Roman" w:cs="Times New Roman"/>
          <w:sz w:val="24"/>
          <w:szCs w:val="24"/>
        </w:rPr>
        <w:t xml:space="preserve"> </w:t>
      </w:r>
    </w:p>
    <w:p w:rsidR="003413BD" w:rsidP="009D68AE" w:rsidRDefault="003413BD" w14:paraId="0D675FA5" w14:textId="77777777">
      <w:pPr>
        <w:spacing w:after="0" w:line="240" w:lineRule="auto"/>
        <w:rPr>
          <w:rFonts w:ascii="Times New Roman" w:hAnsi="Times New Roman" w:cs="Times New Roman"/>
          <w:sz w:val="24"/>
          <w:szCs w:val="24"/>
        </w:rPr>
      </w:pPr>
    </w:p>
    <w:p w:rsidR="002F1CBD" w:rsidP="009D68AE" w:rsidRDefault="003413BD" w14:paraId="51CD015A" w14:textId="77777777">
      <w:pPr>
        <w:spacing w:after="0" w:line="240" w:lineRule="auto"/>
      </w:pPr>
      <w:r w:rsidRPr="00B66A34">
        <w:rPr>
          <w:rFonts w:ascii="Times New Roman" w:hAnsi="Times New Roman" w:cs="Times New Roman"/>
          <w:sz w:val="24"/>
          <w:szCs w:val="24"/>
        </w:rPr>
        <w:t xml:space="preserve">Under Title II of the Clean Air Act (42 U.S.C. 7521 et seq.), </w:t>
      </w:r>
      <w:r w:rsidR="0057142D">
        <w:rPr>
          <w:rFonts w:ascii="Times New Roman" w:hAnsi="Times New Roman" w:cs="Times New Roman"/>
          <w:sz w:val="24"/>
          <w:szCs w:val="24"/>
        </w:rPr>
        <w:t xml:space="preserve">the </w:t>
      </w:r>
      <w:r w:rsidRPr="00B66A34">
        <w:rPr>
          <w:rFonts w:ascii="Times New Roman" w:hAnsi="Times New Roman" w:cs="Times New Roman"/>
          <w:sz w:val="24"/>
          <w:szCs w:val="24"/>
        </w:rPr>
        <w:t xml:space="preserve">EPA is charged with issuing certificates of conformity for motor vehicle designs that comply with applicable emission standards set under section 202(a)(1) of the Act, such as those for </w:t>
      </w:r>
      <w:r>
        <w:rPr>
          <w:rFonts w:ascii="Times New Roman" w:hAnsi="Times New Roman" w:cs="Times New Roman"/>
          <w:sz w:val="24"/>
          <w:szCs w:val="24"/>
        </w:rPr>
        <w:t>C</w:t>
      </w:r>
      <w:r w:rsidR="00766682">
        <w:rPr>
          <w:rFonts w:ascii="Times New Roman" w:hAnsi="Times New Roman" w:cs="Times New Roman"/>
          <w:sz w:val="24"/>
          <w:szCs w:val="24"/>
        </w:rPr>
        <w:t>arbon Monoxide</w:t>
      </w:r>
      <w:r w:rsidR="00510DC9">
        <w:rPr>
          <w:rFonts w:ascii="Times New Roman" w:hAnsi="Times New Roman" w:cs="Times New Roman"/>
          <w:sz w:val="24"/>
          <w:szCs w:val="24"/>
        </w:rPr>
        <w:t xml:space="preserve"> (CO)</w:t>
      </w:r>
      <w:r>
        <w:rPr>
          <w:rFonts w:ascii="Times New Roman" w:hAnsi="Times New Roman" w:cs="Times New Roman"/>
          <w:sz w:val="24"/>
          <w:szCs w:val="24"/>
        </w:rPr>
        <w:t>, H</w:t>
      </w:r>
      <w:r w:rsidR="00510DC9">
        <w:rPr>
          <w:rFonts w:ascii="Times New Roman" w:hAnsi="Times New Roman" w:cs="Times New Roman"/>
          <w:sz w:val="24"/>
          <w:szCs w:val="24"/>
        </w:rPr>
        <w:t>ydro</w:t>
      </w:r>
      <w:r w:rsidR="00191852">
        <w:rPr>
          <w:rFonts w:ascii="Times New Roman" w:hAnsi="Times New Roman" w:cs="Times New Roman"/>
          <w:sz w:val="24"/>
          <w:szCs w:val="24"/>
        </w:rPr>
        <w:t>c</w:t>
      </w:r>
      <w:r w:rsidR="00510DC9">
        <w:rPr>
          <w:rFonts w:ascii="Times New Roman" w:hAnsi="Times New Roman" w:cs="Times New Roman"/>
          <w:sz w:val="24"/>
          <w:szCs w:val="24"/>
        </w:rPr>
        <w:t>arbons (HC)</w:t>
      </w:r>
      <w:r>
        <w:rPr>
          <w:rFonts w:ascii="Times New Roman" w:hAnsi="Times New Roman" w:cs="Times New Roman"/>
          <w:sz w:val="24"/>
          <w:szCs w:val="24"/>
        </w:rPr>
        <w:t xml:space="preserve"> and </w:t>
      </w:r>
      <w:r w:rsidR="00510DC9">
        <w:rPr>
          <w:rFonts w:ascii="Times New Roman" w:hAnsi="Times New Roman" w:cs="Times New Roman"/>
          <w:sz w:val="24"/>
          <w:szCs w:val="24"/>
        </w:rPr>
        <w:t>Oxides of Nitrogen (</w:t>
      </w:r>
      <w:r>
        <w:rPr>
          <w:rFonts w:ascii="Times New Roman" w:hAnsi="Times New Roman" w:cs="Times New Roman"/>
          <w:sz w:val="24"/>
          <w:szCs w:val="24"/>
        </w:rPr>
        <w:t>NOx</w:t>
      </w:r>
      <w:r w:rsidR="00510DC9">
        <w:rPr>
          <w:rFonts w:ascii="Times New Roman" w:hAnsi="Times New Roman" w:cs="Times New Roman"/>
          <w:sz w:val="24"/>
          <w:szCs w:val="24"/>
        </w:rPr>
        <w:t>)</w:t>
      </w:r>
      <w:r w:rsidR="00830CE7">
        <w:rPr>
          <w:rFonts w:ascii="Times New Roman" w:hAnsi="Times New Roman" w:cs="Times New Roman"/>
          <w:sz w:val="24"/>
          <w:szCs w:val="24"/>
        </w:rPr>
        <w:t xml:space="preserve">. </w:t>
      </w:r>
      <w:r w:rsidRPr="00B66A34">
        <w:rPr>
          <w:rFonts w:ascii="Times New Roman" w:hAnsi="Times New Roman" w:cs="Times New Roman"/>
          <w:sz w:val="24"/>
          <w:szCs w:val="24"/>
        </w:rPr>
        <w:t xml:space="preserve">(This authority was clarified in the Supreme Court’s decision State of Massachusetts v. EPA, 127 S. Ct. 1438 (2007)). Section 202(a)(1) states that </w:t>
      </w:r>
      <w:r>
        <w:rPr>
          <w:rFonts w:ascii="Times New Roman" w:hAnsi="Times New Roman" w:cs="Times New Roman"/>
          <w:sz w:val="24"/>
          <w:szCs w:val="24"/>
        </w:rPr>
        <w:t>“</w:t>
      </w:r>
      <w:r w:rsidRPr="00B66A34">
        <w:rPr>
          <w:rFonts w:ascii="Times New Roman" w:hAnsi="Times New Roman" w:cs="Times New Roman"/>
          <w:sz w:val="24"/>
          <w:szCs w:val="24"/>
        </w:rPr>
        <w:t>the Administrator shall by regulation prescribe (and from time to time revise) [...] standards applicable to the emission of any air pollutant from any class or classes of new motor vehicles [...], which in his judgment cause, or contribute to, air pollution which may reasonably be anticipated to endanger public health or welfare.</w:t>
      </w:r>
      <w:r>
        <w:rPr>
          <w:rFonts w:ascii="Times New Roman" w:hAnsi="Times New Roman" w:cs="Times New Roman"/>
          <w:sz w:val="24"/>
          <w:szCs w:val="24"/>
        </w:rPr>
        <w:t xml:space="preserve">” </w:t>
      </w:r>
      <w:r w:rsidRPr="00B66A34">
        <w:rPr>
          <w:rFonts w:ascii="Times New Roman" w:hAnsi="Times New Roman" w:cs="Times New Roman"/>
          <w:sz w:val="24"/>
          <w:szCs w:val="24"/>
        </w:rPr>
        <w:t xml:space="preserve">Under Section 206(a) of the Clean Air Act (42 U.S.C. 7525) “... The Administrator shall test ... any new motor vehicle ... submitted by a manufacturer ... If such vehicle ... conforms … the Administrator shall issue a certificate of conformity.”  While </w:t>
      </w:r>
      <w:r w:rsidR="0057142D">
        <w:rPr>
          <w:rFonts w:ascii="Times New Roman" w:hAnsi="Times New Roman" w:cs="Times New Roman"/>
          <w:sz w:val="24"/>
          <w:szCs w:val="24"/>
        </w:rPr>
        <w:t xml:space="preserve">the </w:t>
      </w:r>
      <w:r w:rsidRPr="00B66A34">
        <w:rPr>
          <w:rFonts w:ascii="Times New Roman" w:hAnsi="Times New Roman" w:cs="Times New Roman"/>
          <w:sz w:val="24"/>
          <w:szCs w:val="24"/>
        </w:rPr>
        <w:t>EPA has delegated a substantial portion of the process of calculating and reporting emissions and fuel economy results to the manufacturers, the test results upon which labels are based are subject to EPA confirmatory testing</w:t>
      </w:r>
      <w:r w:rsidR="00830CE7">
        <w:rPr>
          <w:rFonts w:ascii="Times New Roman" w:hAnsi="Times New Roman" w:cs="Times New Roman"/>
          <w:sz w:val="24"/>
          <w:szCs w:val="24"/>
        </w:rPr>
        <w:t xml:space="preserve">. </w:t>
      </w:r>
      <w:r w:rsidRPr="00B66A34">
        <w:rPr>
          <w:rFonts w:ascii="Times New Roman" w:hAnsi="Times New Roman" w:cs="Times New Roman"/>
          <w:sz w:val="24"/>
          <w:szCs w:val="24"/>
        </w:rPr>
        <w:t>Such confirmation testing makes sure that results from different manufacturers can be accurately used for comparison.</w:t>
      </w:r>
      <w:r w:rsidRPr="00B66A34">
        <w:t xml:space="preserve"> </w:t>
      </w:r>
    </w:p>
    <w:p w:rsidR="002F1CBD" w:rsidP="009D68AE" w:rsidRDefault="002F1CBD" w14:paraId="40B9AD51" w14:textId="77777777">
      <w:pPr>
        <w:spacing w:after="0" w:line="240" w:lineRule="auto"/>
      </w:pPr>
    </w:p>
    <w:p w:rsidR="009D68AE" w:rsidP="009D68AE" w:rsidRDefault="002F1CBD" w14:paraId="2E3ACB2D" w14:textId="422523D4">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 xml:space="preserve">Relevant portions of the above statutes can be found </w:t>
      </w:r>
      <w:r w:rsidR="00376EBF">
        <w:rPr>
          <w:rFonts w:ascii="Times New Roman" w:hAnsi="Times New Roman" w:cs="Times New Roman"/>
          <w:sz w:val="24"/>
          <w:szCs w:val="24"/>
        </w:rPr>
        <w:t xml:space="preserve">online at </w:t>
      </w:r>
      <w:hyperlink w:history="1" r:id="rId12">
        <w:r w:rsidRPr="001F3268" w:rsidR="003813D7">
          <w:rPr>
            <w:rStyle w:val="Hyperlink"/>
            <w:rFonts w:ascii="Times New Roman" w:hAnsi="Times New Roman" w:cs="Times New Roman"/>
            <w:sz w:val="24"/>
            <w:szCs w:val="24"/>
          </w:rPr>
          <w:t>https://www.epa.gov/clean-air-act-overview/title-ii-emission-standards-moving-sources</w:t>
        </w:r>
      </w:hyperlink>
      <w:r w:rsidRPr="002F1CBD">
        <w:rPr>
          <w:rFonts w:ascii="Times New Roman" w:hAnsi="Times New Roman" w:cs="Times New Roman"/>
          <w:sz w:val="24"/>
          <w:szCs w:val="24"/>
        </w:rPr>
        <w:t>.</w:t>
      </w:r>
      <w:r>
        <w:rPr>
          <w:rFonts w:ascii="Times New Roman" w:hAnsi="Times New Roman" w:cs="Times New Roman"/>
          <w:sz w:val="24"/>
          <w:szCs w:val="24"/>
        </w:rPr>
        <w:t xml:space="preserve"> </w:t>
      </w:r>
      <w:r w:rsidRPr="00B66A34" w:rsidR="003413BD">
        <w:rPr>
          <w:rFonts w:ascii="Times New Roman" w:hAnsi="Times New Roman" w:cs="Times New Roman"/>
          <w:sz w:val="24"/>
          <w:szCs w:val="24"/>
        </w:rPr>
        <w:t xml:space="preserve">The regulations dealing with </w:t>
      </w:r>
      <w:r w:rsidR="003413BD">
        <w:rPr>
          <w:rFonts w:ascii="Times New Roman" w:hAnsi="Times New Roman" w:cs="Times New Roman"/>
          <w:sz w:val="24"/>
          <w:szCs w:val="24"/>
        </w:rPr>
        <w:t>on-highway motorcycle</w:t>
      </w:r>
      <w:r w:rsidRPr="00B66A34" w:rsidR="003413BD">
        <w:rPr>
          <w:rFonts w:ascii="Times New Roman" w:hAnsi="Times New Roman" w:cs="Times New Roman"/>
          <w:sz w:val="24"/>
          <w:szCs w:val="24"/>
        </w:rPr>
        <w:t xml:space="preserve"> emission control can be found in 40 CFR Parts 85 and 86.</w:t>
      </w:r>
      <w:r w:rsidR="003413BD">
        <w:rPr>
          <w:rFonts w:ascii="Times New Roman" w:hAnsi="Times New Roman" w:cs="Times New Roman"/>
          <w:sz w:val="24"/>
          <w:szCs w:val="24"/>
        </w:rPr>
        <w:t xml:space="preserve"> </w:t>
      </w:r>
      <w:r w:rsidRPr="00B66A34" w:rsidR="003413BD">
        <w:rPr>
          <w:rFonts w:ascii="Times New Roman" w:hAnsi="Times New Roman" w:cs="Times New Roman"/>
          <w:sz w:val="24"/>
          <w:szCs w:val="24"/>
        </w:rPr>
        <w:t>The</w:t>
      </w:r>
      <w:r w:rsidR="003413BD">
        <w:rPr>
          <w:rFonts w:ascii="Times New Roman" w:hAnsi="Times New Roman" w:cs="Times New Roman"/>
          <w:sz w:val="24"/>
          <w:szCs w:val="24"/>
        </w:rPr>
        <w:t>se</w:t>
      </w:r>
      <w:r w:rsidRPr="00B66A34" w:rsidR="003413BD">
        <w:rPr>
          <w:rFonts w:ascii="Times New Roman" w:hAnsi="Times New Roman" w:cs="Times New Roman"/>
          <w:sz w:val="24"/>
          <w:szCs w:val="24"/>
        </w:rPr>
        <w:t xml:space="preserve"> regulations are not attached to thi</w:t>
      </w:r>
      <w:r w:rsidR="003413BD">
        <w:rPr>
          <w:rFonts w:ascii="Times New Roman" w:hAnsi="Times New Roman" w:cs="Times New Roman"/>
          <w:sz w:val="24"/>
          <w:szCs w:val="24"/>
        </w:rPr>
        <w:t xml:space="preserve">s statement due to their length and </w:t>
      </w:r>
      <w:r w:rsidRPr="00B66A34" w:rsidR="003413BD">
        <w:rPr>
          <w:rFonts w:ascii="Times New Roman" w:hAnsi="Times New Roman" w:cs="Times New Roman"/>
          <w:sz w:val="24"/>
          <w:szCs w:val="24"/>
        </w:rPr>
        <w:t>technical nature</w:t>
      </w:r>
      <w:r w:rsidR="003413BD">
        <w:rPr>
          <w:rFonts w:ascii="Times New Roman" w:hAnsi="Times New Roman" w:cs="Times New Roman"/>
          <w:sz w:val="24"/>
          <w:szCs w:val="24"/>
        </w:rPr>
        <w:t xml:space="preserve"> but may </w:t>
      </w:r>
      <w:r w:rsidR="00376EBF">
        <w:rPr>
          <w:rFonts w:ascii="Times New Roman" w:hAnsi="Times New Roman" w:cs="Times New Roman"/>
          <w:sz w:val="24"/>
          <w:szCs w:val="24"/>
        </w:rPr>
        <w:t xml:space="preserve">also </w:t>
      </w:r>
      <w:r w:rsidR="003413BD">
        <w:rPr>
          <w:rFonts w:ascii="Times New Roman" w:hAnsi="Times New Roman" w:cs="Times New Roman"/>
          <w:sz w:val="24"/>
          <w:szCs w:val="24"/>
        </w:rPr>
        <w:t xml:space="preserve">be found on-line at </w:t>
      </w:r>
      <w:hyperlink w:history="1" r:id="rId13">
        <w:r w:rsidRPr="008B272D" w:rsidR="003413BD">
          <w:rPr>
            <w:rStyle w:val="Hyperlink"/>
            <w:rFonts w:ascii="Times New Roman" w:hAnsi="Times New Roman" w:cs="Times New Roman"/>
            <w:sz w:val="24"/>
            <w:szCs w:val="24"/>
          </w:rPr>
          <w:t>www.ecfr.gov</w:t>
        </w:r>
      </w:hyperlink>
      <w:r w:rsidR="00376EBF">
        <w:rPr>
          <w:rStyle w:val="Hyperlink"/>
          <w:rFonts w:ascii="Times New Roman" w:hAnsi="Times New Roman" w:cs="Times New Roman"/>
          <w:sz w:val="24"/>
          <w:szCs w:val="24"/>
        </w:rPr>
        <w:t>.</w:t>
      </w:r>
    </w:p>
    <w:p w:rsidR="003413BD" w:rsidP="009D68AE" w:rsidRDefault="003413BD" w14:paraId="20915384" w14:textId="77777777">
      <w:pPr>
        <w:spacing w:after="0" w:line="240" w:lineRule="auto"/>
        <w:rPr>
          <w:rFonts w:ascii="Times New Roman" w:hAnsi="Times New Roman" w:cs="Times New Roman"/>
          <w:sz w:val="24"/>
          <w:szCs w:val="24"/>
        </w:rPr>
      </w:pPr>
    </w:p>
    <w:p w:rsidRPr="002F1CBD" w:rsidR="002F1CBD" w:rsidP="002F1CBD" w:rsidRDefault="002F1CBD" w14:paraId="023DC473" w14:textId="77777777">
      <w:pPr>
        <w:spacing w:after="0" w:line="240" w:lineRule="auto"/>
        <w:rPr>
          <w:rFonts w:ascii="Times New Roman" w:hAnsi="Times New Roman" w:cs="Times New Roman"/>
          <w:sz w:val="24"/>
          <w:szCs w:val="24"/>
        </w:rPr>
      </w:pPr>
      <w:r w:rsidRPr="002F1CBD">
        <w:rPr>
          <w:rFonts w:ascii="Times New Roman" w:hAnsi="Times New Roman" w:cs="Times New Roman"/>
          <w:sz w:val="24"/>
          <w:szCs w:val="24"/>
        </w:rPr>
        <w:t xml:space="preserve">2(b) </w:t>
      </w:r>
      <w:r w:rsidRPr="002F1CBD">
        <w:rPr>
          <w:rFonts w:ascii="Times New Roman" w:hAnsi="Times New Roman" w:cs="Times New Roman"/>
          <w:sz w:val="24"/>
          <w:szCs w:val="24"/>
          <w:u w:val="single"/>
        </w:rPr>
        <w:t>Practical Utility/Users of the Data</w:t>
      </w:r>
    </w:p>
    <w:p w:rsidRPr="002F1CBD" w:rsidR="002F1CBD" w:rsidP="002F1CBD" w:rsidRDefault="002F1CBD" w14:paraId="16A62CEC" w14:textId="77777777">
      <w:pPr>
        <w:spacing w:after="0" w:line="240" w:lineRule="auto"/>
        <w:rPr>
          <w:rFonts w:ascii="Times New Roman" w:hAnsi="Times New Roman" w:cs="Times New Roman"/>
          <w:sz w:val="24"/>
          <w:szCs w:val="24"/>
        </w:rPr>
      </w:pPr>
    </w:p>
    <w:p w:rsidRPr="00922C39" w:rsidR="00922C39" w:rsidP="00922C39" w:rsidRDefault="00922C39" w14:paraId="40BD909E" w14:textId="1DB0F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Clean Air Act directs the EPA to promulgate regulations </w:t>
      </w:r>
      <w:r w:rsidRPr="00922C39">
        <w:rPr>
          <w:rFonts w:ascii="Times New Roman" w:hAnsi="Times New Roman" w:cs="Times New Roman"/>
          <w:sz w:val="24"/>
          <w:szCs w:val="24"/>
        </w:rPr>
        <w:t>for the control of exhaust and</w:t>
      </w:r>
    </w:p>
    <w:p w:rsidR="00672403" w:rsidP="00922C39" w:rsidRDefault="00922C39" w14:paraId="6A47AACE" w14:textId="50D69B6E">
      <w:pPr>
        <w:spacing w:after="0" w:line="240" w:lineRule="auto"/>
        <w:rPr>
          <w:rFonts w:ascii="Times New Roman" w:hAnsi="Times New Roman" w:cs="Times New Roman"/>
          <w:sz w:val="24"/>
          <w:szCs w:val="24"/>
        </w:rPr>
      </w:pPr>
      <w:r w:rsidRPr="00922C39">
        <w:rPr>
          <w:rFonts w:ascii="Times New Roman" w:hAnsi="Times New Roman" w:cs="Times New Roman"/>
          <w:sz w:val="24"/>
          <w:szCs w:val="24"/>
        </w:rPr>
        <w:t>crankcase emissions from new motorcycles</w:t>
      </w:r>
      <w:r>
        <w:rPr>
          <w:rFonts w:ascii="Times New Roman" w:hAnsi="Times New Roman" w:cs="Times New Roman"/>
          <w:sz w:val="24"/>
          <w:szCs w:val="24"/>
        </w:rPr>
        <w:t>. Under 40 CFR Part 85 and 86, the EPA has promulgated regulations to provide for the certification that new highway motorcycles meet emissions standards for certain exhaust emissions and continue to comply with those emissions standards throughout the useful life of the vehicle. The EPA gathers the following data to assess the compliance of vehicles at the time of certification and establishes certain reporting and recordkeeping requirements to monitor compliance from those certified vehicles.</w:t>
      </w:r>
    </w:p>
    <w:p w:rsidR="00922C39" w:rsidP="00922C39" w:rsidRDefault="00922C39" w14:paraId="5415ABD8" w14:textId="77777777">
      <w:pPr>
        <w:spacing w:after="0" w:line="240" w:lineRule="auto"/>
        <w:rPr>
          <w:rFonts w:ascii="Times New Roman" w:hAnsi="Times New Roman" w:cs="Times New Roman"/>
          <w:sz w:val="24"/>
          <w:szCs w:val="24"/>
        </w:rPr>
      </w:pPr>
    </w:p>
    <w:p w:rsidRPr="00393943" w:rsidR="00393943" w:rsidP="00393943" w:rsidRDefault="00393943" w14:paraId="5A709653" w14:textId="77777777">
      <w:pPr>
        <w:spacing w:after="0" w:line="240" w:lineRule="auto"/>
        <w:rPr>
          <w:rFonts w:ascii="Times New Roman" w:hAnsi="Times New Roman" w:cs="Times New Roman"/>
          <w:sz w:val="24"/>
          <w:szCs w:val="24"/>
          <w:u w:val="single"/>
        </w:rPr>
      </w:pPr>
      <w:r w:rsidRPr="00393943">
        <w:rPr>
          <w:rFonts w:ascii="Times New Roman" w:hAnsi="Times New Roman" w:cs="Times New Roman"/>
          <w:sz w:val="24"/>
          <w:szCs w:val="24"/>
          <w:u w:val="single"/>
        </w:rPr>
        <w:t>Highway Motorcycles Certification and Compliance</w:t>
      </w:r>
    </w:p>
    <w:p w:rsidRPr="00672403" w:rsidR="00393943" w:rsidP="00393943" w:rsidRDefault="00393943" w14:paraId="2C43CE70" w14:textId="77777777">
      <w:pPr>
        <w:spacing w:after="0" w:line="240" w:lineRule="auto"/>
        <w:rPr>
          <w:rFonts w:ascii="Times New Roman" w:hAnsi="Times New Roman" w:cs="Times New Roman"/>
          <w:sz w:val="24"/>
          <w:szCs w:val="24"/>
        </w:rPr>
      </w:pPr>
    </w:p>
    <w:p w:rsidRPr="00672403" w:rsidR="00393943" w:rsidP="00393943" w:rsidRDefault="00922C39" w14:paraId="59DCABE6" w14:textId="69E11DE1">
      <w:pPr>
        <w:spacing w:after="0" w:line="240" w:lineRule="auto"/>
        <w:rPr>
          <w:rFonts w:ascii="Times New Roman" w:hAnsi="Times New Roman" w:cs="Times New Roman"/>
          <w:sz w:val="24"/>
          <w:szCs w:val="24"/>
        </w:rPr>
      </w:pPr>
      <w:r>
        <w:rPr>
          <w:rFonts w:ascii="Times New Roman" w:hAnsi="Times New Roman" w:cs="Times New Roman"/>
          <w:sz w:val="24"/>
          <w:szCs w:val="24"/>
        </w:rPr>
        <w:t>The EPA requires manufacturers to provide various</w:t>
      </w:r>
      <w:r w:rsidR="00DC6E7F">
        <w:rPr>
          <w:rFonts w:ascii="Times New Roman" w:hAnsi="Times New Roman" w:cs="Times New Roman"/>
          <w:sz w:val="24"/>
          <w:szCs w:val="24"/>
        </w:rPr>
        <w:t xml:space="preserve"> pieces of information in their certification applications that detail the manufacture and emissions control devices on the motorcycle. These requirements, such as adjustable parameters for engine control and operation, aftertreatment devices, engine air aspiration, auxiliary emissions control devices, etc; and emissions test data verifying these emissions control devices will meet the emissions standards under the motorcycle regulations. </w:t>
      </w:r>
      <w:r w:rsidR="008B3617">
        <w:rPr>
          <w:rFonts w:ascii="Times New Roman" w:hAnsi="Times New Roman" w:cs="Times New Roman"/>
          <w:sz w:val="24"/>
          <w:szCs w:val="24"/>
        </w:rPr>
        <w:t>We may verify by inspection and subsequent testing whether the appropriate test cycle was performed and whether the engine complies under the regulations. In addition, manufacturers must report the actual sales of every vehicle and, if requested, provide a production vehicle so the EPA may verify that the vehicles covered by the certificate of conformity perform as certified.</w:t>
      </w:r>
      <w:r w:rsidR="00393943">
        <w:rPr>
          <w:rFonts w:ascii="Times New Roman" w:hAnsi="Times New Roman" w:cs="Times New Roman"/>
          <w:sz w:val="24"/>
          <w:szCs w:val="24"/>
        </w:rPr>
        <w:t xml:space="preserve"> </w:t>
      </w:r>
    </w:p>
    <w:p w:rsidR="00672403" w:rsidP="00D608A0" w:rsidRDefault="00672403" w14:paraId="01BB8501" w14:textId="6C0F0F83">
      <w:pPr>
        <w:spacing w:after="0" w:line="240" w:lineRule="auto"/>
        <w:rPr>
          <w:rFonts w:ascii="Times New Roman" w:hAnsi="Times New Roman" w:cs="Times New Roman"/>
          <w:sz w:val="24"/>
          <w:szCs w:val="24"/>
        </w:rPr>
      </w:pPr>
    </w:p>
    <w:p w:rsidR="00BB1509" w:rsidP="00D608A0" w:rsidRDefault="00BB1509" w14:paraId="18D30F41" w14:textId="73FCE1FD">
      <w:pPr>
        <w:spacing w:after="0" w:line="240" w:lineRule="auto"/>
        <w:rPr>
          <w:rFonts w:ascii="Times New Roman" w:hAnsi="Times New Roman" w:cs="Times New Roman"/>
          <w:sz w:val="24"/>
          <w:szCs w:val="24"/>
        </w:rPr>
      </w:pPr>
    </w:p>
    <w:p w:rsidR="00BB1509" w:rsidP="00D608A0" w:rsidRDefault="00BB1509" w14:paraId="47769BA6" w14:textId="2C3E0925">
      <w:pPr>
        <w:spacing w:after="0" w:line="240" w:lineRule="auto"/>
        <w:rPr>
          <w:rFonts w:ascii="Times New Roman" w:hAnsi="Times New Roman" w:cs="Times New Roman"/>
          <w:sz w:val="24"/>
          <w:szCs w:val="24"/>
        </w:rPr>
      </w:pPr>
    </w:p>
    <w:p w:rsidR="00BB1509" w:rsidP="00D608A0" w:rsidRDefault="00BB1509" w14:paraId="62F1A21D" w14:textId="77777777">
      <w:pPr>
        <w:spacing w:after="0" w:line="240" w:lineRule="auto"/>
        <w:rPr>
          <w:rFonts w:ascii="Times New Roman" w:hAnsi="Times New Roman" w:cs="Times New Roman"/>
          <w:sz w:val="24"/>
          <w:szCs w:val="24"/>
        </w:rPr>
      </w:pPr>
    </w:p>
    <w:p w:rsidRPr="00F837B9" w:rsidR="00F837B9" w:rsidP="00F837B9" w:rsidRDefault="00F837B9" w14:paraId="11EA20CD" w14:textId="77777777">
      <w:pPr>
        <w:spacing w:after="0" w:line="240" w:lineRule="auto"/>
        <w:rPr>
          <w:rFonts w:ascii="Times New Roman" w:hAnsi="Times New Roman" w:cs="Times New Roman"/>
          <w:sz w:val="24"/>
          <w:szCs w:val="24"/>
          <w:u w:val="single"/>
        </w:rPr>
      </w:pPr>
      <w:r w:rsidRPr="00F837B9">
        <w:rPr>
          <w:rFonts w:ascii="Times New Roman" w:hAnsi="Times New Roman" w:cs="Times New Roman"/>
          <w:sz w:val="24"/>
          <w:szCs w:val="24"/>
          <w:u w:val="single"/>
        </w:rPr>
        <w:t>Defect Reports and Voluntary Emissions Recall Reports</w:t>
      </w:r>
    </w:p>
    <w:p w:rsidRPr="00F837B9" w:rsidR="00F837B9" w:rsidP="00F837B9" w:rsidRDefault="00F837B9" w14:paraId="5DF91D1C" w14:textId="77777777">
      <w:pPr>
        <w:spacing w:after="0" w:line="240" w:lineRule="auto"/>
        <w:rPr>
          <w:rFonts w:ascii="Times New Roman" w:hAnsi="Times New Roman" w:cs="Times New Roman"/>
          <w:sz w:val="24"/>
          <w:szCs w:val="24"/>
        </w:rPr>
      </w:pPr>
    </w:p>
    <w:p w:rsidRPr="003F78CC" w:rsidR="003F7BA3" w:rsidP="003F78CC" w:rsidRDefault="003F78CC" w14:paraId="4DED86ED" w14:textId="4D2FD854">
      <w:pPr>
        <w:rPr>
          <w:rFonts w:ascii="Times New Roman" w:hAnsi="Times New Roman" w:cs="Times New Roman"/>
          <w:sz w:val="24"/>
          <w:szCs w:val="24"/>
        </w:rPr>
      </w:pPr>
      <w:r>
        <w:rPr>
          <w:rFonts w:ascii="Times New Roman" w:hAnsi="Times New Roman" w:cs="Times New Roman"/>
          <w:sz w:val="24"/>
          <w:szCs w:val="24"/>
        </w:rPr>
        <w:t>EPA’s authority to require manufacturers that have been issued certificates of conformity to report on compliance issues with in-use products is derived from EPA’s Clean Air Act § 208 authority. The EPA relies on manufacturers</w:t>
      </w:r>
      <w:r w:rsidR="00872AA2">
        <w:rPr>
          <w:rFonts w:ascii="Times New Roman" w:hAnsi="Times New Roman" w:cs="Times New Roman"/>
          <w:sz w:val="24"/>
          <w:szCs w:val="24"/>
        </w:rPr>
        <w:t>’</w:t>
      </w:r>
      <w:r>
        <w:rPr>
          <w:rFonts w:ascii="Times New Roman" w:hAnsi="Times New Roman" w:cs="Times New Roman"/>
          <w:sz w:val="24"/>
          <w:szCs w:val="24"/>
        </w:rPr>
        <w:t xml:space="preserve"> existing </w:t>
      </w:r>
      <w:r w:rsidRPr="003F78CC">
        <w:rPr>
          <w:rFonts w:ascii="Times New Roman" w:hAnsi="Times New Roman" w:cs="Times New Roman"/>
          <w:sz w:val="24"/>
          <w:szCs w:val="24"/>
        </w:rPr>
        <w:t xml:space="preserve">feedback on the in-use performance of their products from </w:t>
      </w:r>
      <w:proofErr w:type="gramStart"/>
      <w:r w:rsidRPr="003F78CC">
        <w:rPr>
          <w:rFonts w:ascii="Times New Roman" w:hAnsi="Times New Roman" w:cs="Times New Roman"/>
          <w:sz w:val="24"/>
          <w:szCs w:val="24"/>
        </w:rPr>
        <w:t>a number of</w:t>
      </w:r>
      <w:proofErr w:type="gramEnd"/>
      <w:r w:rsidRPr="003F78CC">
        <w:rPr>
          <w:rFonts w:ascii="Times New Roman" w:hAnsi="Times New Roman" w:cs="Times New Roman"/>
          <w:sz w:val="24"/>
          <w:szCs w:val="24"/>
        </w:rPr>
        <w:t xml:space="preserve"> sources, most notably from their warranty claims systems. The purpose is to allow the </w:t>
      </w:r>
      <w:r>
        <w:rPr>
          <w:rFonts w:ascii="Times New Roman" w:hAnsi="Times New Roman" w:cs="Times New Roman"/>
          <w:sz w:val="24"/>
          <w:szCs w:val="24"/>
        </w:rPr>
        <w:t xml:space="preserve">EPA </w:t>
      </w:r>
      <w:r w:rsidRPr="003F78CC">
        <w:rPr>
          <w:rFonts w:ascii="Times New Roman" w:hAnsi="Times New Roman" w:cs="Times New Roman"/>
          <w:sz w:val="24"/>
          <w:szCs w:val="24"/>
        </w:rPr>
        <w:t>to assess whether a manufacturer is</w:t>
      </w:r>
      <w:r>
        <w:rPr>
          <w:rFonts w:ascii="Times New Roman" w:hAnsi="Times New Roman" w:cs="Times New Roman"/>
          <w:sz w:val="24"/>
          <w:szCs w:val="24"/>
        </w:rPr>
        <w:t xml:space="preserve"> </w:t>
      </w:r>
      <w:r w:rsidRPr="003F78CC">
        <w:rPr>
          <w:rFonts w:ascii="Times New Roman" w:hAnsi="Times New Roman" w:cs="Times New Roman"/>
          <w:sz w:val="24"/>
          <w:szCs w:val="24"/>
        </w:rPr>
        <w:t xml:space="preserve">meeting </w:t>
      </w:r>
      <w:r w:rsidR="00872AA2">
        <w:rPr>
          <w:rFonts w:ascii="Times New Roman" w:hAnsi="Times New Roman" w:cs="Times New Roman"/>
          <w:sz w:val="24"/>
          <w:szCs w:val="24"/>
        </w:rPr>
        <w:t>its</w:t>
      </w:r>
      <w:r w:rsidRPr="003F78CC">
        <w:rPr>
          <w:rFonts w:ascii="Times New Roman" w:hAnsi="Times New Roman" w:cs="Times New Roman"/>
          <w:sz w:val="24"/>
          <w:szCs w:val="24"/>
        </w:rPr>
        <w:t xml:space="preserve"> obligations under </w:t>
      </w:r>
      <w:r>
        <w:rPr>
          <w:rFonts w:ascii="Times New Roman" w:hAnsi="Times New Roman" w:cs="Times New Roman"/>
          <w:sz w:val="24"/>
          <w:szCs w:val="24"/>
        </w:rPr>
        <w:t xml:space="preserve">the Act </w:t>
      </w:r>
      <w:r w:rsidRPr="003F78CC">
        <w:rPr>
          <w:rFonts w:ascii="Times New Roman" w:hAnsi="Times New Roman" w:cs="Times New Roman"/>
          <w:sz w:val="24"/>
          <w:szCs w:val="24"/>
        </w:rPr>
        <w:t>including determinations of nonco</w:t>
      </w:r>
      <w:r w:rsidR="00872AA2">
        <w:rPr>
          <w:rFonts w:ascii="Times New Roman" w:hAnsi="Times New Roman" w:cs="Times New Roman"/>
          <w:sz w:val="24"/>
          <w:szCs w:val="24"/>
        </w:rPr>
        <w:t>mpliance</w:t>
      </w:r>
      <w:r w:rsidRPr="003F78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72AA2">
        <w:rPr>
          <w:rFonts w:ascii="Times New Roman" w:hAnsi="Times New Roman" w:cs="Times New Roman"/>
          <w:sz w:val="24"/>
          <w:szCs w:val="24"/>
        </w:rPr>
        <w:t>d</w:t>
      </w:r>
      <w:r>
        <w:rPr>
          <w:rFonts w:ascii="Times New Roman" w:hAnsi="Times New Roman" w:cs="Times New Roman"/>
          <w:sz w:val="24"/>
          <w:szCs w:val="24"/>
        </w:rPr>
        <w:t>efect provisions under 40 CF</w:t>
      </w:r>
      <w:r w:rsidR="001720E5">
        <w:rPr>
          <w:rFonts w:ascii="Times New Roman" w:hAnsi="Times New Roman" w:cs="Times New Roman"/>
          <w:sz w:val="24"/>
          <w:szCs w:val="24"/>
        </w:rPr>
        <w:t>R</w:t>
      </w:r>
      <w:r>
        <w:rPr>
          <w:rFonts w:ascii="Times New Roman" w:hAnsi="Times New Roman" w:cs="Times New Roman"/>
          <w:sz w:val="24"/>
          <w:szCs w:val="24"/>
        </w:rPr>
        <w:t xml:space="preserve"> Part 85, subpart T require manufacturers to report a “defect” exceeding a certain number of vehicles to the EPA and provide a remedy. </w:t>
      </w:r>
      <w:r w:rsidR="001720E5">
        <w:rPr>
          <w:rFonts w:ascii="Times New Roman" w:hAnsi="Times New Roman" w:cs="Times New Roman"/>
          <w:sz w:val="24"/>
          <w:szCs w:val="24"/>
        </w:rPr>
        <w:t xml:space="preserve">Manufacturers </w:t>
      </w:r>
      <w:r w:rsidR="00872AA2">
        <w:rPr>
          <w:rFonts w:ascii="Times New Roman" w:hAnsi="Times New Roman" w:cs="Times New Roman"/>
          <w:sz w:val="24"/>
          <w:szCs w:val="24"/>
        </w:rPr>
        <w:t>m</w:t>
      </w:r>
      <w:r w:rsidR="001720E5">
        <w:rPr>
          <w:rFonts w:ascii="Times New Roman" w:hAnsi="Times New Roman" w:cs="Times New Roman"/>
          <w:sz w:val="24"/>
          <w:szCs w:val="24"/>
        </w:rPr>
        <w:t xml:space="preserve">ay seek to cure the “defect” using the Voluntary Emissions Recall provisions under 40 CFR Part85, subpart S, </w:t>
      </w:r>
      <w:r w:rsidR="00872AA2">
        <w:rPr>
          <w:rFonts w:ascii="Times New Roman" w:hAnsi="Times New Roman" w:cs="Times New Roman"/>
          <w:sz w:val="24"/>
          <w:szCs w:val="24"/>
        </w:rPr>
        <w:t>using</w:t>
      </w:r>
      <w:r w:rsidR="001720E5">
        <w:rPr>
          <w:rFonts w:ascii="Times New Roman" w:hAnsi="Times New Roman" w:cs="Times New Roman"/>
          <w:sz w:val="24"/>
          <w:szCs w:val="24"/>
        </w:rPr>
        <w:t xml:space="preserve"> the reporting requirements under that regulation. Both the defect reporting requirement and the voluntary emissions recall reporting requirement allow the EPA to receive information on how manufacturers continue to comply with the emissions of their products not just at the time of certification, but throughout the useful life of the product</w:t>
      </w:r>
      <w:r w:rsidR="00437E54">
        <w:rPr>
          <w:rFonts w:ascii="Times New Roman" w:hAnsi="Times New Roman" w:cs="Times New Roman"/>
          <w:sz w:val="24"/>
          <w:szCs w:val="24"/>
        </w:rPr>
        <w:t>.</w:t>
      </w:r>
      <w:r w:rsidR="005B443E">
        <w:rPr>
          <w:rFonts w:ascii="Times New Roman" w:hAnsi="Times New Roman" w:cs="Times New Roman"/>
          <w:sz w:val="24"/>
          <w:szCs w:val="24"/>
        </w:rPr>
        <w:t xml:space="preserve"> </w:t>
      </w:r>
      <w:r w:rsidDel="003F78CC" w:rsidR="008C28BA">
        <w:rPr>
          <w:rStyle w:val="CommentReference"/>
        </w:rPr>
        <w:t xml:space="preserve"> </w:t>
      </w:r>
    </w:p>
    <w:p w:rsidRPr="00604141" w:rsidR="002F1CBD" w:rsidP="003F78CC" w:rsidRDefault="00B66A34" w14:paraId="2EBAAAD6" w14:textId="77777777">
      <w:pPr>
        <w:rPr>
          <w:rFonts w:ascii="Times New Roman" w:hAnsi="Times New Roman" w:cs="Times New Roman"/>
          <w:sz w:val="24"/>
          <w:szCs w:val="24"/>
          <w:u w:val="single"/>
        </w:rPr>
      </w:pPr>
      <w:r w:rsidRPr="00604141">
        <w:rPr>
          <w:rFonts w:ascii="Times New Roman" w:hAnsi="Times New Roman" w:cs="Times New Roman"/>
          <w:sz w:val="24"/>
          <w:szCs w:val="24"/>
          <w:u w:val="single"/>
        </w:rPr>
        <w:t xml:space="preserve"> </w:t>
      </w:r>
      <w:r w:rsidRPr="00604141" w:rsidR="002F1CBD">
        <w:rPr>
          <w:rFonts w:ascii="Times New Roman" w:hAnsi="Times New Roman" w:cs="Times New Roman"/>
          <w:sz w:val="24"/>
          <w:szCs w:val="24"/>
          <w:u w:val="single"/>
        </w:rPr>
        <w:t xml:space="preserve">Investigation into Possible Noncompliance of </w:t>
      </w:r>
      <w:r w:rsidRPr="00604141" w:rsidR="000303BE">
        <w:rPr>
          <w:rFonts w:ascii="Times New Roman" w:hAnsi="Times New Roman" w:cs="Times New Roman"/>
          <w:sz w:val="24"/>
          <w:szCs w:val="24"/>
          <w:u w:val="single"/>
        </w:rPr>
        <w:t>HMCs</w:t>
      </w:r>
    </w:p>
    <w:p w:rsidRPr="003F78CC" w:rsidR="00672403" w:rsidP="003F78CC" w:rsidRDefault="002F1CBD" w14:paraId="784BC29F" w14:textId="6A9934E1">
      <w:pPr>
        <w:rPr>
          <w:rFonts w:ascii="Times New Roman" w:hAnsi="Times New Roman" w:cs="Times New Roman"/>
          <w:sz w:val="24"/>
          <w:szCs w:val="24"/>
        </w:rPr>
      </w:pPr>
      <w:r w:rsidRPr="003F78CC">
        <w:rPr>
          <w:rFonts w:ascii="Times New Roman" w:hAnsi="Times New Roman" w:cs="Times New Roman"/>
          <w:sz w:val="24"/>
          <w:szCs w:val="24"/>
        </w:rPr>
        <w:t>The HMC emissions compliance program include</w:t>
      </w:r>
      <w:r w:rsidRPr="003F78CC" w:rsidR="00110B73">
        <w:rPr>
          <w:rFonts w:ascii="Times New Roman" w:hAnsi="Times New Roman" w:cs="Times New Roman"/>
          <w:sz w:val="24"/>
          <w:szCs w:val="24"/>
        </w:rPr>
        <w:t>s</w:t>
      </w:r>
      <w:r w:rsidRPr="003F78CC">
        <w:rPr>
          <w:rFonts w:ascii="Times New Roman" w:hAnsi="Times New Roman" w:cs="Times New Roman"/>
          <w:sz w:val="24"/>
          <w:szCs w:val="24"/>
        </w:rPr>
        <w:t xml:space="preserve"> pre-production, production, and in-use components. </w:t>
      </w:r>
      <w:r w:rsidRPr="003F78CC" w:rsidR="00FF3E11">
        <w:rPr>
          <w:rFonts w:ascii="Times New Roman" w:hAnsi="Times New Roman" w:cs="Times New Roman"/>
          <w:sz w:val="24"/>
          <w:szCs w:val="24"/>
        </w:rPr>
        <w:t>HMC</w:t>
      </w:r>
      <w:r w:rsidRPr="003F78CC" w:rsidR="00110B73">
        <w:rPr>
          <w:rFonts w:ascii="Times New Roman" w:hAnsi="Times New Roman" w:cs="Times New Roman"/>
          <w:sz w:val="24"/>
          <w:szCs w:val="24"/>
        </w:rPr>
        <w:t>s</w:t>
      </w:r>
      <w:r w:rsidRPr="003F78CC">
        <w:rPr>
          <w:rFonts w:ascii="Times New Roman" w:hAnsi="Times New Roman" w:cs="Times New Roman"/>
          <w:sz w:val="24"/>
          <w:szCs w:val="24"/>
        </w:rPr>
        <w:t xml:space="preserve"> are evaluated as prototypes prior to production, and those designs that meet applicable criteria are certified for introduction into commerce. </w:t>
      </w:r>
      <w:r w:rsidRPr="003F78CC" w:rsidR="0057142D">
        <w:rPr>
          <w:rFonts w:ascii="Times New Roman" w:hAnsi="Times New Roman" w:cs="Times New Roman"/>
          <w:sz w:val="24"/>
          <w:szCs w:val="24"/>
        </w:rPr>
        <w:t xml:space="preserve">The </w:t>
      </w:r>
      <w:r w:rsidRPr="003F78CC">
        <w:rPr>
          <w:rFonts w:ascii="Times New Roman" w:hAnsi="Times New Roman" w:cs="Times New Roman"/>
          <w:sz w:val="24"/>
          <w:szCs w:val="24"/>
        </w:rPr>
        <w:t xml:space="preserve">EPA also has discretion to conduct production vehicle testing. </w:t>
      </w:r>
      <w:r w:rsidRPr="003F78CC" w:rsidR="008A38AE">
        <w:rPr>
          <w:rFonts w:ascii="Times New Roman" w:hAnsi="Times New Roman" w:cs="Times New Roman"/>
          <w:sz w:val="24"/>
          <w:szCs w:val="24"/>
        </w:rPr>
        <w:t>While, t</w:t>
      </w:r>
      <w:r w:rsidRPr="003F78CC">
        <w:rPr>
          <w:rFonts w:ascii="Times New Roman" w:hAnsi="Times New Roman" w:cs="Times New Roman"/>
          <w:sz w:val="24"/>
          <w:szCs w:val="24"/>
        </w:rPr>
        <w:t xml:space="preserve">his has become an important compliance tool for </w:t>
      </w:r>
      <w:r w:rsidRPr="003F78CC" w:rsidR="002F79E8">
        <w:rPr>
          <w:rFonts w:ascii="Times New Roman" w:hAnsi="Times New Roman" w:cs="Times New Roman"/>
          <w:sz w:val="24"/>
          <w:szCs w:val="24"/>
        </w:rPr>
        <w:t xml:space="preserve">the </w:t>
      </w:r>
      <w:r w:rsidRPr="003F78CC">
        <w:rPr>
          <w:rFonts w:ascii="Times New Roman" w:hAnsi="Times New Roman" w:cs="Times New Roman"/>
          <w:sz w:val="24"/>
          <w:szCs w:val="24"/>
        </w:rPr>
        <w:t>EPA</w:t>
      </w:r>
      <w:r w:rsidRPr="003F78CC" w:rsidR="008A38AE">
        <w:rPr>
          <w:rFonts w:ascii="Times New Roman" w:hAnsi="Times New Roman" w:cs="Times New Roman"/>
          <w:sz w:val="24"/>
          <w:szCs w:val="24"/>
        </w:rPr>
        <w:t>,</w:t>
      </w:r>
      <w:r w:rsidRPr="003F78CC">
        <w:rPr>
          <w:rFonts w:ascii="Times New Roman" w:hAnsi="Times New Roman" w:cs="Times New Roman"/>
          <w:sz w:val="24"/>
          <w:szCs w:val="24"/>
        </w:rPr>
        <w:t xml:space="preserve"> no significant burden is assigned to this activity in this ICR due to the very limited nature in which this tool is used. Finally, in addition to the manufacturer voluntary recall program, </w:t>
      </w:r>
      <w:r w:rsidRPr="003F78CC" w:rsidR="002F79E8">
        <w:rPr>
          <w:rFonts w:ascii="Times New Roman" w:hAnsi="Times New Roman" w:cs="Times New Roman"/>
          <w:sz w:val="24"/>
          <w:szCs w:val="24"/>
        </w:rPr>
        <w:t xml:space="preserve">the </w:t>
      </w:r>
      <w:r w:rsidRPr="003F78CC">
        <w:rPr>
          <w:rFonts w:ascii="Times New Roman" w:hAnsi="Times New Roman" w:cs="Times New Roman"/>
          <w:sz w:val="24"/>
          <w:szCs w:val="24"/>
        </w:rPr>
        <w:t xml:space="preserve">EPA will follow up on information shared with the </w:t>
      </w:r>
      <w:r w:rsidRPr="003F78CC" w:rsidR="001334C9">
        <w:rPr>
          <w:rFonts w:ascii="Times New Roman" w:hAnsi="Times New Roman" w:cs="Times New Roman"/>
          <w:sz w:val="24"/>
          <w:szCs w:val="24"/>
        </w:rPr>
        <w:t>A</w:t>
      </w:r>
      <w:r w:rsidRPr="003F78CC">
        <w:rPr>
          <w:rFonts w:ascii="Times New Roman" w:hAnsi="Times New Roman" w:cs="Times New Roman"/>
          <w:sz w:val="24"/>
          <w:szCs w:val="24"/>
        </w:rPr>
        <w:t xml:space="preserve">gency by other administrative and state agencies, such as California’s Air Resources Board and Environment </w:t>
      </w:r>
      <w:r w:rsidRPr="003F78CC" w:rsidR="002B3691">
        <w:rPr>
          <w:rFonts w:ascii="Times New Roman" w:hAnsi="Times New Roman" w:cs="Times New Roman"/>
          <w:sz w:val="24"/>
          <w:szCs w:val="24"/>
        </w:rPr>
        <w:t xml:space="preserve">and Climate Control </w:t>
      </w:r>
      <w:r w:rsidRPr="003F78CC">
        <w:rPr>
          <w:rFonts w:ascii="Times New Roman" w:hAnsi="Times New Roman" w:cs="Times New Roman"/>
          <w:sz w:val="24"/>
          <w:szCs w:val="24"/>
        </w:rPr>
        <w:t xml:space="preserve">Canada, to investigate vehicle compliance. </w:t>
      </w:r>
    </w:p>
    <w:p w:rsidRPr="00604141" w:rsidR="002F1CBD" w:rsidP="003F78CC" w:rsidRDefault="008C0137" w14:paraId="0D213F59" w14:textId="0522209D">
      <w:pPr>
        <w:rPr>
          <w:rFonts w:ascii="Times New Roman" w:hAnsi="Times New Roman" w:cs="Times New Roman"/>
          <w:sz w:val="24"/>
          <w:szCs w:val="24"/>
          <w:u w:val="single"/>
        </w:rPr>
      </w:pPr>
      <w:r w:rsidRPr="00604141">
        <w:rPr>
          <w:rFonts w:ascii="Times New Roman" w:hAnsi="Times New Roman" w:cs="Times New Roman"/>
          <w:sz w:val="24"/>
          <w:szCs w:val="24"/>
          <w:u w:val="single"/>
        </w:rPr>
        <w:t>EV-CIS</w:t>
      </w:r>
    </w:p>
    <w:p w:rsidRPr="00321096" w:rsidR="00222E80" w:rsidP="00222E80" w:rsidRDefault="002F1CBD" w14:paraId="248CABA0" w14:textId="7FBA2B0D">
      <w:pPr>
        <w:spacing w:after="0" w:line="240" w:lineRule="auto"/>
        <w:rPr>
          <w:rFonts w:ascii="Times New Roman" w:hAnsi="Times New Roman" w:cs="Times New Roman"/>
          <w:sz w:val="24"/>
          <w:szCs w:val="24"/>
        </w:rPr>
      </w:pPr>
      <w:r w:rsidRPr="003F78CC">
        <w:rPr>
          <w:rFonts w:ascii="Times New Roman" w:hAnsi="Times New Roman" w:cs="Times New Roman"/>
          <w:sz w:val="24"/>
          <w:szCs w:val="24"/>
        </w:rPr>
        <w:t xml:space="preserve">Electronic submission by manufactures to </w:t>
      </w:r>
      <w:r w:rsidRPr="003F78CC" w:rsidR="00317337">
        <w:rPr>
          <w:rFonts w:ascii="Times New Roman" w:hAnsi="Times New Roman" w:cs="Times New Roman"/>
          <w:sz w:val="24"/>
          <w:szCs w:val="24"/>
        </w:rPr>
        <w:t xml:space="preserve">the EPA’s </w:t>
      </w:r>
      <w:r w:rsidRPr="003F78CC" w:rsidR="005B443E">
        <w:rPr>
          <w:rFonts w:ascii="Times New Roman" w:hAnsi="Times New Roman" w:cs="Times New Roman"/>
          <w:sz w:val="24"/>
          <w:szCs w:val="24"/>
        </w:rPr>
        <w:t>E</w:t>
      </w:r>
      <w:r w:rsidRPr="003F78CC" w:rsidR="00317337">
        <w:rPr>
          <w:rFonts w:ascii="Times New Roman" w:hAnsi="Times New Roman" w:cs="Times New Roman"/>
          <w:sz w:val="24"/>
          <w:szCs w:val="24"/>
        </w:rPr>
        <w:t xml:space="preserve">ngine and </w:t>
      </w:r>
      <w:r w:rsidRPr="003F78CC" w:rsidR="005B443E">
        <w:rPr>
          <w:rFonts w:ascii="Times New Roman" w:hAnsi="Times New Roman" w:cs="Times New Roman"/>
          <w:sz w:val="24"/>
          <w:szCs w:val="24"/>
        </w:rPr>
        <w:t>V</w:t>
      </w:r>
      <w:r w:rsidRPr="003F78CC" w:rsidR="00317337">
        <w:rPr>
          <w:rFonts w:ascii="Times New Roman" w:hAnsi="Times New Roman" w:cs="Times New Roman"/>
          <w:sz w:val="24"/>
          <w:szCs w:val="24"/>
        </w:rPr>
        <w:t xml:space="preserve">ehicle </w:t>
      </w:r>
      <w:r w:rsidRPr="003F78CC" w:rsidR="005B443E">
        <w:rPr>
          <w:rFonts w:ascii="Times New Roman" w:hAnsi="Times New Roman" w:cs="Times New Roman"/>
          <w:sz w:val="24"/>
          <w:szCs w:val="24"/>
        </w:rPr>
        <w:t>C</w:t>
      </w:r>
      <w:r w:rsidRPr="003F78CC" w:rsidR="00317337">
        <w:rPr>
          <w:rFonts w:ascii="Times New Roman" w:hAnsi="Times New Roman" w:cs="Times New Roman"/>
          <w:sz w:val="24"/>
          <w:szCs w:val="24"/>
        </w:rPr>
        <w:t xml:space="preserve">ompliance </w:t>
      </w:r>
      <w:r w:rsidRPr="003F78CC" w:rsidR="005B443E">
        <w:rPr>
          <w:rFonts w:ascii="Times New Roman" w:hAnsi="Times New Roman" w:cs="Times New Roman"/>
          <w:sz w:val="24"/>
          <w:szCs w:val="24"/>
        </w:rPr>
        <w:t>I</w:t>
      </w:r>
      <w:r w:rsidRPr="003F78CC" w:rsidR="00317337">
        <w:rPr>
          <w:rFonts w:ascii="Times New Roman" w:hAnsi="Times New Roman" w:cs="Times New Roman"/>
          <w:sz w:val="24"/>
          <w:szCs w:val="24"/>
        </w:rPr>
        <w:t xml:space="preserve">nformation </w:t>
      </w:r>
      <w:r w:rsidRPr="003F78CC" w:rsidR="005B443E">
        <w:rPr>
          <w:rFonts w:ascii="Times New Roman" w:hAnsi="Times New Roman" w:cs="Times New Roman"/>
          <w:sz w:val="24"/>
          <w:szCs w:val="24"/>
        </w:rPr>
        <w:t>S</w:t>
      </w:r>
      <w:r w:rsidRPr="003F78CC" w:rsidR="00317337">
        <w:rPr>
          <w:rFonts w:ascii="Times New Roman" w:hAnsi="Times New Roman" w:cs="Times New Roman"/>
          <w:sz w:val="24"/>
          <w:szCs w:val="24"/>
        </w:rPr>
        <w:t xml:space="preserve">ystem known as </w:t>
      </w:r>
      <w:r w:rsidRPr="003F78CC" w:rsidR="008C0137">
        <w:rPr>
          <w:rFonts w:ascii="Times New Roman" w:hAnsi="Times New Roman" w:cs="Times New Roman"/>
          <w:sz w:val="24"/>
          <w:szCs w:val="24"/>
        </w:rPr>
        <w:t>EV-CIS</w:t>
      </w:r>
      <w:r w:rsidRPr="003F78CC">
        <w:rPr>
          <w:rFonts w:ascii="Times New Roman" w:hAnsi="Times New Roman" w:cs="Times New Roman"/>
          <w:sz w:val="24"/>
          <w:szCs w:val="24"/>
        </w:rPr>
        <w:t xml:space="preserve"> began to be implemented for on-highway motorcycles in </w:t>
      </w:r>
      <w:r w:rsidRPr="003F78CC" w:rsidR="00D83603">
        <w:rPr>
          <w:rFonts w:ascii="Times New Roman" w:hAnsi="Times New Roman" w:cs="Times New Roman"/>
          <w:sz w:val="24"/>
          <w:szCs w:val="24"/>
        </w:rPr>
        <w:t>2015</w:t>
      </w:r>
      <w:r w:rsidRPr="003F78CC" w:rsidR="00243B4B">
        <w:rPr>
          <w:rFonts w:ascii="Times New Roman" w:hAnsi="Times New Roman" w:cs="Times New Roman"/>
          <w:sz w:val="24"/>
          <w:szCs w:val="24"/>
        </w:rPr>
        <w:t>; previously manufacturers entered information in EPA’s Verify system</w:t>
      </w:r>
      <w:r w:rsidRPr="003F78CC" w:rsidR="005B443E">
        <w:rPr>
          <w:rFonts w:ascii="Times New Roman" w:hAnsi="Times New Roman" w:cs="Times New Roman"/>
          <w:sz w:val="24"/>
          <w:szCs w:val="24"/>
        </w:rPr>
        <w:t xml:space="preserve">. </w:t>
      </w:r>
      <w:r w:rsidRPr="00321096" w:rsidR="00222E80">
        <w:rPr>
          <w:rFonts w:ascii="Times New Roman" w:hAnsi="Times New Roman" w:cs="Times New Roman"/>
          <w:sz w:val="24"/>
          <w:szCs w:val="24"/>
        </w:rPr>
        <w:t xml:space="preserve">All reporting covered by this ICR </w:t>
      </w:r>
      <w:r w:rsidR="00222E80">
        <w:rPr>
          <w:rFonts w:ascii="Times New Roman" w:hAnsi="Times New Roman" w:cs="Times New Roman"/>
          <w:sz w:val="24"/>
          <w:szCs w:val="24"/>
        </w:rPr>
        <w:t>may</w:t>
      </w:r>
      <w:r w:rsidRPr="00321096" w:rsidR="00222E80">
        <w:rPr>
          <w:rFonts w:ascii="Times New Roman" w:hAnsi="Times New Roman" w:cs="Times New Roman"/>
          <w:sz w:val="24"/>
          <w:szCs w:val="24"/>
        </w:rPr>
        <w:t xml:space="preserve"> </w:t>
      </w:r>
      <w:r w:rsidR="00222E80">
        <w:rPr>
          <w:rFonts w:ascii="Times New Roman" w:hAnsi="Times New Roman" w:cs="Times New Roman"/>
          <w:sz w:val="24"/>
          <w:szCs w:val="24"/>
        </w:rPr>
        <w:t>be entered and submitted</w:t>
      </w:r>
      <w:r w:rsidRPr="00321096" w:rsidR="00222E80">
        <w:rPr>
          <w:rFonts w:ascii="Times New Roman" w:hAnsi="Times New Roman" w:cs="Times New Roman"/>
          <w:sz w:val="24"/>
          <w:szCs w:val="24"/>
        </w:rPr>
        <w:t xml:space="preserve"> electronically via </w:t>
      </w:r>
      <w:r w:rsidR="00222E80">
        <w:rPr>
          <w:rFonts w:ascii="Times New Roman" w:hAnsi="Times New Roman" w:cs="Times New Roman"/>
          <w:sz w:val="24"/>
          <w:szCs w:val="24"/>
        </w:rPr>
        <w:t xml:space="preserve">the </w:t>
      </w:r>
      <w:r w:rsidRPr="00321096" w:rsidR="00222E80">
        <w:rPr>
          <w:rFonts w:ascii="Times New Roman" w:hAnsi="Times New Roman" w:cs="Times New Roman"/>
          <w:sz w:val="24"/>
          <w:szCs w:val="24"/>
        </w:rPr>
        <w:t xml:space="preserve">EPA’s web-based </w:t>
      </w:r>
      <w:r w:rsidR="00222E80">
        <w:rPr>
          <w:rFonts w:ascii="Times New Roman" w:hAnsi="Times New Roman" w:cs="Times New Roman"/>
          <w:sz w:val="24"/>
          <w:szCs w:val="24"/>
        </w:rPr>
        <w:t>Engines and Vehicles Compliance Information</w:t>
      </w:r>
      <w:r w:rsidRPr="00321096" w:rsidR="00222E80">
        <w:rPr>
          <w:rFonts w:ascii="Times New Roman" w:hAnsi="Times New Roman" w:cs="Times New Roman"/>
          <w:sz w:val="24"/>
          <w:szCs w:val="24"/>
        </w:rPr>
        <w:t xml:space="preserve"> </w:t>
      </w:r>
      <w:r w:rsidR="00222E80">
        <w:rPr>
          <w:rFonts w:ascii="Times New Roman" w:hAnsi="Times New Roman" w:cs="Times New Roman"/>
          <w:sz w:val="24"/>
          <w:szCs w:val="24"/>
        </w:rPr>
        <w:t>S</w:t>
      </w:r>
      <w:r w:rsidRPr="00321096" w:rsidR="00222E80">
        <w:rPr>
          <w:rFonts w:ascii="Times New Roman" w:hAnsi="Times New Roman" w:cs="Times New Roman"/>
          <w:sz w:val="24"/>
          <w:szCs w:val="24"/>
        </w:rPr>
        <w:t xml:space="preserve">ystem, </w:t>
      </w:r>
      <w:r w:rsidR="00222E80">
        <w:rPr>
          <w:rFonts w:ascii="Times New Roman" w:hAnsi="Times New Roman" w:cs="Times New Roman"/>
          <w:sz w:val="24"/>
          <w:szCs w:val="24"/>
        </w:rPr>
        <w:t>EV-CIS.</w:t>
      </w:r>
      <w:r w:rsidRPr="00321096" w:rsidR="00222E80">
        <w:rPr>
          <w:rFonts w:ascii="Times New Roman" w:hAnsi="Times New Roman" w:cs="Times New Roman"/>
          <w:sz w:val="24"/>
          <w:szCs w:val="24"/>
        </w:rPr>
        <w:t xml:space="preserve"> </w:t>
      </w:r>
      <w:r w:rsidRPr="003F78CC" w:rsidR="00222E80">
        <w:rPr>
          <w:rFonts w:ascii="Times New Roman" w:hAnsi="Times New Roman" w:cs="Times New Roman"/>
          <w:sz w:val="24"/>
          <w:szCs w:val="24"/>
        </w:rPr>
        <w:t xml:space="preserve">The EV-CIS system features a web interface for the submission of manufacturer certification information. </w:t>
      </w:r>
      <w:r w:rsidRPr="00321096" w:rsidR="00222E80">
        <w:rPr>
          <w:rFonts w:ascii="Times New Roman" w:hAnsi="Times New Roman" w:cs="Times New Roman"/>
          <w:sz w:val="24"/>
          <w:szCs w:val="24"/>
        </w:rPr>
        <w:t xml:space="preserve">Subject to confidentiality claims, this information is made available to interested parties upon request. </w:t>
      </w:r>
      <w:r w:rsidR="00222E80">
        <w:rPr>
          <w:rFonts w:ascii="Times New Roman" w:hAnsi="Times New Roman" w:cs="Times New Roman"/>
          <w:sz w:val="24"/>
          <w:szCs w:val="24"/>
        </w:rPr>
        <w:t>E</w:t>
      </w:r>
      <w:r w:rsidRPr="00321096" w:rsidR="00222E80">
        <w:rPr>
          <w:rFonts w:ascii="Times New Roman" w:hAnsi="Times New Roman" w:cs="Times New Roman"/>
          <w:sz w:val="24"/>
          <w:szCs w:val="24"/>
        </w:rPr>
        <w:t xml:space="preserve">mission test information </w:t>
      </w:r>
      <w:r w:rsidR="00222E80">
        <w:rPr>
          <w:rFonts w:ascii="Times New Roman" w:hAnsi="Times New Roman" w:cs="Times New Roman"/>
          <w:sz w:val="24"/>
          <w:szCs w:val="24"/>
        </w:rPr>
        <w:t>and some recall notifications are</w:t>
      </w:r>
      <w:r w:rsidRPr="00321096" w:rsidR="00222E80">
        <w:rPr>
          <w:rFonts w:ascii="Times New Roman" w:hAnsi="Times New Roman" w:cs="Times New Roman"/>
          <w:sz w:val="24"/>
          <w:szCs w:val="24"/>
        </w:rPr>
        <w:t xml:space="preserve"> available on the </w:t>
      </w:r>
      <w:r w:rsidR="00222E80">
        <w:rPr>
          <w:rFonts w:ascii="Times New Roman" w:hAnsi="Times New Roman" w:cs="Times New Roman"/>
          <w:sz w:val="24"/>
          <w:szCs w:val="24"/>
        </w:rPr>
        <w:t>I</w:t>
      </w:r>
      <w:r w:rsidRPr="00321096" w:rsidR="00222E80">
        <w:rPr>
          <w:rFonts w:ascii="Times New Roman" w:hAnsi="Times New Roman" w:cs="Times New Roman"/>
          <w:sz w:val="24"/>
          <w:szCs w:val="24"/>
        </w:rPr>
        <w:t>nternet.</w:t>
      </w:r>
    </w:p>
    <w:p w:rsidRPr="00321096" w:rsidR="00222E80" w:rsidP="00222E80" w:rsidRDefault="00222E80" w14:paraId="43A0DF1C" w14:textId="77777777">
      <w:pPr>
        <w:spacing w:after="0" w:line="240" w:lineRule="auto"/>
        <w:rPr>
          <w:rFonts w:ascii="Times New Roman" w:hAnsi="Times New Roman" w:cs="Times New Roman"/>
          <w:sz w:val="24"/>
          <w:szCs w:val="24"/>
        </w:rPr>
      </w:pPr>
    </w:p>
    <w:p w:rsidRPr="00163E55" w:rsidR="00393943" w:rsidP="00393943" w:rsidRDefault="00393943" w14:paraId="5DB149ED" w14:textId="6A1324D0">
      <w:pPr>
        <w:spacing w:after="0" w:line="240" w:lineRule="auto"/>
        <w:rPr>
          <w:rFonts w:ascii="Times New Roman" w:hAnsi="Times New Roman" w:cs="Times New Roman"/>
          <w:sz w:val="24"/>
          <w:szCs w:val="24"/>
          <w:u w:val="single"/>
        </w:rPr>
      </w:pPr>
      <w:r w:rsidRPr="00163E55">
        <w:rPr>
          <w:rFonts w:ascii="Times New Roman" w:hAnsi="Times New Roman" w:cs="Times New Roman"/>
          <w:sz w:val="24"/>
          <w:szCs w:val="24"/>
          <w:u w:val="single"/>
        </w:rPr>
        <w:t xml:space="preserve">Averaging Program for </w:t>
      </w:r>
      <w:proofErr w:type="spellStart"/>
      <w:r w:rsidRPr="00163E55">
        <w:rPr>
          <w:rFonts w:ascii="Times New Roman" w:hAnsi="Times New Roman" w:cs="Times New Roman"/>
          <w:sz w:val="24"/>
          <w:szCs w:val="24"/>
          <w:u w:val="single"/>
        </w:rPr>
        <w:t>HC+N</w:t>
      </w:r>
      <w:r w:rsidR="00552D5E">
        <w:rPr>
          <w:rFonts w:ascii="Times New Roman" w:hAnsi="Times New Roman" w:cs="Times New Roman"/>
          <w:sz w:val="24"/>
          <w:szCs w:val="24"/>
          <w:u w:val="single"/>
        </w:rPr>
        <w:t>O</w:t>
      </w:r>
      <w:r w:rsidRPr="00163E55">
        <w:rPr>
          <w:rFonts w:ascii="Times New Roman" w:hAnsi="Times New Roman" w:cs="Times New Roman"/>
          <w:sz w:val="24"/>
          <w:szCs w:val="24"/>
          <w:u w:val="single"/>
        </w:rPr>
        <w:t>x</w:t>
      </w:r>
      <w:proofErr w:type="spellEnd"/>
    </w:p>
    <w:p w:rsidRPr="001649A8" w:rsidR="00552D5E" w:rsidP="00393943" w:rsidRDefault="00552D5E" w14:paraId="756E0121" w14:textId="77777777">
      <w:pPr>
        <w:spacing w:after="0" w:line="240" w:lineRule="auto"/>
        <w:rPr>
          <w:rFonts w:ascii="Times New Roman" w:hAnsi="Times New Roman" w:cs="Times New Roman"/>
          <w:i/>
          <w:sz w:val="24"/>
          <w:szCs w:val="24"/>
        </w:rPr>
      </w:pPr>
    </w:p>
    <w:p w:rsidR="004B77AF" w:rsidP="00393943" w:rsidRDefault="00393943" w14:paraId="182E4EBE" w14:textId="38B0FD70">
      <w:pPr>
        <w:spacing w:after="0" w:line="240" w:lineRule="auto"/>
        <w:rPr>
          <w:rFonts w:ascii="Times New Roman" w:hAnsi="Times New Roman" w:cs="Times New Roman"/>
          <w:sz w:val="24"/>
          <w:szCs w:val="24"/>
        </w:rPr>
      </w:pPr>
      <w:r w:rsidRPr="001649A8">
        <w:rPr>
          <w:rFonts w:ascii="Times New Roman" w:hAnsi="Times New Roman" w:cs="Times New Roman"/>
          <w:sz w:val="24"/>
          <w:szCs w:val="24"/>
        </w:rPr>
        <w:t>To provide flexibility in meeting the</w:t>
      </w:r>
      <w:r>
        <w:rPr>
          <w:rFonts w:ascii="Times New Roman" w:hAnsi="Times New Roman" w:cs="Times New Roman"/>
          <w:sz w:val="24"/>
          <w:szCs w:val="24"/>
        </w:rPr>
        <w:t xml:space="preserve"> on-highway motorcycle emissions </w:t>
      </w:r>
      <w:r w:rsidRPr="001649A8">
        <w:rPr>
          <w:rFonts w:ascii="Times New Roman" w:hAnsi="Times New Roman" w:cs="Times New Roman"/>
          <w:sz w:val="24"/>
          <w:szCs w:val="24"/>
        </w:rPr>
        <w:t>standards, we adopt</w:t>
      </w:r>
      <w:r>
        <w:rPr>
          <w:rFonts w:ascii="Times New Roman" w:hAnsi="Times New Roman" w:cs="Times New Roman"/>
          <w:sz w:val="24"/>
          <w:szCs w:val="24"/>
        </w:rPr>
        <w:t>ed</w:t>
      </w:r>
      <w:r w:rsidRPr="001649A8">
        <w:rPr>
          <w:rFonts w:ascii="Times New Roman" w:hAnsi="Times New Roman" w:cs="Times New Roman"/>
          <w:sz w:val="24"/>
          <w:szCs w:val="24"/>
        </w:rPr>
        <w:t xml:space="preserve"> an emission</w:t>
      </w:r>
      <w:r>
        <w:rPr>
          <w:rFonts w:ascii="Times New Roman" w:hAnsi="Times New Roman" w:cs="Times New Roman"/>
          <w:sz w:val="24"/>
          <w:szCs w:val="24"/>
        </w:rPr>
        <w:t xml:space="preserve"> </w:t>
      </w:r>
      <w:r w:rsidRPr="001649A8">
        <w:rPr>
          <w:rFonts w:ascii="Times New Roman" w:hAnsi="Times New Roman" w:cs="Times New Roman"/>
          <w:sz w:val="24"/>
          <w:szCs w:val="24"/>
        </w:rPr>
        <w:t>credit</w:t>
      </w:r>
      <w:r>
        <w:rPr>
          <w:rFonts w:ascii="Times New Roman" w:hAnsi="Times New Roman" w:cs="Times New Roman"/>
          <w:sz w:val="24"/>
          <w:szCs w:val="24"/>
        </w:rPr>
        <w:t xml:space="preserve"> </w:t>
      </w:r>
      <w:r w:rsidRPr="001649A8">
        <w:rPr>
          <w:rFonts w:ascii="Times New Roman" w:hAnsi="Times New Roman" w:cs="Times New Roman"/>
          <w:sz w:val="24"/>
          <w:szCs w:val="24"/>
        </w:rPr>
        <w:t xml:space="preserve">program </w:t>
      </w:r>
      <w:r>
        <w:rPr>
          <w:rFonts w:ascii="Times New Roman" w:hAnsi="Times New Roman" w:cs="Times New Roman"/>
          <w:sz w:val="24"/>
          <w:szCs w:val="24"/>
        </w:rPr>
        <w:t xml:space="preserve">that provided an early incentive </w:t>
      </w:r>
      <w:r w:rsidR="00676ABC">
        <w:rPr>
          <w:rFonts w:ascii="Times New Roman" w:hAnsi="Times New Roman" w:cs="Times New Roman"/>
          <w:sz w:val="24"/>
          <w:szCs w:val="24"/>
        </w:rPr>
        <w:t xml:space="preserve">for HMC manufacturers </w:t>
      </w:r>
      <w:r>
        <w:rPr>
          <w:rFonts w:ascii="Times New Roman" w:hAnsi="Times New Roman" w:cs="Times New Roman"/>
          <w:sz w:val="24"/>
          <w:szCs w:val="24"/>
        </w:rPr>
        <w:t>to bank credits for use in future model years while retaining the ability to average emissions across</w:t>
      </w:r>
      <w:r w:rsidR="0088771C">
        <w:rPr>
          <w:rFonts w:ascii="Times New Roman" w:hAnsi="Times New Roman" w:cs="Times New Roman"/>
          <w:sz w:val="24"/>
          <w:szCs w:val="24"/>
        </w:rPr>
        <w:t xml:space="preserve"> engine</w:t>
      </w:r>
      <w:r>
        <w:rPr>
          <w:rFonts w:ascii="Times New Roman" w:hAnsi="Times New Roman" w:cs="Times New Roman"/>
          <w:sz w:val="24"/>
          <w:szCs w:val="24"/>
        </w:rPr>
        <w:t xml:space="preserve"> families</w:t>
      </w:r>
      <w:r w:rsidRPr="001649A8">
        <w:rPr>
          <w:rFonts w:ascii="Times New Roman" w:hAnsi="Times New Roman" w:cs="Times New Roman"/>
          <w:sz w:val="24"/>
          <w:szCs w:val="24"/>
        </w:rPr>
        <w:t>.</w:t>
      </w:r>
      <w:r>
        <w:rPr>
          <w:rFonts w:ascii="Times New Roman" w:hAnsi="Times New Roman" w:cs="Times New Roman"/>
          <w:sz w:val="24"/>
          <w:szCs w:val="24"/>
        </w:rPr>
        <w:t xml:space="preserve"> </w:t>
      </w:r>
      <w:r w:rsidRPr="002252C7">
        <w:rPr>
          <w:rFonts w:ascii="Times New Roman" w:hAnsi="Times New Roman" w:cs="Times New Roman"/>
          <w:sz w:val="24"/>
          <w:szCs w:val="24"/>
        </w:rPr>
        <w:t>Under the averaging program,</w:t>
      </w:r>
      <w:r>
        <w:rPr>
          <w:rFonts w:ascii="Times New Roman" w:hAnsi="Times New Roman" w:cs="Times New Roman"/>
          <w:sz w:val="24"/>
          <w:szCs w:val="24"/>
        </w:rPr>
        <w:t xml:space="preserve"> </w:t>
      </w:r>
      <w:r w:rsidRPr="002252C7">
        <w:rPr>
          <w:rFonts w:ascii="Times New Roman" w:hAnsi="Times New Roman" w:cs="Times New Roman"/>
          <w:sz w:val="24"/>
          <w:szCs w:val="24"/>
        </w:rPr>
        <w:t xml:space="preserve">manufacturers </w:t>
      </w:r>
      <w:r w:rsidRPr="002252C7" w:rsidR="00575074">
        <w:rPr>
          <w:rFonts w:ascii="Times New Roman" w:hAnsi="Times New Roman" w:cs="Times New Roman"/>
          <w:sz w:val="24"/>
          <w:szCs w:val="24"/>
        </w:rPr>
        <w:t>can</w:t>
      </w:r>
      <w:r w:rsidRPr="002252C7">
        <w:rPr>
          <w:rFonts w:ascii="Times New Roman" w:hAnsi="Times New Roman" w:cs="Times New Roman"/>
          <w:sz w:val="24"/>
          <w:szCs w:val="24"/>
        </w:rPr>
        <w:t xml:space="preserve"> balance the</w:t>
      </w:r>
      <w:r>
        <w:rPr>
          <w:rFonts w:ascii="Times New Roman" w:hAnsi="Times New Roman" w:cs="Times New Roman"/>
          <w:sz w:val="24"/>
          <w:szCs w:val="24"/>
        </w:rPr>
        <w:t xml:space="preserve"> </w:t>
      </w:r>
      <w:r w:rsidRPr="002252C7">
        <w:rPr>
          <w:rFonts w:ascii="Times New Roman" w:hAnsi="Times New Roman" w:cs="Times New Roman"/>
          <w:sz w:val="24"/>
          <w:szCs w:val="24"/>
        </w:rPr>
        <w:t>certified emissions of their motorcycles</w:t>
      </w:r>
      <w:r>
        <w:rPr>
          <w:rFonts w:ascii="Times New Roman" w:hAnsi="Times New Roman" w:cs="Times New Roman"/>
          <w:sz w:val="24"/>
          <w:szCs w:val="24"/>
        </w:rPr>
        <w:t xml:space="preserve"> </w:t>
      </w:r>
      <w:r w:rsidRPr="002252C7">
        <w:rPr>
          <w:rFonts w:ascii="Times New Roman" w:hAnsi="Times New Roman" w:cs="Times New Roman"/>
          <w:sz w:val="24"/>
          <w:szCs w:val="24"/>
        </w:rPr>
        <w:t>so that the sales-weighted emissions</w:t>
      </w:r>
      <w:r>
        <w:rPr>
          <w:rFonts w:ascii="Times New Roman" w:hAnsi="Times New Roman" w:cs="Times New Roman"/>
          <w:sz w:val="24"/>
          <w:szCs w:val="24"/>
        </w:rPr>
        <w:t xml:space="preserve"> </w:t>
      </w:r>
      <w:r w:rsidRPr="002252C7">
        <w:rPr>
          <w:rFonts w:ascii="Times New Roman" w:hAnsi="Times New Roman" w:cs="Times New Roman"/>
          <w:sz w:val="24"/>
          <w:szCs w:val="24"/>
        </w:rPr>
        <w:t>level meets the applicable standard.</w:t>
      </w:r>
      <w:r>
        <w:rPr>
          <w:rFonts w:ascii="Times New Roman" w:hAnsi="Times New Roman" w:cs="Times New Roman"/>
          <w:sz w:val="24"/>
          <w:szCs w:val="24"/>
        </w:rPr>
        <w:t xml:space="preserve"> </w:t>
      </w:r>
      <w:r w:rsidRPr="002252C7">
        <w:rPr>
          <w:rFonts w:ascii="Times New Roman" w:hAnsi="Times New Roman" w:cs="Times New Roman"/>
          <w:sz w:val="24"/>
          <w:szCs w:val="24"/>
        </w:rPr>
        <w:t>This means that some engine families</w:t>
      </w:r>
      <w:r w:rsidRPr="002252C7">
        <w:t xml:space="preserve"> </w:t>
      </w:r>
      <w:r w:rsidRPr="002252C7">
        <w:rPr>
          <w:rFonts w:ascii="Times New Roman" w:hAnsi="Times New Roman" w:cs="Times New Roman"/>
          <w:sz w:val="24"/>
          <w:szCs w:val="24"/>
        </w:rPr>
        <w:t>may have emissions below the</w:t>
      </w:r>
      <w:r>
        <w:rPr>
          <w:rFonts w:ascii="Times New Roman" w:hAnsi="Times New Roman" w:cs="Times New Roman"/>
          <w:sz w:val="24"/>
          <w:szCs w:val="24"/>
        </w:rPr>
        <w:t xml:space="preserve"> </w:t>
      </w:r>
      <w:r w:rsidRPr="002252C7">
        <w:rPr>
          <w:rFonts w:ascii="Times New Roman" w:hAnsi="Times New Roman" w:cs="Times New Roman"/>
          <w:sz w:val="24"/>
          <w:szCs w:val="24"/>
        </w:rPr>
        <w:t>standards while others have emissions</w:t>
      </w:r>
      <w:r>
        <w:rPr>
          <w:rFonts w:ascii="Times New Roman" w:hAnsi="Times New Roman" w:cs="Times New Roman"/>
          <w:sz w:val="24"/>
          <w:szCs w:val="24"/>
        </w:rPr>
        <w:t xml:space="preserve"> </w:t>
      </w:r>
      <w:r w:rsidRPr="002252C7">
        <w:rPr>
          <w:rFonts w:ascii="Times New Roman" w:hAnsi="Times New Roman" w:cs="Times New Roman"/>
          <w:sz w:val="24"/>
          <w:szCs w:val="24"/>
        </w:rPr>
        <w:t>higher than the standards. For</w:t>
      </w:r>
      <w:r>
        <w:rPr>
          <w:rFonts w:ascii="Times New Roman" w:hAnsi="Times New Roman" w:cs="Times New Roman"/>
          <w:sz w:val="24"/>
          <w:szCs w:val="24"/>
        </w:rPr>
        <w:t xml:space="preserve"> </w:t>
      </w:r>
      <w:r w:rsidRPr="002252C7">
        <w:rPr>
          <w:rFonts w:ascii="Times New Roman" w:hAnsi="Times New Roman" w:cs="Times New Roman"/>
          <w:sz w:val="24"/>
          <w:szCs w:val="24"/>
        </w:rPr>
        <w:t>enforcement purposes, manufacturers</w:t>
      </w:r>
      <w:r>
        <w:rPr>
          <w:rFonts w:ascii="Times New Roman" w:hAnsi="Times New Roman" w:cs="Times New Roman"/>
          <w:sz w:val="24"/>
          <w:szCs w:val="24"/>
        </w:rPr>
        <w:t xml:space="preserve"> </w:t>
      </w:r>
      <w:r w:rsidRPr="002252C7">
        <w:rPr>
          <w:rFonts w:ascii="Times New Roman" w:hAnsi="Times New Roman" w:cs="Times New Roman"/>
          <w:sz w:val="24"/>
          <w:szCs w:val="24"/>
        </w:rPr>
        <w:t>are required to specify a certification</w:t>
      </w:r>
      <w:r>
        <w:rPr>
          <w:rFonts w:ascii="Times New Roman" w:hAnsi="Times New Roman" w:cs="Times New Roman"/>
          <w:sz w:val="24"/>
          <w:szCs w:val="24"/>
        </w:rPr>
        <w:t xml:space="preserve"> </w:t>
      </w:r>
      <w:r w:rsidRPr="002252C7">
        <w:rPr>
          <w:rFonts w:ascii="Times New Roman" w:hAnsi="Times New Roman" w:cs="Times New Roman"/>
          <w:sz w:val="24"/>
          <w:szCs w:val="24"/>
        </w:rPr>
        <w:t>limit, or ‘‘Family Emission Limit’’ (FEL)</w:t>
      </w:r>
      <w:r w:rsidR="002B3691">
        <w:rPr>
          <w:rFonts w:ascii="Times New Roman" w:hAnsi="Times New Roman" w:cs="Times New Roman"/>
          <w:sz w:val="24"/>
          <w:szCs w:val="24"/>
        </w:rPr>
        <w:t>,</w:t>
      </w:r>
      <w:r>
        <w:rPr>
          <w:rFonts w:ascii="Times New Roman" w:hAnsi="Times New Roman" w:cs="Times New Roman"/>
          <w:sz w:val="24"/>
          <w:szCs w:val="24"/>
        </w:rPr>
        <w:t xml:space="preserve"> </w:t>
      </w:r>
      <w:r w:rsidRPr="002252C7">
        <w:rPr>
          <w:rFonts w:ascii="Times New Roman" w:hAnsi="Times New Roman" w:cs="Times New Roman"/>
          <w:sz w:val="24"/>
          <w:szCs w:val="24"/>
        </w:rPr>
        <w:t>for each engine family. The FEL is the</w:t>
      </w:r>
      <w:r>
        <w:rPr>
          <w:rFonts w:ascii="Times New Roman" w:hAnsi="Times New Roman" w:cs="Times New Roman"/>
          <w:sz w:val="24"/>
          <w:szCs w:val="24"/>
        </w:rPr>
        <w:t xml:space="preserve"> </w:t>
      </w:r>
      <w:r w:rsidRPr="002252C7">
        <w:rPr>
          <w:rFonts w:ascii="Times New Roman" w:hAnsi="Times New Roman" w:cs="Times New Roman"/>
          <w:sz w:val="24"/>
          <w:szCs w:val="24"/>
        </w:rPr>
        <w:t xml:space="preserve">emission level that a </w:t>
      </w:r>
      <w:proofErr w:type="gramStart"/>
      <w:r w:rsidRPr="002252C7">
        <w:rPr>
          <w:rFonts w:ascii="Times New Roman" w:hAnsi="Times New Roman" w:cs="Times New Roman"/>
          <w:sz w:val="24"/>
          <w:szCs w:val="24"/>
        </w:rPr>
        <w:t>particular engine</w:t>
      </w:r>
      <w:proofErr w:type="gramEnd"/>
      <w:r>
        <w:rPr>
          <w:rFonts w:ascii="Times New Roman" w:hAnsi="Times New Roman" w:cs="Times New Roman"/>
          <w:sz w:val="24"/>
          <w:szCs w:val="24"/>
        </w:rPr>
        <w:t xml:space="preserve"> </w:t>
      </w:r>
      <w:r w:rsidRPr="002252C7">
        <w:rPr>
          <w:rFonts w:ascii="Times New Roman" w:hAnsi="Times New Roman" w:cs="Times New Roman"/>
          <w:sz w:val="24"/>
          <w:szCs w:val="24"/>
        </w:rPr>
        <w:t>family is certified as meeting and, in</w:t>
      </w:r>
      <w:r>
        <w:rPr>
          <w:rFonts w:ascii="Times New Roman" w:hAnsi="Times New Roman" w:cs="Times New Roman"/>
          <w:sz w:val="24"/>
          <w:szCs w:val="24"/>
        </w:rPr>
        <w:t xml:space="preserve"> </w:t>
      </w:r>
      <w:r w:rsidRPr="002252C7">
        <w:rPr>
          <w:rFonts w:ascii="Times New Roman" w:hAnsi="Times New Roman" w:cs="Times New Roman"/>
          <w:sz w:val="24"/>
          <w:szCs w:val="24"/>
        </w:rPr>
        <w:t>effect, become</w:t>
      </w:r>
      <w:r w:rsidR="000D2D8D">
        <w:rPr>
          <w:rFonts w:ascii="Times New Roman" w:hAnsi="Times New Roman" w:cs="Times New Roman"/>
          <w:sz w:val="24"/>
          <w:szCs w:val="24"/>
        </w:rPr>
        <w:t>s</w:t>
      </w:r>
      <w:r w:rsidRPr="002252C7">
        <w:rPr>
          <w:rFonts w:ascii="Times New Roman" w:hAnsi="Times New Roman" w:cs="Times New Roman"/>
          <w:sz w:val="24"/>
          <w:szCs w:val="24"/>
        </w:rPr>
        <w:t xml:space="preserve"> the standard for the</w:t>
      </w:r>
      <w:r>
        <w:rPr>
          <w:rFonts w:ascii="Times New Roman" w:hAnsi="Times New Roman" w:cs="Times New Roman"/>
          <w:sz w:val="24"/>
          <w:szCs w:val="24"/>
        </w:rPr>
        <w:t xml:space="preserve"> </w:t>
      </w:r>
      <w:r w:rsidRPr="002252C7">
        <w:rPr>
          <w:rFonts w:ascii="Times New Roman" w:hAnsi="Times New Roman" w:cs="Times New Roman"/>
          <w:sz w:val="24"/>
          <w:szCs w:val="24"/>
        </w:rPr>
        <w:t>individual family. The FEL may be</w:t>
      </w:r>
      <w:r>
        <w:rPr>
          <w:rFonts w:ascii="Times New Roman" w:hAnsi="Times New Roman" w:cs="Times New Roman"/>
          <w:sz w:val="24"/>
          <w:szCs w:val="24"/>
        </w:rPr>
        <w:t xml:space="preserve"> </w:t>
      </w:r>
      <w:r w:rsidRPr="002252C7">
        <w:rPr>
          <w:rFonts w:ascii="Times New Roman" w:hAnsi="Times New Roman" w:cs="Times New Roman"/>
          <w:sz w:val="24"/>
          <w:szCs w:val="24"/>
        </w:rPr>
        <w:t>above or below the applicable standard</w:t>
      </w:r>
      <w:r>
        <w:rPr>
          <w:rFonts w:ascii="Times New Roman" w:hAnsi="Times New Roman" w:cs="Times New Roman"/>
          <w:sz w:val="24"/>
          <w:szCs w:val="24"/>
        </w:rPr>
        <w:t xml:space="preserve"> </w:t>
      </w:r>
      <w:r w:rsidRPr="002252C7" w:rsidR="00575074">
        <w:rPr>
          <w:rFonts w:ascii="Times New Roman" w:hAnsi="Times New Roman" w:cs="Times New Roman"/>
          <w:sz w:val="24"/>
          <w:szCs w:val="24"/>
        </w:rPr>
        <w:t>if</w:t>
      </w:r>
      <w:r w:rsidRPr="002252C7">
        <w:rPr>
          <w:rFonts w:ascii="Times New Roman" w:hAnsi="Times New Roman" w:cs="Times New Roman"/>
          <w:sz w:val="24"/>
          <w:szCs w:val="24"/>
        </w:rPr>
        <w:t xml:space="preserve"> the manufacturer’s sales</w:t>
      </w:r>
      <w:r>
        <w:rPr>
          <w:rFonts w:ascii="Times New Roman" w:hAnsi="Times New Roman" w:cs="Times New Roman"/>
          <w:sz w:val="24"/>
          <w:szCs w:val="24"/>
        </w:rPr>
        <w:t>-</w:t>
      </w:r>
      <w:r w:rsidRPr="002252C7">
        <w:rPr>
          <w:rFonts w:ascii="Times New Roman" w:hAnsi="Times New Roman" w:cs="Times New Roman"/>
          <w:sz w:val="24"/>
          <w:szCs w:val="24"/>
        </w:rPr>
        <w:t>weighted</w:t>
      </w:r>
      <w:r>
        <w:rPr>
          <w:rFonts w:ascii="Times New Roman" w:hAnsi="Times New Roman" w:cs="Times New Roman"/>
          <w:sz w:val="24"/>
          <w:szCs w:val="24"/>
        </w:rPr>
        <w:t xml:space="preserve"> </w:t>
      </w:r>
      <w:r w:rsidRPr="002252C7">
        <w:rPr>
          <w:rFonts w:ascii="Times New Roman" w:hAnsi="Times New Roman" w:cs="Times New Roman"/>
          <w:sz w:val="24"/>
          <w:szCs w:val="24"/>
        </w:rPr>
        <w:t xml:space="preserve">emissions </w:t>
      </w:r>
      <w:r w:rsidR="002B3691">
        <w:rPr>
          <w:rFonts w:ascii="Times New Roman" w:hAnsi="Times New Roman" w:cs="Times New Roman"/>
          <w:sz w:val="24"/>
          <w:szCs w:val="24"/>
        </w:rPr>
        <w:t>average</w:t>
      </w:r>
      <w:r w:rsidRPr="002252C7" w:rsidR="002B3691">
        <w:rPr>
          <w:rFonts w:ascii="Times New Roman" w:hAnsi="Times New Roman" w:cs="Times New Roman"/>
          <w:sz w:val="24"/>
          <w:szCs w:val="24"/>
        </w:rPr>
        <w:t xml:space="preserve"> </w:t>
      </w:r>
      <w:r w:rsidRPr="002252C7">
        <w:rPr>
          <w:rFonts w:ascii="Times New Roman" w:hAnsi="Times New Roman" w:cs="Times New Roman"/>
          <w:sz w:val="24"/>
          <w:szCs w:val="24"/>
        </w:rPr>
        <w:t>meets the</w:t>
      </w:r>
      <w:r>
        <w:rPr>
          <w:rFonts w:ascii="Times New Roman" w:hAnsi="Times New Roman" w:cs="Times New Roman"/>
          <w:sz w:val="24"/>
          <w:szCs w:val="24"/>
        </w:rPr>
        <w:t xml:space="preserve"> </w:t>
      </w:r>
      <w:r w:rsidRPr="002252C7">
        <w:rPr>
          <w:rFonts w:ascii="Times New Roman" w:hAnsi="Times New Roman" w:cs="Times New Roman"/>
          <w:sz w:val="24"/>
          <w:szCs w:val="24"/>
        </w:rPr>
        <w:t>applicable standard.</w:t>
      </w:r>
      <w:r>
        <w:rPr>
          <w:rFonts w:ascii="Times New Roman" w:hAnsi="Times New Roman" w:cs="Times New Roman"/>
          <w:sz w:val="24"/>
          <w:szCs w:val="24"/>
        </w:rPr>
        <w:t xml:space="preserve"> Manufacturers participating in the averaging program (promulgated under 40 CFR 86.449), must certify each participating family to a FEL in its application for certification. In its application, participants must also project an average emission level for all families participating in the program. At the end of the model year, each participant must submit an end-of-year report accounting for the actual production volume, calculated to final average to demonstrate compliance with the standard. This report must be received by the EPA within 120 days of the end of the model year. This reporting requirement is a necessary component of the averaging program.</w:t>
      </w:r>
    </w:p>
    <w:p w:rsidR="00393943" w:rsidP="00393943" w:rsidRDefault="00393943" w14:paraId="438F9D53" w14:textId="77777777">
      <w:pPr>
        <w:spacing w:after="0" w:line="240" w:lineRule="auto"/>
        <w:rPr>
          <w:rFonts w:ascii="Times New Roman" w:hAnsi="Times New Roman" w:cs="Times New Roman"/>
          <w:sz w:val="24"/>
          <w:szCs w:val="24"/>
        </w:rPr>
      </w:pPr>
    </w:p>
    <w:p w:rsidRPr="00E21E82" w:rsidR="00E21E82" w:rsidP="006E78D5" w:rsidRDefault="00E21E82" w14:paraId="77934BDF" w14:textId="77777777">
      <w:pPr>
        <w:keepNext/>
        <w:keepLines/>
        <w:spacing w:after="0" w:line="240" w:lineRule="auto"/>
        <w:rPr>
          <w:rFonts w:ascii="Times New Roman" w:hAnsi="Times New Roman" w:cs="Times New Roman"/>
          <w:sz w:val="24"/>
          <w:szCs w:val="24"/>
        </w:rPr>
      </w:pPr>
      <w:r w:rsidRPr="00E21E82">
        <w:rPr>
          <w:rFonts w:ascii="Times New Roman" w:hAnsi="Times New Roman" w:cs="Times New Roman"/>
          <w:sz w:val="24"/>
          <w:szCs w:val="24"/>
          <w:u w:val="single"/>
        </w:rPr>
        <w:t xml:space="preserve">Section 3: </w:t>
      </w:r>
      <w:r w:rsidR="001C5C81">
        <w:rPr>
          <w:rFonts w:ascii="Times New Roman" w:hAnsi="Times New Roman" w:cs="Times New Roman"/>
          <w:sz w:val="24"/>
          <w:szCs w:val="24"/>
          <w:u w:val="single"/>
        </w:rPr>
        <w:t>Non-</w:t>
      </w:r>
      <w:r w:rsidRPr="00E21E82" w:rsidR="001C5C81">
        <w:rPr>
          <w:rFonts w:ascii="Times New Roman" w:hAnsi="Times New Roman" w:cs="Times New Roman"/>
          <w:sz w:val="24"/>
          <w:szCs w:val="24"/>
          <w:u w:val="single"/>
        </w:rPr>
        <w:t>duplication</w:t>
      </w:r>
      <w:r w:rsidRPr="00E21E82">
        <w:rPr>
          <w:rFonts w:ascii="Times New Roman" w:hAnsi="Times New Roman" w:cs="Times New Roman"/>
          <w:sz w:val="24"/>
          <w:szCs w:val="24"/>
          <w:u w:val="single"/>
        </w:rPr>
        <w:t>, Consultations, and Other Collection Criteria</w:t>
      </w:r>
      <w:r w:rsidRPr="00E21E82">
        <w:rPr>
          <w:rFonts w:ascii="Times New Roman" w:hAnsi="Times New Roman" w:cs="Times New Roman"/>
          <w:sz w:val="24"/>
          <w:szCs w:val="24"/>
        </w:rPr>
        <w:t xml:space="preserve"> </w:t>
      </w:r>
    </w:p>
    <w:p w:rsidRPr="00E21E82" w:rsidR="00E21E82" w:rsidP="006E78D5" w:rsidRDefault="00E21E82" w14:paraId="68D2983B" w14:textId="77777777">
      <w:pPr>
        <w:keepNext/>
        <w:keepLines/>
        <w:spacing w:after="0" w:line="240" w:lineRule="auto"/>
        <w:rPr>
          <w:rFonts w:ascii="Times New Roman" w:hAnsi="Times New Roman" w:cs="Times New Roman"/>
          <w:sz w:val="24"/>
          <w:szCs w:val="24"/>
        </w:rPr>
      </w:pPr>
    </w:p>
    <w:p w:rsidRPr="00E21E82" w:rsidR="00E21E82" w:rsidP="006E78D5" w:rsidRDefault="00E21E82" w14:paraId="7226F0C3" w14:textId="77777777">
      <w:pPr>
        <w:keepNext/>
        <w:keepLines/>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3(a) </w:t>
      </w:r>
      <w:r w:rsidRPr="00E21E82">
        <w:rPr>
          <w:rFonts w:ascii="Times New Roman" w:hAnsi="Times New Roman" w:cs="Times New Roman"/>
          <w:sz w:val="24"/>
          <w:szCs w:val="24"/>
          <w:u w:val="single"/>
        </w:rPr>
        <w:t>Non</w:t>
      </w:r>
      <w:r w:rsidR="001C5C81">
        <w:rPr>
          <w:rFonts w:ascii="Times New Roman" w:hAnsi="Times New Roman" w:cs="Times New Roman"/>
          <w:sz w:val="24"/>
          <w:szCs w:val="24"/>
          <w:u w:val="single"/>
        </w:rPr>
        <w:t>-</w:t>
      </w:r>
      <w:r w:rsidRPr="00E21E82">
        <w:rPr>
          <w:rFonts w:ascii="Times New Roman" w:hAnsi="Times New Roman" w:cs="Times New Roman"/>
          <w:sz w:val="24"/>
          <w:szCs w:val="24"/>
          <w:u w:val="single"/>
        </w:rPr>
        <w:t>duplication</w:t>
      </w:r>
    </w:p>
    <w:p w:rsidRPr="00E21E82" w:rsidR="00E21E82" w:rsidP="006E78D5" w:rsidRDefault="00E21E82" w14:paraId="2D55C00D" w14:textId="3FF33E9D">
      <w:pPr>
        <w:keepNext/>
        <w:keepLines/>
        <w:spacing w:after="0" w:line="240" w:lineRule="auto"/>
        <w:rPr>
          <w:rFonts w:ascii="Times New Roman" w:hAnsi="Times New Roman" w:cs="Times New Roman"/>
          <w:sz w:val="24"/>
          <w:szCs w:val="24"/>
        </w:rPr>
      </w:pPr>
    </w:p>
    <w:p w:rsidRPr="00E21E82" w:rsidR="00E21E82" w:rsidP="00E21E82" w:rsidRDefault="000329D7" w14:paraId="4914DF87" w14:textId="6980FB64">
      <w:pPr>
        <w:spacing w:after="0" w:line="240" w:lineRule="auto"/>
        <w:rPr>
          <w:rFonts w:ascii="Times New Roman" w:hAnsi="Times New Roman" w:cs="Times New Roman"/>
          <w:sz w:val="24"/>
          <w:szCs w:val="24"/>
        </w:rPr>
      </w:pPr>
      <w:r w:rsidRPr="000329D7">
        <w:rPr>
          <w:rFonts w:ascii="Times New Roman" w:hAnsi="Times New Roman" w:cs="Times New Roman"/>
          <w:sz w:val="24"/>
          <w:szCs w:val="24"/>
        </w:rPr>
        <w:t>Almost all information requested from respondents under this ICR is required by statute and, in most cases, is not available from other sources.</w:t>
      </w:r>
      <w:r>
        <w:rPr>
          <w:rFonts w:ascii="Times New Roman" w:hAnsi="Times New Roman" w:cs="Times New Roman"/>
          <w:sz w:val="24"/>
          <w:szCs w:val="24"/>
        </w:rPr>
        <w:t xml:space="preserve"> Due to</w:t>
      </w:r>
      <w:r w:rsidRPr="00E21E82" w:rsidR="00E21E82">
        <w:rPr>
          <w:rFonts w:ascii="Times New Roman" w:hAnsi="Times New Roman" w:cs="Times New Roman"/>
          <w:sz w:val="24"/>
          <w:szCs w:val="24"/>
        </w:rPr>
        <w:t xml:space="preserve"> </w:t>
      </w:r>
      <w:r w:rsidR="001C0590">
        <w:rPr>
          <w:rFonts w:ascii="Times New Roman" w:hAnsi="Times New Roman" w:cs="Times New Roman"/>
          <w:sz w:val="24"/>
          <w:szCs w:val="24"/>
        </w:rPr>
        <w:t>the</w:t>
      </w:r>
      <w:r w:rsidRPr="00E21E82" w:rsidR="001C0590">
        <w:rPr>
          <w:rFonts w:ascii="Times New Roman" w:hAnsi="Times New Roman" w:cs="Times New Roman"/>
          <w:sz w:val="24"/>
          <w:szCs w:val="24"/>
        </w:rPr>
        <w:t xml:space="preserve"> </w:t>
      </w:r>
      <w:r w:rsidRPr="00E21E82" w:rsidR="00E21E82">
        <w:rPr>
          <w:rFonts w:ascii="Times New Roman" w:hAnsi="Times New Roman" w:cs="Times New Roman"/>
          <w:sz w:val="24"/>
          <w:szCs w:val="24"/>
        </w:rPr>
        <w:t>specialized nature</w:t>
      </w:r>
      <w:r w:rsidR="001C0590">
        <w:rPr>
          <w:rFonts w:ascii="Times New Roman" w:hAnsi="Times New Roman" w:cs="Times New Roman"/>
          <w:sz w:val="24"/>
          <w:szCs w:val="24"/>
        </w:rPr>
        <w:t xml:space="preserve"> of HMC manufacturing</w:t>
      </w:r>
      <w:r w:rsidRPr="00E21E82" w:rsidR="00E21E82">
        <w:rPr>
          <w:rFonts w:ascii="Times New Roman" w:hAnsi="Times New Roman" w:cs="Times New Roman"/>
          <w:sz w:val="24"/>
          <w:szCs w:val="24"/>
        </w:rPr>
        <w:t xml:space="preserve"> and the fact that product plans and emission performance information </w:t>
      </w:r>
      <w:r w:rsidRPr="00E21E82" w:rsidR="004607A8">
        <w:rPr>
          <w:rFonts w:ascii="Times New Roman" w:hAnsi="Times New Roman" w:cs="Times New Roman"/>
          <w:sz w:val="24"/>
          <w:szCs w:val="24"/>
        </w:rPr>
        <w:t>m</w:t>
      </w:r>
      <w:r w:rsidR="004607A8">
        <w:rPr>
          <w:rFonts w:ascii="Times New Roman" w:hAnsi="Times New Roman" w:cs="Times New Roman"/>
          <w:sz w:val="24"/>
          <w:szCs w:val="24"/>
        </w:rPr>
        <w:t>ay</w:t>
      </w:r>
      <w:r w:rsidRPr="00E21E82" w:rsidR="004607A8">
        <w:rPr>
          <w:rFonts w:ascii="Times New Roman" w:hAnsi="Times New Roman" w:cs="Times New Roman"/>
          <w:sz w:val="24"/>
          <w:szCs w:val="24"/>
        </w:rPr>
        <w:t xml:space="preserve"> </w:t>
      </w:r>
      <w:r w:rsidRPr="00E21E82" w:rsidR="00E21E82">
        <w:rPr>
          <w:rFonts w:ascii="Times New Roman" w:hAnsi="Times New Roman" w:cs="Times New Roman"/>
          <w:sz w:val="24"/>
          <w:szCs w:val="24"/>
        </w:rPr>
        <w:t xml:space="preserve">be submitted to </w:t>
      </w:r>
      <w:r w:rsidR="0057142D">
        <w:rPr>
          <w:rFonts w:ascii="Times New Roman" w:hAnsi="Times New Roman" w:cs="Times New Roman"/>
          <w:sz w:val="24"/>
          <w:szCs w:val="24"/>
        </w:rPr>
        <w:t xml:space="preserve">the </w:t>
      </w:r>
      <w:r w:rsidRPr="00E21E82" w:rsidR="00E21E82">
        <w:rPr>
          <w:rFonts w:ascii="Times New Roman" w:hAnsi="Times New Roman" w:cs="Times New Roman"/>
          <w:sz w:val="24"/>
          <w:szCs w:val="24"/>
        </w:rPr>
        <w:t xml:space="preserve">EPA prior to the </w:t>
      </w:r>
      <w:r w:rsidR="004607A8">
        <w:rPr>
          <w:rFonts w:ascii="Times New Roman" w:hAnsi="Times New Roman" w:cs="Times New Roman"/>
          <w:sz w:val="24"/>
          <w:szCs w:val="24"/>
        </w:rPr>
        <w:t>introduction of production vehicles into US commerce</w:t>
      </w:r>
      <w:r w:rsidRPr="00E21E82" w:rsidR="00E21E82">
        <w:rPr>
          <w:rFonts w:ascii="Times New Roman" w:hAnsi="Times New Roman" w:cs="Times New Roman"/>
          <w:sz w:val="24"/>
          <w:szCs w:val="24"/>
        </w:rPr>
        <w:t>, this information is not available from any source other than the manufacturer.</w:t>
      </w:r>
      <w:r w:rsidR="004607A8">
        <w:rPr>
          <w:rFonts w:ascii="Times New Roman" w:hAnsi="Times New Roman" w:cs="Times New Roman"/>
          <w:sz w:val="24"/>
          <w:szCs w:val="24"/>
        </w:rPr>
        <w:t xml:space="preserve"> Therefore, this information is not likely to be collected by any other governmental agency for this or related purposes.</w:t>
      </w:r>
    </w:p>
    <w:p w:rsidRPr="00E21E82" w:rsidR="00E21E82" w:rsidP="00E21E82" w:rsidRDefault="00E21E82" w14:paraId="40D015DC" w14:textId="77777777">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 </w:t>
      </w:r>
    </w:p>
    <w:p w:rsidRPr="00E21E82" w:rsidR="00E21E82" w:rsidP="00E21E82" w:rsidRDefault="00E21E82" w14:paraId="09E36E45" w14:textId="73B40A36">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3(b) </w:t>
      </w:r>
      <w:r w:rsidRPr="00E21E82">
        <w:rPr>
          <w:rFonts w:ascii="Times New Roman" w:hAnsi="Times New Roman" w:cs="Times New Roman"/>
          <w:sz w:val="24"/>
          <w:szCs w:val="24"/>
          <w:u w:val="single"/>
        </w:rPr>
        <w:t xml:space="preserve">Public Notice </w:t>
      </w:r>
    </w:p>
    <w:p w:rsidR="00E21E82" w:rsidP="00393943" w:rsidRDefault="00E21E82" w14:paraId="7509FC45" w14:textId="77777777">
      <w:pPr>
        <w:spacing w:after="0" w:line="240" w:lineRule="auto"/>
        <w:rPr>
          <w:rFonts w:ascii="Times New Roman" w:hAnsi="Times New Roman" w:cs="Times New Roman"/>
          <w:sz w:val="24"/>
          <w:szCs w:val="24"/>
        </w:rPr>
      </w:pPr>
    </w:p>
    <w:p w:rsidR="002751ED" w:rsidP="00E21E82" w:rsidRDefault="005F515D" w14:paraId="499FD9D2" w14:textId="10B55B3D">
      <w:pPr>
        <w:spacing w:after="0" w:line="240" w:lineRule="auto"/>
        <w:rPr>
          <w:rFonts w:ascii="Times New Roman" w:hAnsi="Times New Roman" w:cs="Times New Roman"/>
          <w:sz w:val="24"/>
          <w:szCs w:val="24"/>
        </w:rPr>
      </w:pPr>
      <w:r w:rsidRPr="005F515D">
        <w:rPr>
          <w:rFonts w:ascii="Times New Roman" w:hAnsi="Times New Roman" w:cs="Times New Roman"/>
          <w:sz w:val="24"/>
          <w:szCs w:val="24"/>
        </w:rPr>
        <w:t xml:space="preserve">EPA issued a Federal Register Notice on </w:t>
      </w:r>
      <w:r w:rsidR="00EF6629">
        <w:rPr>
          <w:rFonts w:ascii="Times New Roman" w:hAnsi="Times New Roman" w:cs="Times New Roman"/>
          <w:sz w:val="24"/>
          <w:szCs w:val="24"/>
        </w:rPr>
        <w:t>November 4, 2019</w:t>
      </w:r>
      <w:r w:rsidRPr="005F515D">
        <w:rPr>
          <w:rFonts w:ascii="Times New Roman" w:hAnsi="Times New Roman" w:cs="Times New Roman"/>
          <w:sz w:val="24"/>
          <w:szCs w:val="24"/>
        </w:rPr>
        <w:t xml:space="preserve"> (</w:t>
      </w:r>
      <w:r w:rsidR="00EF6629">
        <w:rPr>
          <w:rFonts w:ascii="Times New Roman" w:hAnsi="Times New Roman" w:cs="Times New Roman"/>
          <w:sz w:val="24"/>
          <w:szCs w:val="24"/>
        </w:rPr>
        <w:t>84</w:t>
      </w:r>
      <w:r w:rsidRPr="005F515D">
        <w:rPr>
          <w:rFonts w:ascii="Times New Roman" w:hAnsi="Times New Roman" w:cs="Times New Roman"/>
          <w:sz w:val="24"/>
          <w:szCs w:val="24"/>
        </w:rPr>
        <w:t xml:space="preserve"> FR </w:t>
      </w:r>
      <w:r w:rsidR="00EF6629">
        <w:rPr>
          <w:rFonts w:ascii="Times New Roman" w:hAnsi="Times New Roman" w:cs="Times New Roman"/>
          <w:sz w:val="24"/>
          <w:szCs w:val="24"/>
        </w:rPr>
        <w:t>59375</w:t>
      </w:r>
      <w:r w:rsidRPr="005F515D">
        <w:rPr>
          <w:rFonts w:ascii="Times New Roman" w:hAnsi="Times New Roman" w:cs="Times New Roman"/>
          <w:sz w:val="24"/>
          <w:szCs w:val="24"/>
        </w:rPr>
        <w:t xml:space="preserve">).  </w:t>
      </w:r>
      <w:r w:rsidR="000E5FE2">
        <w:rPr>
          <w:rFonts w:ascii="Times New Roman" w:hAnsi="Times New Roman" w:cs="Times New Roman"/>
          <w:sz w:val="24"/>
          <w:szCs w:val="24"/>
        </w:rPr>
        <w:t xml:space="preserve">No relevant comments were received. </w:t>
      </w:r>
      <w:r w:rsidR="005B443E">
        <w:rPr>
          <w:rFonts w:ascii="Times New Roman" w:hAnsi="Times New Roman" w:cs="Times New Roman"/>
          <w:sz w:val="24"/>
          <w:szCs w:val="24"/>
        </w:rPr>
        <w:t xml:space="preserve"> </w:t>
      </w:r>
    </w:p>
    <w:p w:rsidR="002751ED" w:rsidP="00E21E82" w:rsidRDefault="002751ED" w14:paraId="5CF8B46C" w14:textId="77777777">
      <w:pPr>
        <w:spacing w:after="0" w:line="240" w:lineRule="auto"/>
        <w:rPr>
          <w:rFonts w:ascii="Times New Roman" w:hAnsi="Times New Roman" w:cs="Times New Roman"/>
          <w:sz w:val="24"/>
          <w:szCs w:val="24"/>
        </w:rPr>
      </w:pPr>
    </w:p>
    <w:p w:rsidRPr="00E21E82" w:rsidR="00E21E82" w:rsidP="00E21E82" w:rsidRDefault="00E21E82" w14:paraId="2E1D0552" w14:textId="77777777">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3(c) </w:t>
      </w:r>
      <w:r w:rsidRPr="00E21E82">
        <w:rPr>
          <w:rFonts w:ascii="Times New Roman" w:hAnsi="Times New Roman" w:cs="Times New Roman"/>
          <w:sz w:val="24"/>
          <w:szCs w:val="24"/>
          <w:u w:val="single"/>
        </w:rPr>
        <w:t>Consultations</w:t>
      </w:r>
    </w:p>
    <w:p w:rsidRPr="00E21E82" w:rsidR="00E21E82" w:rsidP="00E21E82" w:rsidRDefault="00E21E82" w14:paraId="2A61DAA1" w14:textId="77777777">
      <w:pPr>
        <w:spacing w:after="0" w:line="240" w:lineRule="auto"/>
        <w:rPr>
          <w:rFonts w:ascii="Times New Roman" w:hAnsi="Times New Roman" w:cs="Times New Roman"/>
          <w:sz w:val="24"/>
          <w:szCs w:val="24"/>
        </w:rPr>
      </w:pPr>
    </w:p>
    <w:p w:rsidRPr="00E21E82" w:rsidR="00E21E82" w:rsidP="00E21E82" w:rsidRDefault="00E21E82" w14:paraId="070D230A" w14:textId="77777777">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In preparing this ICR submission, </w:t>
      </w:r>
      <w:r w:rsidR="00392E85">
        <w:rPr>
          <w:rFonts w:ascii="Times New Roman" w:hAnsi="Times New Roman" w:cs="Times New Roman"/>
          <w:sz w:val="24"/>
          <w:szCs w:val="24"/>
        </w:rPr>
        <w:t xml:space="preserve">the </w:t>
      </w:r>
      <w:r w:rsidRPr="00E21E82">
        <w:rPr>
          <w:rFonts w:ascii="Times New Roman" w:hAnsi="Times New Roman" w:cs="Times New Roman"/>
          <w:sz w:val="24"/>
          <w:szCs w:val="24"/>
        </w:rPr>
        <w:t xml:space="preserve">EPA </w:t>
      </w:r>
      <w:r w:rsidR="009D62C5">
        <w:rPr>
          <w:rFonts w:ascii="Times New Roman" w:hAnsi="Times New Roman" w:cs="Times New Roman"/>
          <w:sz w:val="24"/>
          <w:szCs w:val="24"/>
        </w:rPr>
        <w:t xml:space="preserve">has consulted </w:t>
      </w:r>
      <w:r w:rsidRPr="00E21E82">
        <w:rPr>
          <w:rFonts w:ascii="Times New Roman" w:hAnsi="Times New Roman" w:cs="Times New Roman"/>
          <w:sz w:val="24"/>
          <w:szCs w:val="24"/>
        </w:rPr>
        <w:t>with the following individuals working in the regulated industries:</w:t>
      </w:r>
    </w:p>
    <w:p w:rsidRPr="00E21E82" w:rsidR="00823410" w:rsidDel="00823410" w:rsidP="00823410" w:rsidRDefault="00E21E82" w14:paraId="65771462" w14:textId="77777777">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ab/>
      </w:r>
    </w:p>
    <w:tbl>
      <w:tblPr>
        <w:tblW w:w="0" w:type="auto"/>
        <w:tblCellMar>
          <w:left w:w="0" w:type="dxa"/>
          <w:right w:w="0" w:type="dxa"/>
        </w:tblCellMar>
        <w:tblLook w:val="04A0" w:firstRow="1" w:lastRow="0" w:firstColumn="1" w:lastColumn="0" w:noHBand="0" w:noVBand="1"/>
      </w:tblPr>
      <w:tblGrid>
        <w:gridCol w:w="1885"/>
        <w:gridCol w:w="3960"/>
        <w:gridCol w:w="2430"/>
      </w:tblGrid>
      <w:tr w:rsidR="00BB096D" w:rsidTr="00DD65C0" w14:paraId="01AF55FE" w14:textId="77777777">
        <w:tc>
          <w:tcPr>
            <w:tcW w:w="18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0DBE7B2D" w14:textId="77777777">
            <w:pPr>
              <w:autoSpaceDE w:val="0"/>
              <w:autoSpaceDN w:val="0"/>
              <w:rPr>
                <w:rFonts w:ascii="Times New Roman" w:hAnsi="Times New Roman" w:cs="Times New Roman"/>
                <w:sz w:val="24"/>
                <w:szCs w:val="24"/>
                <w:u w:val="single"/>
              </w:rPr>
            </w:pPr>
            <w:bookmarkStart w:name="_Hlk20753238" w:id="0"/>
            <w:r w:rsidRPr="006A20CA">
              <w:rPr>
                <w:rFonts w:ascii="Times New Roman" w:hAnsi="Times New Roman" w:cs="Times New Roman"/>
                <w:sz w:val="24"/>
                <w:szCs w:val="24"/>
                <w:u w:val="single"/>
              </w:rPr>
              <w:t xml:space="preserve">Name  </w:t>
            </w:r>
          </w:p>
        </w:tc>
        <w:tc>
          <w:tcPr>
            <w:tcW w:w="39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5F8833B4"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Firm</w:t>
            </w:r>
          </w:p>
        </w:tc>
        <w:tc>
          <w:tcPr>
            <w:tcW w:w="2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07346FBD"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Telephone</w:t>
            </w:r>
          </w:p>
        </w:tc>
      </w:tr>
      <w:tr w:rsidR="00BB096D" w:rsidTr="000A638F" w14:paraId="68A711A8" w14:textId="77777777">
        <w:trPr>
          <w:trHeight w:val="493"/>
        </w:trPr>
        <w:tc>
          <w:tcPr>
            <w:tcW w:w="18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3E82AAD2"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Scott Bollinger</w:t>
            </w:r>
          </w:p>
        </w:tc>
        <w:tc>
          <w:tcPr>
            <w:tcW w:w="3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6A20CA" w:rsidR="00BB096D" w:rsidRDefault="00BB096D" w14:paraId="6D913FC5" w14:textId="581212A1">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Harley-Davidson Motor Company</w:t>
            </w:r>
          </w:p>
        </w:tc>
        <w:tc>
          <w:tcPr>
            <w:tcW w:w="2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6A20CA" w:rsidR="00BB096D" w:rsidP="000476BF" w:rsidRDefault="00BB096D" w14:paraId="44AAD480" w14:textId="753D6891">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 xml:space="preserve"> </w:t>
            </w:r>
            <w:r w:rsidR="0051602B">
              <w:rPr>
                <w:rFonts w:ascii="Times New Roman" w:hAnsi="Times New Roman" w:cs="Times New Roman"/>
                <w:sz w:val="24"/>
                <w:szCs w:val="24"/>
                <w:u w:val="single"/>
              </w:rPr>
              <w:t>(</w:t>
            </w:r>
            <w:r w:rsidRPr="006A20CA">
              <w:rPr>
                <w:rFonts w:ascii="Times New Roman" w:hAnsi="Times New Roman" w:cs="Times New Roman"/>
                <w:sz w:val="24"/>
                <w:szCs w:val="24"/>
                <w:u w:val="single"/>
              </w:rPr>
              <w:t>414</w:t>
            </w:r>
            <w:r w:rsidR="0051602B">
              <w:rPr>
                <w:rFonts w:ascii="Times New Roman" w:hAnsi="Times New Roman" w:cs="Times New Roman"/>
                <w:sz w:val="24"/>
                <w:szCs w:val="24"/>
                <w:u w:val="single"/>
              </w:rPr>
              <w:t>)</w:t>
            </w:r>
            <w:r w:rsidR="007E7C86">
              <w:rPr>
                <w:rFonts w:ascii="Times New Roman" w:hAnsi="Times New Roman" w:cs="Times New Roman"/>
                <w:sz w:val="24"/>
                <w:szCs w:val="24"/>
                <w:u w:val="single"/>
              </w:rPr>
              <w:t xml:space="preserve"> </w:t>
            </w:r>
            <w:r w:rsidRPr="006A20CA">
              <w:rPr>
                <w:rFonts w:ascii="Times New Roman" w:hAnsi="Times New Roman" w:cs="Times New Roman"/>
                <w:sz w:val="24"/>
                <w:szCs w:val="24"/>
                <w:u w:val="single"/>
              </w:rPr>
              <w:t>465-6058</w:t>
            </w:r>
          </w:p>
        </w:tc>
      </w:tr>
      <w:tr w:rsidR="00BB096D" w:rsidTr="000A638F" w14:paraId="34CEF49F" w14:textId="77777777">
        <w:trPr>
          <w:trHeight w:val="268"/>
        </w:trPr>
        <w:tc>
          <w:tcPr>
            <w:tcW w:w="18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7B90D3E7"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Larry Keller</w:t>
            </w:r>
          </w:p>
        </w:tc>
        <w:tc>
          <w:tcPr>
            <w:tcW w:w="3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7E1E37C8"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Polaris Industries Inc.</w:t>
            </w:r>
          </w:p>
        </w:tc>
        <w:tc>
          <w:tcPr>
            <w:tcW w:w="2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684EDF07"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(651) 408-7253</w:t>
            </w:r>
          </w:p>
        </w:tc>
      </w:tr>
      <w:tr w:rsidR="00BB096D" w:rsidTr="00DD65C0" w14:paraId="6CA58E0E" w14:textId="77777777">
        <w:tc>
          <w:tcPr>
            <w:tcW w:w="18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028B52E1"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Margaret Goldstein</w:t>
            </w:r>
          </w:p>
        </w:tc>
        <w:tc>
          <w:tcPr>
            <w:tcW w:w="3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BB096D" w14:paraId="35F7306B" w14:textId="77777777">
            <w:pPr>
              <w:autoSpaceDE w:val="0"/>
              <w:autoSpaceDN w:val="0"/>
              <w:rPr>
                <w:rFonts w:ascii="Times New Roman" w:hAnsi="Times New Roman" w:cs="Times New Roman"/>
                <w:sz w:val="24"/>
                <w:szCs w:val="24"/>
                <w:u w:val="single"/>
              </w:rPr>
            </w:pPr>
            <w:r w:rsidRPr="006A20CA">
              <w:rPr>
                <w:rFonts w:ascii="Times New Roman" w:hAnsi="Times New Roman" w:cs="Times New Roman"/>
                <w:sz w:val="24"/>
                <w:szCs w:val="24"/>
                <w:u w:val="single"/>
              </w:rPr>
              <w:t>Harrison Wolf</w:t>
            </w:r>
          </w:p>
        </w:tc>
        <w:tc>
          <w:tcPr>
            <w:tcW w:w="2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A20CA" w:rsidR="00BB096D" w:rsidRDefault="0051602B" w14:paraId="670958EE" w14:textId="4FE186A0">
            <w:pPr>
              <w:autoSpaceDE w:val="0"/>
              <w:autoSpaceDN w:val="0"/>
              <w:rPr>
                <w:rFonts w:ascii="Times New Roman" w:hAnsi="Times New Roman" w:cs="Times New Roman"/>
                <w:sz w:val="24"/>
                <w:szCs w:val="24"/>
                <w:u w:val="single"/>
              </w:rPr>
            </w:pPr>
            <w:r>
              <w:rPr>
                <w:rFonts w:ascii="Times New Roman" w:hAnsi="Times New Roman" w:cs="Times New Roman"/>
                <w:sz w:val="24"/>
                <w:szCs w:val="24"/>
                <w:u w:val="single"/>
              </w:rPr>
              <w:t>(</w:t>
            </w:r>
            <w:r w:rsidRPr="006A20CA" w:rsidR="00BB096D">
              <w:rPr>
                <w:rFonts w:ascii="Times New Roman" w:hAnsi="Times New Roman" w:cs="Times New Roman"/>
                <w:sz w:val="24"/>
                <w:szCs w:val="24"/>
                <w:u w:val="single"/>
              </w:rPr>
              <w:t>714</w:t>
            </w:r>
            <w:r>
              <w:rPr>
                <w:rFonts w:ascii="Times New Roman" w:hAnsi="Times New Roman" w:cs="Times New Roman"/>
                <w:sz w:val="24"/>
                <w:szCs w:val="24"/>
                <w:u w:val="single"/>
              </w:rPr>
              <w:t xml:space="preserve">) </w:t>
            </w:r>
            <w:r w:rsidRPr="006A20CA" w:rsidR="00BB096D">
              <w:rPr>
                <w:rFonts w:ascii="Times New Roman" w:hAnsi="Times New Roman" w:cs="Times New Roman"/>
                <w:sz w:val="24"/>
                <w:szCs w:val="24"/>
                <w:u w:val="single"/>
              </w:rPr>
              <w:t>841-6400</w:t>
            </w:r>
          </w:p>
        </w:tc>
      </w:tr>
      <w:bookmarkEnd w:id="0"/>
    </w:tbl>
    <w:p w:rsidRPr="00E21E82" w:rsidR="00E21E82" w:rsidP="00823410" w:rsidRDefault="00E21E82" w14:paraId="44C69B25" w14:textId="77777777">
      <w:pPr>
        <w:spacing w:after="0" w:line="240" w:lineRule="auto"/>
        <w:rPr>
          <w:rFonts w:ascii="Times New Roman" w:hAnsi="Times New Roman" w:cs="Times New Roman"/>
          <w:sz w:val="24"/>
          <w:szCs w:val="24"/>
        </w:rPr>
      </w:pPr>
    </w:p>
    <w:p w:rsidRPr="00E21E82" w:rsidR="00E21E82" w:rsidP="00E21E82" w:rsidRDefault="000A638F" w14:paraId="123AC12C" w14:textId="620E5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EPA has had informal conversations with Harrison Wolf concerning labor hour determination for the respondents to this ICR. Harrison Wolf serves as a certification consultant to multiple manufacturers, covering diverse products, both physical and technological. </w:t>
      </w:r>
      <w:r w:rsidR="00594DCA">
        <w:rPr>
          <w:rFonts w:ascii="Times New Roman" w:hAnsi="Times New Roman" w:cs="Times New Roman"/>
          <w:sz w:val="24"/>
          <w:szCs w:val="24"/>
        </w:rPr>
        <w:t>On</w:t>
      </w:r>
      <w:r w:rsidRPr="00594DCA" w:rsidR="00594DCA">
        <w:t xml:space="preserve"> </w:t>
      </w:r>
      <w:r w:rsidRPr="00594DCA" w:rsidR="00594DCA">
        <w:rPr>
          <w:rFonts w:ascii="Times New Roman" w:hAnsi="Times New Roman" w:cs="Times New Roman"/>
          <w:sz w:val="24"/>
          <w:szCs w:val="24"/>
        </w:rPr>
        <w:t>September 16-19, 2019</w:t>
      </w:r>
      <w:r w:rsidR="00594DCA">
        <w:rPr>
          <w:rFonts w:ascii="Times New Roman" w:hAnsi="Times New Roman" w:cs="Times New Roman"/>
          <w:sz w:val="24"/>
          <w:szCs w:val="24"/>
        </w:rPr>
        <w:t xml:space="preserve">, </w:t>
      </w:r>
      <w:r w:rsidRPr="00594DCA" w:rsidR="00594DCA">
        <w:rPr>
          <w:rFonts w:ascii="Times New Roman" w:hAnsi="Times New Roman" w:cs="Times New Roman"/>
          <w:sz w:val="24"/>
          <w:szCs w:val="24"/>
        </w:rPr>
        <w:t>EPA</w:t>
      </w:r>
      <w:r w:rsidR="00594DCA">
        <w:rPr>
          <w:rFonts w:ascii="Times New Roman" w:hAnsi="Times New Roman" w:cs="Times New Roman"/>
          <w:sz w:val="24"/>
          <w:szCs w:val="24"/>
        </w:rPr>
        <w:t xml:space="preserve"> conducted a</w:t>
      </w:r>
      <w:r w:rsidRPr="00594DCA" w:rsidR="00594DCA">
        <w:rPr>
          <w:rFonts w:ascii="Times New Roman" w:hAnsi="Times New Roman" w:cs="Times New Roman"/>
          <w:sz w:val="24"/>
          <w:szCs w:val="24"/>
        </w:rPr>
        <w:t xml:space="preserve"> Compliance Workshop</w:t>
      </w:r>
      <w:r w:rsidR="00594DCA">
        <w:rPr>
          <w:rFonts w:ascii="Times New Roman" w:hAnsi="Times New Roman" w:cs="Times New Roman"/>
          <w:sz w:val="24"/>
          <w:szCs w:val="24"/>
        </w:rPr>
        <w:t xml:space="preserve"> for manufacturers certifying small engines, including highway motorcycle manufacturers. The workshop provided opportunities for the regulated industries to receive information from the EPA regarding certification, reporting and recordkeeping obligations and to interact with the Agency concerning EPA’s emissions programs. The EPA Compliance Division received positive feedback concerning the workshop and were provided perspectives from industry practitioners regarding benefits and challenges to EPA’s certification programs. No additional comments were made concerning this ICR renewal at that time.</w:t>
      </w:r>
    </w:p>
    <w:p w:rsidRPr="00E21E82" w:rsidR="00E21E82" w:rsidP="00E21E82" w:rsidRDefault="00E21E82" w14:paraId="7E0C6698" w14:textId="77777777">
      <w:pPr>
        <w:spacing w:after="0" w:line="240" w:lineRule="auto"/>
        <w:rPr>
          <w:rFonts w:ascii="Times New Roman" w:hAnsi="Times New Roman" w:cs="Times New Roman"/>
          <w:sz w:val="24"/>
          <w:szCs w:val="24"/>
        </w:rPr>
      </w:pPr>
    </w:p>
    <w:p w:rsidRPr="00E21E82" w:rsidR="00E21E82" w:rsidP="00E21E82" w:rsidRDefault="00E21E82" w14:paraId="3CC8E3F5" w14:textId="77777777">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3(d) </w:t>
      </w:r>
      <w:r w:rsidRPr="00E21E82">
        <w:rPr>
          <w:rFonts w:ascii="Times New Roman" w:hAnsi="Times New Roman" w:cs="Times New Roman"/>
          <w:sz w:val="24"/>
          <w:szCs w:val="24"/>
          <w:u w:val="single"/>
        </w:rPr>
        <w:t>Effects of Less Frequent Collection</w:t>
      </w:r>
    </w:p>
    <w:p w:rsidRPr="00E21E82" w:rsidR="00E21E82" w:rsidP="00E21E82" w:rsidRDefault="00E21E82" w14:paraId="01DE08E5" w14:textId="77777777">
      <w:pPr>
        <w:spacing w:after="0" w:line="240" w:lineRule="auto"/>
        <w:rPr>
          <w:rFonts w:ascii="Times New Roman" w:hAnsi="Times New Roman" w:cs="Times New Roman"/>
          <w:sz w:val="24"/>
          <w:szCs w:val="24"/>
          <w:u w:val="single"/>
        </w:rPr>
      </w:pPr>
    </w:p>
    <w:p w:rsidRPr="00E21E82" w:rsidR="00E21E82" w:rsidP="00E21E82" w:rsidRDefault="00E21E82" w14:paraId="3E07F955" w14:textId="552349D1">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As required by the Clean Air Act (42 USC 7525(a)), </w:t>
      </w:r>
      <w:r w:rsidR="00F479DC">
        <w:rPr>
          <w:rFonts w:ascii="Times New Roman" w:hAnsi="Times New Roman" w:cs="Times New Roman"/>
          <w:sz w:val="24"/>
          <w:szCs w:val="24"/>
        </w:rPr>
        <w:t xml:space="preserve">manufacturers must submit </w:t>
      </w:r>
      <w:r w:rsidRPr="00E21E82">
        <w:rPr>
          <w:rFonts w:ascii="Times New Roman" w:hAnsi="Times New Roman" w:cs="Times New Roman"/>
          <w:sz w:val="24"/>
          <w:szCs w:val="24"/>
        </w:rPr>
        <w:t xml:space="preserve">emission information </w:t>
      </w:r>
      <w:r w:rsidR="00F479DC">
        <w:rPr>
          <w:rFonts w:ascii="Times New Roman" w:hAnsi="Times New Roman" w:cs="Times New Roman"/>
          <w:sz w:val="24"/>
          <w:szCs w:val="24"/>
        </w:rPr>
        <w:t>to the EPA on an annual</w:t>
      </w:r>
      <w:r w:rsidRPr="00E21E82">
        <w:rPr>
          <w:rFonts w:ascii="Times New Roman" w:hAnsi="Times New Roman" w:cs="Times New Roman"/>
          <w:sz w:val="24"/>
          <w:szCs w:val="24"/>
        </w:rPr>
        <w:t xml:space="preserve"> basis coinciding with the manufacturer’s “model year.”</w:t>
      </w:r>
      <w:r w:rsidR="003D6E8C">
        <w:rPr>
          <w:rStyle w:val="FootnoteReference"/>
          <w:rFonts w:ascii="Times New Roman" w:hAnsi="Times New Roman" w:cs="Times New Roman"/>
          <w:sz w:val="24"/>
          <w:szCs w:val="24"/>
        </w:rPr>
        <w:footnoteReference w:id="1"/>
      </w:r>
      <w:r w:rsidRPr="00E21E82">
        <w:rPr>
          <w:rFonts w:ascii="Times New Roman" w:hAnsi="Times New Roman" w:cs="Times New Roman"/>
          <w:sz w:val="24"/>
          <w:szCs w:val="24"/>
        </w:rPr>
        <w:t xml:space="preserve"> </w:t>
      </w:r>
      <w:r w:rsidR="0057142D">
        <w:rPr>
          <w:rFonts w:ascii="Times New Roman" w:hAnsi="Times New Roman" w:cs="Times New Roman"/>
          <w:sz w:val="24"/>
          <w:szCs w:val="24"/>
        </w:rPr>
        <w:t xml:space="preserve">The </w:t>
      </w:r>
      <w:r w:rsidRPr="00E21E82">
        <w:rPr>
          <w:rFonts w:ascii="Times New Roman" w:hAnsi="Times New Roman" w:cs="Times New Roman"/>
          <w:sz w:val="24"/>
          <w:szCs w:val="24"/>
        </w:rPr>
        <w:t>EPA allows applicants to define their own “model year”, within limits</w:t>
      </w:r>
      <w:r w:rsidR="003D6E8C">
        <w:rPr>
          <w:rFonts w:ascii="Times New Roman" w:hAnsi="Times New Roman" w:cs="Times New Roman"/>
          <w:sz w:val="24"/>
          <w:szCs w:val="24"/>
        </w:rPr>
        <w:t xml:space="preserve"> under the statute and regulations</w:t>
      </w:r>
      <w:r w:rsidRPr="00E21E82">
        <w:rPr>
          <w:rFonts w:ascii="Times New Roman" w:hAnsi="Times New Roman" w:cs="Times New Roman"/>
          <w:sz w:val="24"/>
          <w:szCs w:val="24"/>
        </w:rPr>
        <w:t xml:space="preserve">, thus granting some flexibility in this regard. Major product changes typically occur at the start of a model year. For these reasons, a collection frequency longer than a model year is not possible. However, when a vehicle design is </w:t>
      </w:r>
      <w:r w:rsidR="003D6E8C">
        <w:rPr>
          <w:rFonts w:ascii="Times New Roman" w:hAnsi="Times New Roman" w:cs="Times New Roman"/>
          <w:sz w:val="24"/>
          <w:szCs w:val="24"/>
        </w:rPr>
        <w:t>unchanged for subsequent model years the regulations allow manufacturers to certify using the data generated fr</w:t>
      </w:r>
      <w:r w:rsidR="0051602B">
        <w:rPr>
          <w:rFonts w:ascii="Times New Roman" w:hAnsi="Times New Roman" w:cs="Times New Roman"/>
          <w:sz w:val="24"/>
          <w:szCs w:val="24"/>
        </w:rPr>
        <w:t>om</w:t>
      </w:r>
      <w:r w:rsidR="003D6E8C">
        <w:rPr>
          <w:rFonts w:ascii="Times New Roman" w:hAnsi="Times New Roman" w:cs="Times New Roman"/>
          <w:sz w:val="24"/>
          <w:szCs w:val="24"/>
        </w:rPr>
        <w:t xml:space="preserve"> the preceding year’s certification. The use of previous data is often referred to as </w:t>
      </w:r>
      <w:r w:rsidRPr="00E21E82">
        <w:rPr>
          <w:rFonts w:ascii="Times New Roman" w:hAnsi="Times New Roman" w:cs="Times New Roman"/>
          <w:sz w:val="24"/>
          <w:szCs w:val="24"/>
        </w:rPr>
        <w:t>“carr</w:t>
      </w:r>
      <w:r w:rsidR="0051602B">
        <w:rPr>
          <w:rFonts w:ascii="Times New Roman" w:hAnsi="Times New Roman" w:cs="Times New Roman"/>
          <w:sz w:val="24"/>
          <w:szCs w:val="24"/>
        </w:rPr>
        <w:t>y</w:t>
      </w:r>
      <w:r w:rsidRPr="00E21E82">
        <w:rPr>
          <w:rFonts w:ascii="Times New Roman" w:hAnsi="Times New Roman" w:cs="Times New Roman"/>
          <w:sz w:val="24"/>
          <w:szCs w:val="24"/>
        </w:rPr>
        <w:t xml:space="preserve"> over” </w:t>
      </w:r>
      <w:r w:rsidR="003D6E8C">
        <w:rPr>
          <w:rFonts w:ascii="Times New Roman" w:hAnsi="Times New Roman" w:cs="Times New Roman"/>
          <w:sz w:val="24"/>
          <w:szCs w:val="24"/>
        </w:rPr>
        <w:t xml:space="preserve">of data </w:t>
      </w:r>
      <w:r w:rsidRPr="00E21E82">
        <w:rPr>
          <w:rFonts w:ascii="Times New Roman" w:hAnsi="Times New Roman" w:cs="Times New Roman"/>
          <w:sz w:val="24"/>
          <w:szCs w:val="24"/>
        </w:rPr>
        <w:t xml:space="preserve">to a subsequent model year, </w:t>
      </w:r>
      <w:r w:rsidR="003D6E8C">
        <w:rPr>
          <w:rFonts w:ascii="Times New Roman" w:hAnsi="Times New Roman" w:cs="Times New Roman"/>
          <w:sz w:val="24"/>
          <w:szCs w:val="24"/>
        </w:rPr>
        <w:t xml:space="preserve">and as a result </w:t>
      </w:r>
      <w:r w:rsidRPr="00E21E82">
        <w:rPr>
          <w:rFonts w:ascii="Times New Roman" w:hAnsi="Times New Roman" w:cs="Times New Roman"/>
          <w:sz w:val="24"/>
          <w:szCs w:val="24"/>
        </w:rPr>
        <w:t xml:space="preserve">the amount of new information required </w:t>
      </w:r>
      <w:r w:rsidR="003D6E8C">
        <w:rPr>
          <w:rFonts w:ascii="Times New Roman" w:hAnsi="Times New Roman" w:cs="Times New Roman"/>
          <w:sz w:val="24"/>
          <w:szCs w:val="24"/>
        </w:rPr>
        <w:t xml:space="preserve">for certification </w:t>
      </w:r>
      <w:r w:rsidRPr="00E21E82">
        <w:rPr>
          <w:rFonts w:ascii="Times New Roman" w:hAnsi="Times New Roman" w:cs="Times New Roman"/>
          <w:sz w:val="24"/>
          <w:szCs w:val="24"/>
        </w:rPr>
        <w:t>is substantially reduced</w:t>
      </w:r>
      <w:r w:rsidR="00830CE7">
        <w:rPr>
          <w:rFonts w:ascii="Times New Roman" w:hAnsi="Times New Roman" w:cs="Times New Roman"/>
          <w:sz w:val="24"/>
          <w:szCs w:val="24"/>
        </w:rPr>
        <w:t xml:space="preserve">. </w:t>
      </w:r>
    </w:p>
    <w:p w:rsidRPr="00E21E82" w:rsidR="00E21E82" w:rsidP="00E21E82" w:rsidRDefault="00E21E82" w14:paraId="52F4F7F0" w14:textId="77777777">
      <w:pPr>
        <w:spacing w:after="0" w:line="240" w:lineRule="auto"/>
        <w:rPr>
          <w:rFonts w:ascii="Times New Roman" w:hAnsi="Times New Roman" w:cs="Times New Roman"/>
          <w:sz w:val="24"/>
          <w:szCs w:val="24"/>
        </w:rPr>
      </w:pPr>
    </w:p>
    <w:p w:rsidRPr="00E21E82" w:rsidR="00E21E82" w:rsidP="00E21E82" w:rsidRDefault="00E21E82" w14:paraId="1AD89CAA" w14:textId="77777777">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3(e) </w:t>
      </w:r>
      <w:r w:rsidRPr="00E21E82">
        <w:rPr>
          <w:rFonts w:ascii="Times New Roman" w:hAnsi="Times New Roman" w:cs="Times New Roman"/>
          <w:sz w:val="24"/>
          <w:szCs w:val="24"/>
          <w:u w:val="single"/>
        </w:rPr>
        <w:t>General Guidelines</w:t>
      </w:r>
    </w:p>
    <w:p w:rsidRPr="00E21E82" w:rsidR="00E21E82" w:rsidP="00E21E82" w:rsidRDefault="00E21E82" w14:paraId="02FEDD82" w14:textId="77777777">
      <w:pPr>
        <w:spacing w:after="0" w:line="240" w:lineRule="auto"/>
        <w:rPr>
          <w:rFonts w:ascii="Times New Roman" w:hAnsi="Times New Roman" w:cs="Times New Roman"/>
          <w:sz w:val="24"/>
          <w:szCs w:val="24"/>
        </w:rPr>
      </w:pPr>
    </w:p>
    <w:p w:rsidRPr="00E21E82" w:rsidR="00E21E82" w:rsidP="00E21E82" w:rsidRDefault="00E21E82" w14:paraId="06847D1A" w14:textId="45D3BAA8">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Manufacturers are required to keep some records for periods longer than three years. This requirement stems from the statutory requirement that manufacturers warrant some items for periods longer than </w:t>
      </w:r>
      <w:r w:rsidR="00A11BDB">
        <w:rPr>
          <w:rFonts w:ascii="Times New Roman" w:hAnsi="Times New Roman" w:cs="Times New Roman"/>
          <w:sz w:val="24"/>
          <w:szCs w:val="24"/>
        </w:rPr>
        <w:t>three</w:t>
      </w:r>
      <w:r w:rsidRPr="00E21E82">
        <w:rPr>
          <w:rFonts w:ascii="Times New Roman" w:hAnsi="Times New Roman" w:cs="Times New Roman"/>
          <w:sz w:val="24"/>
          <w:szCs w:val="24"/>
        </w:rPr>
        <w:t xml:space="preserve"> years. Manufacturers must also recall vehicle classes failing to meet emission standards during their useful life</w:t>
      </w:r>
      <w:r w:rsidR="000C009E">
        <w:rPr>
          <w:rFonts w:ascii="Times New Roman" w:hAnsi="Times New Roman" w:cs="Times New Roman"/>
          <w:sz w:val="24"/>
          <w:szCs w:val="24"/>
        </w:rPr>
        <w:t xml:space="preserve"> --</w:t>
      </w:r>
      <w:r w:rsidRPr="00E21E82">
        <w:rPr>
          <w:rFonts w:ascii="Times New Roman" w:hAnsi="Times New Roman" w:cs="Times New Roman"/>
          <w:sz w:val="24"/>
          <w:szCs w:val="24"/>
        </w:rPr>
        <w:t xml:space="preserve"> typically five to </w:t>
      </w:r>
      <w:r w:rsidR="009D62C5">
        <w:rPr>
          <w:rFonts w:ascii="Times New Roman" w:hAnsi="Times New Roman" w:cs="Times New Roman"/>
          <w:sz w:val="24"/>
          <w:szCs w:val="24"/>
        </w:rPr>
        <w:t>eight</w:t>
      </w:r>
      <w:r w:rsidRPr="00E21E82">
        <w:rPr>
          <w:rFonts w:ascii="Times New Roman" w:hAnsi="Times New Roman" w:cs="Times New Roman"/>
          <w:sz w:val="24"/>
          <w:szCs w:val="24"/>
        </w:rPr>
        <w:t xml:space="preserve"> years depending on vehicle type. In order to satisfy these obligations, manufacturers must retain product information, with </w:t>
      </w:r>
      <w:proofErr w:type="gramStart"/>
      <w:r w:rsidRPr="00E21E82">
        <w:rPr>
          <w:rFonts w:ascii="Times New Roman" w:hAnsi="Times New Roman" w:cs="Times New Roman"/>
          <w:sz w:val="24"/>
          <w:szCs w:val="24"/>
        </w:rPr>
        <w:t>particular emphasis</w:t>
      </w:r>
      <w:proofErr w:type="gramEnd"/>
      <w:r w:rsidRPr="00E21E82">
        <w:rPr>
          <w:rFonts w:ascii="Times New Roman" w:hAnsi="Times New Roman" w:cs="Times New Roman"/>
          <w:sz w:val="24"/>
          <w:szCs w:val="24"/>
        </w:rPr>
        <w:t xml:space="preserve"> on the emission control systems. This information is vital in assuring that repairs and replacement parts properly function during the life of the warranty and that emissions limitations are met during the full useful li</w:t>
      </w:r>
      <w:r w:rsidR="003D6E8C">
        <w:rPr>
          <w:rFonts w:ascii="Times New Roman" w:hAnsi="Times New Roman" w:cs="Times New Roman"/>
          <w:sz w:val="24"/>
          <w:szCs w:val="24"/>
        </w:rPr>
        <w:t>fe</w:t>
      </w:r>
      <w:r w:rsidRPr="00E21E82">
        <w:rPr>
          <w:rFonts w:ascii="Times New Roman" w:hAnsi="Times New Roman" w:cs="Times New Roman"/>
          <w:sz w:val="24"/>
          <w:szCs w:val="24"/>
        </w:rPr>
        <w:t xml:space="preserve">. </w:t>
      </w:r>
      <w:r w:rsidR="0057142D">
        <w:rPr>
          <w:rFonts w:ascii="Times New Roman" w:hAnsi="Times New Roman" w:cs="Times New Roman"/>
          <w:sz w:val="24"/>
          <w:szCs w:val="24"/>
        </w:rPr>
        <w:t xml:space="preserve">The </w:t>
      </w:r>
      <w:r w:rsidRPr="00E21E82">
        <w:rPr>
          <w:rFonts w:ascii="Times New Roman" w:hAnsi="Times New Roman" w:cs="Times New Roman"/>
          <w:sz w:val="24"/>
          <w:szCs w:val="24"/>
        </w:rPr>
        <w:t>EPA believes that this recordkeeping requirement does not impose an unreasonable burden given the warranty and recall obligations. In fact, manufacturers would probably retain this information to support their normal business of supplying replacement parts.</w:t>
      </w:r>
    </w:p>
    <w:p w:rsidRPr="00E21E82" w:rsidR="00E21E82" w:rsidP="00E21E82" w:rsidRDefault="00E21E82" w14:paraId="23BFFCC1" w14:textId="77777777">
      <w:pPr>
        <w:spacing w:after="0" w:line="240" w:lineRule="auto"/>
        <w:rPr>
          <w:rFonts w:ascii="Times New Roman" w:hAnsi="Times New Roman" w:cs="Times New Roman"/>
          <w:sz w:val="24"/>
          <w:szCs w:val="24"/>
        </w:rPr>
      </w:pPr>
    </w:p>
    <w:p w:rsidRPr="00E21E82" w:rsidR="00E21E82" w:rsidP="00E21E82" w:rsidRDefault="00E21E82" w14:paraId="17504C53" w14:textId="0C2F19F8">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This information collection activity </w:t>
      </w:r>
      <w:r w:rsidR="000C009E">
        <w:rPr>
          <w:rFonts w:ascii="Times New Roman" w:hAnsi="Times New Roman" w:cs="Times New Roman"/>
          <w:sz w:val="24"/>
          <w:szCs w:val="24"/>
        </w:rPr>
        <w:t xml:space="preserve">otherwise </w:t>
      </w:r>
      <w:r w:rsidRPr="00E21E82">
        <w:rPr>
          <w:rFonts w:ascii="Times New Roman" w:hAnsi="Times New Roman" w:cs="Times New Roman"/>
          <w:sz w:val="24"/>
          <w:szCs w:val="24"/>
        </w:rPr>
        <w:t>complies with the remaining guidelines in 5 CFR 1320.5.</w:t>
      </w:r>
    </w:p>
    <w:p w:rsidRPr="00E21E82" w:rsidR="00E21E82" w:rsidP="00E21E82" w:rsidRDefault="00E21E82" w14:paraId="7E8CDD09" w14:textId="77777777">
      <w:pPr>
        <w:spacing w:after="0" w:line="240" w:lineRule="auto"/>
        <w:rPr>
          <w:rFonts w:ascii="Times New Roman" w:hAnsi="Times New Roman" w:cs="Times New Roman"/>
          <w:sz w:val="24"/>
          <w:szCs w:val="24"/>
        </w:rPr>
      </w:pPr>
    </w:p>
    <w:p w:rsidRPr="00E21E82" w:rsidR="00E21E82" w:rsidP="00E21E82" w:rsidRDefault="00E21E82" w14:paraId="7D089265" w14:textId="77777777">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3(f) </w:t>
      </w:r>
      <w:r w:rsidRPr="00E21E82">
        <w:rPr>
          <w:rFonts w:ascii="Times New Roman" w:hAnsi="Times New Roman" w:cs="Times New Roman"/>
          <w:sz w:val="24"/>
          <w:szCs w:val="24"/>
          <w:u w:val="single"/>
        </w:rPr>
        <w:t>Confidentiality</w:t>
      </w:r>
    </w:p>
    <w:p w:rsidRPr="00E21E82" w:rsidR="00E21E82" w:rsidP="00E21E82" w:rsidRDefault="00E21E82" w14:paraId="4CE5397B" w14:textId="77777777">
      <w:pPr>
        <w:spacing w:after="0" w:line="240" w:lineRule="auto"/>
        <w:rPr>
          <w:rFonts w:ascii="Times New Roman" w:hAnsi="Times New Roman" w:cs="Times New Roman"/>
          <w:sz w:val="24"/>
          <w:szCs w:val="24"/>
        </w:rPr>
      </w:pPr>
    </w:p>
    <w:p w:rsidRPr="00E21E82" w:rsidR="00E21E82" w:rsidP="00E21E82" w:rsidRDefault="00E21E82" w14:paraId="10DB0937" w14:textId="5AEFAB71">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 xml:space="preserve">Information submitted by manufacturers is held as confidential until the specific vehicle to which it pertains is available for purchase. </w:t>
      </w:r>
      <w:r w:rsidRPr="00243B4B" w:rsidR="00243B4B">
        <w:rPr>
          <w:rFonts w:ascii="Times New Roman" w:hAnsi="Times New Roman" w:cs="Times New Roman"/>
          <w:sz w:val="24"/>
          <w:szCs w:val="24"/>
        </w:rPr>
        <w:t>After vehicles are available, most information associated with the manufacturer/importer’s application is available to the public. Under section 208 of the Clean Air Act (42 USC 7542(c)) all information, other than trade secret processes or methods, must be publicly available unless a class determination made by EPA’s Office of General Counsel determines otherwise.  Proprietary information is granted confidentiality in accordance with the Freedom of Information Act, 5 U.S.C. Section 552, and EPA regulations at 40 CFR Part 2 Subpart B.</w:t>
      </w:r>
    </w:p>
    <w:p w:rsidRPr="00E21E82" w:rsidR="00E21E82" w:rsidP="00E21E82" w:rsidRDefault="00E21E82" w14:paraId="3DFD3B2D" w14:textId="77777777">
      <w:pPr>
        <w:spacing w:after="0" w:line="240" w:lineRule="auto"/>
        <w:rPr>
          <w:rFonts w:ascii="Times New Roman" w:hAnsi="Times New Roman" w:cs="Times New Roman"/>
          <w:sz w:val="24"/>
          <w:szCs w:val="24"/>
        </w:rPr>
      </w:pPr>
    </w:p>
    <w:p w:rsidRPr="00E21E82" w:rsidR="00E21E82" w:rsidP="00E21E82" w:rsidRDefault="00E21E82" w14:paraId="36D41007" w14:textId="77777777">
      <w:pPr>
        <w:spacing w:after="0" w:line="240" w:lineRule="auto"/>
        <w:rPr>
          <w:rFonts w:ascii="Times New Roman" w:hAnsi="Times New Roman" w:cs="Times New Roman"/>
          <w:sz w:val="24"/>
          <w:szCs w:val="24"/>
          <w:u w:val="single"/>
        </w:rPr>
      </w:pPr>
      <w:r w:rsidRPr="00E21E82">
        <w:rPr>
          <w:rFonts w:ascii="Times New Roman" w:hAnsi="Times New Roman" w:cs="Times New Roman"/>
          <w:sz w:val="24"/>
          <w:szCs w:val="24"/>
        </w:rPr>
        <w:t xml:space="preserve">3(g) </w:t>
      </w:r>
      <w:r w:rsidRPr="00E21E82">
        <w:rPr>
          <w:rFonts w:ascii="Times New Roman" w:hAnsi="Times New Roman" w:cs="Times New Roman"/>
          <w:sz w:val="24"/>
          <w:szCs w:val="24"/>
          <w:u w:val="single"/>
        </w:rPr>
        <w:t>Sensitive Questions</w:t>
      </w:r>
    </w:p>
    <w:p w:rsidRPr="00E21E82" w:rsidR="00E21E82" w:rsidP="00E21E82" w:rsidRDefault="00E21E82" w14:paraId="0077BEDA" w14:textId="77777777">
      <w:pPr>
        <w:spacing w:after="0" w:line="240" w:lineRule="auto"/>
        <w:rPr>
          <w:rFonts w:ascii="Times New Roman" w:hAnsi="Times New Roman" w:cs="Times New Roman"/>
          <w:sz w:val="24"/>
          <w:szCs w:val="24"/>
        </w:rPr>
      </w:pPr>
    </w:p>
    <w:p w:rsidR="00E21E82" w:rsidP="00E21E82" w:rsidRDefault="00E21E82" w14:paraId="0CE170AA" w14:textId="77777777">
      <w:pPr>
        <w:spacing w:after="0" w:line="240" w:lineRule="auto"/>
        <w:rPr>
          <w:rFonts w:ascii="Times New Roman" w:hAnsi="Times New Roman" w:cs="Times New Roman"/>
          <w:sz w:val="24"/>
          <w:szCs w:val="24"/>
        </w:rPr>
      </w:pPr>
      <w:r w:rsidRPr="00E21E82">
        <w:rPr>
          <w:rFonts w:ascii="Times New Roman" w:hAnsi="Times New Roman" w:cs="Times New Roman"/>
          <w:sz w:val="24"/>
          <w:szCs w:val="24"/>
        </w:rPr>
        <w:t>No sensitive questions are asked in this information collection. This collection complies with the Privacy Act and OMB Circular A-108.</w:t>
      </w:r>
    </w:p>
    <w:p w:rsidR="009D62C5" w:rsidP="00E21E82" w:rsidRDefault="009D62C5" w14:paraId="3FABD777" w14:textId="77777777">
      <w:pPr>
        <w:spacing w:after="0" w:line="240" w:lineRule="auto"/>
        <w:rPr>
          <w:rFonts w:ascii="Times New Roman" w:hAnsi="Times New Roman" w:cs="Times New Roman"/>
          <w:sz w:val="24"/>
          <w:szCs w:val="24"/>
        </w:rPr>
      </w:pPr>
    </w:p>
    <w:p w:rsidRPr="009D62C5" w:rsidR="009D62C5" w:rsidP="009D62C5" w:rsidRDefault="009D62C5" w14:paraId="3E75CDEE" w14:textId="77777777">
      <w:pPr>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u w:val="single"/>
        </w:rPr>
        <w:t>Section 4: Respondents and Information Requested</w:t>
      </w:r>
    </w:p>
    <w:p w:rsidRPr="009D62C5" w:rsidR="009D62C5" w:rsidP="009D62C5" w:rsidRDefault="009D62C5" w14:paraId="4869EF97" w14:textId="77777777">
      <w:pPr>
        <w:spacing w:after="0" w:line="240" w:lineRule="auto"/>
        <w:rPr>
          <w:rFonts w:ascii="Times New Roman" w:hAnsi="Times New Roman" w:cs="Times New Roman"/>
          <w:sz w:val="24"/>
          <w:szCs w:val="24"/>
        </w:rPr>
      </w:pPr>
    </w:p>
    <w:p w:rsidRPr="009D62C5" w:rsidR="009D62C5" w:rsidP="009D62C5" w:rsidRDefault="009D62C5" w14:paraId="23193C50" w14:textId="77777777">
      <w:pPr>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rPr>
        <w:t xml:space="preserve">4(a) </w:t>
      </w:r>
      <w:r w:rsidRPr="009D62C5">
        <w:rPr>
          <w:rFonts w:ascii="Times New Roman" w:hAnsi="Times New Roman" w:cs="Times New Roman"/>
          <w:sz w:val="24"/>
          <w:szCs w:val="24"/>
          <w:u w:val="single"/>
        </w:rPr>
        <w:t>Respondents/NAICS Codes</w:t>
      </w:r>
    </w:p>
    <w:p w:rsidRPr="009D62C5" w:rsidR="009D62C5" w:rsidP="009D62C5" w:rsidRDefault="009D62C5" w14:paraId="1A2B9558" w14:textId="77777777">
      <w:pPr>
        <w:spacing w:after="0" w:line="240" w:lineRule="auto"/>
        <w:rPr>
          <w:rFonts w:ascii="Times New Roman" w:hAnsi="Times New Roman" w:cs="Times New Roman"/>
          <w:sz w:val="24"/>
          <w:szCs w:val="24"/>
          <w:u w:val="single"/>
        </w:rPr>
      </w:pPr>
    </w:p>
    <w:p w:rsidRPr="009D62C5" w:rsidR="009D62C5" w:rsidP="0087514C" w:rsidRDefault="009D62C5" w14:paraId="150D0100" w14:textId="66AC8FCD">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The respondents are involved in industries </w:t>
      </w:r>
      <w:r w:rsidR="0087514C">
        <w:rPr>
          <w:rFonts w:ascii="Times New Roman" w:hAnsi="Times New Roman" w:cs="Times New Roman"/>
          <w:sz w:val="24"/>
          <w:szCs w:val="24"/>
        </w:rPr>
        <w:t xml:space="preserve">that </w:t>
      </w:r>
      <w:r w:rsidRPr="00563CC0" w:rsidR="00563CC0">
        <w:rPr>
          <w:rFonts w:ascii="Times New Roman" w:hAnsi="Times New Roman" w:cs="Times New Roman"/>
          <w:sz w:val="24"/>
          <w:szCs w:val="24"/>
        </w:rPr>
        <w:t>manufacture or introduce into</w:t>
      </w:r>
      <w:r w:rsidR="00563CC0">
        <w:rPr>
          <w:rFonts w:ascii="Times New Roman" w:hAnsi="Times New Roman" w:cs="Times New Roman"/>
          <w:sz w:val="24"/>
          <w:szCs w:val="24"/>
        </w:rPr>
        <w:t xml:space="preserve"> </w:t>
      </w:r>
      <w:r w:rsidRPr="00563CC0" w:rsidR="00563CC0">
        <w:rPr>
          <w:rFonts w:ascii="Times New Roman" w:hAnsi="Times New Roman" w:cs="Times New Roman"/>
          <w:sz w:val="24"/>
          <w:szCs w:val="24"/>
        </w:rPr>
        <w:t>commerce highway motorcycles</w:t>
      </w:r>
      <w:r w:rsidR="0087514C">
        <w:rPr>
          <w:rFonts w:ascii="Times New Roman" w:hAnsi="Times New Roman" w:cs="Times New Roman"/>
          <w:sz w:val="24"/>
          <w:szCs w:val="24"/>
        </w:rPr>
        <w:t xml:space="preserve"> </w:t>
      </w:r>
      <w:r w:rsidRPr="009D62C5">
        <w:rPr>
          <w:rFonts w:ascii="Times New Roman" w:hAnsi="Times New Roman" w:cs="Times New Roman"/>
          <w:sz w:val="24"/>
          <w:szCs w:val="24"/>
        </w:rPr>
        <w:t>shown in the following table:</w:t>
      </w:r>
    </w:p>
    <w:p w:rsidRPr="009D62C5" w:rsidR="009D62C5" w:rsidP="009D62C5" w:rsidRDefault="009D62C5" w14:paraId="2EEC2109" w14:textId="77777777">
      <w:pPr>
        <w:spacing w:after="0" w:line="240" w:lineRule="auto"/>
        <w:rPr>
          <w:rFonts w:ascii="Times New Roman" w:hAnsi="Times New Roman" w:cs="Times New Roman"/>
          <w:sz w:val="24"/>
          <w:szCs w:val="24"/>
        </w:rPr>
      </w:pPr>
    </w:p>
    <w:tbl>
      <w:tblPr>
        <w:tblW w:w="9360" w:type="dxa"/>
        <w:tblInd w:w="82" w:type="dxa"/>
        <w:tblBorders>
          <w:top w:val="double" w:color="000000" w:sz="7" w:space="0"/>
          <w:left w:val="double" w:color="000000" w:sz="7" w:space="0"/>
          <w:bottom w:val="double" w:color="000000" w:sz="7" w:space="0"/>
          <w:right w:val="double" w:color="000000" w:sz="7" w:space="0"/>
          <w:insideH w:val="single" w:color="000000" w:sz="7" w:space="0"/>
          <w:insideV w:val="single" w:color="000000" w:sz="7" w:space="0"/>
        </w:tblBorders>
        <w:tblLayout w:type="fixed"/>
        <w:tblCellMar>
          <w:left w:w="82" w:type="dxa"/>
          <w:right w:w="82" w:type="dxa"/>
        </w:tblCellMar>
        <w:tblLook w:val="0000" w:firstRow="0" w:lastRow="0" w:firstColumn="0" w:lastColumn="0" w:noHBand="0" w:noVBand="0"/>
      </w:tblPr>
      <w:tblGrid>
        <w:gridCol w:w="1661"/>
        <w:gridCol w:w="1764"/>
        <w:gridCol w:w="5935"/>
      </w:tblGrid>
      <w:tr w:rsidRPr="009D62C5" w:rsidR="009D62C5" w:rsidTr="001A19FF" w14:paraId="5EC8C4D9" w14:textId="77777777">
        <w:trPr>
          <w:cantSplit/>
          <w:tblHeader/>
        </w:trPr>
        <w:tc>
          <w:tcPr>
            <w:tcW w:w="1661" w:type="dxa"/>
            <w:tcBorders>
              <w:top w:val="double" w:color="000000" w:sz="7" w:space="0"/>
              <w:left w:val="double" w:color="000000" w:sz="7" w:space="0"/>
              <w:bottom w:val="double" w:color="000000" w:sz="7" w:space="0"/>
              <w:right w:val="single" w:color="000000" w:sz="7" w:space="0"/>
            </w:tcBorders>
          </w:tcPr>
          <w:p w:rsidRPr="009D62C5" w:rsidR="009D62C5" w:rsidP="009D62C5" w:rsidRDefault="009D62C5" w14:paraId="33BC2D6A"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Category</w:t>
            </w:r>
          </w:p>
        </w:tc>
        <w:tc>
          <w:tcPr>
            <w:tcW w:w="1764" w:type="dxa"/>
            <w:tcBorders>
              <w:top w:val="double" w:color="000000" w:sz="7" w:space="0"/>
              <w:left w:val="single" w:color="000000" w:sz="7" w:space="0"/>
              <w:bottom w:val="double" w:color="000000" w:sz="7" w:space="0"/>
              <w:right w:val="single" w:color="000000" w:sz="7" w:space="0"/>
            </w:tcBorders>
          </w:tcPr>
          <w:p w:rsidRPr="009D62C5" w:rsidR="009D62C5" w:rsidP="009D62C5" w:rsidRDefault="009D62C5" w14:paraId="5526F880"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NAICS Codes </w:t>
            </w:r>
            <w:r w:rsidRPr="009D62C5">
              <w:rPr>
                <w:rFonts w:ascii="Times New Roman" w:hAnsi="Times New Roman" w:cs="Times New Roman"/>
                <w:sz w:val="24"/>
                <w:szCs w:val="24"/>
                <w:vertAlign w:val="superscript"/>
              </w:rPr>
              <w:t>A</w:t>
            </w:r>
          </w:p>
        </w:tc>
        <w:tc>
          <w:tcPr>
            <w:tcW w:w="5935" w:type="dxa"/>
            <w:tcBorders>
              <w:top w:val="double" w:color="000000" w:sz="7" w:space="0"/>
              <w:left w:val="single" w:color="000000" w:sz="7" w:space="0"/>
              <w:bottom w:val="double" w:color="000000" w:sz="7" w:space="0"/>
              <w:right w:val="double" w:color="000000" w:sz="7" w:space="0"/>
            </w:tcBorders>
          </w:tcPr>
          <w:p w:rsidRPr="009D62C5" w:rsidR="009D62C5" w:rsidP="009D62C5" w:rsidRDefault="009D62C5" w14:paraId="53181ACB"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Examples of Potentially Regulated Entities</w:t>
            </w:r>
          </w:p>
        </w:tc>
      </w:tr>
      <w:tr w:rsidRPr="009D62C5" w:rsidR="009D62C5" w:rsidTr="001A19FF" w14:paraId="27047279" w14:textId="77777777">
        <w:trPr>
          <w:cantSplit/>
        </w:trPr>
        <w:tc>
          <w:tcPr>
            <w:tcW w:w="1661" w:type="dxa"/>
            <w:tcBorders>
              <w:top w:val="double" w:color="000000" w:sz="7" w:space="0"/>
              <w:left w:val="double" w:color="000000" w:sz="7" w:space="0"/>
              <w:bottom w:val="double" w:color="000000" w:sz="7" w:space="0"/>
              <w:right w:val="single" w:color="000000" w:sz="7" w:space="0"/>
            </w:tcBorders>
          </w:tcPr>
          <w:p w:rsidRPr="009D62C5" w:rsidR="009D62C5" w:rsidP="009D62C5" w:rsidRDefault="009D62C5" w14:paraId="57349046"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Industry</w:t>
            </w:r>
          </w:p>
        </w:tc>
        <w:tc>
          <w:tcPr>
            <w:tcW w:w="1764" w:type="dxa"/>
            <w:tcBorders>
              <w:top w:val="double" w:color="000000" w:sz="7" w:space="0"/>
              <w:left w:val="single" w:color="000000" w:sz="7" w:space="0"/>
              <w:bottom w:val="double" w:color="000000" w:sz="7" w:space="0"/>
              <w:right w:val="single" w:color="000000" w:sz="7" w:space="0"/>
            </w:tcBorders>
          </w:tcPr>
          <w:p w:rsidRPr="009D62C5" w:rsidR="009D62C5" w:rsidP="009D62C5" w:rsidRDefault="009D62C5" w14:paraId="168FA64C"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336991</w:t>
            </w:r>
          </w:p>
        </w:tc>
        <w:tc>
          <w:tcPr>
            <w:tcW w:w="5935" w:type="dxa"/>
            <w:tcBorders>
              <w:top w:val="double" w:color="000000" w:sz="7" w:space="0"/>
              <w:left w:val="single" w:color="000000" w:sz="7" w:space="0"/>
              <w:bottom w:val="double" w:color="000000" w:sz="7" w:space="0"/>
              <w:right w:val="double" w:color="000000" w:sz="7" w:space="0"/>
            </w:tcBorders>
          </w:tcPr>
          <w:p w:rsidRPr="009D62C5" w:rsidR="009D62C5" w:rsidP="009D62C5" w:rsidRDefault="0087514C" w14:paraId="1FEB756C" w14:textId="0515A456">
            <w:pPr>
              <w:spacing w:after="0" w:line="240" w:lineRule="auto"/>
              <w:rPr>
                <w:rFonts w:ascii="Times New Roman" w:hAnsi="Times New Roman" w:cs="Times New Roman"/>
                <w:sz w:val="24"/>
                <w:szCs w:val="24"/>
              </w:rPr>
            </w:pPr>
            <w:r w:rsidRPr="0087514C">
              <w:rPr>
                <w:rFonts w:ascii="Times New Roman" w:hAnsi="Times New Roman" w:cs="Times New Roman"/>
                <w:sz w:val="24"/>
                <w:szCs w:val="24"/>
              </w:rPr>
              <w:t>Motorcycle, Bicycle, and Parts Manufacturing</w:t>
            </w:r>
          </w:p>
        </w:tc>
      </w:tr>
      <w:tr w:rsidRPr="009D62C5" w:rsidR="001C5C81" w:rsidTr="001A19FF" w14:paraId="3A936BB8" w14:textId="77777777">
        <w:trPr>
          <w:cantSplit/>
        </w:trPr>
        <w:tc>
          <w:tcPr>
            <w:tcW w:w="1661" w:type="dxa"/>
            <w:tcBorders>
              <w:top w:val="double" w:color="000000" w:sz="7" w:space="0"/>
              <w:left w:val="double" w:color="000000" w:sz="7" w:space="0"/>
              <w:bottom w:val="double" w:color="000000" w:sz="7" w:space="0"/>
              <w:right w:val="single" w:color="000000" w:sz="7" w:space="0"/>
            </w:tcBorders>
          </w:tcPr>
          <w:p w:rsidRPr="009D62C5" w:rsidR="001C5C81" w:rsidP="009D62C5" w:rsidRDefault="003F58CA" w14:paraId="70A8554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Industry</w:t>
            </w:r>
          </w:p>
        </w:tc>
        <w:tc>
          <w:tcPr>
            <w:tcW w:w="1764" w:type="dxa"/>
            <w:tcBorders>
              <w:top w:val="double" w:color="000000" w:sz="7" w:space="0"/>
              <w:left w:val="single" w:color="000000" w:sz="7" w:space="0"/>
              <w:bottom w:val="double" w:color="000000" w:sz="7" w:space="0"/>
              <w:right w:val="single" w:color="000000" w:sz="7" w:space="0"/>
            </w:tcBorders>
          </w:tcPr>
          <w:p w:rsidRPr="009D62C5" w:rsidR="001C5C81" w:rsidP="009D62C5" w:rsidRDefault="003F58CA" w14:paraId="04DDB13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336310</w:t>
            </w:r>
          </w:p>
        </w:tc>
        <w:tc>
          <w:tcPr>
            <w:tcW w:w="5935" w:type="dxa"/>
            <w:tcBorders>
              <w:top w:val="double" w:color="000000" w:sz="7" w:space="0"/>
              <w:left w:val="single" w:color="000000" w:sz="7" w:space="0"/>
              <w:bottom w:val="double" w:color="000000" w:sz="7" w:space="0"/>
              <w:right w:val="double" w:color="000000" w:sz="7" w:space="0"/>
            </w:tcBorders>
          </w:tcPr>
          <w:p w:rsidRPr="009D62C5" w:rsidR="001C5C81" w:rsidP="009D62C5" w:rsidRDefault="003F58CA" w14:paraId="47E51640" w14:textId="77777777">
            <w:pPr>
              <w:spacing w:after="0" w:line="240" w:lineRule="auto"/>
              <w:rPr>
                <w:rFonts w:ascii="Times New Roman" w:hAnsi="Times New Roman" w:cs="Times New Roman"/>
                <w:sz w:val="24"/>
                <w:szCs w:val="24"/>
              </w:rPr>
            </w:pPr>
            <w:r w:rsidRPr="003F58CA">
              <w:rPr>
                <w:rFonts w:ascii="Times New Roman" w:hAnsi="Times New Roman" w:cs="Times New Roman"/>
                <w:sz w:val="24"/>
                <w:szCs w:val="24"/>
              </w:rPr>
              <w:t>Motor Vehicle Gasoline Engine and Engine Parts Manufacturing</w:t>
            </w:r>
          </w:p>
        </w:tc>
      </w:tr>
    </w:tbl>
    <w:p w:rsidRPr="009D62C5" w:rsidR="009D62C5" w:rsidP="009D62C5" w:rsidRDefault="009D62C5" w14:paraId="44983CD9"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vertAlign w:val="superscript"/>
        </w:rPr>
        <w:t xml:space="preserve">A </w:t>
      </w:r>
      <w:r w:rsidRPr="009D62C5">
        <w:rPr>
          <w:rFonts w:ascii="Times New Roman" w:hAnsi="Times New Roman" w:cs="Times New Roman"/>
          <w:sz w:val="24"/>
          <w:szCs w:val="24"/>
        </w:rPr>
        <w:t>North American Industry Classification System (NAICS)</w:t>
      </w:r>
    </w:p>
    <w:p w:rsidRPr="009D62C5" w:rsidR="009D62C5" w:rsidP="009D62C5" w:rsidRDefault="009D62C5" w14:paraId="1F6323DB" w14:textId="77777777">
      <w:pPr>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 </w:t>
      </w:r>
    </w:p>
    <w:p w:rsidRPr="009D62C5" w:rsidR="009D62C5" w:rsidP="00B331C4" w:rsidRDefault="009D62C5" w14:paraId="396345ED" w14:textId="77777777">
      <w:pPr>
        <w:keepNext/>
        <w:keepLines/>
        <w:spacing w:after="0" w:line="240" w:lineRule="auto"/>
        <w:rPr>
          <w:rFonts w:ascii="Times New Roman" w:hAnsi="Times New Roman" w:cs="Times New Roman"/>
          <w:sz w:val="24"/>
          <w:szCs w:val="24"/>
          <w:u w:val="single"/>
        </w:rPr>
      </w:pPr>
      <w:r w:rsidRPr="009D62C5">
        <w:rPr>
          <w:rFonts w:ascii="Times New Roman" w:hAnsi="Times New Roman" w:cs="Times New Roman"/>
          <w:sz w:val="24"/>
          <w:szCs w:val="24"/>
        </w:rPr>
        <w:t xml:space="preserve">4(b) </w:t>
      </w:r>
      <w:r w:rsidRPr="009D62C5">
        <w:rPr>
          <w:rFonts w:ascii="Times New Roman" w:hAnsi="Times New Roman" w:cs="Times New Roman"/>
          <w:sz w:val="24"/>
          <w:szCs w:val="24"/>
          <w:u w:val="single"/>
        </w:rPr>
        <w:t>Information Requested</w:t>
      </w:r>
    </w:p>
    <w:p w:rsidRPr="009D62C5" w:rsidR="009D62C5" w:rsidP="00B331C4" w:rsidRDefault="009D62C5" w14:paraId="307E65DF" w14:textId="77777777">
      <w:pPr>
        <w:keepNext/>
        <w:keepLines/>
        <w:spacing w:after="0" w:line="240" w:lineRule="auto"/>
        <w:rPr>
          <w:rFonts w:ascii="Times New Roman" w:hAnsi="Times New Roman" w:cs="Times New Roman"/>
          <w:sz w:val="24"/>
          <w:szCs w:val="24"/>
        </w:rPr>
      </w:pPr>
    </w:p>
    <w:p w:rsidRPr="009D62C5" w:rsidR="009D62C5" w:rsidP="00B331C4" w:rsidRDefault="009D62C5" w14:paraId="7C16EE81" w14:textId="77777777">
      <w:pPr>
        <w:keepNext/>
        <w:keepLines/>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(i) </w:t>
      </w:r>
      <w:r w:rsidRPr="009D62C5">
        <w:rPr>
          <w:rFonts w:ascii="Times New Roman" w:hAnsi="Times New Roman" w:cs="Times New Roman"/>
          <w:sz w:val="24"/>
          <w:szCs w:val="24"/>
          <w:u w:val="single"/>
        </w:rPr>
        <w:t>Data items</w:t>
      </w:r>
    </w:p>
    <w:p w:rsidRPr="009D62C5" w:rsidR="009D62C5" w:rsidP="00B331C4" w:rsidRDefault="009D62C5" w14:paraId="16C8CA8B" w14:textId="77777777">
      <w:pPr>
        <w:keepNext/>
        <w:keepLines/>
        <w:spacing w:after="0" w:line="240" w:lineRule="auto"/>
        <w:rPr>
          <w:rFonts w:ascii="Times New Roman" w:hAnsi="Times New Roman" w:cs="Times New Roman"/>
          <w:sz w:val="24"/>
          <w:szCs w:val="24"/>
        </w:rPr>
      </w:pPr>
    </w:p>
    <w:p w:rsidRPr="009D62C5" w:rsidR="009D62C5" w:rsidP="006A20CA" w:rsidRDefault="009D62C5" w14:paraId="4A29A4FD" w14:textId="604123B8">
      <w:pPr>
        <w:keepNext/>
        <w:keepLines/>
        <w:spacing w:after="0" w:line="240" w:lineRule="auto"/>
        <w:rPr>
          <w:rFonts w:ascii="Times New Roman" w:hAnsi="Times New Roman" w:cs="Times New Roman"/>
          <w:sz w:val="24"/>
          <w:szCs w:val="24"/>
        </w:rPr>
      </w:pPr>
      <w:r w:rsidRPr="009D62C5">
        <w:rPr>
          <w:rFonts w:ascii="Times New Roman" w:hAnsi="Times New Roman" w:cs="Times New Roman"/>
          <w:sz w:val="24"/>
          <w:szCs w:val="24"/>
        </w:rPr>
        <w:t xml:space="preserve">Manufacturers of </w:t>
      </w:r>
      <w:r>
        <w:rPr>
          <w:rFonts w:ascii="Times New Roman" w:hAnsi="Times New Roman" w:cs="Times New Roman"/>
          <w:sz w:val="24"/>
          <w:szCs w:val="24"/>
        </w:rPr>
        <w:t>on-</w:t>
      </w:r>
      <w:r w:rsidRPr="009D62C5">
        <w:rPr>
          <w:rFonts w:ascii="Times New Roman" w:hAnsi="Times New Roman" w:cs="Times New Roman"/>
          <w:sz w:val="24"/>
          <w:szCs w:val="24"/>
        </w:rPr>
        <w:t>highway motorcycles are required to submit descriptions of their planned product line, including detailed descriptions of the emission control system, test data, and demonstrations of compliance with other requirements, such as methods for determining deterioration factors for durability</w:t>
      </w:r>
      <w:r w:rsidR="000D580A">
        <w:rPr>
          <w:rFonts w:ascii="Times New Roman" w:hAnsi="Times New Roman" w:cs="Times New Roman"/>
          <w:sz w:val="24"/>
          <w:szCs w:val="24"/>
        </w:rPr>
        <w:t xml:space="preserve"> and permeation standards for tanks and fuel lines</w:t>
      </w:r>
      <w:r w:rsidRPr="009D62C5">
        <w:rPr>
          <w:rFonts w:ascii="Times New Roman" w:hAnsi="Times New Roman" w:cs="Times New Roman"/>
          <w:sz w:val="24"/>
          <w:szCs w:val="24"/>
        </w:rPr>
        <w:t xml:space="preserve">. Manufacturers supply test data to verify that their products will comply with the emission standards. They are also required to notify </w:t>
      </w:r>
      <w:r w:rsidR="0057142D">
        <w:rPr>
          <w:rFonts w:ascii="Times New Roman" w:hAnsi="Times New Roman" w:cs="Times New Roman"/>
          <w:sz w:val="24"/>
          <w:szCs w:val="24"/>
        </w:rPr>
        <w:t xml:space="preserve">the </w:t>
      </w:r>
      <w:r w:rsidRPr="009D62C5">
        <w:rPr>
          <w:rFonts w:ascii="Times New Roman" w:hAnsi="Times New Roman" w:cs="Times New Roman"/>
          <w:sz w:val="24"/>
          <w:szCs w:val="24"/>
        </w:rPr>
        <w:t>EPA of in-use defects experienced by their vehicles and report voluntary recall</w:t>
      </w:r>
      <w:r w:rsidR="004334BE">
        <w:rPr>
          <w:rFonts w:ascii="Times New Roman" w:hAnsi="Times New Roman" w:cs="Times New Roman"/>
          <w:sz w:val="24"/>
          <w:szCs w:val="24"/>
        </w:rPr>
        <w:t xml:space="preserve"> plan</w:t>
      </w:r>
      <w:r w:rsidRPr="009D62C5">
        <w:rPr>
          <w:rFonts w:ascii="Times New Roman" w:hAnsi="Times New Roman" w:cs="Times New Roman"/>
          <w:sz w:val="24"/>
          <w:szCs w:val="24"/>
        </w:rPr>
        <w:t>s</w:t>
      </w:r>
      <w:r w:rsidR="004334BE">
        <w:rPr>
          <w:rFonts w:ascii="Times New Roman" w:hAnsi="Times New Roman" w:cs="Times New Roman"/>
          <w:sz w:val="24"/>
          <w:szCs w:val="24"/>
        </w:rPr>
        <w:t xml:space="preserve"> and progress</w:t>
      </w:r>
      <w:r w:rsidRPr="009D62C5">
        <w:rPr>
          <w:rFonts w:ascii="Times New Roman" w:hAnsi="Times New Roman" w:cs="Times New Roman"/>
          <w:sz w:val="24"/>
          <w:szCs w:val="24"/>
        </w:rPr>
        <w:t xml:space="preserve">. Other major data items include copies of warranties; </w:t>
      </w:r>
      <w:r>
        <w:rPr>
          <w:rFonts w:ascii="Times New Roman" w:hAnsi="Times New Roman" w:cs="Times New Roman"/>
          <w:sz w:val="24"/>
          <w:szCs w:val="24"/>
        </w:rPr>
        <w:t xml:space="preserve">and </w:t>
      </w:r>
      <w:r w:rsidRPr="009D62C5">
        <w:rPr>
          <w:rFonts w:ascii="Times New Roman" w:hAnsi="Times New Roman" w:cs="Times New Roman"/>
          <w:sz w:val="24"/>
          <w:szCs w:val="24"/>
        </w:rPr>
        <w:t>averaging and banking calculations</w:t>
      </w:r>
      <w:r w:rsidR="004334BE">
        <w:rPr>
          <w:rFonts w:ascii="Times New Roman" w:hAnsi="Times New Roman" w:cs="Times New Roman"/>
          <w:sz w:val="24"/>
          <w:szCs w:val="24"/>
        </w:rPr>
        <w:t xml:space="preserve"> (where required); and production reports after the end of the model year</w:t>
      </w:r>
      <w:r w:rsidRPr="009D62C5">
        <w:rPr>
          <w:rFonts w:ascii="Times New Roman" w:hAnsi="Times New Roman" w:cs="Times New Roman"/>
          <w:sz w:val="24"/>
          <w:szCs w:val="24"/>
        </w:rPr>
        <w:t xml:space="preserve">. </w:t>
      </w:r>
    </w:p>
    <w:p w:rsidRPr="009D62C5" w:rsidR="009D62C5" w:rsidP="009D62C5" w:rsidRDefault="009D62C5" w14:paraId="58300AFE" w14:textId="77777777">
      <w:pPr>
        <w:spacing w:after="0" w:line="240" w:lineRule="auto"/>
        <w:rPr>
          <w:rFonts w:ascii="Times New Roman" w:hAnsi="Times New Roman" w:cs="Times New Roman"/>
          <w:sz w:val="24"/>
          <w:szCs w:val="24"/>
        </w:rPr>
      </w:pPr>
    </w:p>
    <w:p w:rsidRPr="001B7EB6" w:rsidR="009D62C5" w:rsidP="009D62C5" w:rsidRDefault="009D62C5" w14:paraId="46229B66" w14:textId="77777777">
      <w:pPr>
        <w:spacing w:after="0" w:line="240" w:lineRule="auto"/>
        <w:rPr>
          <w:rFonts w:ascii="Times New Roman" w:hAnsi="Times New Roman" w:cs="Times New Roman"/>
          <w:sz w:val="24"/>
          <w:szCs w:val="24"/>
          <w:u w:val="single"/>
        </w:rPr>
      </w:pPr>
      <w:r w:rsidRPr="001B7EB6">
        <w:rPr>
          <w:rFonts w:ascii="Times New Roman" w:hAnsi="Times New Roman" w:cs="Times New Roman"/>
          <w:sz w:val="24"/>
          <w:szCs w:val="24"/>
        </w:rPr>
        <w:t xml:space="preserve">(ii) </w:t>
      </w:r>
      <w:r w:rsidRPr="001B7EB6">
        <w:rPr>
          <w:rFonts w:ascii="Times New Roman" w:hAnsi="Times New Roman" w:cs="Times New Roman"/>
          <w:sz w:val="24"/>
          <w:szCs w:val="24"/>
          <w:u w:val="single"/>
        </w:rPr>
        <w:t>Respondent Activities</w:t>
      </w:r>
    </w:p>
    <w:p w:rsidRPr="001B7EB6" w:rsidR="009D62C5" w:rsidP="009D62C5" w:rsidRDefault="009D62C5" w14:paraId="38B06BD3" w14:textId="77777777">
      <w:pPr>
        <w:spacing w:after="0" w:line="240" w:lineRule="auto"/>
        <w:rPr>
          <w:rFonts w:ascii="Times New Roman" w:hAnsi="Times New Roman" w:cs="Times New Roman"/>
          <w:sz w:val="24"/>
          <w:szCs w:val="24"/>
        </w:rPr>
      </w:pPr>
    </w:p>
    <w:p w:rsidR="008C1DF5" w:rsidP="009D62C5" w:rsidRDefault="003651C6" w14:paraId="0AA85158" w14:textId="462C87D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1B7EB6" w:rsidR="009D62C5">
        <w:rPr>
          <w:rFonts w:ascii="Times New Roman" w:hAnsi="Times New Roman" w:cs="Times New Roman"/>
          <w:sz w:val="24"/>
          <w:szCs w:val="24"/>
        </w:rPr>
        <w:t>ll manufacturers must describe their product</w:t>
      </w:r>
      <w:r w:rsidR="000D580A">
        <w:rPr>
          <w:rFonts w:ascii="Times New Roman" w:hAnsi="Times New Roman" w:cs="Times New Roman"/>
          <w:sz w:val="24"/>
          <w:szCs w:val="24"/>
        </w:rPr>
        <w:t>(s)</w:t>
      </w:r>
      <w:r w:rsidRPr="001B7EB6" w:rsidR="009D62C5">
        <w:rPr>
          <w:rFonts w:ascii="Times New Roman" w:hAnsi="Times New Roman" w:cs="Times New Roman"/>
          <w:sz w:val="24"/>
          <w:szCs w:val="24"/>
        </w:rPr>
        <w:t xml:space="preserve"> and supply test data and other information to verify compliance</w:t>
      </w:r>
      <w:r>
        <w:rPr>
          <w:rFonts w:ascii="Times New Roman" w:hAnsi="Times New Roman" w:cs="Times New Roman"/>
          <w:sz w:val="24"/>
          <w:szCs w:val="24"/>
        </w:rPr>
        <w:t xml:space="preserve"> with EPA’s regulations and emissions standard</w:t>
      </w:r>
      <w:r w:rsidRPr="001B7EB6" w:rsidR="009D62C5">
        <w:rPr>
          <w:rFonts w:ascii="Times New Roman" w:hAnsi="Times New Roman" w:cs="Times New Roman"/>
          <w:sz w:val="24"/>
          <w:szCs w:val="24"/>
        </w:rPr>
        <w:t>.</w:t>
      </w:r>
      <w:r>
        <w:rPr>
          <w:rFonts w:ascii="Times New Roman" w:hAnsi="Times New Roman" w:cs="Times New Roman"/>
          <w:sz w:val="24"/>
          <w:szCs w:val="24"/>
        </w:rPr>
        <w:t xml:space="preserve"> Small Manufacturers </w:t>
      </w:r>
      <w:r w:rsidR="009203CB">
        <w:rPr>
          <w:rFonts w:ascii="Times New Roman" w:hAnsi="Times New Roman" w:cs="Times New Roman"/>
          <w:sz w:val="24"/>
          <w:szCs w:val="24"/>
        </w:rPr>
        <w:t>may provide less information at the time of certification but must still retain th</w:t>
      </w:r>
      <w:r w:rsidR="004334BE">
        <w:rPr>
          <w:rFonts w:ascii="Times New Roman" w:hAnsi="Times New Roman" w:cs="Times New Roman"/>
          <w:sz w:val="24"/>
          <w:szCs w:val="24"/>
        </w:rPr>
        <w:t>eir</w:t>
      </w:r>
      <w:r w:rsidR="009203CB">
        <w:rPr>
          <w:rFonts w:ascii="Times New Roman" w:hAnsi="Times New Roman" w:cs="Times New Roman"/>
          <w:sz w:val="24"/>
          <w:szCs w:val="24"/>
        </w:rPr>
        <w:t xml:space="preserve"> data if the EPA requests that information </w:t>
      </w:r>
      <w:proofErr w:type="gramStart"/>
      <w:r w:rsidR="009203CB">
        <w:rPr>
          <w:rFonts w:ascii="Times New Roman" w:hAnsi="Times New Roman" w:cs="Times New Roman"/>
          <w:sz w:val="24"/>
          <w:szCs w:val="24"/>
        </w:rPr>
        <w:t>at a later date</w:t>
      </w:r>
      <w:proofErr w:type="gramEnd"/>
      <w:r w:rsidR="009203CB">
        <w:rPr>
          <w:rFonts w:ascii="Times New Roman" w:hAnsi="Times New Roman" w:cs="Times New Roman"/>
          <w:sz w:val="24"/>
          <w:szCs w:val="24"/>
        </w:rPr>
        <w:t>.</w:t>
      </w:r>
      <w:r w:rsidRPr="001B7EB6" w:rsidR="009D62C5">
        <w:rPr>
          <w:rFonts w:ascii="Times New Roman" w:hAnsi="Times New Roman" w:cs="Times New Roman"/>
          <w:sz w:val="24"/>
          <w:szCs w:val="24"/>
        </w:rPr>
        <w:t xml:space="preserve"> </w:t>
      </w:r>
      <w:r w:rsidR="000D580A">
        <w:rPr>
          <w:rFonts w:ascii="Times New Roman" w:hAnsi="Times New Roman" w:cs="Times New Roman"/>
          <w:sz w:val="24"/>
          <w:szCs w:val="24"/>
        </w:rPr>
        <w:t>Additional Information regarding manufacturer reporting and recordkeeping requirements</w:t>
      </w:r>
      <w:r w:rsidR="00441DC5">
        <w:rPr>
          <w:rFonts w:ascii="Times New Roman" w:hAnsi="Times New Roman" w:cs="Times New Roman"/>
          <w:sz w:val="24"/>
          <w:szCs w:val="24"/>
        </w:rPr>
        <w:t xml:space="preserve"> may be found in the IC Reporting Spreadsheet in the Appendix.</w:t>
      </w:r>
    </w:p>
    <w:p w:rsidR="008C1DF5" w:rsidP="009D62C5" w:rsidRDefault="008C1DF5" w14:paraId="5D066D41" w14:textId="77777777">
      <w:pPr>
        <w:spacing w:after="0" w:line="240" w:lineRule="auto"/>
        <w:rPr>
          <w:rFonts w:ascii="Times New Roman" w:hAnsi="Times New Roman" w:cs="Times New Roman"/>
          <w:sz w:val="24"/>
          <w:szCs w:val="24"/>
        </w:rPr>
      </w:pPr>
    </w:p>
    <w:p w:rsidRPr="00441DC5" w:rsidR="008C1DF5" w:rsidP="00441DC5" w:rsidRDefault="003651C6" w14:paraId="706D017A" w14:textId="0C8A7FDC">
      <w:pPr>
        <w:pStyle w:val="ListParagraph"/>
        <w:numPr>
          <w:ilvl w:val="0"/>
          <w:numId w:val="7"/>
        </w:numPr>
        <w:spacing w:after="0" w:line="240" w:lineRule="auto"/>
        <w:rPr>
          <w:rFonts w:ascii="Times New Roman" w:hAnsi="Times New Roman" w:cs="Times New Roman"/>
          <w:sz w:val="24"/>
          <w:szCs w:val="24"/>
        </w:rPr>
      </w:pPr>
      <w:r w:rsidRPr="00441DC5">
        <w:rPr>
          <w:rFonts w:ascii="Times New Roman" w:hAnsi="Times New Roman" w:cs="Times New Roman"/>
          <w:sz w:val="24"/>
          <w:szCs w:val="24"/>
        </w:rPr>
        <w:t>A</w:t>
      </w:r>
      <w:r w:rsidRPr="00441DC5" w:rsidR="008C1DF5">
        <w:rPr>
          <w:rFonts w:ascii="Times New Roman" w:hAnsi="Times New Roman" w:cs="Times New Roman"/>
          <w:sz w:val="24"/>
          <w:szCs w:val="24"/>
        </w:rPr>
        <w:t xml:space="preserve"> manufacturer should include in a single application for certification, a description of all vehicles in each class</w:t>
      </w:r>
      <w:r w:rsidRPr="00441DC5" w:rsidR="004334BE">
        <w:rPr>
          <w:rFonts w:ascii="Times New Roman" w:hAnsi="Times New Roman" w:cs="Times New Roman"/>
          <w:sz w:val="24"/>
          <w:szCs w:val="24"/>
        </w:rPr>
        <w:t>/engine family</w:t>
      </w:r>
      <w:r w:rsidRPr="00441DC5" w:rsidR="008C1DF5">
        <w:rPr>
          <w:rFonts w:ascii="Times New Roman" w:hAnsi="Times New Roman" w:cs="Times New Roman"/>
          <w:sz w:val="24"/>
          <w:szCs w:val="24"/>
        </w:rPr>
        <w:t xml:space="preserve"> for which certification is required. A manufacturer may, however, choose to apply separately for certification of part of </w:t>
      </w:r>
      <w:r w:rsidRPr="00441DC5" w:rsidR="004334BE">
        <w:rPr>
          <w:rFonts w:ascii="Times New Roman" w:hAnsi="Times New Roman" w:cs="Times New Roman"/>
          <w:sz w:val="24"/>
          <w:szCs w:val="24"/>
        </w:rPr>
        <w:t>its</w:t>
      </w:r>
      <w:r w:rsidRPr="00441DC5" w:rsidR="008C1DF5">
        <w:rPr>
          <w:rFonts w:ascii="Times New Roman" w:hAnsi="Times New Roman" w:cs="Times New Roman"/>
          <w:sz w:val="24"/>
          <w:szCs w:val="24"/>
        </w:rPr>
        <w:t xml:space="preserve"> product line. The selection of test vehicles and the computation of test results will be determined separately for each </w:t>
      </w:r>
      <w:r w:rsidRPr="00441DC5" w:rsidR="004334BE">
        <w:rPr>
          <w:rFonts w:ascii="Times New Roman" w:hAnsi="Times New Roman" w:cs="Times New Roman"/>
          <w:sz w:val="24"/>
          <w:szCs w:val="24"/>
        </w:rPr>
        <w:t xml:space="preserve">certification </w:t>
      </w:r>
      <w:r w:rsidRPr="00441DC5" w:rsidR="008C1DF5">
        <w:rPr>
          <w:rFonts w:ascii="Times New Roman" w:hAnsi="Times New Roman" w:cs="Times New Roman"/>
          <w:sz w:val="24"/>
          <w:szCs w:val="24"/>
        </w:rPr>
        <w:t>application.</w:t>
      </w:r>
    </w:p>
    <w:p w:rsidRPr="008C1DF5" w:rsidR="008C1DF5" w:rsidP="008C1DF5" w:rsidRDefault="008C1DF5" w14:paraId="20DE9CFC" w14:textId="77777777">
      <w:pPr>
        <w:spacing w:after="0" w:line="240" w:lineRule="auto"/>
        <w:rPr>
          <w:rFonts w:ascii="Times New Roman" w:hAnsi="Times New Roman" w:cs="Times New Roman"/>
          <w:sz w:val="24"/>
          <w:szCs w:val="24"/>
        </w:rPr>
      </w:pPr>
    </w:p>
    <w:p w:rsidRPr="00441DC5" w:rsidR="008C1DF5" w:rsidP="00441DC5" w:rsidRDefault="008C1DF5" w14:paraId="1739262C" w14:textId="01EA1A7D">
      <w:pPr>
        <w:pStyle w:val="ListParagraph"/>
        <w:numPr>
          <w:ilvl w:val="0"/>
          <w:numId w:val="7"/>
        </w:numPr>
        <w:spacing w:after="0" w:line="240" w:lineRule="auto"/>
        <w:rPr>
          <w:rFonts w:ascii="Times New Roman" w:hAnsi="Times New Roman" w:cs="Times New Roman"/>
          <w:sz w:val="24"/>
          <w:szCs w:val="24"/>
        </w:rPr>
      </w:pPr>
      <w:r w:rsidRPr="00441DC5">
        <w:rPr>
          <w:rFonts w:ascii="Times New Roman" w:hAnsi="Times New Roman" w:cs="Times New Roman"/>
          <w:sz w:val="24"/>
          <w:szCs w:val="24"/>
        </w:rPr>
        <w:t>The application shall be in writing signed by an authorized representative of the manufacturer, and shall include the following:</w:t>
      </w:r>
    </w:p>
    <w:p w:rsidRPr="008C1DF5" w:rsidR="008C1DF5" w:rsidP="008C1DF5" w:rsidRDefault="008C1DF5" w14:paraId="067A296C" w14:textId="77777777">
      <w:pPr>
        <w:spacing w:after="0" w:line="240" w:lineRule="auto"/>
        <w:rPr>
          <w:rFonts w:ascii="Times New Roman" w:hAnsi="Times New Roman" w:cs="Times New Roman"/>
          <w:sz w:val="24"/>
          <w:szCs w:val="24"/>
        </w:rPr>
      </w:pPr>
    </w:p>
    <w:p w:rsidRPr="00441DC5" w:rsidR="003651C6" w:rsidP="00441DC5" w:rsidRDefault="008C1DF5" w14:paraId="2717925B" w14:textId="4E568254">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Identification and description of the vehicles covered by the application and a description of their engine, emission control system and fuel system components. This shall include a detailed description of each auxiliary emission control device. </w:t>
      </w:r>
    </w:p>
    <w:p w:rsidR="003651C6" w:rsidP="00441DC5" w:rsidRDefault="008C1DF5" w14:paraId="7EE01047" w14:textId="77777777">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Transmission gear ratios, </w:t>
      </w:r>
    </w:p>
    <w:p w:rsidR="003651C6" w:rsidP="00441DC5" w:rsidRDefault="008C1DF5" w14:paraId="0D64A287" w14:textId="77777777">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overall drive ratios and vehicle mass (or range of mass) </w:t>
      </w:r>
    </w:p>
    <w:p w:rsidR="003651C6" w:rsidP="00441DC5" w:rsidRDefault="008C1DF5" w14:paraId="06CEEA94" w14:textId="77777777">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The label and its location shall be specified, §86.413. </w:t>
      </w:r>
    </w:p>
    <w:p w:rsidRPr="00441DC5" w:rsidR="008C1DF5" w:rsidP="00441DC5" w:rsidRDefault="008C1DF5" w14:paraId="1793D9FF" w14:textId="68BBC705">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Available optional equipment shall be described.</w:t>
      </w:r>
    </w:p>
    <w:p w:rsidRPr="00441DC5" w:rsidR="008C1DF5" w:rsidP="00441DC5" w:rsidRDefault="008C1DF5" w14:paraId="1D34A619" w14:textId="04CAEEE0">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The range of available fuel and ignition system adjustments.</w:t>
      </w:r>
    </w:p>
    <w:p w:rsidRPr="00441DC5" w:rsidR="008C1DF5" w:rsidP="00441DC5" w:rsidRDefault="008C1DF5" w14:paraId="0861DA53" w14:textId="75121B52">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Projected U.S. sales data </w:t>
      </w:r>
      <w:proofErr w:type="gramStart"/>
      <w:r w:rsidRPr="00441DC5">
        <w:rPr>
          <w:rFonts w:ascii="Times New Roman" w:hAnsi="Times New Roman" w:cs="Times New Roman"/>
          <w:sz w:val="24"/>
          <w:szCs w:val="24"/>
        </w:rPr>
        <w:t>sufficient</w:t>
      </w:r>
      <w:proofErr w:type="gramEnd"/>
      <w:r w:rsidRPr="00441DC5">
        <w:rPr>
          <w:rFonts w:ascii="Times New Roman" w:hAnsi="Times New Roman" w:cs="Times New Roman"/>
          <w:sz w:val="24"/>
          <w:szCs w:val="24"/>
        </w:rPr>
        <w:t xml:space="preserve"> to enable the Administrator to select a test fleet representative of the vehicles for which certification is requested. If reduced testing based on low sales volume is requested the method of predicting sales shall be described.</w:t>
      </w:r>
    </w:p>
    <w:p w:rsidRPr="00441DC5" w:rsidR="008C1DF5" w:rsidP="00441DC5" w:rsidRDefault="003651C6" w14:paraId="24DA8EB5" w14:textId="0A482A34">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00441DC5" w:rsidR="008C1DF5">
        <w:rPr>
          <w:rFonts w:ascii="Times New Roman" w:hAnsi="Times New Roman" w:cs="Times New Roman"/>
          <w:sz w:val="24"/>
          <w:szCs w:val="24"/>
        </w:rPr>
        <w:t>description of the test equipment (if applicable) and fuel and engine lubricant proposed to be used.</w:t>
      </w:r>
    </w:p>
    <w:p w:rsidRPr="00441DC5" w:rsidR="008C1DF5" w:rsidP="00441DC5" w:rsidRDefault="008C1DF5" w14:paraId="234DF48F" w14:textId="6B7616AD">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A description of the proposed service accumulation procedure and a description of the proposed scheduled maintenance.</w:t>
      </w:r>
    </w:p>
    <w:p w:rsidRPr="00441DC5" w:rsidR="008C1DF5" w:rsidP="00441DC5" w:rsidRDefault="008C1DF5" w14:paraId="59D5ABDA" w14:textId="0A6A62FD">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A statement of recommended periodic and anticipated maintenance and procedures necessary to assure that the vehicles covered by a certificate of conformity in operation conform to the regulations, listings of the fuels and lubricants to be recommended to the ultimate purchaser and a description of the program for training of personnel for such maintenance, and the equipment required to perform this maintenance.</w:t>
      </w:r>
    </w:p>
    <w:p w:rsidRPr="00441DC5" w:rsidR="008C1DF5" w:rsidP="00441DC5" w:rsidRDefault="008C1DF5" w14:paraId="1D3A5DA9" w14:textId="7F94AC43">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A description of normal assembly line operations and adjustments if such procedures exceed 100 km (62 miles) or three hours of engine operations.</w:t>
      </w:r>
    </w:p>
    <w:p w:rsidRPr="00441DC5" w:rsidR="008C1DF5" w:rsidP="00441DC5" w:rsidRDefault="003651C6" w14:paraId="0CE50714" w14:textId="1542FAA5">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Pr="00441DC5" w:rsidR="008C1DF5">
        <w:rPr>
          <w:rFonts w:ascii="Times New Roman" w:hAnsi="Times New Roman" w:cs="Times New Roman"/>
          <w:sz w:val="24"/>
          <w:szCs w:val="24"/>
        </w:rPr>
        <w:t xml:space="preserve"> description of the evaporative emission controls and applicable test data.</w:t>
      </w:r>
    </w:p>
    <w:p w:rsidRPr="00441DC5" w:rsidR="008C1DF5" w:rsidP="00441DC5" w:rsidRDefault="008C1DF5" w14:paraId="34C1E2A0" w14:textId="6439F360">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The name of an agent for service of process located in the United States. Service on this agent constitutes service on you or any of your officers or employees for any action by EPA or otherwise by the United States related to the requirements of this part.</w:t>
      </w:r>
    </w:p>
    <w:p w:rsidRPr="00441DC5" w:rsidR="003651C6" w:rsidP="00441DC5" w:rsidRDefault="0057142D" w14:paraId="6B40526D" w14:textId="0A7795D9">
      <w:pPr>
        <w:pStyle w:val="ListParagraph"/>
        <w:numPr>
          <w:ilvl w:val="0"/>
          <w:numId w:val="8"/>
        </w:numPr>
        <w:spacing w:after="120" w:line="240" w:lineRule="auto"/>
        <w:contextualSpacing w:val="0"/>
        <w:rPr>
          <w:rFonts w:ascii="Times New Roman" w:hAnsi="Times New Roman" w:cs="Times New Roman"/>
          <w:sz w:val="24"/>
          <w:szCs w:val="24"/>
        </w:rPr>
      </w:pPr>
      <w:r w:rsidRPr="00441DC5">
        <w:rPr>
          <w:rFonts w:ascii="Times New Roman" w:hAnsi="Times New Roman" w:cs="Times New Roman"/>
          <w:sz w:val="24"/>
          <w:szCs w:val="24"/>
        </w:rPr>
        <w:t xml:space="preserve">The </w:t>
      </w:r>
      <w:r w:rsidRPr="00441DC5" w:rsidR="009D62C5">
        <w:rPr>
          <w:rFonts w:ascii="Times New Roman" w:hAnsi="Times New Roman" w:cs="Times New Roman"/>
          <w:sz w:val="24"/>
          <w:szCs w:val="24"/>
        </w:rPr>
        <w:t xml:space="preserve">EPA </w:t>
      </w:r>
      <w:r w:rsidRPr="00441DC5" w:rsidR="003651C6">
        <w:rPr>
          <w:rFonts w:ascii="Times New Roman" w:hAnsi="Times New Roman" w:cs="Times New Roman"/>
          <w:sz w:val="24"/>
          <w:szCs w:val="24"/>
        </w:rPr>
        <w:t xml:space="preserve">may </w:t>
      </w:r>
      <w:r w:rsidRPr="00441DC5" w:rsidR="009D62C5">
        <w:rPr>
          <w:rFonts w:ascii="Times New Roman" w:hAnsi="Times New Roman" w:cs="Times New Roman"/>
          <w:sz w:val="24"/>
          <w:szCs w:val="24"/>
        </w:rPr>
        <w:t xml:space="preserve">conduct a limited number of “confirmatory tests” to monitor manufacturer </w:t>
      </w:r>
      <w:r w:rsidRPr="00441DC5" w:rsidR="003651C6">
        <w:rPr>
          <w:rFonts w:ascii="Times New Roman" w:hAnsi="Times New Roman" w:cs="Times New Roman"/>
          <w:sz w:val="24"/>
          <w:szCs w:val="24"/>
        </w:rPr>
        <w:t xml:space="preserve">test </w:t>
      </w:r>
      <w:r w:rsidRPr="00441DC5" w:rsidR="009D62C5">
        <w:rPr>
          <w:rFonts w:ascii="Times New Roman" w:hAnsi="Times New Roman" w:cs="Times New Roman"/>
          <w:sz w:val="24"/>
          <w:szCs w:val="24"/>
        </w:rPr>
        <w:t xml:space="preserve">results. This generally requires that emissions test vehicle(s) be shipped </w:t>
      </w:r>
      <w:r w:rsidRPr="00441DC5" w:rsidR="003651C6">
        <w:rPr>
          <w:rFonts w:ascii="Times New Roman" w:hAnsi="Times New Roman" w:cs="Times New Roman"/>
          <w:sz w:val="24"/>
          <w:szCs w:val="24"/>
        </w:rPr>
        <w:t xml:space="preserve">by the certifying manufacturer </w:t>
      </w:r>
      <w:r w:rsidRPr="00441DC5" w:rsidR="009D62C5">
        <w:rPr>
          <w:rFonts w:ascii="Times New Roman" w:hAnsi="Times New Roman" w:cs="Times New Roman"/>
          <w:sz w:val="24"/>
          <w:szCs w:val="24"/>
        </w:rPr>
        <w:t xml:space="preserve">to </w:t>
      </w:r>
      <w:r w:rsidRPr="00441DC5" w:rsidR="00392E85">
        <w:rPr>
          <w:rFonts w:ascii="Times New Roman" w:hAnsi="Times New Roman" w:cs="Times New Roman"/>
          <w:sz w:val="24"/>
          <w:szCs w:val="24"/>
        </w:rPr>
        <w:t xml:space="preserve">the </w:t>
      </w:r>
      <w:r w:rsidRPr="00441DC5" w:rsidR="009D62C5">
        <w:rPr>
          <w:rFonts w:ascii="Times New Roman" w:hAnsi="Times New Roman" w:cs="Times New Roman"/>
          <w:sz w:val="24"/>
          <w:szCs w:val="24"/>
        </w:rPr>
        <w:t xml:space="preserve">EPA’s designated testing laboratory. </w:t>
      </w:r>
    </w:p>
    <w:p w:rsidRPr="003E775C" w:rsidR="001355B3" w:rsidP="001355B3" w:rsidRDefault="001355B3" w14:paraId="2AF315F4" w14:textId="77777777">
      <w:pPr>
        <w:pStyle w:val="ListParagraph"/>
        <w:numPr>
          <w:ilvl w:val="0"/>
          <w:numId w:val="7"/>
        </w:numPr>
        <w:spacing w:after="0" w:line="240" w:lineRule="auto"/>
        <w:rPr>
          <w:rFonts w:ascii="Times New Roman" w:hAnsi="Times New Roman" w:cs="Times New Roman"/>
          <w:sz w:val="24"/>
          <w:szCs w:val="24"/>
        </w:rPr>
      </w:pPr>
      <w:r w:rsidRPr="003E775C">
        <w:rPr>
          <w:rFonts w:ascii="Times New Roman" w:hAnsi="Times New Roman" w:cs="Times New Roman"/>
          <w:sz w:val="24"/>
          <w:szCs w:val="24"/>
        </w:rPr>
        <w:t>Manufacturers must also submit reports concerning defects that exceed a regulatory minimum number of production vehicles and voluntary recalls, if instituted by the manufacturer, conducted; they may also be requested to submit to production vehicle testing that the EPA may elect to conduct.</w:t>
      </w:r>
    </w:p>
    <w:p w:rsidR="003651C6" w:rsidP="009D62C5" w:rsidRDefault="003651C6" w14:paraId="2ED7F4AB" w14:textId="77777777">
      <w:pPr>
        <w:spacing w:after="0" w:line="240" w:lineRule="auto"/>
        <w:rPr>
          <w:rFonts w:ascii="Times New Roman" w:hAnsi="Times New Roman" w:cs="Times New Roman"/>
          <w:sz w:val="24"/>
          <w:szCs w:val="24"/>
        </w:rPr>
      </w:pPr>
    </w:p>
    <w:p w:rsidRPr="00441DC5" w:rsidR="009D62C5" w:rsidP="00441DC5" w:rsidRDefault="009D62C5" w14:paraId="63255A56" w14:textId="5CF75AA7">
      <w:pPr>
        <w:pStyle w:val="ListParagraph"/>
        <w:numPr>
          <w:ilvl w:val="0"/>
          <w:numId w:val="7"/>
        </w:numPr>
        <w:spacing w:after="0" w:line="240" w:lineRule="auto"/>
        <w:rPr>
          <w:rFonts w:ascii="Times New Roman" w:hAnsi="Times New Roman" w:cs="Times New Roman"/>
          <w:sz w:val="24"/>
          <w:szCs w:val="24"/>
        </w:rPr>
      </w:pPr>
      <w:r w:rsidRPr="00441DC5">
        <w:rPr>
          <w:rFonts w:ascii="Times New Roman" w:hAnsi="Times New Roman" w:cs="Times New Roman"/>
          <w:sz w:val="24"/>
          <w:szCs w:val="24"/>
        </w:rPr>
        <w:t xml:space="preserve">Manufacturers must also retain records. These tasks are repeated for each model year, although typically previous data and information can be </w:t>
      </w:r>
      <w:r w:rsidRPr="00441DC5" w:rsidR="003651C6">
        <w:rPr>
          <w:rFonts w:ascii="Times New Roman" w:hAnsi="Times New Roman" w:cs="Times New Roman"/>
          <w:sz w:val="24"/>
          <w:szCs w:val="24"/>
        </w:rPr>
        <w:t>used</w:t>
      </w:r>
      <w:r w:rsidRPr="00441DC5">
        <w:rPr>
          <w:rFonts w:ascii="Times New Roman" w:hAnsi="Times New Roman" w:cs="Times New Roman"/>
          <w:sz w:val="24"/>
          <w:szCs w:val="24"/>
        </w:rPr>
        <w:t xml:space="preserve"> when no significant changes have occurred</w:t>
      </w:r>
      <w:r w:rsidRPr="00441DC5" w:rsidR="003651C6">
        <w:rPr>
          <w:rFonts w:ascii="Times New Roman" w:hAnsi="Times New Roman" w:cs="Times New Roman"/>
          <w:sz w:val="24"/>
          <w:szCs w:val="24"/>
        </w:rPr>
        <w:t xml:space="preserve"> from the previous model year</w:t>
      </w:r>
      <w:r w:rsidRPr="00441DC5">
        <w:rPr>
          <w:rFonts w:ascii="Times New Roman" w:hAnsi="Times New Roman" w:cs="Times New Roman"/>
          <w:sz w:val="24"/>
          <w:szCs w:val="24"/>
        </w:rPr>
        <w:t xml:space="preserve">. If, </w:t>
      </w:r>
      <w:r w:rsidRPr="00441DC5" w:rsidR="00575074">
        <w:rPr>
          <w:rFonts w:ascii="Times New Roman" w:hAnsi="Times New Roman" w:cs="Times New Roman"/>
          <w:sz w:val="24"/>
          <w:szCs w:val="24"/>
        </w:rPr>
        <w:t>during</w:t>
      </w:r>
      <w:r w:rsidRPr="00441DC5">
        <w:rPr>
          <w:rFonts w:ascii="Times New Roman" w:hAnsi="Times New Roman" w:cs="Times New Roman"/>
          <w:sz w:val="24"/>
          <w:szCs w:val="24"/>
        </w:rPr>
        <w:t xml:space="preserve"> a model year</w:t>
      </w:r>
      <w:r w:rsidRPr="00441DC5" w:rsidR="001B7EB6">
        <w:rPr>
          <w:rFonts w:ascii="Times New Roman" w:hAnsi="Times New Roman" w:cs="Times New Roman"/>
          <w:sz w:val="24"/>
          <w:szCs w:val="24"/>
        </w:rPr>
        <w:t>,</w:t>
      </w:r>
      <w:r w:rsidRPr="00441DC5">
        <w:rPr>
          <w:rFonts w:ascii="Times New Roman" w:hAnsi="Times New Roman" w:cs="Times New Roman"/>
          <w:sz w:val="24"/>
          <w:szCs w:val="24"/>
        </w:rPr>
        <w:t xml:space="preserve"> a product change is made (a</w:t>
      </w:r>
      <w:r w:rsidRPr="00441DC5" w:rsidR="005B4152">
        <w:rPr>
          <w:rFonts w:ascii="Times New Roman" w:hAnsi="Times New Roman" w:cs="Times New Roman"/>
          <w:sz w:val="24"/>
          <w:szCs w:val="24"/>
        </w:rPr>
        <w:t>n</w:t>
      </w:r>
      <w:r w:rsidRPr="00441DC5">
        <w:rPr>
          <w:rFonts w:ascii="Times New Roman" w:hAnsi="Times New Roman" w:cs="Times New Roman"/>
          <w:sz w:val="24"/>
          <w:szCs w:val="24"/>
        </w:rPr>
        <w:t xml:space="preserve"> “</w:t>
      </w:r>
      <w:r w:rsidRPr="00441DC5" w:rsidR="005B4152">
        <w:rPr>
          <w:rFonts w:ascii="Times New Roman" w:hAnsi="Times New Roman" w:cs="Times New Roman"/>
          <w:sz w:val="24"/>
          <w:szCs w:val="24"/>
        </w:rPr>
        <w:t>amendment</w:t>
      </w:r>
      <w:r w:rsidRPr="00441DC5">
        <w:rPr>
          <w:rFonts w:ascii="Times New Roman" w:hAnsi="Times New Roman" w:cs="Times New Roman"/>
          <w:sz w:val="24"/>
          <w:szCs w:val="24"/>
        </w:rPr>
        <w:t>”</w:t>
      </w:r>
      <w:r w:rsidRPr="00441DC5" w:rsidR="005B4152">
        <w:rPr>
          <w:rFonts w:ascii="Times New Roman" w:hAnsi="Times New Roman" w:cs="Times New Roman"/>
          <w:sz w:val="24"/>
          <w:szCs w:val="24"/>
        </w:rPr>
        <w:t xml:space="preserve"> to an application or certified configuration</w:t>
      </w:r>
      <w:r w:rsidRPr="00441DC5">
        <w:rPr>
          <w:rFonts w:ascii="Times New Roman" w:hAnsi="Times New Roman" w:cs="Times New Roman"/>
          <w:sz w:val="24"/>
          <w:szCs w:val="24"/>
        </w:rPr>
        <w:t xml:space="preserve">), </w:t>
      </w:r>
      <w:r w:rsidRPr="00441DC5" w:rsidR="00392E85">
        <w:rPr>
          <w:rFonts w:ascii="Times New Roman" w:hAnsi="Times New Roman" w:cs="Times New Roman"/>
          <w:sz w:val="24"/>
          <w:szCs w:val="24"/>
        </w:rPr>
        <w:t xml:space="preserve">the </w:t>
      </w:r>
      <w:r w:rsidRPr="00441DC5">
        <w:rPr>
          <w:rFonts w:ascii="Times New Roman" w:hAnsi="Times New Roman" w:cs="Times New Roman"/>
          <w:sz w:val="24"/>
          <w:szCs w:val="24"/>
        </w:rPr>
        <w:t xml:space="preserve">EPA must be notified. Under some circumstances </w:t>
      </w:r>
      <w:r w:rsidRPr="00441DC5" w:rsidR="003651C6">
        <w:rPr>
          <w:rFonts w:ascii="Times New Roman" w:hAnsi="Times New Roman" w:cs="Times New Roman"/>
          <w:sz w:val="24"/>
          <w:szCs w:val="24"/>
        </w:rPr>
        <w:t xml:space="preserve">EPA may require </w:t>
      </w:r>
      <w:r w:rsidRPr="00441DC5">
        <w:rPr>
          <w:rFonts w:ascii="Times New Roman" w:hAnsi="Times New Roman" w:cs="Times New Roman"/>
          <w:sz w:val="24"/>
          <w:szCs w:val="24"/>
        </w:rPr>
        <w:t>additional test data.</w:t>
      </w:r>
    </w:p>
    <w:p w:rsidRPr="001B7EB6" w:rsidR="0089351B" w:rsidP="005B4152" w:rsidRDefault="0089351B" w14:paraId="747048C3" w14:textId="77777777">
      <w:pPr>
        <w:spacing w:after="0" w:line="240" w:lineRule="auto"/>
        <w:rPr>
          <w:rFonts w:ascii="Times New Roman" w:hAnsi="Times New Roman" w:cs="Times New Roman"/>
          <w:sz w:val="24"/>
          <w:szCs w:val="24"/>
          <w:u w:val="single"/>
        </w:rPr>
      </w:pPr>
    </w:p>
    <w:p w:rsidRPr="001B7EB6" w:rsidR="005B4152" w:rsidP="005B4152" w:rsidRDefault="005B4152" w14:paraId="12A46697" w14:textId="77777777">
      <w:pPr>
        <w:spacing w:after="0" w:line="240" w:lineRule="auto"/>
        <w:rPr>
          <w:rFonts w:ascii="Times New Roman" w:hAnsi="Times New Roman" w:cs="Times New Roman"/>
          <w:sz w:val="24"/>
          <w:szCs w:val="24"/>
          <w:u w:val="single"/>
        </w:rPr>
      </w:pPr>
      <w:r w:rsidRPr="001B7EB6">
        <w:rPr>
          <w:rFonts w:ascii="Times New Roman" w:hAnsi="Times New Roman" w:cs="Times New Roman"/>
          <w:sz w:val="24"/>
          <w:szCs w:val="24"/>
          <w:u w:val="single"/>
        </w:rPr>
        <w:t>Section 5: The Information Collected—Agency Activities, Collection Methodology, and Information Management</w:t>
      </w:r>
    </w:p>
    <w:p w:rsidRPr="001B7EB6" w:rsidR="005B4152" w:rsidP="005B4152" w:rsidRDefault="005B4152" w14:paraId="48006B2C" w14:textId="77777777">
      <w:pPr>
        <w:spacing w:after="0" w:line="240" w:lineRule="auto"/>
        <w:rPr>
          <w:rFonts w:ascii="Times New Roman" w:hAnsi="Times New Roman" w:cs="Times New Roman"/>
          <w:sz w:val="24"/>
          <w:szCs w:val="24"/>
        </w:rPr>
      </w:pPr>
    </w:p>
    <w:p w:rsidRPr="001B7EB6" w:rsidR="005B4152" w:rsidP="005B4152" w:rsidRDefault="005B4152" w14:paraId="531C594A" w14:textId="77777777">
      <w:pPr>
        <w:numPr>
          <w:ilvl w:val="0"/>
          <w:numId w:val="1"/>
        </w:numPr>
        <w:spacing w:after="0" w:line="240" w:lineRule="auto"/>
        <w:rPr>
          <w:rFonts w:ascii="Times New Roman" w:hAnsi="Times New Roman" w:cs="Times New Roman"/>
          <w:sz w:val="24"/>
          <w:szCs w:val="24"/>
        </w:rPr>
      </w:pPr>
      <w:r w:rsidRPr="001B7EB6">
        <w:rPr>
          <w:rFonts w:ascii="Times New Roman" w:hAnsi="Times New Roman" w:cs="Times New Roman"/>
          <w:sz w:val="24"/>
          <w:szCs w:val="24"/>
          <w:u w:val="single"/>
        </w:rPr>
        <w:t>Agency Activities</w:t>
      </w:r>
    </w:p>
    <w:p w:rsidRPr="001B7EB6" w:rsidR="005B4152" w:rsidP="005B4152" w:rsidRDefault="005B4152" w14:paraId="019A51B7" w14:textId="77777777">
      <w:pPr>
        <w:spacing w:after="0" w:line="240" w:lineRule="auto"/>
        <w:rPr>
          <w:rFonts w:ascii="Times New Roman" w:hAnsi="Times New Roman" w:cs="Times New Roman"/>
          <w:sz w:val="24"/>
          <w:szCs w:val="24"/>
          <w:u w:val="single"/>
        </w:rPr>
      </w:pPr>
    </w:p>
    <w:p w:rsidRPr="00F07CC7" w:rsidR="005B4152" w:rsidP="005B4152" w:rsidRDefault="00276899" w14:paraId="183D8731" w14:textId="3A1D316F">
      <w:pPr>
        <w:spacing w:after="0" w:line="240" w:lineRule="auto"/>
        <w:rPr>
          <w:rFonts w:ascii="Times New Roman" w:hAnsi="Times New Roman" w:cs="Times New Roman"/>
          <w:sz w:val="24"/>
          <w:szCs w:val="24"/>
        </w:rPr>
      </w:pPr>
      <w:r>
        <w:rPr>
          <w:rFonts w:ascii="Times New Roman" w:hAnsi="Times New Roman" w:cs="Times New Roman"/>
          <w:sz w:val="24"/>
          <w:szCs w:val="24"/>
        </w:rPr>
        <w:t>The EPA is required under the Clean Air Act to collect information and issue certificates of conformity for highway motorcycles that meet emissions requirements at the time of certification and throughout the useful life of a vehicle. To perform EPA’s function under the Act and our regulations, the EPA collects certific</w:t>
      </w:r>
      <w:bookmarkStart w:name="_GoBack" w:id="1"/>
      <w:bookmarkEnd w:id="1"/>
      <w:r>
        <w:rPr>
          <w:rFonts w:ascii="Times New Roman" w:hAnsi="Times New Roman" w:cs="Times New Roman"/>
          <w:sz w:val="24"/>
          <w:szCs w:val="24"/>
        </w:rPr>
        <w:t xml:space="preserve">ation information from the regulated community to assess whether a vehicle meets the emissions standard. That information would consist of all vehicle engine and emissions designs, auxiliary emissions control devices (AECD’s), adjustable parameters, emissions control devices and related aftertreatment technologies, all test data, model year production, averaging calculations, and contact persons. These data elements </w:t>
      </w:r>
      <w:r w:rsidR="00EF5352">
        <w:rPr>
          <w:rFonts w:ascii="Times New Roman" w:hAnsi="Times New Roman" w:cs="Times New Roman"/>
          <w:sz w:val="24"/>
          <w:szCs w:val="24"/>
        </w:rPr>
        <w:t xml:space="preserve">must be both collected and analyzed by the EPA to assess whether manufacturers and their vehicles are complying and continuing to comply with meeting these emission standards throughout their useful life. </w:t>
      </w:r>
      <w:r>
        <w:rPr>
          <w:rFonts w:ascii="Times New Roman" w:hAnsi="Times New Roman" w:cs="Times New Roman"/>
          <w:sz w:val="24"/>
          <w:szCs w:val="24"/>
        </w:rPr>
        <w:t xml:space="preserve">help the EPA to determine how a vehicle will meet the emissions standards. </w:t>
      </w:r>
      <w:r w:rsidR="00441DC5">
        <w:rPr>
          <w:rFonts w:ascii="Times New Roman" w:hAnsi="Times New Roman" w:cs="Times New Roman"/>
          <w:sz w:val="24"/>
          <w:szCs w:val="24"/>
        </w:rPr>
        <w:t>Therefore, a</w:t>
      </w:r>
      <w:r w:rsidRPr="001B7EB6" w:rsidR="005B4152">
        <w:rPr>
          <w:rFonts w:ascii="Times New Roman" w:hAnsi="Times New Roman" w:cs="Times New Roman"/>
          <w:sz w:val="24"/>
          <w:szCs w:val="24"/>
        </w:rPr>
        <w:t xml:space="preserve"> significant portion of </w:t>
      </w:r>
      <w:r w:rsidRPr="001B7EB6" w:rsidR="00392E85">
        <w:rPr>
          <w:rFonts w:ascii="Times New Roman" w:hAnsi="Times New Roman" w:cs="Times New Roman"/>
          <w:sz w:val="24"/>
          <w:szCs w:val="24"/>
        </w:rPr>
        <w:t xml:space="preserve">the </w:t>
      </w:r>
      <w:r w:rsidRPr="001B7EB6" w:rsidR="005B4152">
        <w:rPr>
          <w:rFonts w:ascii="Times New Roman" w:hAnsi="Times New Roman" w:cs="Times New Roman"/>
          <w:sz w:val="24"/>
          <w:szCs w:val="24"/>
        </w:rPr>
        <w:t xml:space="preserve">EPA’s emission compliance activity is spent reviewing applications to verify that the correct vehicle tests have been conducted and necessary information submitted. Amendments to applications must also be selectively reviewed for possible emissions impacts and manufacturers’ evaluations thereof. </w:t>
      </w:r>
      <w:r w:rsidR="00EF5352">
        <w:rPr>
          <w:rFonts w:ascii="Times New Roman" w:hAnsi="Times New Roman" w:cs="Times New Roman"/>
          <w:sz w:val="24"/>
          <w:szCs w:val="24"/>
        </w:rPr>
        <w:t xml:space="preserve">This is also part of the certification review process of an application even after a certificate has been granted. </w:t>
      </w:r>
      <w:r w:rsidRPr="001B7EB6" w:rsidR="005B4152">
        <w:rPr>
          <w:rFonts w:ascii="Times New Roman" w:hAnsi="Times New Roman" w:cs="Times New Roman"/>
          <w:sz w:val="24"/>
          <w:szCs w:val="24"/>
        </w:rPr>
        <w:t>A</w:t>
      </w:r>
      <w:r w:rsidR="00EF5352">
        <w:rPr>
          <w:rFonts w:ascii="Times New Roman" w:hAnsi="Times New Roman" w:cs="Times New Roman"/>
          <w:sz w:val="24"/>
          <w:szCs w:val="24"/>
        </w:rPr>
        <w:t>nother</w:t>
      </w:r>
      <w:r w:rsidRPr="001B7EB6" w:rsidR="005B4152">
        <w:rPr>
          <w:rFonts w:ascii="Times New Roman" w:hAnsi="Times New Roman" w:cs="Times New Roman"/>
          <w:sz w:val="24"/>
          <w:szCs w:val="24"/>
        </w:rPr>
        <w:t xml:space="preserve"> part of this process involves determining if </w:t>
      </w:r>
      <w:r w:rsidRPr="001B7EB6" w:rsidR="003D6E8C">
        <w:rPr>
          <w:rFonts w:ascii="Times New Roman" w:hAnsi="Times New Roman" w:cs="Times New Roman"/>
          <w:sz w:val="24"/>
          <w:szCs w:val="24"/>
        </w:rPr>
        <w:t>the use</w:t>
      </w:r>
      <w:r w:rsidRPr="001B7EB6" w:rsidR="005B4152">
        <w:rPr>
          <w:rFonts w:ascii="Times New Roman" w:hAnsi="Times New Roman" w:cs="Times New Roman"/>
          <w:sz w:val="24"/>
          <w:szCs w:val="24"/>
        </w:rPr>
        <w:t xml:space="preserve"> of data from a previous model year is appropriate or if new testing will be required. </w:t>
      </w:r>
      <w:r w:rsidRPr="001B7EB6" w:rsidR="0057142D">
        <w:rPr>
          <w:rFonts w:ascii="Times New Roman" w:hAnsi="Times New Roman" w:cs="Times New Roman"/>
          <w:sz w:val="24"/>
          <w:szCs w:val="24"/>
        </w:rPr>
        <w:t xml:space="preserve">The </w:t>
      </w:r>
      <w:r w:rsidRPr="001B7EB6" w:rsidR="005B4152">
        <w:rPr>
          <w:rFonts w:ascii="Times New Roman" w:hAnsi="Times New Roman" w:cs="Times New Roman"/>
          <w:sz w:val="24"/>
          <w:szCs w:val="24"/>
        </w:rPr>
        <w:t>EPA also select</w:t>
      </w:r>
      <w:r w:rsidRPr="001B7EB6" w:rsidR="0089351B">
        <w:rPr>
          <w:rFonts w:ascii="Times New Roman" w:hAnsi="Times New Roman" w:cs="Times New Roman"/>
          <w:sz w:val="24"/>
          <w:szCs w:val="24"/>
        </w:rPr>
        <w:t>s</w:t>
      </w:r>
      <w:r w:rsidRPr="001B7EB6" w:rsidR="005B4152">
        <w:rPr>
          <w:rFonts w:ascii="Times New Roman" w:hAnsi="Times New Roman" w:cs="Times New Roman"/>
          <w:sz w:val="24"/>
          <w:szCs w:val="24"/>
        </w:rPr>
        <w:t xml:space="preserve"> </w:t>
      </w:r>
      <w:proofErr w:type="gramStart"/>
      <w:r w:rsidRPr="001B7EB6" w:rsidR="005B4152">
        <w:rPr>
          <w:rFonts w:ascii="Times New Roman" w:hAnsi="Times New Roman" w:cs="Times New Roman"/>
          <w:sz w:val="24"/>
          <w:szCs w:val="24"/>
        </w:rPr>
        <w:t>a number of</w:t>
      </w:r>
      <w:proofErr w:type="gramEnd"/>
      <w:r w:rsidRPr="001B7EB6" w:rsidR="005B4152">
        <w:rPr>
          <w:rFonts w:ascii="Times New Roman" w:hAnsi="Times New Roman" w:cs="Times New Roman"/>
          <w:sz w:val="24"/>
          <w:szCs w:val="24"/>
        </w:rPr>
        <w:t xml:space="preserve"> </w:t>
      </w:r>
      <w:r w:rsidRPr="001B7EB6" w:rsidR="00243B4B">
        <w:rPr>
          <w:rFonts w:ascii="Times New Roman" w:hAnsi="Times New Roman" w:cs="Times New Roman"/>
          <w:sz w:val="24"/>
          <w:szCs w:val="24"/>
        </w:rPr>
        <w:t xml:space="preserve">vehicles </w:t>
      </w:r>
      <w:r w:rsidRPr="001B7EB6" w:rsidR="005B4152">
        <w:rPr>
          <w:rFonts w:ascii="Times New Roman" w:hAnsi="Times New Roman" w:cs="Times New Roman"/>
          <w:sz w:val="24"/>
          <w:szCs w:val="24"/>
        </w:rPr>
        <w:t xml:space="preserve">for confirmation at </w:t>
      </w:r>
      <w:r w:rsidRPr="001B7EB6" w:rsidR="00243B4B">
        <w:rPr>
          <w:rFonts w:ascii="Times New Roman" w:hAnsi="Times New Roman" w:cs="Times New Roman"/>
          <w:sz w:val="24"/>
          <w:szCs w:val="24"/>
        </w:rPr>
        <w:t xml:space="preserve">an </w:t>
      </w:r>
      <w:r w:rsidRPr="001B7EB6" w:rsidR="005B4152">
        <w:rPr>
          <w:rFonts w:ascii="Times New Roman" w:hAnsi="Times New Roman" w:cs="Times New Roman"/>
          <w:sz w:val="24"/>
          <w:szCs w:val="24"/>
        </w:rPr>
        <w:t xml:space="preserve">EPA designated </w:t>
      </w:r>
      <w:r w:rsidRPr="001B7EB6" w:rsidR="00243B4B">
        <w:rPr>
          <w:rFonts w:ascii="Times New Roman" w:hAnsi="Times New Roman" w:cs="Times New Roman"/>
          <w:sz w:val="24"/>
          <w:szCs w:val="24"/>
        </w:rPr>
        <w:t>test facility</w:t>
      </w:r>
      <w:r w:rsidRPr="001B7EB6" w:rsidR="00830CE7">
        <w:rPr>
          <w:rFonts w:ascii="Times New Roman" w:hAnsi="Times New Roman" w:cs="Times New Roman"/>
          <w:sz w:val="24"/>
          <w:szCs w:val="24"/>
        </w:rPr>
        <w:t xml:space="preserve">. </w:t>
      </w:r>
      <w:r w:rsidR="00EF5352">
        <w:rPr>
          <w:rFonts w:ascii="Times New Roman" w:hAnsi="Times New Roman" w:cs="Times New Roman"/>
          <w:sz w:val="24"/>
          <w:szCs w:val="24"/>
        </w:rPr>
        <w:t>In addition to certificate application and test data review, t</w:t>
      </w:r>
      <w:r w:rsidRPr="001B7EB6" w:rsidR="0057142D">
        <w:rPr>
          <w:rFonts w:ascii="Times New Roman" w:hAnsi="Times New Roman" w:cs="Times New Roman"/>
          <w:sz w:val="24"/>
          <w:szCs w:val="24"/>
        </w:rPr>
        <w:t xml:space="preserve">he </w:t>
      </w:r>
      <w:r w:rsidRPr="001B7EB6" w:rsidR="005B4152">
        <w:rPr>
          <w:rFonts w:ascii="Times New Roman" w:hAnsi="Times New Roman" w:cs="Times New Roman"/>
          <w:sz w:val="24"/>
          <w:szCs w:val="24"/>
        </w:rPr>
        <w:t xml:space="preserve">EPA </w:t>
      </w:r>
      <w:r w:rsidR="00EF5352">
        <w:rPr>
          <w:rFonts w:ascii="Times New Roman" w:hAnsi="Times New Roman" w:cs="Times New Roman"/>
          <w:sz w:val="24"/>
          <w:szCs w:val="24"/>
        </w:rPr>
        <w:t xml:space="preserve">also </w:t>
      </w:r>
      <w:r w:rsidRPr="001B7EB6" w:rsidR="005B4152">
        <w:rPr>
          <w:rFonts w:ascii="Times New Roman" w:hAnsi="Times New Roman" w:cs="Times New Roman"/>
          <w:sz w:val="24"/>
          <w:szCs w:val="24"/>
        </w:rPr>
        <w:t>maintains the relevant reporting system</w:t>
      </w:r>
      <w:r w:rsidR="00EF5352">
        <w:rPr>
          <w:rFonts w:ascii="Times New Roman" w:hAnsi="Times New Roman" w:cs="Times New Roman"/>
          <w:sz w:val="24"/>
          <w:szCs w:val="24"/>
        </w:rPr>
        <w:t xml:space="preserve"> (EV-CIS)</w:t>
      </w:r>
      <w:r w:rsidRPr="001B7EB6" w:rsidR="005B4152">
        <w:rPr>
          <w:rFonts w:ascii="Times New Roman" w:hAnsi="Times New Roman" w:cs="Times New Roman"/>
          <w:sz w:val="24"/>
          <w:szCs w:val="24"/>
        </w:rPr>
        <w:t xml:space="preserve"> and analyzes relevant data for regulatory </w:t>
      </w:r>
      <w:r w:rsidRPr="001B7EB6" w:rsidR="006D0C98">
        <w:rPr>
          <w:rFonts w:ascii="Times New Roman" w:hAnsi="Times New Roman" w:cs="Times New Roman"/>
          <w:sz w:val="24"/>
          <w:szCs w:val="24"/>
        </w:rPr>
        <w:t xml:space="preserve">development </w:t>
      </w:r>
      <w:r w:rsidRPr="001B7EB6" w:rsidR="005B4152">
        <w:rPr>
          <w:rFonts w:ascii="Times New Roman" w:hAnsi="Times New Roman" w:cs="Times New Roman"/>
          <w:sz w:val="24"/>
          <w:szCs w:val="24"/>
        </w:rPr>
        <w:t xml:space="preserve">and </w:t>
      </w:r>
      <w:r w:rsidRPr="001B7EB6" w:rsidR="006D0C98">
        <w:rPr>
          <w:rFonts w:ascii="Times New Roman" w:hAnsi="Times New Roman" w:cs="Times New Roman"/>
          <w:sz w:val="24"/>
          <w:szCs w:val="24"/>
        </w:rPr>
        <w:t xml:space="preserve">compliance </w:t>
      </w:r>
      <w:r w:rsidRPr="001B7EB6" w:rsidR="005B4152">
        <w:rPr>
          <w:rFonts w:ascii="Times New Roman" w:hAnsi="Times New Roman" w:cs="Times New Roman"/>
          <w:sz w:val="24"/>
          <w:szCs w:val="24"/>
        </w:rPr>
        <w:t>oversight purposes.</w:t>
      </w:r>
    </w:p>
    <w:p w:rsidRPr="00983657" w:rsidR="005B4152" w:rsidP="005B4152" w:rsidRDefault="005B4152" w14:paraId="0B780EA3" w14:textId="77777777">
      <w:pPr>
        <w:spacing w:after="0" w:line="240" w:lineRule="auto"/>
        <w:rPr>
          <w:rFonts w:ascii="Times New Roman" w:hAnsi="Times New Roman" w:cs="Times New Roman"/>
          <w:sz w:val="24"/>
          <w:szCs w:val="24"/>
        </w:rPr>
      </w:pPr>
    </w:p>
    <w:p w:rsidRPr="00DD65C0" w:rsidR="00D366A5" w:rsidP="005B4152" w:rsidRDefault="0057142D" w14:paraId="35EDCFAB" w14:textId="60C035CF">
      <w:pPr>
        <w:spacing w:after="0" w:line="240" w:lineRule="auto"/>
        <w:rPr>
          <w:rFonts w:ascii="Times New Roman" w:hAnsi="Times New Roman" w:cs="Times New Roman"/>
          <w:sz w:val="24"/>
          <w:szCs w:val="24"/>
        </w:rPr>
      </w:pPr>
      <w:r w:rsidRPr="004F5C81">
        <w:rPr>
          <w:rFonts w:ascii="Times New Roman" w:hAnsi="Times New Roman" w:cs="Times New Roman"/>
          <w:sz w:val="24"/>
          <w:szCs w:val="24"/>
        </w:rPr>
        <w:t xml:space="preserve">The </w:t>
      </w:r>
      <w:r w:rsidRPr="004F5C81" w:rsidR="005B4152">
        <w:rPr>
          <w:rFonts w:ascii="Times New Roman" w:hAnsi="Times New Roman" w:cs="Times New Roman"/>
          <w:sz w:val="24"/>
          <w:szCs w:val="24"/>
        </w:rPr>
        <w:t xml:space="preserve">EPA prepares annual reports of emission test results submitted by the manufacturers. These and other reports, data and information are now available </w:t>
      </w:r>
      <w:r w:rsidRPr="001B7EB6" w:rsidR="0089351B">
        <w:rPr>
          <w:rFonts w:ascii="Times New Roman" w:hAnsi="Times New Roman" w:cs="Times New Roman"/>
          <w:sz w:val="24"/>
          <w:szCs w:val="24"/>
        </w:rPr>
        <w:t xml:space="preserve">on </w:t>
      </w:r>
      <w:r w:rsidRPr="001B7EB6" w:rsidR="00392E85">
        <w:rPr>
          <w:rFonts w:ascii="Times New Roman" w:hAnsi="Times New Roman" w:cs="Times New Roman"/>
          <w:sz w:val="24"/>
          <w:szCs w:val="24"/>
        </w:rPr>
        <w:t xml:space="preserve">the </w:t>
      </w:r>
      <w:r w:rsidRPr="001B7EB6" w:rsidR="005B4152">
        <w:rPr>
          <w:rFonts w:ascii="Times New Roman" w:hAnsi="Times New Roman" w:cs="Times New Roman"/>
          <w:sz w:val="24"/>
          <w:szCs w:val="24"/>
        </w:rPr>
        <w:t>EPA’s website</w:t>
      </w:r>
      <w:r w:rsidRPr="001B7EB6" w:rsidR="00830CE7">
        <w:rPr>
          <w:rFonts w:ascii="Times New Roman" w:hAnsi="Times New Roman" w:cs="Times New Roman"/>
          <w:sz w:val="24"/>
          <w:szCs w:val="24"/>
        </w:rPr>
        <w:t>.</w:t>
      </w:r>
      <w:r w:rsidRPr="001B7EB6" w:rsidR="00E850D7">
        <w:rPr>
          <w:rFonts w:ascii="Times New Roman" w:hAnsi="Times New Roman" w:cs="Times New Roman"/>
          <w:sz w:val="24"/>
          <w:szCs w:val="24"/>
        </w:rPr>
        <w:t xml:space="preserve">at </w:t>
      </w:r>
      <w:bookmarkStart w:name="_Hlk32585834" w:id="2"/>
      <w:r w:rsidR="005824E3">
        <w:fldChar w:fldCharType="begin"/>
      </w:r>
      <w:r w:rsidR="005824E3">
        <w:instrText xml:space="preserve"> HYPERLINK "https://www3.epa.gov/otaq/crttst.htm" </w:instrText>
      </w:r>
      <w:r w:rsidR="005824E3">
        <w:fldChar w:fldCharType="separate"/>
      </w:r>
      <w:r w:rsidRPr="001B7EB6" w:rsidR="00D366A5">
        <w:rPr>
          <w:rStyle w:val="Hyperlink"/>
          <w:rFonts w:ascii="Times New Roman" w:hAnsi="Times New Roman" w:cs="Times New Roman"/>
          <w:sz w:val="24"/>
          <w:szCs w:val="24"/>
        </w:rPr>
        <w:t>https://www3.epa.gov/otaq/crttst.htm</w:t>
      </w:r>
      <w:r w:rsidR="005824E3">
        <w:rPr>
          <w:rStyle w:val="Hyperlink"/>
          <w:rFonts w:ascii="Times New Roman" w:hAnsi="Times New Roman" w:cs="Times New Roman"/>
          <w:sz w:val="24"/>
          <w:szCs w:val="24"/>
        </w:rPr>
        <w:fldChar w:fldCharType="end"/>
      </w:r>
      <w:r w:rsidRPr="001B7EB6" w:rsidR="00D366A5">
        <w:rPr>
          <w:rFonts w:ascii="Times New Roman" w:hAnsi="Times New Roman" w:cs="Times New Roman"/>
          <w:sz w:val="24"/>
          <w:szCs w:val="24"/>
        </w:rPr>
        <w:t>.</w:t>
      </w:r>
      <w:bookmarkEnd w:id="2"/>
    </w:p>
    <w:p w:rsidR="000053C6" w:rsidP="005B4152" w:rsidRDefault="000053C6" w14:paraId="17D64C29" w14:textId="7F449295">
      <w:pPr>
        <w:spacing w:after="0" w:line="240" w:lineRule="auto"/>
        <w:rPr>
          <w:rFonts w:ascii="Times New Roman" w:hAnsi="Times New Roman" w:cs="Times New Roman"/>
          <w:sz w:val="24"/>
          <w:szCs w:val="24"/>
        </w:rPr>
      </w:pPr>
    </w:p>
    <w:p w:rsidRPr="005B4152" w:rsidR="005B4152" w:rsidP="005B4152" w:rsidRDefault="005B4152" w14:paraId="133480EC" w14:textId="77777777">
      <w:pPr>
        <w:spacing w:after="0" w:line="240" w:lineRule="auto"/>
        <w:rPr>
          <w:rFonts w:ascii="Times New Roman" w:hAnsi="Times New Roman" w:cs="Times New Roman"/>
          <w:sz w:val="24"/>
          <w:szCs w:val="24"/>
        </w:rPr>
      </w:pPr>
    </w:p>
    <w:p w:rsidRPr="005B4152" w:rsidR="005B4152" w:rsidP="005B4152" w:rsidRDefault="005B4152" w14:paraId="6042AC85" w14:textId="77777777">
      <w:pPr>
        <w:spacing w:after="0" w:line="240" w:lineRule="auto"/>
        <w:rPr>
          <w:rFonts w:ascii="Times New Roman" w:hAnsi="Times New Roman" w:cs="Times New Roman"/>
          <w:sz w:val="24"/>
          <w:szCs w:val="24"/>
          <w:u w:val="single"/>
        </w:rPr>
      </w:pPr>
      <w:r w:rsidRPr="005B4152">
        <w:rPr>
          <w:rFonts w:ascii="Times New Roman" w:hAnsi="Times New Roman" w:cs="Times New Roman"/>
          <w:sz w:val="24"/>
          <w:szCs w:val="24"/>
        </w:rPr>
        <w:t xml:space="preserve">5(b) </w:t>
      </w:r>
      <w:r w:rsidRPr="005B4152">
        <w:rPr>
          <w:rFonts w:ascii="Times New Roman" w:hAnsi="Times New Roman" w:cs="Times New Roman"/>
          <w:sz w:val="24"/>
          <w:szCs w:val="24"/>
          <w:u w:val="single"/>
        </w:rPr>
        <w:t>Collection Methodology and Management</w:t>
      </w:r>
    </w:p>
    <w:p w:rsidRPr="005B4152" w:rsidR="005B4152" w:rsidP="005B4152" w:rsidRDefault="005B4152" w14:paraId="78E15726" w14:textId="77777777">
      <w:pPr>
        <w:spacing w:after="0" w:line="240" w:lineRule="auto"/>
        <w:rPr>
          <w:rFonts w:ascii="Times New Roman" w:hAnsi="Times New Roman" w:cs="Times New Roman"/>
          <w:sz w:val="24"/>
          <w:szCs w:val="24"/>
          <w:u w:val="single"/>
        </w:rPr>
      </w:pPr>
    </w:p>
    <w:p w:rsidRPr="005B4152" w:rsidR="005B4152" w:rsidP="005B4152" w:rsidRDefault="005B4152" w14:paraId="77D93374" w14:textId="68FC2DE9">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All routine information (test results, vehicle descriptions, and all aspects of certification applications) is electronically transmitted directly from the manufacturers through the </w:t>
      </w:r>
      <w:r w:rsidR="008C0137">
        <w:rPr>
          <w:rFonts w:ascii="Times New Roman" w:hAnsi="Times New Roman" w:cs="Times New Roman"/>
          <w:sz w:val="24"/>
          <w:szCs w:val="24"/>
        </w:rPr>
        <w:t>EV-CIS</w:t>
      </w:r>
      <w:r w:rsidRPr="005B4152">
        <w:rPr>
          <w:rFonts w:ascii="Times New Roman" w:hAnsi="Times New Roman" w:cs="Times New Roman"/>
          <w:sz w:val="24"/>
          <w:szCs w:val="24"/>
        </w:rPr>
        <w:t xml:space="preserve"> system</w:t>
      </w:r>
      <w:r w:rsidR="00830CE7">
        <w:rPr>
          <w:rFonts w:ascii="Times New Roman" w:hAnsi="Times New Roman" w:cs="Times New Roman"/>
          <w:sz w:val="24"/>
          <w:szCs w:val="24"/>
        </w:rPr>
        <w:t xml:space="preserve">. </w:t>
      </w:r>
    </w:p>
    <w:p w:rsidRPr="005B4152" w:rsidR="005B4152" w:rsidP="005B4152" w:rsidRDefault="005B4152" w14:paraId="6297E3A6" w14:textId="77777777">
      <w:pPr>
        <w:spacing w:after="0" w:line="240" w:lineRule="auto"/>
        <w:rPr>
          <w:rFonts w:ascii="Times New Roman" w:hAnsi="Times New Roman" w:cs="Times New Roman"/>
          <w:sz w:val="24"/>
          <w:szCs w:val="24"/>
        </w:rPr>
      </w:pPr>
    </w:p>
    <w:p w:rsidRPr="005B4152" w:rsidR="005B4152" w:rsidP="005B4152" w:rsidRDefault="005B4152" w14:paraId="7805308B" w14:textId="1C31C31F">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All information received by </w:t>
      </w:r>
      <w:r w:rsidR="0057142D">
        <w:rPr>
          <w:rFonts w:ascii="Times New Roman" w:hAnsi="Times New Roman" w:cs="Times New Roman"/>
          <w:sz w:val="24"/>
          <w:szCs w:val="24"/>
        </w:rPr>
        <w:t xml:space="preserve">the </w:t>
      </w:r>
      <w:r w:rsidRPr="005B4152">
        <w:rPr>
          <w:rFonts w:ascii="Times New Roman" w:hAnsi="Times New Roman" w:cs="Times New Roman"/>
          <w:sz w:val="24"/>
          <w:szCs w:val="24"/>
        </w:rPr>
        <w:t xml:space="preserve">EPA is subject to review. Data submitted electronically is in some cases automatically screened; for example, </w:t>
      </w:r>
      <w:r>
        <w:rPr>
          <w:rFonts w:ascii="Times New Roman" w:hAnsi="Times New Roman" w:cs="Times New Roman"/>
          <w:sz w:val="24"/>
          <w:szCs w:val="24"/>
        </w:rPr>
        <w:t>on-highway motorcycle</w:t>
      </w:r>
      <w:r w:rsidRPr="005B4152">
        <w:rPr>
          <w:rFonts w:ascii="Times New Roman" w:hAnsi="Times New Roman" w:cs="Times New Roman"/>
          <w:sz w:val="24"/>
          <w:szCs w:val="24"/>
        </w:rPr>
        <w:t xml:space="preserve"> test results that are close to </w:t>
      </w:r>
      <w:r w:rsidR="003D6E8C">
        <w:rPr>
          <w:rFonts w:ascii="Times New Roman" w:hAnsi="Times New Roman" w:cs="Times New Roman"/>
          <w:sz w:val="24"/>
          <w:szCs w:val="24"/>
        </w:rPr>
        <w:t xml:space="preserve">the </w:t>
      </w:r>
      <w:r w:rsidRPr="005B4152">
        <w:rPr>
          <w:rFonts w:ascii="Times New Roman" w:hAnsi="Times New Roman" w:cs="Times New Roman"/>
          <w:sz w:val="24"/>
          <w:szCs w:val="24"/>
        </w:rPr>
        <w:t>emission standard</w:t>
      </w:r>
      <w:r>
        <w:rPr>
          <w:rFonts w:ascii="Times New Roman" w:hAnsi="Times New Roman" w:cs="Times New Roman"/>
          <w:sz w:val="24"/>
          <w:szCs w:val="24"/>
        </w:rPr>
        <w:t>(</w:t>
      </w:r>
      <w:r w:rsidRPr="005B4152">
        <w:rPr>
          <w:rFonts w:ascii="Times New Roman" w:hAnsi="Times New Roman" w:cs="Times New Roman"/>
          <w:sz w:val="24"/>
          <w:szCs w:val="24"/>
        </w:rPr>
        <w:t>s</w:t>
      </w:r>
      <w:r>
        <w:rPr>
          <w:rFonts w:ascii="Times New Roman" w:hAnsi="Times New Roman" w:cs="Times New Roman"/>
          <w:sz w:val="24"/>
          <w:szCs w:val="24"/>
        </w:rPr>
        <w:t>)</w:t>
      </w:r>
      <w:r w:rsidRPr="005B4152">
        <w:rPr>
          <w:rFonts w:ascii="Times New Roman" w:hAnsi="Times New Roman" w:cs="Times New Roman"/>
          <w:sz w:val="24"/>
          <w:szCs w:val="24"/>
        </w:rPr>
        <w:t xml:space="preserve"> are flagged for </w:t>
      </w:r>
      <w:r>
        <w:rPr>
          <w:rFonts w:ascii="Times New Roman" w:hAnsi="Times New Roman" w:cs="Times New Roman"/>
          <w:sz w:val="24"/>
          <w:szCs w:val="24"/>
        </w:rPr>
        <w:t xml:space="preserve">a </w:t>
      </w:r>
      <w:r w:rsidRPr="005B4152">
        <w:rPr>
          <w:rFonts w:ascii="Times New Roman" w:hAnsi="Times New Roman" w:cs="Times New Roman"/>
          <w:sz w:val="24"/>
          <w:szCs w:val="24"/>
        </w:rPr>
        <w:t>more detail</w:t>
      </w:r>
      <w:r>
        <w:rPr>
          <w:rFonts w:ascii="Times New Roman" w:hAnsi="Times New Roman" w:cs="Times New Roman"/>
          <w:sz w:val="24"/>
          <w:szCs w:val="24"/>
        </w:rPr>
        <w:t>ed</w:t>
      </w:r>
      <w:r w:rsidRPr="005B4152">
        <w:rPr>
          <w:rFonts w:ascii="Times New Roman" w:hAnsi="Times New Roman" w:cs="Times New Roman"/>
          <w:sz w:val="24"/>
          <w:szCs w:val="24"/>
        </w:rPr>
        <w:t xml:space="preserve"> review. Descriptions of the proposed product line are checked </w:t>
      </w:r>
      <w:r w:rsidR="003D6E8C">
        <w:rPr>
          <w:rFonts w:ascii="Times New Roman" w:hAnsi="Times New Roman" w:cs="Times New Roman"/>
          <w:sz w:val="24"/>
          <w:szCs w:val="24"/>
        </w:rPr>
        <w:t>with</w:t>
      </w:r>
      <w:r w:rsidRPr="005B4152" w:rsidR="003D6E8C">
        <w:rPr>
          <w:rFonts w:ascii="Times New Roman" w:hAnsi="Times New Roman" w:cs="Times New Roman"/>
          <w:sz w:val="24"/>
          <w:szCs w:val="24"/>
        </w:rPr>
        <w:t xml:space="preserve"> </w:t>
      </w:r>
      <w:r w:rsidR="008C0137">
        <w:rPr>
          <w:rFonts w:ascii="Times New Roman" w:hAnsi="Times New Roman" w:cs="Times New Roman"/>
          <w:sz w:val="24"/>
          <w:szCs w:val="24"/>
        </w:rPr>
        <w:t>EV-CIS</w:t>
      </w:r>
      <w:r w:rsidRPr="005B4152">
        <w:rPr>
          <w:rFonts w:ascii="Times New Roman" w:hAnsi="Times New Roman" w:cs="Times New Roman"/>
          <w:sz w:val="24"/>
          <w:szCs w:val="24"/>
        </w:rPr>
        <w:t xml:space="preserve"> </w:t>
      </w:r>
      <w:r w:rsidR="003D6E8C">
        <w:rPr>
          <w:rFonts w:ascii="Times New Roman" w:hAnsi="Times New Roman" w:cs="Times New Roman"/>
          <w:sz w:val="24"/>
          <w:szCs w:val="24"/>
        </w:rPr>
        <w:t xml:space="preserve">submissions to make certain </w:t>
      </w:r>
      <w:r w:rsidRPr="005B4152">
        <w:rPr>
          <w:rFonts w:ascii="Times New Roman" w:hAnsi="Times New Roman" w:cs="Times New Roman"/>
          <w:sz w:val="24"/>
          <w:szCs w:val="24"/>
        </w:rPr>
        <w:t>that the appropriate vehicles have been tested. (The emission program rel</w:t>
      </w:r>
      <w:r>
        <w:rPr>
          <w:rFonts w:ascii="Times New Roman" w:hAnsi="Times New Roman" w:cs="Times New Roman"/>
          <w:sz w:val="24"/>
          <w:szCs w:val="24"/>
        </w:rPr>
        <w:t>ies</w:t>
      </w:r>
      <w:r w:rsidRPr="005B4152">
        <w:rPr>
          <w:rFonts w:ascii="Times New Roman" w:hAnsi="Times New Roman" w:cs="Times New Roman"/>
          <w:sz w:val="24"/>
          <w:szCs w:val="24"/>
        </w:rPr>
        <w:t xml:space="preserve"> on a combination of “worst case” and representative data to accomplish </w:t>
      </w:r>
      <w:r>
        <w:rPr>
          <w:rFonts w:ascii="Times New Roman" w:hAnsi="Times New Roman" w:cs="Times New Roman"/>
          <w:sz w:val="24"/>
          <w:szCs w:val="24"/>
        </w:rPr>
        <w:t>its</w:t>
      </w:r>
      <w:r w:rsidRPr="005B4152">
        <w:rPr>
          <w:rFonts w:ascii="Times New Roman" w:hAnsi="Times New Roman" w:cs="Times New Roman"/>
          <w:sz w:val="24"/>
          <w:szCs w:val="24"/>
        </w:rPr>
        <w:t xml:space="preserve"> goals.) </w:t>
      </w:r>
    </w:p>
    <w:p w:rsidRPr="005B4152" w:rsidR="005B4152" w:rsidP="005B4152" w:rsidRDefault="005B4152" w14:paraId="7A242B25" w14:textId="77777777">
      <w:pPr>
        <w:spacing w:after="0" w:line="240" w:lineRule="auto"/>
        <w:rPr>
          <w:rFonts w:ascii="Times New Roman" w:hAnsi="Times New Roman" w:cs="Times New Roman"/>
          <w:sz w:val="24"/>
          <w:szCs w:val="24"/>
        </w:rPr>
      </w:pPr>
    </w:p>
    <w:p w:rsidRPr="005B4152" w:rsidR="005B4152" w:rsidP="005B4152" w:rsidRDefault="005B4152" w14:paraId="589824F3" w14:textId="77777777">
      <w:pPr>
        <w:spacing w:after="0" w:line="240" w:lineRule="auto"/>
        <w:rPr>
          <w:rFonts w:ascii="Times New Roman" w:hAnsi="Times New Roman" w:cs="Times New Roman"/>
          <w:sz w:val="24"/>
          <w:szCs w:val="24"/>
          <w:u w:val="single"/>
        </w:rPr>
      </w:pPr>
      <w:r w:rsidRPr="005B4152">
        <w:rPr>
          <w:rFonts w:ascii="Times New Roman" w:hAnsi="Times New Roman" w:cs="Times New Roman"/>
          <w:sz w:val="24"/>
          <w:szCs w:val="24"/>
        </w:rPr>
        <w:t xml:space="preserve">5(c) </w:t>
      </w:r>
      <w:r w:rsidRPr="005B4152">
        <w:rPr>
          <w:rFonts w:ascii="Times New Roman" w:hAnsi="Times New Roman" w:cs="Times New Roman"/>
          <w:sz w:val="24"/>
          <w:szCs w:val="24"/>
          <w:u w:val="single"/>
        </w:rPr>
        <w:t>Small Entity Flexibility</w:t>
      </w:r>
    </w:p>
    <w:p w:rsidRPr="005B4152" w:rsidR="005B4152" w:rsidP="005B4152" w:rsidRDefault="005B4152" w14:paraId="5FCE5784" w14:textId="77777777">
      <w:pPr>
        <w:spacing w:after="0" w:line="240" w:lineRule="auto"/>
        <w:rPr>
          <w:rFonts w:ascii="Times New Roman" w:hAnsi="Times New Roman" w:cs="Times New Roman"/>
          <w:sz w:val="24"/>
          <w:szCs w:val="24"/>
        </w:rPr>
      </w:pPr>
    </w:p>
    <w:p w:rsidRPr="005B4152" w:rsidR="005B4152" w:rsidP="005B4152" w:rsidRDefault="0057142D" w14:paraId="0A00499C" w14:textId="0F9638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5B4152" w:rsidR="005B4152">
        <w:rPr>
          <w:rFonts w:ascii="Times New Roman" w:hAnsi="Times New Roman" w:cs="Times New Roman"/>
          <w:sz w:val="24"/>
          <w:szCs w:val="24"/>
        </w:rPr>
        <w:t xml:space="preserve">EPA has special procedures for small-volume </w:t>
      </w:r>
      <w:r w:rsidR="005B4152">
        <w:rPr>
          <w:rFonts w:ascii="Times New Roman" w:hAnsi="Times New Roman" w:cs="Times New Roman"/>
          <w:sz w:val="24"/>
          <w:szCs w:val="24"/>
        </w:rPr>
        <w:t>on-highway motorcycle</w:t>
      </w:r>
      <w:r w:rsidRPr="005B4152" w:rsidR="005B4152">
        <w:rPr>
          <w:rFonts w:ascii="Times New Roman" w:hAnsi="Times New Roman" w:cs="Times New Roman"/>
          <w:sz w:val="24"/>
          <w:szCs w:val="24"/>
        </w:rPr>
        <w:t xml:space="preserve"> manufacturer certifications; i.e., those whose total sales are less than 10,000 units per year. These special procedures allow the </w:t>
      </w:r>
      <w:r w:rsidR="003D6E8C">
        <w:rPr>
          <w:rFonts w:ascii="Times New Roman" w:hAnsi="Times New Roman" w:cs="Times New Roman"/>
          <w:sz w:val="24"/>
          <w:szCs w:val="24"/>
        </w:rPr>
        <w:t>“</w:t>
      </w:r>
      <w:r w:rsidRPr="005B4152" w:rsidR="005B4152">
        <w:rPr>
          <w:rFonts w:ascii="Times New Roman" w:hAnsi="Times New Roman" w:cs="Times New Roman"/>
          <w:sz w:val="24"/>
          <w:szCs w:val="24"/>
        </w:rPr>
        <w:t>small-volume</w:t>
      </w:r>
      <w:r w:rsidR="003D6E8C">
        <w:rPr>
          <w:rFonts w:ascii="Times New Roman" w:hAnsi="Times New Roman" w:cs="Times New Roman"/>
          <w:sz w:val="24"/>
          <w:szCs w:val="24"/>
        </w:rPr>
        <w:t>”</w:t>
      </w:r>
      <w:r w:rsidRPr="005B4152" w:rsidR="005B4152">
        <w:rPr>
          <w:rFonts w:ascii="Times New Roman" w:hAnsi="Times New Roman" w:cs="Times New Roman"/>
          <w:sz w:val="24"/>
          <w:szCs w:val="24"/>
        </w:rPr>
        <w:t xml:space="preserve"> manufacturer to submit a simplified application for certification with respect to durability demonstrations. These manufacturers also have reduced testing and reporting requirements. Further, by the very nature of their size, small volume manufacturers typically have very limited product lines. This characteristic both reduces the amount of information </w:t>
      </w:r>
      <w:r w:rsidR="003D6E8C">
        <w:rPr>
          <w:rFonts w:ascii="Times New Roman" w:hAnsi="Times New Roman" w:cs="Times New Roman"/>
          <w:sz w:val="24"/>
          <w:szCs w:val="24"/>
        </w:rPr>
        <w:t>that</w:t>
      </w:r>
      <w:r w:rsidRPr="005B4152" w:rsidR="003D6E8C">
        <w:rPr>
          <w:rFonts w:ascii="Times New Roman" w:hAnsi="Times New Roman" w:cs="Times New Roman"/>
          <w:sz w:val="24"/>
          <w:szCs w:val="24"/>
        </w:rPr>
        <w:t xml:space="preserve"> </w:t>
      </w:r>
      <w:r w:rsidRPr="005B4152" w:rsidR="005B4152">
        <w:rPr>
          <w:rFonts w:ascii="Times New Roman" w:hAnsi="Times New Roman" w:cs="Times New Roman"/>
          <w:sz w:val="24"/>
          <w:szCs w:val="24"/>
        </w:rPr>
        <w:t xml:space="preserve">must be submitted </w:t>
      </w:r>
      <w:r w:rsidRPr="005B4152" w:rsidR="00575074">
        <w:rPr>
          <w:rFonts w:ascii="Times New Roman" w:hAnsi="Times New Roman" w:cs="Times New Roman"/>
          <w:sz w:val="24"/>
          <w:szCs w:val="24"/>
        </w:rPr>
        <w:t>and</w:t>
      </w:r>
      <w:r w:rsidRPr="005B4152" w:rsidR="005B4152">
        <w:rPr>
          <w:rFonts w:ascii="Times New Roman" w:hAnsi="Times New Roman" w:cs="Times New Roman"/>
          <w:sz w:val="24"/>
          <w:szCs w:val="24"/>
        </w:rPr>
        <w:t xml:space="preserve"> simplifies the process of selecting the correct test vehicle(s). There are also several special provisions to reduce the regulatory burden on small highway motorcycle manufacturers</w:t>
      </w:r>
      <w:r w:rsidR="003D6E8C">
        <w:rPr>
          <w:rFonts w:ascii="Times New Roman" w:hAnsi="Times New Roman" w:cs="Times New Roman"/>
          <w:sz w:val="24"/>
          <w:szCs w:val="24"/>
        </w:rPr>
        <w:t>;</w:t>
      </w:r>
      <w:r w:rsidRPr="005B4152" w:rsidR="005B4152">
        <w:rPr>
          <w:rFonts w:ascii="Times New Roman" w:hAnsi="Times New Roman" w:cs="Times New Roman"/>
          <w:sz w:val="24"/>
          <w:szCs w:val="24"/>
        </w:rPr>
        <w:t xml:space="preserve"> in addition to hardship exemptions and program delays, manufacturers with sales less than 3000 </w:t>
      </w:r>
      <w:r w:rsidR="00841F8D">
        <w:rPr>
          <w:rFonts w:ascii="Times New Roman" w:hAnsi="Times New Roman" w:cs="Times New Roman"/>
          <w:sz w:val="24"/>
          <w:szCs w:val="24"/>
        </w:rPr>
        <w:t xml:space="preserve">units </w:t>
      </w:r>
      <w:r w:rsidRPr="005B4152" w:rsidR="005B4152">
        <w:rPr>
          <w:rFonts w:ascii="Times New Roman" w:hAnsi="Times New Roman" w:cs="Times New Roman"/>
          <w:sz w:val="24"/>
          <w:szCs w:val="24"/>
        </w:rPr>
        <w:t>per year and 500 employees may use broader d</w:t>
      </w:r>
      <w:r w:rsidR="00325928">
        <w:rPr>
          <w:rFonts w:ascii="Times New Roman" w:hAnsi="Times New Roman" w:cs="Times New Roman"/>
          <w:sz w:val="24"/>
          <w:szCs w:val="24"/>
        </w:rPr>
        <w:t>efinitions of engine categories</w:t>
      </w:r>
      <w:r w:rsidR="00EF5352">
        <w:rPr>
          <w:rFonts w:ascii="Times New Roman" w:hAnsi="Times New Roman" w:cs="Times New Roman"/>
          <w:sz w:val="24"/>
          <w:szCs w:val="24"/>
        </w:rPr>
        <w:t xml:space="preserve"> to group more engine families under one certification application</w:t>
      </w:r>
      <w:r w:rsidRPr="005B4152" w:rsidR="005B4152">
        <w:rPr>
          <w:rFonts w:ascii="Times New Roman" w:hAnsi="Times New Roman" w:cs="Times New Roman"/>
          <w:sz w:val="24"/>
          <w:szCs w:val="24"/>
        </w:rPr>
        <w:t xml:space="preserve">. </w:t>
      </w:r>
      <w:r w:rsidR="00EF5352">
        <w:rPr>
          <w:rFonts w:ascii="Times New Roman" w:hAnsi="Times New Roman" w:cs="Times New Roman"/>
          <w:sz w:val="24"/>
          <w:szCs w:val="24"/>
        </w:rPr>
        <w:t>This may result in fewer certification fees and less certification testing cost.</w:t>
      </w:r>
    </w:p>
    <w:p w:rsidRPr="005B4152" w:rsidR="005B4152" w:rsidP="005B4152" w:rsidRDefault="005B4152" w14:paraId="4814934E" w14:textId="77777777">
      <w:pPr>
        <w:spacing w:after="0" w:line="240" w:lineRule="auto"/>
        <w:rPr>
          <w:rFonts w:ascii="Times New Roman" w:hAnsi="Times New Roman" w:cs="Times New Roman"/>
          <w:sz w:val="24"/>
          <w:szCs w:val="24"/>
        </w:rPr>
      </w:pPr>
    </w:p>
    <w:p w:rsidRPr="005B4152" w:rsidR="005B4152" w:rsidP="005B4152" w:rsidRDefault="005B4152" w14:paraId="5863E290" w14:textId="77777777">
      <w:pPr>
        <w:spacing w:after="0" w:line="240" w:lineRule="auto"/>
        <w:rPr>
          <w:rFonts w:ascii="Times New Roman" w:hAnsi="Times New Roman" w:cs="Times New Roman"/>
          <w:sz w:val="24"/>
          <w:szCs w:val="24"/>
        </w:rPr>
      </w:pPr>
      <w:r w:rsidRPr="005B4152">
        <w:rPr>
          <w:rFonts w:ascii="Times New Roman" w:hAnsi="Times New Roman" w:cs="Times New Roman"/>
          <w:sz w:val="24"/>
          <w:szCs w:val="24"/>
        </w:rPr>
        <w:t xml:space="preserve">5(d) </w:t>
      </w:r>
      <w:r w:rsidRPr="005B4152">
        <w:rPr>
          <w:rFonts w:ascii="Times New Roman" w:hAnsi="Times New Roman" w:cs="Times New Roman"/>
          <w:sz w:val="24"/>
          <w:szCs w:val="24"/>
          <w:u w:val="single"/>
        </w:rPr>
        <w:t>Collection Schedule</w:t>
      </w:r>
    </w:p>
    <w:p w:rsidRPr="005B4152" w:rsidR="005B4152" w:rsidP="005B4152" w:rsidRDefault="005B4152" w14:paraId="0AF7963E" w14:textId="77777777">
      <w:pPr>
        <w:spacing w:after="0" w:line="240" w:lineRule="auto"/>
        <w:rPr>
          <w:rFonts w:ascii="Times New Roman" w:hAnsi="Times New Roman" w:cs="Times New Roman"/>
          <w:sz w:val="24"/>
          <w:szCs w:val="24"/>
        </w:rPr>
      </w:pPr>
    </w:p>
    <w:p w:rsidR="005B4152" w:rsidP="005B4152" w:rsidRDefault="00841F8D" w14:paraId="574B7987" w14:textId="6C04EA91">
      <w:pPr>
        <w:spacing w:after="0" w:line="240" w:lineRule="auto"/>
        <w:rPr>
          <w:rFonts w:ascii="Times New Roman" w:hAnsi="Times New Roman" w:cs="Times New Roman"/>
          <w:sz w:val="24"/>
          <w:szCs w:val="24"/>
        </w:rPr>
      </w:pPr>
      <w:r>
        <w:rPr>
          <w:rFonts w:ascii="Times New Roman" w:hAnsi="Times New Roman" w:cs="Times New Roman"/>
          <w:sz w:val="24"/>
          <w:szCs w:val="24"/>
        </w:rPr>
        <w:t>Manufacturers must submit i</w:t>
      </w:r>
      <w:r w:rsidRPr="005B4152" w:rsidR="005B4152">
        <w:rPr>
          <w:rFonts w:ascii="Times New Roman" w:hAnsi="Times New Roman" w:cs="Times New Roman"/>
          <w:sz w:val="24"/>
          <w:szCs w:val="24"/>
        </w:rPr>
        <w:t xml:space="preserve">nformation for each “model year” that </w:t>
      </w:r>
      <w:r>
        <w:rPr>
          <w:rFonts w:ascii="Times New Roman" w:hAnsi="Times New Roman" w:cs="Times New Roman"/>
          <w:sz w:val="24"/>
          <w:szCs w:val="24"/>
        </w:rPr>
        <w:t xml:space="preserve">it </w:t>
      </w:r>
      <w:r w:rsidRPr="005B4152" w:rsidR="005B4152">
        <w:rPr>
          <w:rFonts w:ascii="Times New Roman" w:hAnsi="Times New Roman" w:cs="Times New Roman"/>
          <w:sz w:val="24"/>
          <w:szCs w:val="24"/>
        </w:rPr>
        <w:t xml:space="preserve">intends to build (or import) vehicles. Submission is by </w:t>
      </w:r>
      <w:r>
        <w:rPr>
          <w:rFonts w:ascii="Times New Roman" w:hAnsi="Times New Roman" w:cs="Times New Roman"/>
          <w:sz w:val="24"/>
          <w:szCs w:val="24"/>
        </w:rPr>
        <w:t>“</w:t>
      </w:r>
      <w:r w:rsidRPr="005B4152" w:rsidR="005B4152">
        <w:rPr>
          <w:rFonts w:ascii="Times New Roman" w:hAnsi="Times New Roman" w:cs="Times New Roman"/>
          <w:sz w:val="24"/>
          <w:szCs w:val="24"/>
        </w:rPr>
        <w:t>engine family</w:t>
      </w:r>
      <w:r>
        <w:rPr>
          <w:rFonts w:ascii="Times New Roman" w:hAnsi="Times New Roman" w:cs="Times New Roman"/>
          <w:sz w:val="24"/>
          <w:szCs w:val="24"/>
        </w:rPr>
        <w:t>”</w:t>
      </w:r>
      <w:r w:rsidR="003D6E8C">
        <w:rPr>
          <w:rFonts w:ascii="Times New Roman" w:hAnsi="Times New Roman" w:cs="Times New Roman"/>
          <w:sz w:val="24"/>
          <w:szCs w:val="24"/>
        </w:rPr>
        <w:t xml:space="preserve"> designation.</w:t>
      </w:r>
      <w:r w:rsidRPr="005B4152" w:rsidR="005B4152">
        <w:rPr>
          <w:rFonts w:ascii="Times New Roman" w:hAnsi="Times New Roman" w:cs="Times New Roman"/>
          <w:sz w:val="24"/>
          <w:szCs w:val="24"/>
        </w:rPr>
        <w:t xml:space="preserve"> </w:t>
      </w:r>
      <w:r w:rsidR="00A02242">
        <w:rPr>
          <w:rFonts w:ascii="Times New Roman" w:hAnsi="Times New Roman" w:cs="Times New Roman"/>
          <w:sz w:val="24"/>
          <w:szCs w:val="24"/>
        </w:rPr>
        <w:t xml:space="preserve">A “model year” approximates when a product is produced. </w:t>
      </w:r>
      <w:r w:rsidR="00402331">
        <w:rPr>
          <w:rFonts w:ascii="Times New Roman" w:hAnsi="Times New Roman" w:cs="Times New Roman"/>
          <w:sz w:val="24"/>
          <w:szCs w:val="24"/>
        </w:rPr>
        <w:t>Engines and v</w:t>
      </w:r>
      <w:r w:rsidRPr="00A02242" w:rsidR="00A02242">
        <w:rPr>
          <w:rFonts w:ascii="Times New Roman" w:hAnsi="Times New Roman" w:cs="Times New Roman"/>
          <w:sz w:val="24"/>
          <w:szCs w:val="24"/>
        </w:rPr>
        <w:t xml:space="preserve">ehicles </w:t>
      </w:r>
      <w:r w:rsidR="00A02242">
        <w:rPr>
          <w:rFonts w:ascii="Times New Roman" w:hAnsi="Times New Roman" w:cs="Times New Roman"/>
          <w:sz w:val="24"/>
          <w:szCs w:val="24"/>
        </w:rPr>
        <w:t>can</w:t>
      </w:r>
      <w:r w:rsidRPr="00A02242" w:rsidR="00A02242">
        <w:rPr>
          <w:rFonts w:ascii="Times New Roman" w:hAnsi="Times New Roman" w:cs="Times New Roman"/>
          <w:sz w:val="24"/>
          <w:szCs w:val="24"/>
        </w:rPr>
        <w:t xml:space="preserve"> be designated the next model-year if manufactured by Jan</w:t>
      </w:r>
      <w:r w:rsidR="00402331">
        <w:rPr>
          <w:rFonts w:ascii="Times New Roman" w:hAnsi="Times New Roman" w:cs="Times New Roman"/>
          <w:sz w:val="24"/>
          <w:szCs w:val="24"/>
        </w:rPr>
        <w:t>uary</w:t>
      </w:r>
      <w:r w:rsidRPr="00A02242" w:rsidR="00A02242">
        <w:rPr>
          <w:rFonts w:ascii="Times New Roman" w:hAnsi="Times New Roman" w:cs="Times New Roman"/>
          <w:sz w:val="24"/>
          <w:szCs w:val="24"/>
        </w:rPr>
        <w:t xml:space="preserve"> </w:t>
      </w:r>
      <w:r w:rsidR="000119A4">
        <w:rPr>
          <w:rFonts w:ascii="Times New Roman" w:hAnsi="Times New Roman" w:cs="Times New Roman"/>
          <w:sz w:val="24"/>
          <w:szCs w:val="24"/>
        </w:rPr>
        <w:t>2</w:t>
      </w:r>
      <w:r w:rsidRPr="00A02242" w:rsidR="00A02242">
        <w:rPr>
          <w:rFonts w:ascii="Times New Roman" w:hAnsi="Times New Roman" w:cs="Times New Roman"/>
          <w:sz w:val="24"/>
          <w:szCs w:val="24"/>
        </w:rPr>
        <w:t xml:space="preserve"> of the preceding calendar-year. For instance, </w:t>
      </w:r>
      <w:r w:rsidR="00A02242">
        <w:rPr>
          <w:rFonts w:ascii="Times New Roman" w:hAnsi="Times New Roman" w:cs="Times New Roman"/>
          <w:sz w:val="24"/>
          <w:szCs w:val="24"/>
        </w:rPr>
        <w:t>a 201</w:t>
      </w:r>
      <w:r w:rsidR="003D6E8C">
        <w:rPr>
          <w:rFonts w:ascii="Times New Roman" w:hAnsi="Times New Roman" w:cs="Times New Roman"/>
          <w:sz w:val="24"/>
          <w:szCs w:val="24"/>
        </w:rPr>
        <w:t>9</w:t>
      </w:r>
      <w:r w:rsidR="00A02242">
        <w:rPr>
          <w:rFonts w:ascii="Times New Roman" w:hAnsi="Times New Roman" w:cs="Times New Roman"/>
          <w:sz w:val="24"/>
          <w:szCs w:val="24"/>
        </w:rPr>
        <w:t xml:space="preserve"> model year engine or vehicle can be produced </w:t>
      </w:r>
      <w:r w:rsidR="00402331">
        <w:rPr>
          <w:rFonts w:ascii="Times New Roman" w:hAnsi="Times New Roman" w:cs="Times New Roman"/>
          <w:sz w:val="24"/>
          <w:szCs w:val="24"/>
        </w:rPr>
        <w:t>from</w:t>
      </w:r>
      <w:r w:rsidR="00A02242">
        <w:rPr>
          <w:rFonts w:ascii="Times New Roman" w:hAnsi="Times New Roman" w:cs="Times New Roman"/>
          <w:sz w:val="24"/>
          <w:szCs w:val="24"/>
        </w:rPr>
        <w:t xml:space="preserve"> January 2, 201</w:t>
      </w:r>
      <w:r w:rsidR="003D6E8C">
        <w:rPr>
          <w:rFonts w:ascii="Times New Roman" w:hAnsi="Times New Roman" w:cs="Times New Roman"/>
          <w:sz w:val="24"/>
          <w:szCs w:val="24"/>
        </w:rPr>
        <w:t>8</w:t>
      </w:r>
      <w:r w:rsidR="00402331">
        <w:rPr>
          <w:rFonts w:ascii="Times New Roman" w:hAnsi="Times New Roman" w:cs="Times New Roman"/>
          <w:sz w:val="24"/>
          <w:szCs w:val="24"/>
        </w:rPr>
        <w:t xml:space="preserve"> through December 31, 201</w:t>
      </w:r>
      <w:r w:rsidR="003D6E8C">
        <w:rPr>
          <w:rFonts w:ascii="Times New Roman" w:hAnsi="Times New Roman" w:cs="Times New Roman"/>
          <w:sz w:val="24"/>
          <w:szCs w:val="24"/>
        </w:rPr>
        <w:t>9</w:t>
      </w:r>
      <w:r w:rsidRPr="005B4152" w:rsidR="005B4152">
        <w:rPr>
          <w:rFonts w:ascii="Times New Roman" w:hAnsi="Times New Roman" w:cs="Times New Roman"/>
          <w:sz w:val="24"/>
          <w:szCs w:val="24"/>
        </w:rPr>
        <w:t>. If a product is unchanged between model years, much of the information can be carried over</w:t>
      </w:r>
      <w:r w:rsidR="003D6E8C">
        <w:rPr>
          <w:rFonts w:ascii="Times New Roman" w:hAnsi="Times New Roman" w:cs="Times New Roman"/>
          <w:sz w:val="24"/>
          <w:szCs w:val="24"/>
        </w:rPr>
        <w:t xml:space="preserve"> to the new model year application</w:t>
      </w:r>
      <w:r w:rsidRPr="005B4152" w:rsidR="005B4152">
        <w:rPr>
          <w:rFonts w:ascii="Times New Roman" w:hAnsi="Times New Roman" w:cs="Times New Roman"/>
          <w:sz w:val="24"/>
          <w:szCs w:val="24"/>
        </w:rPr>
        <w:t xml:space="preserve">. The collection frequency and burden are determined to a large extent by the manufacturer’s marketing and production plans. However, as required by law, some submission is required for each model year’s production. </w:t>
      </w:r>
    </w:p>
    <w:p w:rsidR="00325928" w:rsidP="005B4152" w:rsidRDefault="00325928" w14:paraId="058201F2" w14:textId="77777777">
      <w:pPr>
        <w:spacing w:after="0" w:line="240" w:lineRule="auto"/>
        <w:rPr>
          <w:rFonts w:ascii="Times New Roman" w:hAnsi="Times New Roman" w:cs="Times New Roman"/>
          <w:sz w:val="24"/>
          <w:szCs w:val="24"/>
        </w:rPr>
      </w:pPr>
    </w:p>
    <w:p w:rsidRPr="00325928" w:rsidR="00325928" w:rsidP="006E6BCD" w:rsidRDefault="00325928" w14:paraId="6791427B" w14:textId="77777777">
      <w:pPr>
        <w:keepNext/>
        <w:keepLines/>
        <w:spacing w:after="0" w:line="240" w:lineRule="auto"/>
        <w:rPr>
          <w:rFonts w:ascii="Times New Roman" w:hAnsi="Times New Roman" w:cs="Times New Roman"/>
          <w:sz w:val="24"/>
          <w:szCs w:val="24"/>
          <w:u w:val="single"/>
        </w:rPr>
      </w:pPr>
      <w:r w:rsidRPr="00325928">
        <w:rPr>
          <w:rFonts w:ascii="Times New Roman" w:hAnsi="Times New Roman" w:cs="Times New Roman"/>
          <w:sz w:val="24"/>
          <w:szCs w:val="24"/>
          <w:u w:val="single"/>
        </w:rPr>
        <w:t>Section 6: Estimating the Burden and Cost of the Collection</w:t>
      </w:r>
    </w:p>
    <w:p w:rsidR="00E866D1" w:rsidP="006E6BCD" w:rsidRDefault="00E866D1" w14:paraId="4AB050E9" w14:textId="77777777">
      <w:pPr>
        <w:keepNext/>
        <w:keepLines/>
        <w:spacing w:after="0" w:line="240" w:lineRule="auto"/>
        <w:rPr>
          <w:rFonts w:ascii="Times New Roman" w:hAnsi="Times New Roman" w:cs="Times New Roman"/>
          <w:sz w:val="24"/>
          <w:szCs w:val="24"/>
        </w:rPr>
      </w:pPr>
    </w:p>
    <w:p w:rsidRPr="00325928" w:rsidR="00325928" w:rsidP="006E6BCD" w:rsidRDefault="00325928" w14:paraId="691CC785" w14:textId="77777777">
      <w:pPr>
        <w:keepNext/>
        <w:keepLines/>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6(a) </w:t>
      </w:r>
      <w:r w:rsidRPr="00325928">
        <w:rPr>
          <w:rFonts w:ascii="Times New Roman" w:hAnsi="Times New Roman" w:cs="Times New Roman"/>
          <w:sz w:val="24"/>
          <w:szCs w:val="24"/>
          <w:u w:val="single"/>
        </w:rPr>
        <w:t xml:space="preserve">Estimating Respondent Burden </w:t>
      </w:r>
    </w:p>
    <w:p w:rsidRPr="00325928" w:rsidR="00325928" w:rsidP="006E6BCD" w:rsidRDefault="00325928" w14:paraId="101F2118" w14:textId="77777777">
      <w:pPr>
        <w:keepNext/>
        <w:keepLines/>
        <w:spacing w:after="0" w:line="240" w:lineRule="auto"/>
        <w:rPr>
          <w:rFonts w:ascii="Times New Roman" w:hAnsi="Times New Roman" w:cs="Times New Roman"/>
          <w:sz w:val="24"/>
          <w:szCs w:val="24"/>
        </w:rPr>
      </w:pPr>
    </w:p>
    <w:p w:rsidRPr="00325928" w:rsidR="00325928" w:rsidP="006E6BCD" w:rsidRDefault="00325928" w14:paraId="15455F27" w14:textId="0CFE4499">
      <w:pPr>
        <w:keepNext/>
        <w:keepLines/>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The burden estimates below consider the </w:t>
      </w:r>
      <w:r w:rsidR="00C06FD0">
        <w:rPr>
          <w:rFonts w:ascii="Times New Roman" w:hAnsi="Times New Roman" w:cs="Times New Roman"/>
          <w:sz w:val="24"/>
          <w:szCs w:val="24"/>
        </w:rPr>
        <w:t>HMC</w:t>
      </w:r>
      <w:r w:rsidRPr="00325928">
        <w:rPr>
          <w:rFonts w:ascii="Times New Roman" w:hAnsi="Times New Roman" w:cs="Times New Roman"/>
          <w:sz w:val="24"/>
          <w:szCs w:val="24"/>
        </w:rPr>
        <w:t xml:space="preserve"> program described above</w:t>
      </w:r>
      <w:r>
        <w:rPr>
          <w:rFonts w:ascii="Times New Roman" w:hAnsi="Times New Roman" w:cs="Times New Roman"/>
          <w:sz w:val="24"/>
          <w:szCs w:val="24"/>
        </w:rPr>
        <w:t xml:space="preserve"> in </w:t>
      </w:r>
      <w:r w:rsidRPr="00325928">
        <w:rPr>
          <w:rFonts w:ascii="Times New Roman" w:hAnsi="Times New Roman" w:cs="Times New Roman"/>
          <w:sz w:val="24"/>
          <w:szCs w:val="24"/>
        </w:rPr>
        <w:t xml:space="preserve">section </w:t>
      </w:r>
      <w:r w:rsidR="004C703A">
        <w:rPr>
          <w:rFonts w:ascii="Times New Roman" w:hAnsi="Times New Roman" w:cs="Times New Roman"/>
          <w:sz w:val="24"/>
          <w:szCs w:val="24"/>
        </w:rPr>
        <w:t>4</w:t>
      </w:r>
      <w:r w:rsidRPr="00325928">
        <w:rPr>
          <w:rFonts w:ascii="Times New Roman" w:hAnsi="Times New Roman" w:cs="Times New Roman"/>
          <w:sz w:val="24"/>
          <w:szCs w:val="24"/>
        </w:rPr>
        <w:t xml:space="preserve">. </w:t>
      </w:r>
    </w:p>
    <w:p w:rsidRPr="00325928" w:rsidR="00325928" w:rsidP="00325928" w:rsidRDefault="00325928" w14:paraId="21600EF2" w14:textId="77777777">
      <w:pPr>
        <w:spacing w:after="0" w:line="240" w:lineRule="auto"/>
        <w:rPr>
          <w:rFonts w:ascii="Times New Roman" w:hAnsi="Times New Roman" w:cs="Times New Roman"/>
          <w:sz w:val="24"/>
          <w:szCs w:val="24"/>
        </w:rPr>
      </w:pPr>
    </w:p>
    <w:p w:rsidRPr="00325928" w:rsidR="00325928" w:rsidP="00325928" w:rsidRDefault="00325928" w14:paraId="7D2A2118" w14:textId="6A6E4E53">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In agreement with this ICR, each </w:t>
      </w:r>
      <w:r>
        <w:rPr>
          <w:rFonts w:ascii="Times New Roman" w:hAnsi="Times New Roman" w:cs="Times New Roman"/>
          <w:sz w:val="24"/>
          <w:szCs w:val="24"/>
        </w:rPr>
        <w:t>manufacturer</w:t>
      </w:r>
      <w:r w:rsidRPr="00325928">
        <w:rPr>
          <w:rFonts w:ascii="Times New Roman" w:hAnsi="Times New Roman" w:cs="Times New Roman"/>
          <w:sz w:val="24"/>
          <w:szCs w:val="24"/>
        </w:rPr>
        <w:t xml:space="preserve">’s activities </w:t>
      </w:r>
      <w:r>
        <w:rPr>
          <w:rFonts w:ascii="Times New Roman" w:hAnsi="Times New Roman" w:cs="Times New Roman"/>
          <w:sz w:val="24"/>
          <w:szCs w:val="24"/>
        </w:rPr>
        <w:t xml:space="preserve">toward certification or a related reporting </w:t>
      </w:r>
      <w:r w:rsidR="003D6E8C">
        <w:rPr>
          <w:rFonts w:ascii="Times New Roman" w:hAnsi="Times New Roman" w:cs="Times New Roman"/>
          <w:sz w:val="24"/>
          <w:szCs w:val="24"/>
        </w:rPr>
        <w:t xml:space="preserve">or record keeping </w:t>
      </w:r>
      <w:r>
        <w:rPr>
          <w:rFonts w:ascii="Times New Roman" w:hAnsi="Times New Roman" w:cs="Times New Roman"/>
          <w:sz w:val="24"/>
          <w:szCs w:val="24"/>
        </w:rPr>
        <w:t xml:space="preserve">requirement </w:t>
      </w:r>
      <w:r w:rsidRPr="00325928">
        <w:rPr>
          <w:rFonts w:ascii="Times New Roman" w:hAnsi="Times New Roman" w:cs="Times New Roman"/>
          <w:sz w:val="24"/>
          <w:szCs w:val="24"/>
        </w:rPr>
        <w:t>is counted as a “response”. As explained in support of that action, this is by far the most logical and tractable unit of activity for burden accounting.</w:t>
      </w:r>
    </w:p>
    <w:p w:rsidRPr="00325928" w:rsidR="00325928" w:rsidP="00325928" w:rsidRDefault="00325928" w14:paraId="544484FD" w14:textId="77777777">
      <w:pPr>
        <w:spacing w:after="0" w:line="240" w:lineRule="auto"/>
        <w:rPr>
          <w:rFonts w:ascii="Times New Roman" w:hAnsi="Times New Roman" w:cs="Times New Roman"/>
          <w:sz w:val="24"/>
          <w:szCs w:val="24"/>
        </w:rPr>
      </w:pPr>
    </w:p>
    <w:p w:rsidRPr="00325928" w:rsidR="00325928" w:rsidP="00325928" w:rsidRDefault="00325928" w14:paraId="63AEADB5" w14:textId="1CF67E54">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Within the </w:t>
      </w:r>
      <w:r w:rsidR="00C06FD0">
        <w:rPr>
          <w:rFonts w:ascii="Times New Roman" w:hAnsi="Times New Roman" w:cs="Times New Roman"/>
          <w:sz w:val="24"/>
          <w:szCs w:val="24"/>
        </w:rPr>
        <w:t>HMC</w:t>
      </w:r>
      <w:r w:rsidRPr="00325928">
        <w:rPr>
          <w:rFonts w:ascii="Times New Roman" w:hAnsi="Times New Roman" w:cs="Times New Roman"/>
          <w:sz w:val="24"/>
          <w:szCs w:val="24"/>
        </w:rPr>
        <w:t xml:space="preserve"> program, the estimation of respondent burden hours and respondent costs essentially breaks down as testing costs, which constitute the majority of Operations and Maintenance; testing facilities costs, which constitute the majority of Startup and Capital; the labor hours to conduct the tests; and additional costs and hours associated with other reporting and recordkeeping burdens</w:t>
      </w:r>
      <w:r w:rsidR="00BA3D4D">
        <w:rPr>
          <w:rFonts w:ascii="Times New Roman" w:hAnsi="Times New Roman" w:cs="Times New Roman"/>
          <w:sz w:val="24"/>
          <w:szCs w:val="24"/>
        </w:rPr>
        <w:t xml:space="preserve">, including amendments to a certificate of conformity and </w:t>
      </w:r>
      <w:r w:rsidR="00E64AEE">
        <w:rPr>
          <w:rFonts w:ascii="Times New Roman" w:hAnsi="Times New Roman" w:cs="Times New Roman"/>
          <w:sz w:val="24"/>
          <w:szCs w:val="24"/>
        </w:rPr>
        <w:t>compliance testing responses</w:t>
      </w:r>
      <w:r w:rsidRPr="00325928">
        <w:rPr>
          <w:rFonts w:ascii="Times New Roman" w:hAnsi="Times New Roman" w:cs="Times New Roman"/>
          <w:sz w:val="24"/>
          <w:szCs w:val="24"/>
        </w:rPr>
        <w:t xml:space="preserve">. In addition, some features are specific to </w:t>
      </w:r>
      <w:proofErr w:type="gramStart"/>
      <w:r w:rsidRPr="00325928">
        <w:rPr>
          <w:rFonts w:ascii="Times New Roman" w:hAnsi="Times New Roman" w:cs="Times New Roman"/>
          <w:sz w:val="24"/>
          <w:szCs w:val="24"/>
        </w:rPr>
        <w:t>particular programs</w:t>
      </w:r>
      <w:proofErr w:type="gramEnd"/>
      <w:r w:rsidRPr="00325928">
        <w:rPr>
          <w:rFonts w:ascii="Times New Roman" w:hAnsi="Times New Roman" w:cs="Times New Roman"/>
          <w:sz w:val="24"/>
          <w:szCs w:val="24"/>
        </w:rPr>
        <w:t xml:space="preserve"> </w:t>
      </w:r>
      <w:r>
        <w:rPr>
          <w:rFonts w:ascii="Times New Roman" w:hAnsi="Times New Roman" w:cs="Times New Roman"/>
          <w:sz w:val="24"/>
          <w:szCs w:val="24"/>
        </w:rPr>
        <w:t>(notably</w:t>
      </w:r>
      <w:r w:rsidRPr="00325928">
        <w:rPr>
          <w:rFonts w:ascii="Times New Roman" w:hAnsi="Times New Roman" w:cs="Times New Roman"/>
          <w:sz w:val="24"/>
          <w:szCs w:val="24"/>
        </w:rPr>
        <w:t xml:space="preserve"> permeation testing). </w:t>
      </w:r>
    </w:p>
    <w:p w:rsidRPr="00325928" w:rsidR="00325928" w:rsidP="00325928" w:rsidRDefault="00325928" w14:paraId="3F4AE3C0" w14:textId="77777777">
      <w:pPr>
        <w:spacing w:after="0" w:line="240" w:lineRule="auto"/>
        <w:rPr>
          <w:rFonts w:ascii="Times New Roman" w:hAnsi="Times New Roman" w:cs="Times New Roman"/>
          <w:sz w:val="24"/>
          <w:szCs w:val="24"/>
        </w:rPr>
      </w:pPr>
    </w:p>
    <w:p w:rsidRPr="00325928" w:rsidR="00325928" w:rsidP="00325928" w:rsidRDefault="00C26068" w14:paraId="37102547" w14:textId="6A07B7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ICR has been updated to reflect certification information </w:t>
      </w:r>
      <w:r w:rsidR="00182071">
        <w:rPr>
          <w:rFonts w:ascii="Times New Roman" w:hAnsi="Times New Roman" w:cs="Times New Roman"/>
          <w:sz w:val="24"/>
          <w:szCs w:val="24"/>
        </w:rPr>
        <w:t>over the previous three years, assessing the most accurate information for our estimates under this ICR</w:t>
      </w:r>
      <w:r>
        <w:rPr>
          <w:rFonts w:ascii="Times New Roman" w:hAnsi="Times New Roman" w:cs="Times New Roman"/>
          <w:sz w:val="24"/>
          <w:szCs w:val="24"/>
        </w:rPr>
        <w:t>.</w:t>
      </w:r>
      <w:r w:rsidR="00830CE7">
        <w:rPr>
          <w:rFonts w:ascii="Times New Roman" w:hAnsi="Times New Roman" w:cs="Times New Roman"/>
          <w:sz w:val="24"/>
          <w:szCs w:val="24"/>
        </w:rPr>
        <w:t xml:space="preserve"> </w:t>
      </w:r>
      <w:r w:rsidR="00182EC7">
        <w:rPr>
          <w:rFonts w:ascii="Times New Roman" w:hAnsi="Times New Roman" w:cs="Times New Roman"/>
          <w:sz w:val="24"/>
          <w:szCs w:val="24"/>
        </w:rPr>
        <w:t xml:space="preserve">The data used in this ICR may be found on the EPA website at </w:t>
      </w:r>
      <w:hyperlink w:history="1" r:id="rId14">
        <w:r w:rsidRPr="001B7EB6" w:rsidR="00182EC7">
          <w:rPr>
            <w:rStyle w:val="Hyperlink"/>
            <w:rFonts w:ascii="Times New Roman" w:hAnsi="Times New Roman" w:cs="Times New Roman"/>
            <w:sz w:val="24"/>
            <w:szCs w:val="24"/>
          </w:rPr>
          <w:t>https://www3.epa.gov/otaq/crttst.htm</w:t>
        </w:r>
      </w:hyperlink>
      <w:r w:rsidRPr="001B7EB6" w:rsidR="00182EC7">
        <w:rPr>
          <w:rFonts w:ascii="Times New Roman" w:hAnsi="Times New Roman" w:cs="Times New Roman"/>
          <w:sz w:val="24"/>
          <w:szCs w:val="24"/>
        </w:rPr>
        <w:t>.</w:t>
      </w:r>
    </w:p>
    <w:p w:rsidRPr="00325928" w:rsidR="00325928" w:rsidP="00325928" w:rsidRDefault="00325928" w14:paraId="0172D72F" w14:textId="77777777">
      <w:pPr>
        <w:spacing w:after="0" w:line="240" w:lineRule="auto"/>
        <w:rPr>
          <w:rFonts w:ascii="Times New Roman" w:hAnsi="Times New Roman" w:cs="Times New Roman"/>
          <w:sz w:val="24"/>
          <w:szCs w:val="24"/>
        </w:rPr>
      </w:pPr>
    </w:p>
    <w:p w:rsidRPr="00325928" w:rsidR="00325928" w:rsidP="00325928" w:rsidRDefault="00325928" w14:paraId="2DB5D701" w14:textId="0F7E6D9F">
      <w:pPr>
        <w:spacing w:after="0" w:line="240" w:lineRule="auto"/>
        <w:rPr>
          <w:rFonts w:ascii="Times New Roman" w:hAnsi="Times New Roman" w:cs="Times New Roman"/>
          <w:sz w:val="24"/>
          <w:szCs w:val="24"/>
        </w:rPr>
      </w:pPr>
      <w:r w:rsidRPr="00325928">
        <w:rPr>
          <w:rFonts w:ascii="Times New Roman" w:hAnsi="Times New Roman" w:cs="Times New Roman"/>
          <w:sz w:val="24"/>
          <w:szCs w:val="24"/>
        </w:rPr>
        <w:t xml:space="preserve">The present burden estimate continues the process of updating based on a renewed examination of the burdens, consultations with industry, and consultations with program administrators within </w:t>
      </w:r>
      <w:r w:rsidR="006E6BCD">
        <w:rPr>
          <w:rFonts w:ascii="Times New Roman" w:hAnsi="Times New Roman" w:cs="Times New Roman"/>
          <w:sz w:val="24"/>
          <w:szCs w:val="24"/>
        </w:rPr>
        <w:t xml:space="preserve">the </w:t>
      </w:r>
      <w:r w:rsidRPr="00325928">
        <w:rPr>
          <w:rFonts w:ascii="Times New Roman" w:hAnsi="Times New Roman" w:cs="Times New Roman"/>
          <w:sz w:val="24"/>
          <w:szCs w:val="24"/>
        </w:rPr>
        <w:t xml:space="preserve">EPA. </w:t>
      </w:r>
      <w:r w:rsidR="00182EC7">
        <w:rPr>
          <w:rFonts w:ascii="Times New Roman" w:hAnsi="Times New Roman" w:cs="Times New Roman"/>
          <w:sz w:val="24"/>
          <w:szCs w:val="24"/>
        </w:rPr>
        <w:t>The Respondent hours reflected in this ICR represent EPA’s most recent and continuing conversation with industry contacts and informal conversations with industry practitioners through the certification and compliance process.</w:t>
      </w:r>
    </w:p>
    <w:p w:rsidRPr="00325928" w:rsidR="00325928" w:rsidP="00325928" w:rsidRDefault="00325928" w14:paraId="34060C4B" w14:textId="77777777">
      <w:pPr>
        <w:spacing w:after="0" w:line="240" w:lineRule="auto"/>
        <w:rPr>
          <w:rFonts w:ascii="Times New Roman" w:hAnsi="Times New Roman" w:cs="Times New Roman"/>
          <w:sz w:val="24"/>
          <w:szCs w:val="24"/>
        </w:rPr>
      </w:pPr>
    </w:p>
    <w:p w:rsidRPr="00325928" w:rsidR="00325928" w:rsidP="00325928" w:rsidRDefault="00983657" w14:paraId="671270CC" w14:textId="0E85E2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calculate </w:t>
      </w:r>
      <w:r w:rsidRPr="00325928" w:rsidR="00325928">
        <w:rPr>
          <w:rFonts w:ascii="Times New Roman" w:hAnsi="Times New Roman" w:cs="Times New Roman"/>
          <w:sz w:val="24"/>
          <w:szCs w:val="24"/>
        </w:rPr>
        <w:t xml:space="preserve">reporting and recordkeeping burdens we start with the burden of submitting information to </w:t>
      </w:r>
      <w:r w:rsidR="0057142D">
        <w:rPr>
          <w:rFonts w:ascii="Times New Roman" w:hAnsi="Times New Roman" w:cs="Times New Roman"/>
          <w:sz w:val="24"/>
          <w:szCs w:val="24"/>
        </w:rPr>
        <w:t xml:space="preserve">the </w:t>
      </w:r>
      <w:r w:rsidRPr="00325928" w:rsidR="00325928">
        <w:rPr>
          <w:rFonts w:ascii="Times New Roman" w:hAnsi="Times New Roman" w:cs="Times New Roman"/>
          <w:sz w:val="24"/>
          <w:szCs w:val="24"/>
        </w:rPr>
        <w:t xml:space="preserve">EPA and </w:t>
      </w:r>
      <w:r w:rsidR="00182071">
        <w:rPr>
          <w:rFonts w:ascii="Times New Roman" w:hAnsi="Times New Roman" w:cs="Times New Roman"/>
          <w:sz w:val="24"/>
          <w:szCs w:val="24"/>
        </w:rPr>
        <w:t>storing</w:t>
      </w:r>
      <w:r w:rsidRPr="00325928" w:rsidR="00325928">
        <w:rPr>
          <w:rFonts w:ascii="Times New Roman" w:hAnsi="Times New Roman" w:cs="Times New Roman"/>
          <w:sz w:val="24"/>
          <w:szCs w:val="24"/>
        </w:rPr>
        <w:t xml:space="preserve"> that </w:t>
      </w:r>
      <w:r w:rsidRPr="00325928" w:rsidR="00182071">
        <w:rPr>
          <w:rFonts w:ascii="Times New Roman" w:hAnsi="Times New Roman" w:cs="Times New Roman"/>
          <w:sz w:val="24"/>
          <w:szCs w:val="24"/>
        </w:rPr>
        <w:t>information</w:t>
      </w:r>
      <w:r w:rsidR="00182071">
        <w:rPr>
          <w:rFonts w:ascii="Times New Roman" w:hAnsi="Times New Roman" w:cs="Times New Roman"/>
          <w:sz w:val="24"/>
          <w:szCs w:val="24"/>
        </w:rPr>
        <w:t xml:space="preserve">, then </w:t>
      </w:r>
      <w:r w:rsidRPr="00325928" w:rsidR="00325928">
        <w:rPr>
          <w:rFonts w:ascii="Times New Roman" w:hAnsi="Times New Roman" w:cs="Times New Roman"/>
          <w:sz w:val="24"/>
          <w:szCs w:val="24"/>
        </w:rPr>
        <w:t xml:space="preserve">we consider the costs of developing the information that </w:t>
      </w:r>
      <w:r w:rsidRPr="00325928" w:rsidR="00575074">
        <w:rPr>
          <w:rFonts w:ascii="Times New Roman" w:hAnsi="Times New Roman" w:cs="Times New Roman"/>
          <w:sz w:val="24"/>
          <w:szCs w:val="24"/>
        </w:rPr>
        <w:t>must</w:t>
      </w:r>
      <w:r w:rsidRPr="00325928" w:rsidR="00325928">
        <w:rPr>
          <w:rFonts w:ascii="Times New Roman" w:hAnsi="Times New Roman" w:cs="Times New Roman"/>
          <w:sz w:val="24"/>
          <w:szCs w:val="24"/>
        </w:rPr>
        <w:t xml:space="preserve"> be reported. Consequently, this ICR has traditionally included the burden of conducting tests that have to be reported to support </w:t>
      </w:r>
      <w:r w:rsidR="00396982">
        <w:rPr>
          <w:rFonts w:ascii="Times New Roman" w:hAnsi="Times New Roman" w:cs="Times New Roman"/>
          <w:sz w:val="24"/>
          <w:szCs w:val="24"/>
        </w:rPr>
        <w:t xml:space="preserve">the </w:t>
      </w:r>
      <w:r w:rsidRPr="00325928" w:rsidR="00325928">
        <w:rPr>
          <w:rFonts w:ascii="Times New Roman" w:hAnsi="Times New Roman" w:cs="Times New Roman"/>
          <w:sz w:val="24"/>
          <w:szCs w:val="24"/>
        </w:rPr>
        <w:t xml:space="preserve">EPA’s oversight of compliance with the Clean Air Act. We take the cost of conducting the tests to include </w:t>
      </w:r>
      <w:r w:rsidR="00E64AEE">
        <w:rPr>
          <w:rFonts w:ascii="Times New Roman" w:hAnsi="Times New Roman" w:cs="Times New Roman"/>
          <w:sz w:val="24"/>
          <w:szCs w:val="24"/>
        </w:rPr>
        <w:t xml:space="preserve">contracting the cost of testing to outside test laboratories, </w:t>
      </w:r>
      <w:r w:rsidRPr="00325928" w:rsidR="00325928">
        <w:rPr>
          <w:rFonts w:ascii="Times New Roman" w:hAnsi="Times New Roman" w:cs="Times New Roman"/>
          <w:sz w:val="24"/>
          <w:szCs w:val="24"/>
        </w:rPr>
        <w:t>the capital costs of building the facilities to run the tests</w:t>
      </w:r>
      <w:r w:rsidR="00E64AEE">
        <w:rPr>
          <w:rFonts w:ascii="Times New Roman" w:hAnsi="Times New Roman" w:cs="Times New Roman"/>
          <w:sz w:val="24"/>
          <w:szCs w:val="24"/>
        </w:rPr>
        <w:t>, if applicable,</w:t>
      </w:r>
      <w:r w:rsidRPr="00325928" w:rsidR="00325928">
        <w:rPr>
          <w:rFonts w:ascii="Times New Roman" w:hAnsi="Times New Roman" w:cs="Times New Roman"/>
          <w:sz w:val="24"/>
          <w:szCs w:val="24"/>
        </w:rPr>
        <w:t xml:space="preserve"> and the associated operations and maintenance costs</w:t>
      </w:r>
      <w:r w:rsidR="00E64AEE">
        <w:rPr>
          <w:rFonts w:ascii="Times New Roman" w:hAnsi="Times New Roman" w:cs="Times New Roman"/>
          <w:sz w:val="24"/>
          <w:szCs w:val="24"/>
        </w:rPr>
        <w:t xml:space="preserve"> in support of such facility(s)</w:t>
      </w:r>
      <w:r w:rsidRPr="00325928" w:rsidR="00325928">
        <w:rPr>
          <w:rFonts w:ascii="Times New Roman" w:hAnsi="Times New Roman" w:cs="Times New Roman"/>
          <w:sz w:val="24"/>
          <w:szCs w:val="24"/>
        </w:rPr>
        <w:t xml:space="preserve">, </w:t>
      </w:r>
      <w:r w:rsidR="00E64AEE">
        <w:rPr>
          <w:rFonts w:ascii="Times New Roman" w:hAnsi="Times New Roman" w:cs="Times New Roman"/>
          <w:sz w:val="24"/>
          <w:szCs w:val="24"/>
        </w:rPr>
        <w:t>as well as the service</w:t>
      </w:r>
      <w:r w:rsidRPr="00325928" w:rsidR="00325928">
        <w:rPr>
          <w:rFonts w:ascii="Times New Roman" w:hAnsi="Times New Roman" w:cs="Times New Roman"/>
          <w:sz w:val="24"/>
          <w:szCs w:val="24"/>
        </w:rPr>
        <w:t xml:space="preserve"> mileage accumulation for durability determinations, and labor costs</w:t>
      </w:r>
      <w:r w:rsidR="00E64AEE">
        <w:rPr>
          <w:rFonts w:ascii="Times New Roman" w:hAnsi="Times New Roman" w:cs="Times New Roman"/>
          <w:sz w:val="24"/>
          <w:szCs w:val="24"/>
        </w:rPr>
        <w:t xml:space="preserve"> associated with performing all of these functions</w:t>
      </w:r>
      <w:r w:rsidRPr="00325928" w:rsidR="00325928">
        <w:rPr>
          <w:rFonts w:ascii="Times New Roman" w:hAnsi="Times New Roman" w:cs="Times New Roman"/>
          <w:sz w:val="24"/>
          <w:szCs w:val="24"/>
        </w:rPr>
        <w:t xml:space="preserve">. </w:t>
      </w:r>
      <w:r w:rsidR="005C2F56">
        <w:rPr>
          <w:rFonts w:ascii="Times New Roman" w:hAnsi="Times New Roman" w:cs="Times New Roman"/>
          <w:sz w:val="24"/>
          <w:szCs w:val="24"/>
        </w:rPr>
        <w:t>All calculations are provided in the highway motorcycle spreadsheet in the Appendix (titled: “HWY MC Worksheet_2020).</w:t>
      </w:r>
    </w:p>
    <w:p w:rsidR="008D0A90" w:rsidP="008D0A90" w:rsidRDefault="008D0A90" w14:paraId="497E389C" w14:textId="59827F78">
      <w:pPr>
        <w:spacing w:after="0" w:line="240" w:lineRule="auto"/>
        <w:rPr>
          <w:rFonts w:ascii="Times New Roman" w:hAnsi="Times New Roman" w:cs="Times New Roman"/>
          <w:sz w:val="24"/>
          <w:szCs w:val="24"/>
        </w:rPr>
      </w:pPr>
    </w:p>
    <w:p w:rsidRPr="00D53359" w:rsidR="00CD7CFC" w:rsidP="008D0A90" w:rsidRDefault="00CD7CFC" w14:paraId="7E610ADD" w14:textId="3FA5660B">
      <w:pPr>
        <w:spacing w:after="0" w:line="240" w:lineRule="auto"/>
        <w:rPr>
          <w:rFonts w:ascii="Times New Roman" w:hAnsi="Times New Roman" w:cs="Times New Roman"/>
          <w:color w:val="002060"/>
          <w:sz w:val="24"/>
          <w:szCs w:val="24"/>
        </w:rPr>
      </w:pPr>
      <w:r w:rsidRPr="00D53359">
        <w:rPr>
          <w:rFonts w:ascii="Times New Roman" w:hAnsi="Times New Roman" w:cs="Times New Roman"/>
          <w:color w:val="002060"/>
          <w:sz w:val="24"/>
          <w:szCs w:val="24"/>
        </w:rPr>
        <w:t xml:space="preserve">Previously, we have provided estimates of </w:t>
      </w:r>
      <w:r w:rsidRPr="00D53359">
        <w:rPr>
          <w:rFonts w:ascii="Times New Roman" w:hAnsi="Times New Roman" w:cs="Times New Roman"/>
          <w:i/>
          <w:iCs/>
          <w:color w:val="002060"/>
          <w:sz w:val="24"/>
          <w:szCs w:val="24"/>
        </w:rPr>
        <w:t>responses</w:t>
      </w:r>
      <w:r w:rsidRPr="00D53359">
        <w:rPr>
          <w:rFonts w:ascii="Times New Roman" w:hAnsi="Times New Roman" w:cs="Times New Roman"/>
          <w:color w:val="002060"/>
          <w:sz w:val="24"/>
          <w:szCs w:val="24"/>
        </w:rPr>
        <w:t xml:space="preserve"> that have reflected </w:t>
      </w:r>
      <w:r w:rsidRPr="00D53359">
        <w:rPr>
          <w:rFonts w:ascii="Times New Roman" w:hAnsi="Times New Roman" w:cs="Times New Roman"/>
          <w:i/>
          <w:iCs/>
          <w:color w:val="002060"/>
          <w:sz w:val="24"/>
          <w:szCs w:val="24"/>
        </w:rPr>
        <w:t>respondents</w:t>
      </w:r>
      <w:r w:rsidRPr="00D53359">
        <w:rPr>
          <w:rFonts w:ascii="Times New Roman" w:hAnsi="Times New Roman" w:cs="Times New Roman"/>
          <w:color w:val="002060"/>
          <w:sz w:val="24"/>
          <w:szCs w:val="24"/>
        </w:rPr>
        <w:t xml:space="preserve"> to the ICR. </w:t>
      </w:r>
      <w:r w:rsidRPr="00D53359" w:rsidR="00EF46AA">
        <w:rPr>
          <w:rFonts w:ascii="Times New Roman" w:hAnsi="Times New Roman" w:cs="Times New Roman"/>
          <w:color w:val="002060"/>
          <w:sz w:val="24"/>
          <w:szCs w:val="24"/>
        </w:rPr>
        <w:t xml:space="preserve">As an example, </w:t>
      </w:r>
      <w:r w:rsidRPr="00D53359">
        <w:rPr>
          <w:rFonts w:ascii="Times New Roman" w:hAnsi="Times New Roman" w:cs="Times New Roman"/>
          <w:color w:val="002060"/>
          <w:sz w:val="24"/>
          <w:szCs w:val="24"/>
        </w:rPr>
        <w:t xml:space="preserve">the preceding ICR stated there were 74 responses, which were </w:t>
      </w:r>
      <w:proofErr w:type="gramStart"/>
      <w:r w:rsidRPr="00D53359">
        <w:rPr>
          <w:rFonts w:ascii="Times New Roman" w:hAnsi="Times New Roman" w:cs="Times New Roman"/>
          <w:color w:val="002060"/>
          <w:sz w:val="24"/>
          <w:szCs w:val="24"/>
        </w:rPr>
        <w:t>actually the</w:t>
      </w:r>
      <w:proofErr w:type="gramEnd"/>
      <w:r w:rsidRPr="00D53359">
        <w:rPr>
          <w:rFonts w:ascii="Times New Roman" w:hAnsi="Times New Roman" w:cs="Times New Roman"/>
          <w:color w:val="002060"/>
          <w:sz w:val="24"/>
          <w:szCs w:val="24"/>
        </w:rPr>
        <w:t xml:space="preserve"> number of respondents. For this ICR we have corrected that oversight and now reflect both the total number of respondents (55) and the total number of responses (929) for highway motorcycles. The total 929 responses cover all certification, reporting and record keeping requirements for the respondents seeking certification with the EPA for highway motorcycles. The chart below now reflects these calculations for this ICR moving forward.</w:t>
      </w:r>
    </w:p>
    <w:p w:rsidRPr="00D53359" w:rsidR="008D0A90" w:rsidP="006A20CA" w:rsidRDefault="008D0A90" w14:paraId="0A4E8973" w14:textId="6B620C85">
      <w:pPr>
        <w:keepNext/>
        <w:keepLines/>
        <w:spacing w:after="240" w:line="240" w:lineRule="auto"/>
        <w:rPr>
          <w:rFonts w:ascii="Times New Roman" w:hAnsi="Times New Roman" w:cs="Times New Roman"/>
          <w:color w:val="002060"/>
          <w:sz w:val="24"/>
          <w:szCs w:val="24"/>
        </w:rPr>
      </w:pPr>
      <w:r w:rsidRPr="00D53359">
        <w:rPr>
          <w:rFonts w:ascii="Times New Roman" w:hAnsi="Times New Roman" w:cs="Times New Roman"/>
          <w:color w:val="002060"/>
          <w:sz w:val="24"/>
          <w:szCs w:val="24"/>
        </w:rPr>
        <w:t xml:space="preserve">Estimated </w:t>
      </w:r>
      <w:r w:rsidRPr="00D53359" w:rsidR="008973E5">
        <w:rPr>
          <w:rFonts w:ascii="Times New Roman" w:hAnsi="Times New Roman" w:cs="Times New Roman"/>
          <w:color w:val="002060"/>
          <w:sz w:val="24"/>
          <w:szCs w:val="24"/>
        </w:rPr>
        <w:t xml:space="preserve">Annual </w:t>
      </w:r>
      <w:r w:rsidRPr="00D53359">
        <w:rPr>
          <w:rFonts w:ascii="Times New Roman" w:hAnsi="Times New Roman" w:cs="Times New Roman"/>
          <w:color w:val="002060"/>
          <w:sz w:val="24"/>
          <w:szCs w:val="24"/>
        </w:rPr>
        <w:t>Respondent Burden Hours:</w:t>
      </w:r>
    </w:p>
    <w:tbl>
      <w:tblPr>
        <w:tblStyle w:val="TableGrid"/>
        <w:tblW w:w="0" w:type="auto"/>
        <w:tblInd w:w="10" w:type="dxa"/>
        <w:tblLayout w:type="fixed"/>
        <w:tblLook w:val="04A0" w:firstRow="1" w:lastRow="0" w:firstColumn="1" w:lastColumn="0" w:noHBand="0" w:noVBand="1"/>
      </w:tblPr>
      <w:tblGrid>
        <w:gridCol w:w="3585"/>
        <w:gridCol w:w="1170"/>
        <w:gridCol w:w="1593"/>
        <w:gridCol w:w="1680"/>
        <w:gridCol w:w="1680"/>
      </w:tblGrid>
      <w:tr w:rsidRPr="00D53359" w:rsidR="00D53359" w:rsidTr="00CD7CFC" w14:paraId="7098198E" w14:textId="77777777">
        <w:tc>
          <w:tcPr>
            <w:tcW w:w="3585" w:type="dxa"/>
          </w:tcPr>
          <w:p w:rsidRPr="00D53359" w:rsidR="00CD7CFC" w:rsidP="006A20CA" w:rsidRDefault="00CD7CFC" w14:paraId="01FBACEA" w14:textId="77777777">
            <w:pPr>
              <w:keepNext/>
              <w:keepLines/>
              <w:rPr>
                <w:color w:val="002060"/>
                <w:spacing w:val="8"/>
                <w:sz w:val="24"/>
                <w:szCs w:val="24"/>
              </w:rPr>
            </w:pPr>
            <w:r w:rsidRPr="00D53359">
              <w:rPr>
                <w:color w:val="002060"/>
                <w:spacing w:val="8"/>
                <w:sz w:val="24"/>
                <w:szCs w:val="24"/>
              </w:rPr>
              <w:t>Program/Activity</w:t>
            </w:r>
          </w:p>
        </w:tc>
        <w:tc>
          <w:tcPr>
            <w:tcW w:w="1170" w:type="dxa"/>
          </w:tcPr>
          <w:p w:rsidRPr="00D53359" w:rsidR="00CD7CFC" w:rsidP="006A20CA" w:rsidRDefault="00CD7CFC" w14:paraId="2F253FF6" w14:textId="77777777">
            <w:pPr>
              <w:keepNext/>
              <w:keepLines/>
              <w:rPr>
                <w:color w:val="002060"/>
                <w:spacing w:val="8"/>
                <w:sz w:val="24"/>
                <w:szCs w:val="24"/>
              </w:rPr>
            </w:pPr>
            <w:r w:rsidRPr="00D53359">
              <w:rPr>
                <w:color w:val="002060"/>
                <w:spacing w:val="8"/>
                <w:sz w:val="24"/>
                <w:szCs w:val="24"/>
              </w:rPr>
              <w:t>Engine Families/Year</w:t>
            </w:r>
          </w:p>
        </w:tc>
        <w:tc>
          <w:tcPr>
            <w:tcW w:w="1593" w:type="dxa"/>
          </w:tcPr>
          <w:p w:rsidRPr="00D53359" w:rsidR="00CD7CFC" w:rsidP="006A20CA" w:rsidRDefault="00CD7CFC" w14:paraId="3ED8A4E6" w14:textId="74BBC45B">
            <w:pPr>
              <w:keepNext/>
              <w:keepLines/>
              <w:rPr>
                <w:color w:val="002060"/>
                <w:spacing w:val="8"/>
                <w:sz w:val="24"/>
                <w:szCs w:val="24"/>
              </w:rPr>
            </w:pPr>
            <w:r w:rsidRPr="00D53359">
              <w:rPr>
                <w:color w:val="002060"/>
                <w:spacing w:val="8"/>
                <w:sz w:val="24"/>
                <w:szCs w:val="24"/>
              </w:rPr>
              <w:t>Respondents/ Year</w:t>
            </w:r>
          </w:p>
        </w:tc>
        <w:tc>
          <w:tcPr>
            <w:tcW w:w="1680" w:type="dxa"/>
          </w:tcPr>
          <w:p w:rsidRPr="00D53359" w:rsidR="00CD7CFC" w:rsidP="006A20CA" w:rsidRDefault="00CD7CFC" w14:paraId="3A27BAE5" w14:textId="5CA4A283">
            <w:pPr>
              <w:keepNext/>
              <w:keepLines/>
              <w:rPr>
                <w:color w:val="002060"/>
                <w:spacing w:val="8"/>
                <w:sz w:val="24"/>
                <w:szCs w:val="24"/>
              </w:rPr>
            </w:pPr>
            <w:r w:rsidRPr="00D53359">
              <w:rPr>
                <w:color w:val="002060"/>
                <w:spacing w:val="8"/>
                <w:sz w:val="24"/>
                <w:szCs w:val="24"/>
              </w:rPr>
              <w:t>Total Responses/ year</w:t>
            </w:r>
          </w:p>
        </w:tc>
        <w:tc>
          <w:tcPr>
            <w:tcW w:w="1680" w:type="dxa"/>
          </w:tcPr>
          <w:p w:rsidRPr="00D53359" w:rsidR="00CD7CFC" w:rsidP="006A20CA" w:rsidRDefault="00CD7CFC" w14:paraId="183AF0C9" w14:textId="13D70000">
            <w:pPr>
              <w:keepNext/>
              <w:keepLines/>
              <w:rPr>
                <w:color w:val="002060"/>
                <w:spacing w:val="8"/>
                <w:sz w:val="24"/>
                <w:szCs w:val="24"/>
              </w:rPr>
            </w:pPr>
            <w:r w:rsidRPr="00D53359">
              <w:rPr>
                <w:color w:val="002060"/>
                <w:spacing w:val="8"/>
                <w:sz w:val="24"/>
                <w:szCs w:val="24"/>
              </w:rPr>
              <w:t>Total</w:t>
            </w:r>
          </w:p>
          <w:p w:rsidRPr="00D53359" w:rsidR="00CD7CFC" w:rsidP="006A20CA" w:rsidRDefault="00CD7CFC" w14:paraId="283411B5" w14:textId="158D74F9">
            <w:pPr>
              <w:keepNext/>
              <w:keepLines/>
              <w:rPr>
                <w:color w:val="002060"/>
                <w:spacing w:val="8"/>
                <w:sz w:val="24"/>
                <w:szCs w:val="24"/>
              </w:rPr>
            </w:pPr>
            <w:r w:rsidRPr="00D53359">
              <w:rPr>
                <w:color w:val="002060"/>
                <w:spacing w:val="8"/>
                <w:sz w:val="24"/>
                <w:szCs w:val="24"/>
              </w:rPr>
              <w:t>annual hours per Response (Average)</w:t>
            </w:r>
          </w:p>
        </w:tc>
      </w:tr>
      <w:tr w:rsidRPr="00D53359" w:rsidR="00D53359" w:rsidTr="00CD7CFC" w14:paraId="745DD600" w14:textId="77777777">
        <w:tblPrEx>
          <w:tblLook w:val="01E0" w:firstRow="1" w:lastRow="1" w:firstColumn="1" w:lastColumn="1" w:noHBand="0" w:noVBand="0"/>
        </w:tblPrEx>
        <w:tc>
          <w:tcPr>
            <w:tcW w:w="3585" w:type="dxa"/>
            <w:tcBorders>
              <w:left w:val="double" w:color="auto" w:sz="4" w:space="0"/>
            </w:tcBorders>
          </w:tcPr>
          <w:p w:rsidRPr="00D53359" w:rsidR="00CD7CFC" w:rsidP="006A20CA" w:rsidRDefault="00CD7CFC" w14:paraId="16193D65" w14:textId="77777777">
            <w:pPr>
              <w:keepNext/>
              <w:keepLines/>
              <w:widowControl/>
              <w:autoSpaceDE/>
              <w:autoSpaceDN/>
              <w:rPr>
                <w:color w:val="002060"/>
                <w:sz w:val="24"/>
                <w:szCs w:val="24"/>
              </w:rPr>
            </w:pPr>
            <w:r w:rsidRPr="00D53359">
              <w:rPr>
                <w:color w:val="002060"/>
                <w:sz w:val="24"/>
                <w:szCs w:val="24"/>
              </w:rPr>
              <w:t>Highway Motorcycles</w:t>
            </w:r>
          </w:p>
        </w:tc>
        <w:tc>
          <w:tcPr>
            <w:tcW w:w="1170" w:type="dxa"/>
            <w:vAlign w:val="bottom"/>
          </w:tcPr>
          <w:p w:rsidRPr="00D53359" w:rsidR="00CD7CFC" w:rsidP="006A20CA" w:rsidRDefault="00CD7CFC" w14:paraId="6155193E" w14:textId="1A40DF21">
            <w:pPr>
              <w:keepNext/>
              <w:keepLines/>
              <w:widowControl/>
              <w:autoSpaceDE/>
              <w:autoSpaceDN/>
              <w:rPr>
                <w:b/>
                <w:bCs/>
                <w:color w:val="002060"/>
                <w:sz w:val="24"/>
                <w:szCs w:val="24"/>
              </w:rPr>
            </w:pPr>
            <w:r w:rsidRPr="00D53359">
              <w:rPr>
                <w:b/>
                <w:bCs/>
                <w:color w:val="002060"/>
                <w:sz w:val="24"/>
                <w:szCs w:val="24"/>
              </w:rPr>
              <w:t>282</w:t>
            </w:r>
          </w:p>
        </w:tc>
        <w:tc>
          <w:tcPr>
            <w:tcW w:w="1593" w:type="dxa"/>
            <w:vAlign w:val="bottom"/>
          </w:tcPr>
          <w:p w:rsidRPr="00D53359" w:rsidR="00CD7CFC" w:rsidP="006A20CA" w:rsidRDefault="00CD7CFC" w14:paraId="18B6394A" w14:textId="6D02AA01">
            <w:pPr>
              <w:keepNext/>
              <w:keepLines/>
              <w:widowControl/>
              <w:autoSpaceDE/>
              <w:autoSpaceDN/>
              <w:rPr>
                <w:b/>
                <w:bCs/>
                <w:color w:val="002060"/>
                <w:sz w:val="24"/>
                <w:szCs w:val="24"/>
              </w:rPr>
            </w:pPr>
            <w:r w:rsidRPr="00D53359">
              <w:rPr>
                <w:b/>
                <w:bCs/>
                <w:color w:val="002060"/>
                <w:sz w:val="24"/>
                <w:szCs w:val="24"/>
              </w:rPr>
              <w:t>55</w:t>
            </w:r>
          </w:p>
        </w:tc>
        <w:tc>
          <w:tcPr>
            <w:tcW w:w="1680" w:type="dxa"/>
          </w:tcPr>
          <w:p w:rsidRPr="00D53359" w:rsidR="00CD7CFC" w:rsidP="006A20CA" w:rsidRDefault="00CD7CFC" w14:paraId="3DC27CD7" w14:textId="4249EC53">
            <w:pPr>
              <w:keepNext/>
              <w:keepLines/>
              <w:rPr>
                <w:b/>
                <w:bCs/>
                <w:color w:val="002060"/>
                <w:sz w:val="24"/>
                <w:szCs w:val="24"/>
              </w:rPr>
            </w:pPr>
            <w:r w:rsidRPr="00D53359">
              <w:rPr>
                <w:b/>
                <w:bCs/>
                <w:color w:val="002060"/>
                <w:sz w:val="24"/>
                <w:szCs w:val="24"/>
              </w:rPr>
              <w:t>929</w:t>
            </w:r>
          </w:p>
        </w:tc>
        <w:tc>
          <w:tcPr>
            <w:tcW w:w="1680" w:type="dxa"/>
            <w:tcBorders>
              <w:right w:val="double" w:color="auto" w:sz="4" w:space="0"/>
            </w:tcBorders>
            <w:vAlign w:val="bottom"/>
          </w:tcPr>
          <w:p w:rsidRPr="00D53359" w:rsidR="00CD7CFC" w:rsidP="006A20CA" w:rsidRDefault="00CD7CFC" w14:paraId="21C09697" w14:textId="2139B431">
            <w:pPr>
              <w:keepNext/>
              <w:keepLines/>
              <w:widowControl/>
              <w:autoSpaceDE/>
              <w:autoSpaceDN/>
              <w:rPr>
                <w:b/>
                <w:bCs/>
                <w:color w:val="002060"/>
                <w:sz w:val="24"/>
                <w:szCs w:val="24"/>
              </w:rPr>
            </w:pPr>
            <w:r w:rsidRPr="00D53359">
              <w:rPr>
                <w:b/>
                <w:bCs/>
                <w:color w:val="002060"/>
                <w:sz w:val="24"/>
                <w:szCs w:val="24"/>
              </w:rPr>
              <w:t>15,420</w:t>
            </w:r>
          </w:p>
        </w:tc>
      </w:tr>
    </w:tbl>
    <w:p w:rsidRPr="00D53359" w:rsidR="009D62C5" w:rsidP="00E21E82" w:rsidRDefault="009D62C5" w14:paraId="4EE7B237" w14:textId="77777777">
      <w:pPr>
        <w:spacing w:after="0" w:line="240" w:lineRule="auto"/>
        <w:rPr>
          <w:rFonts w:ascii="Times New Roman" w:hAnsi="Times New Roman" w:cs="Times New Roman"/>
          <w:color w:val="002060"/>
          <w:sz w:val="24"/>
          <w:szCs w:val="24"/>
        </w:rPr>
      </w:pPr>
    </w:p>
    <w:p w:rsidRPr="008B3C6F" w:rsidR="008B3C6F" w:rsidP="008B3C6F" w:rsidRDefault="008B3C6F" w14:paraId="29ACB755" w14:textId="77777777">
      <w:pPr>
        <w:spacing w:after="0" w:line="240" w:lineRule="auto"/>
        <w:rPr>
          <w:rFonts w:ascii="Times New Roman" w:hAnsi="Times New Roman" w:cs="Times New Roman"/>
          <w:sz w:val="24"/>
          <w:szCs w:val="24"/>
        </w:rPr>
      </w:pPr>
      <w:r w:rsidRPr="008B3C6F">
        <w:rPr>
          <w:rFonts w:ascii="Times New Roman" w:hAnsi="Times New Roman" w:cs="Times New Roman"/>
          <w:sz w:val="24"/>
          <w:szCs w:val="24"/>
        </w:rPr>
        <w:t xml:space="preserve">6(b) </w:t>
      </w:r>
      <w:r w:rsidRPr="008B3C6F">
        <w:rPr>
          <w:rFonts w:ascii="Times New Roman" w:hAnsi="Times New Roman" w:cs="Times New Roman"/>
          <w:sz w:val="24"/>
          <w:szCs w:val="24"/>
          <w:u w:val="single"/>
        </w:rPr>
        <w:t>Estimating Respondent Costs</w:t>
      </w:r>
    </w:p>
    <w:p w:rsidRPr="008B3C6F" w:rsidR="008B3C6F" w:rsidP="008B3C6F" w:rsidRDefault="008B3C6F" w14:paraId="6201F911" w14:textId="77777777">
      <w:pPr>
        <w:numPr>
          <w:ilvl w:val="0"/>
          <w:numId w:val="2"/>
        </w:numPr>
        <w:spacing w:after="0" w:line="240" w:lineRule="auto"/>
        <w:rPr>
          <w:rFonts w:ascii="Times New Roman" w:hAnsi="Times New Roman" w:cs="Times New Roman"/>
          <w:sz w:val="24"/>
          <w:szCs w:val="24"/>
        </w:rPr>
      </w:pPr>
      <w:r w:rsidRPr="008B3C6F">
        <w:rPr>
          <w:rFonts w:ascii="Times New Roman" w:hAnsi="Times New Roman" w:cs="Times New Roman"/>
          <w:sz w:val="24"/>
          <w:szCs w:val="24"/>
          <w:u w:val="single"/>
        </w:rPr>
        <w:t>Estimating labor costs</w:t>
      </w:r>
    </w:p>
    <w:p w:rsidR="006B76A9" w:rsidP="006B76A9" w:rsidRDefault="006B76A9" w14:paraId="00BCDC11" w14:textId="77777777">
      <w:pPr>
        <w:spacing w:after="0" w:line="240" w:lineRule="auto"/>
        <w:rPr>
          <w:rFonts w:ascii="Times New Roman" w:hAnsi="Times New Roman" w:cs="Times New Roman"/>
          <w:sz w:val="24"/>
          <w:szCs w:val="24"/>
        </w:rPr>
      </w:pPr>
    </w:p>
    <w:p w:rsidRPr="008F7913" w:rsidR="008B3C6F" w:rsidP="006B76A9" w:rsidRDefault="008B3C6F" w14:paraId="68533850" w14:textId="6304772E">
      <w:pPr>
        <w:spacing w:after="0" w:line="240" w:lineRule="auto"/>
        <w:rPr>
          <w:rFonts w:ascii="Times New Roman" w:hAnsi="Times New Roman" w:cs="Times New Roman"/>
          <w:sz w:val="24"/>
          <w:szCs w:val="24"/>
        </w:rPr>
      </w:pPr>
      <w:r w:rsidRPr="008F7913">
        <w:rPr>
          <w:rFonts w:ascii="Times New Roman" w:hAnsi="Times New Roman" w:cs="Times New Roman"/>
          <w:sz w:val="24"/>
          <w:szCs w:val="24"/>
        </w:rPr>
        <w:t xml:space="preserve">The labor costs in this ICR </w:t>
      </w:r>
      <w:r w:rsidR="00C06FD0">
        <w:rPr>
          <w:rFonts w:ascii="Times New Roman" w:hAnsi="Times New Roman" w:cs="Times New Roman"/>
          <w:sz w:val="24"/>
          <w:szCs w:val="24"/>
        </w:rPr>
        <w:t>reflect</w:t>
      </w:r>
      <w:r w:rsidRPr="008F7913">
        <w:rPr>
          <w:rFonts w:ascii="Times New Roman" w:hAnsi="Times New Roman" w:cs="Times New Roman"/>
          <w:sz w:val="24"/>
          <w:szCs w:val="24"/>
        </w:rPr>
        <w:t xml:space="preserve"> the May 201</w:t>
      </w:r>
      <w:r w:rsidR="00E64AEE">
        <w:rPr>
          <w:rFonts w:ascii="Times New Roman" w:hAnsi="Times New Roman" w:cs="Times New Roman"/>
          <w:sz w:val="24"/>
          <w:szCs w:val="24"/>
        </w:rPr>
        <w:t>8</w:t>
      </w:r>
      <w:r w:rsidRPr="008F7913">
        <w:rPr>
          <w:rFonts w:ascii="Times New Roman" w:hAnsi="Times New Roman" w:cs="Times New Roman"/>
          <w:sz w:val="24"/>
          <w:szCs w:val="24"/>
        </w:rPr>
        <w:t xml:space="preserve"> BLS National Industry-Specific Occupational Employment and Wage Estimates (</w:t>
      </w:r>
      <w:r w:rsidRPr="00133057" w:rsidR="00133057">
        <w:rPr>
          <w:rFonts w:ascii="Times New Roman" w:hAnsi="Times New Roman" w:cs="Times New Roman"/>
          <w:sz w:val="24"/>
          <w:szCs w:val="24"/>
        </w:rPr>
        <w:t>https://www.bls.gov/oes/current/naics3_336000.htm</w:t>
      </w:r>
      <w:r w:rsidRPr="008F7913">
        <w:rPr>
          <w:rFonts w:ascii="Times New Roman" w:hAnsi="Times New Roman" w:cs="Times New Roman"/>
          <w:sz w:val="24"/>
          <w:szCs w:val="24"/>
        </w:rPr>
        <w:t>). With a 130</w:t>
      </w:r>
      <w:r w:rsidR="006D0C98">
        <w:rPr>
          <w:rFonts w:ascii="Times New Roman" w:hAnsi="Times New Roman" w:cs="Times New Roman"/>
          <w:sz w:val="24"/>
          <w:szCs w:val="24"/>
        </w:rPr>
        <w:t xml:space="preserve"> percent</w:t>
      </w:r>
      <w:r w:rsidRPr="008F7913">
        <w:rPr>
          <w:rFonts w:ascii="Times New Roman" w:hAnsi="Times New Roman" w:cs="Times New Roman"/>
          <w:sz w:val="24"/>
          <w:szCs w:val="24"/>
        </w:rPr>
        <w:t xml:space="preserve"> overhead multiplier, </w:t>
      </w:r>
      <w:r w:rsidR="006B76A9">
        <w:rPr>
          <w:rFonts w:ascii="Times New Roman" w:hAnsi="Times New Roman" w:cs="Times New Roman"/>
          <w:sz w:val="24"/>
          <w:szCs w:val="24"/>
        </w:rPr>
        <w:t>also based on the BLS benefits adjustment factor of 30</w:t>
      </w:r>
      <w:r w:rsidR="006D0C98">
        <w:rPr>
          <w:rFonts w:ascii="Times New Roman" w:hAnsi="Times New Roman" w:cs="Times New Roman"/>
          <w:sz w:val="24"/>
          <w:szCs w:val="24"/>
        </w:rPr>
        <w:t xml:space="preserve"> percent</w:t>
      </w:r>
      <w:r w:rsidR="006B76A9">
        <w:rPr>
          <w:rFonts w:ascii="Times New Roman" w:hAnsi="Times New Roman" w:cs="Times New Roman"/>
          <w:sz w:val="24"/>
          <w:szCs w:val="24"/>
        </w:rPr>
        <w:t xml:space="preserve"> for 201</w:t>
      </w:r>
      <w:r w:rsidR="00133057">
        <w:rPr>
          <w:rFonts w:ascii="Times New Roman" w:hAnsi="Times New Roman" w:cs="Times New Roman"/>
          <w:sz w:val="24"/>
          <w:szCs w:val="24"/>
        </w:rPr>
        <w:t>8</w:t>
      </w:r>
      <w:r w:rsidR="006B76A9">
        <w:rPr>
          <w:rFonts w:ascii="Times New Roman" w:hAnsi="Times New Roman" w:cs="Times New Roman"/>
          <w:sz w:val="24"/>
          <w:szCs w:val="24"/>
        </w:rPr>
        <w:t xml:space="preserve">, </w:t>
      </w:r>
      <w:r w:rsidRPr="008F7913">
        <w:rPr>
          <w:rFonts w:ascii="Times New Roman" w:hAnsi="Times New Roman" w:cs="Times New Roman"/>
          <w:sz w:val="24"/>
          <w:szCs w:val="24"/>
        </w:rPr>
        <w:t>the</w:t>
      </w:r>
      <w:r w:rsidR="006B76A9">
        <w:rPr>
          <w:rFonts w:ascii="Times New Roman" w:hAnsi="Times New Roman" w:cs="Times New Roman"/>
          <w:sz w:val="24"/>
          <w:szCs w:val="24"/>
        </w:rPr>
        <w:t xml:space="preserve"> categorie</w:t>
      </w:r>
      <w:r w:rsidRPr="008F7913">
        <w:rPr>
          <w:rFonts w:ascii="Times New Roman" w:hAnsi="Times New Roman" w:cs="Times New Roman"/>
          <w:sz w:val="24"/>
          <w:szCs w:val="24"/>
        </w:rPr>
        <w:t>s are $</w:t>
      </w:r>
      <w:r w:rsidR="00133057">
        <w:rPr>
          <w:rFonts w:ascii="Times New Roman" w:hAnsi="Times New Roman" w:cs="Times New Roman"/>
          <w:sz w:val="24"/>
          <w:szCs w:val="24"/>
        </w:rPr>
        <w:t>86.55</w:t>
      </w:r>
      <w:r w:rsidR="006B76A9">
        <w:rPr>
          <w:rFonts w:ascii="Times New Roman" w:hAnsi="Times New Roman" w:cs="Times New Roman"/>
          <w:sz w:val="24"/>
          <w:szCs w:val="24"/>
        </w:rPr>
        <w:t xml:space="preserve"> manager</w:t>
      </w:r>
      <w:r w:rsidRPr="008F7913">
        <w:rPr>
          <w:rFonts w:ascii="Times New Roman" w:hAnsi="Times New Roman" w:cs="Times New Roman"/>
          <w:sz w:val="24"/>
          <w:szCs w:val="24"/>
        </w:rPr>
        <w:t>, $</w:t>
      </w:r>
      <w:r w:rsidR="00133057">
        <w:rPr>
          <w:rFonts w:ascii="Times New Roman" w:hAnsi="Times New Roman" w:cs="Times New Roman"/>
          <w:sz w:val="24"/>
          <w:szCs w:val="24"/>
        </w:rPr>
        <w:t>37.95</w:t>
      </w:r>
      <w:r w:rsidR="006B76A9">
        <w:rPr>
          <w:rFonts w:ascii="Times New Roman" w:hAnsi="Times New Roman" w:cs="Times New Roman"/>
          <w:sz w:val="24"/>
          <w:szCs w:val="24"/>
        </w:rPr>
        <w:t xml:space="preserve"> technical</w:t>
      </w:r>
      <w:r w:rsidRPr="008F7913">
        <w:rPr>
          <w:rFonts w:ascii="Times New Roman" w:hAnsi="Times New Roman" w:cs="Times New Roman"/>
          <w:sz w:val="24"/>
          <w:szCs w:val="24"/>
        </w:rPr>
        <w:t>, and $</w:t>
      </w:r>
      <w:r w:rsidR="00133057">
        <w:rPr>
          <w:rFonts w:ascii="Times New Roman" w:hAnsi="Times New Roman" w:cs="Times New Roman"/>
          <w:sz w:val="24"/>
          <w:szCs w:val="24"/>
        </w:rPr>
        <w:t>29.15</w:t>
      </w:r>
      <w:r w:rsidR="006B76A9">
        <w:rPr>
          <w:rFonts w:ascii="Times New Roman" w:hAnsi="Times New Roman" w:cs="Times New Roman"/>
          <w:sz w:val="24"/>
          <w:szCs w:val="24"/>
        </w:rPr>
        <w:t xml:space="preserve"> administrative</w:t>
      </w:r>
      <w:r w:rsidRPr="008F7913">
        <w:rPr>
          <w:rFonts w:ascii="Times New Roman" w:hAnsi="Times New Roman" w:cs="Times New Roman"/>
          <w:sz w:val="24"/>
          <w:szCs w:val="24"/>
        </w:rPr>
        <w:t xml:space="preserve">. </w:t>
      </w:r>
    </w:p>
    <w:p w:rsidRPr="008B3C6F" w:rsidR="008B3C6F" w:rsidP="008B3C6F" w:rsidRDefault="008B3C6F" w14:paraId="5BA4417C" w14:textId="77777777">
      <w:pPr>
        <w:spacing w:after="0" w:line="240" w:lineRule="auto"/>
        <w:rPr>
          <w:rFonts w:ascii="Times New Roman" w:hAnsi="Times New Roman" w:cs="Times New Roman"/>
          <w:sz w:val="24"/>
          <w:szCs w:val="24"/>
        </w:rPr>
      </w:pPr>
    </w:p>
    <w:p w:rsidR="008B3C6F" w:rsidP="008B3C6F" w:rsidRDefault="008B3C6F" w14:paraId="57A54C57" w14:textId="18C72A3C">
      <w:pPr>
        <w:spacing w:after="0" w:line="240" w:lineRule="auto"/>
        <w:rPr>
          <w:rFonts w:ascii="Times New Roman" w:hAnsi="Times New Roman" w:cs="Times New Roman"/>
          <w:sz w:val="24"/>
          <w:szCs w:val="24"/>
        </w:rPr>
      </w:pPr>
      <w:r w:rsidRPr="008B3C6F">
        <w:rPr>
          <w:rFonts w:ascii="Times New Roman" w:hAnsi="Times New Roman" w:cs="Times New Roman"/>
          <w:sz w:val="24"/>
          <w:szCs w:val="24"/>
        </w:rPr>
        <w:t>We have estimated labor costs for these three categories for each labor item</w:t>
      </w:r>
      <w:r w:rsidR="00133057">
        <w:rPr>
          <w:rFonts w:ascii="Times New Roman" w:hAnsi="Times New Roman" w:cs="Times New Roman"/>
          <w:sz w:val="24"/>
          <w:szCs w:val="24"/>
        </w:rPr>
        <w:t xml:space="preserve"> for certification and compliance obligations</w:t>
      </w:r>
      <w:r w:rsidRPr="008B3C6F">
        <w:rPr>
          <w:rFonts w:ascii="Times New Roman" w:hAnsi="Times New Roman" w:cs="Times New Roman"/>
          <w:sz w:val="24"/>
          <w:szCs w:val="24"/>
        </w:rPr>
        <w:t xml:space="preserve">. </w:t>
      </w:r>
      <w:r w:rsidR="00133057">
        <w:rPr>
          <w:rFonts w:ascii="Times New Roman" w:hAnsi="Times New Roman" w:cs="Times New Roman"/>
          <w:sz w:val="24"/>
          <w:szCs w:val="24"/>
        </w:rPr>
        <w:t xml:space="preserve">The total labor hours for </w:t>
      </w:r>
      <w:r w:rsidR="008B2440">
        <w:rPr>
          <w:rFonts w:ascii="Times New Roman" w:hAnsi="Times New Roman" w:cs="Times New Roman"/>
          <w:sz w:val="24"/>
          <w:szCs w:val="24"/>
        </w:rPr>
        <w:t xml:space="preserve">all </w:t>
      </w:r>
      <w:r w:rsidR="00133057">
        <w:rPr>
          <w:rFonts w:ascii="Times New Roman" w:hAnsi="Times New Roman" w:cs="Times New Roman"/>
          <w:sz w:val="24"/>
          <w:szCs w:val="24"/>
        </w:rPr>
        <w:t>certified engine famil</w:t>
      </w:r>
      <w:r w:rsidR="008B2440">
        <w:rPr>
          <w:rFonts w:ascii="Times New Roman" w:hAnsi="Times New Roman" w:cs="Times New Roman"/>
          <w:sz w:val="24"/>
          <w:szCs w:val="24"/>
        </w:rPr>
        <w:t xml:space="preserve">ies is estimated to be </w:t>
      </w:r>
      <w:r w:rsidR="00F64CFD">
        <w:rPr>
          <w:rFonts w:ascii="Times New Roman" w:hAnsi="Times New Roman" w:cs="Times New Roman"/>
          <w:sz w:val="24"/>
          <w:szCs w:val="24"/>
        </w:rPr>
        <w:t>15,420</w:t>
      </w:r>
      <w:r w:rsidR="008B2440">
        <w:rPr>
          <w:rFonts w:ascii="Times New Roman" w:hAnsi="Times New Roman" w:cs="Times New Roman"/>
          <w:sz w:val="24"/>
          <w:szCs w:val="24"/>
        </w:rPr>
        <w:t xml:space="preserve">, with the average annual labor burden to be 321 hours per response (engine family). </w:t>
      </w:r>
      <w:r w:rsidR="005C5ABC">
        <w:rPr>
          <w:rFonts w:ascii="Times New Roman" w:hAnsi="Times New Roman" w:cs="Times New Roman"/>
          <w:sz w:val="24"/>
          <w:szCs w:val="24"/>
        </w:rPr>
        <w:t xml:space="preserve">This amounts to a total </w:t>
      </w:r>
      <w:r w:rsidR="008B2440">
        <w:rPr>
          <w:rFonts w:ascii="Times New Roman" w:hAnsi="Times New Roman" w:cs="Times New Roman"/>
          <w:sz w:val="24"/>
          <w:szCs w:val="24"/>
        </w:rPr>
        <w:t xml:space="preserve">annual labor cost </w:t>
      </w:r>
      <w:r w:rsidR="005C5ABC">
        <w:rPr>
          <w:rFonts w:ascii="Times New Roman" w:hAnsi="Times New Roman" w:cs="Times New Roman"/>
          <w:sz w:val="24"/>
          <w:szCs w:val="24"/>
        </w:rPr>
        <w:t>of</w:t>
      </w:r>
      <w:r w:rsidR="008B2440">
        <w:rPr>
          <w:rFonts w:ascii="Times New Roman" w:hAnsi="Times New Roman" w:cs="Times New Roman"/>
          <w:sz w:val="24"/>
          <w:szCs w:val="24"/>
        </w:rPr>
        <w:t xml:space="preserve"> $461.275.</w:t>
      </w:r>
      <w:r w:rsidR="005C5ABC">
        <w:rPr>
          <w:rFonts w:ascii="Times New Roman" w:hAnsi="Times New Roman" w:cs="Times New Roman"/>
          <w:sz w:val="24"/>
          <w:szCs w:val="24"/>
        </w:rPr>
        <w:t xml:space="preserve"> </w:t>
      </w:r>
      <w:r w:rsidR="008B2440">
        <w:rPr>
          <w:rFonts w:ascii="Times New Roman" w:hAnsi="Times New Roman" w:cs="Times New Roman"/>
          <w:sz w:val="24"/>
          <w:szCs w:val="24"/>
        </w:rPr>
        <w:t>This would also average to $1,635.73 of labor cost per annual response.</w:t>
      </w:r>
    </w:p>
    <w:p w:rsidR="008B3C6F" w:rsidP="008B3C6F" w:rsidRDefault="008B3C6F" w14:paraId="7B6E99AB" w14:textId="77777777">
      <w:pPr>
        <w:spacing w:after="0" w:line="240" w:lineRule="auto"/>
        <w:rPr>
          <w:rFonts w:ascii="Times New Roman" w:hAnsi="Times New Roman" w:cs="Times New Roman"/>
          <w:sz w:val="24"/>
          <w:szCs w:val="24"/>
        </w:rPr>
      </w:pPr>
    </w:p>
    <w:p w:rsidRPr="006A20CA" w:rsidR="008F7913" w:rsidP="006A20CA" w:rsidRDefault="008F7913" w14:paraId="5D0A1CD2" w14:textId="77777777">
      <w:pPr>
        <w:pStyle w:val="ListParagraph"/>
        <w:keepNext/>
        <w:keepLines/>
        <w:numPr>
          <w:ilvl w:val="0"/>
          <w:numId w:val="2"/>
        </w:numPr>
        <w:spacing w:after="0" w:line="240" w:lineRule="auto"/>
        <w:rPr>
          <w:rFonts w:ascii="Times New Roman" w:hAnsi="Times New Roman" w:cs="Times New Roman"/>
          <w:sz w:val="24"/>
          <w:szCs w:val="24"/>
          <w:u w:val="single"/>
        </w:rPr>
      </w:pPr>
      <w:r w:rsidRPr="006A20CA">
        <w:rPr>
          <w:rFonts w:ascii="Times New Roman" w:hAnsi="Times New Roman" w:cs="Times New Roman"/>
          <w:sz w:val="24"/>
          <w:szCs w:val="24"/>
          <w:u w:val="single"/>
        </w:rPr>
        <w:t>Estimating Operations and Maintenance Costs</w:t>
      </w:r>
    </w:p>
    <w:p w:rsidRPr="008F7913" w:rsidR="008F7913" w:rsidP="006A20CA" w:rsidRDefault="008F7913" w14:paraId="68008D1D" w14:textId="77777777">
      <w:pPr>
        <w:keepNext/>
        <w:keepLines/>
        <w:spacing w:after="0" w:line="240" w:lineRule="auto"/>
        <w:ind w:left="720"/>
        <w:rPr>
          <w:rFonts w:ascii="Times New Roman" w:hAnsi="Times New Roman" w:cs="Times New Roman"/>
          <w:sz w:val="24"/>
          <w:szCs w:val="24"/>
        </w:rPr>
      </w:pPr>
    </w:p>
    <w:tbl>
      <w:tblPr>
        <w:tblStyle w:val="TableGrid"/>
        <w:tblW w:w="0" w:type="auto"/>
        <w:tblLayout w:type="fixed"/>
        <w:tblLook w:val="01E0" w:firstRow="1" w:lastRow="1" w:firstColumn="1" w:lastColumn="1" w:noHBand="0" w:noVBand="0"/>
      </w:tblPr>
      <w:tblGrid>
        <w:gridCol w:w="3765"/>
        <w:gridCol w:w="1503"/>
        <w:gridCol w:w="1320"/>
        <w:gridCol w:w="1800"/>
      </w:tblGrid>
      <w:tr w:rsidRPr="008B3C6F" w:rsidR="008B3C6F" w:rsidTr="00AB3C9B" w14:paraId="1D370207" w14:textId="77777777">
        <w:tc>
          <w:tcPr>
            <w:tcW w:w="3765" w:type="dxa"/>
            <w:tcBorders>
              <w:top w:val="double" w:color="auto" w:sz="4" w:space="0"/>
              <w:left w:val="double" w:color="auto" w:sz="4" w:space="0"/>
              <w:bottom w:val="double" w:color="auto" w:sz="4" w:space="0"/>
              <w:right w:val="single" w:color="auto" w:sz="4" w:space="0"/>
            </w:tcBorders>
          </w:tcPr>
          <w:p w:rsidRPr="003F58CA" w:rsidR="008B3C6F" w:rsidP="006A20CA" w:rsidRDefault="008B3C6F" w14:paraId="78326FCB" w14:textId="77777777">
            <w:pPr>
              <w:keepNext/>
              <w:keepLines/>
              <w:widowControl/>
              <w:autoSpaceDE/>
              <w:autoSpaceDN/>
              <w:rPr>
                <w:sz w:val="24"/>
                <w:szCs w:val="24"/>
              </w:rPr>
            </w:pPr>
            <w:r w:rsidRPr="003F58CA">
              <w:rPr>
                <w:sz w:val="24"/>
                <w:szCs w:val="24"/>
              </w:rPr>
              <w:t>Program/Activity</w:t>
            </w:r>
          </w:p>
        </w:tc>
        <w:tc>
          <w:tcPr>
            <w:tcW w:w="1503" w:type="dxa"/>
            <w:tcBorders>
              <w:top w:val="double" w:color="auto" w:sz="4" w:space="0"/>
              <w:left w:val="single" w:color="auto" w:sz="4" w:space="0"/>
              <w:bottom w:val="double" w:color="auto" w:sz="4" w:space="0"/>
              <w:right w:val="single" w:color="auto" w:sz="4" w:space="0"/>
            </w:tcBorders>
          </w:tcPr>
          <w:p w:rsidRPr="003F58CA" w:rsidR="008B3C6F" w:rsidP="006A20CA" w:rsidRDefault="008B3C6F" w14:paraId="41F7ABEB" w14:textId="77777777">
            <w:pPr>
              <w:keepNext/>
              <w:keepLines/>
              <w:widowControl/>
              <w:autoSpaceDE/>
              <w:autoSpaceDN/>
              <w:rPr>
                <w:sz w:val="24"/>
                <w:szCs w:val="24"/>
              </w:rPr>
            </w:pPr>
            <w:r w:rsidRPr="003F58CA">
              <w:rPr>
                <w:sz w:val="24"/>
                <w:szCs w:val="24"/>
              </w:rPr>
              <w:t>Number</w:t>
            </w:r>
          </w:p>
          <w:p w:rsidRPr="003F58CA" w:rsidR="008B3C6F" w:rsidP="006A20CA" w:rsidRDefault="008B3C6F" w14:paraId="558B22DF" w14:textId="127E2178">
            <w:pPr>
              <w:keepNext/>
              <w:keepLines/>
              <w:widowControl/>
              <w:autoSpaceDE/>
              <w:autoSpaceDN/>
              <w:rPr>
                <w:sz w:val="24"/>
                <w:szCs w:val="24"/>
              </w:rPr>
            </w:pPr>
            <w:r w:rsidRPr="003F58CA">
              <w:rPr>
                <w:sz w:val="24"/>
                <w:szCs w:val="24"/>
              </w:rPr>
              <w:t xml:space="preserve">of </w:t>
            </w:r>
            <w:r w:rsidR="000B0F73">
              <w:rPr>
                <w:sz w:val="24"/>
                <w:szCs w:val="24"/>
              </w:rPr>
              <w:t>Respondents</w:t>
            </w:r>
          </w:p>
        </w:tc>
        <w:tc>
          <w:tcPr>
            <w:tcW w:w="1320" w:type="dxa"/>
            <w:tcBorders>
              <w:top w:val="double" w:color="auto" w:sz="4" w:space="0"/>
              <w:left w:val="single" w:color="auto" w:sz="4" w:space="0"/>
              <w:bottom w:val="double" w:color="auto" w:sz="4" w:space="0"/>
              <w:right w:val="single" w:color="auto" w:sz="4" w:space="0"/>
            </w:tcBorders>
          </w:tcPr>
          <w:p w:rsidRPr="003F58CA" w:rsidR="008B3C6F" w:rsidP="006A20CA" w:rsidRDefault="008B3C6F" w14:paraId="55C5B04F" w14:textId="77777777">
            <w:pPr>
              <w:keepNext/>
              <w:keepLines/>
              <w:widowControl/>
              <w:autoSpaceDE/>
              <w:autoSpaceDN/>
              <w:rPr>
                <w:sz w:val="24"/>
                <w:szCs w:val="24"/>
              </w:rPr>
            </w:pPr>
            <w:r w:rsidRPr="003F58CA">
              <w:rPr>
                <w:sz w:val="24"/>
                <w:szCs w:val="24"/>
              </w:rPr>
              <w:t>Burden/</w:t>
            </w:r>
          </w:p>
          <w:p w:rsidRPr="003F58CA" w:rsidR="008B3C6F" w:rsidP="006A20CA" w:rsidRDefault="008B3C6F" w14:paraId="1C09A4BD" w14:textId="77777777">
            <w:pPr>
              <w:keepNext/>
              <w:keepLines/>
              <w:widowControl/>
              <w:autoSpaceDE/>
              <w:autoSpaceDN/>
              <w:rPr>
                <w:sz w:val="24"/>
                <w:szCs w:val="24"/>
              </w:rPr>
            </w:pPr>
            <w:r w:rsidRPr="003F58CA">
              <w:rPr>
                <w:sz w:val="24"/>
                <w:szCs w:val="24"/>
              </w:rPr>
              <w:t>Response</w:t>
            </w:r>
          </w:p>
          <w:p w:rsidRPr="003F58CA" w:rsidR="008B3C6F" w:rsidP="006A20CA" w:rsidRDefault="008B3C6F" w14:paraId="39019890" w14:textId="77777777">
            <w:pPr>
              <w:keepNext/>
              <w:keepLines/>
              <w:widowControl/>
              <w:autoSpaceDE/>
              <w:autoSpaceDN/>
              <w:rPr>
                <w:sz w:val="24"/>
                <w:szCs w:val="24"/>
              </w:rPr>
            </w:pPr>
            <w:r w:rsidRPr="003F58CA">
              <w:rPr>
                <w:sz w:val="24"/>
                <w:szCs w:val="24"/>
              </w:rPr>
              <w:t>($)</w:t>
            </w:r>
          </w:p>
        </w:tc>
        <w:tc>
          <w:tcPr>
            <w:tcW w:w="1800" w:type="dxa"/>
            <w:tcBorders>
              <w:top w:val="double" w:color="auto" w:sz="4" w:space="0"/>
              <w:left w:val="single" w:color="auto" w:sz="4" w:space="0"/>
              <w:bottom w:val="double" w:color="auto" w:sz="4" w:space="0"/>
              <w:right w:val="double" w:color="auto" w:sz="4" w:space="0"/>
            </w:tcBorders>
          </w:tcPr>
          <w:p w:rsidRPr="003F58CA" w:rsidR="008B3C6F" w:rsidP="006A20CA" w:rsidRDefault="008B3C6F" w14:paraId="0D46A51B" w14:textId="77777777">
            <w:pPr>
              <w:keepNext/>
              <w:keepLines/>
              <w:widowControl/>
              <w:autoSpaceDE/>
              <w:autoSpaceDN/>
              <w:rPr>
                <w:sz w:val="24"/>
                <w:szCs w:val="24"/>
              </w:rPr>
            </w:pPr>
            <w:r w:rsidRPr="003F58CA">
              <w:rPr>
                <w:sz w:val="24"/>
                <w:szCs w:val="24"/>
              </w:rPr>
              <w:t>Total</w:t>
            </w:r>
          </w:p>
          <w:p w:rsidRPr="003F58CA" w:rsidR="008B3C6F" w:rsidP="006A20CA" w:rsidRDefault="008B3C6F" w14:paraId="6A38B9A6" w14:textId="77777777">
            <w:pPr>
              <w:keepNext/>
              <w:keepLines/>
              <w:widowControl/>
              <w:autoSpaceDE/>
              <w:autoSpaceDN/>
              <w:rPr>
                <w:sz w:val="24"/>
                <w:szCs w:val="24"/>
              </w:rPr>
            </w:pPr>
            <w:r w:rsidRPr="003F58CA">
              <w:rPr>
                <w:sz w:val="24"/>
                <w:szCs w:val="24"/>
              </w:rPr>
              <w:t>($)</w:t>
            </w:r>
          </w:p>
        </w:tc>
      </w:tr>
      <w:tr w:rsidR="008B3C6F" w:rsidTr="00AB3C9B" w14:paraId="75A662AE" w14:textId="77777777">
        <w:tblPrEx>
          <w:tblLook w:val="04A0" w:firstRow="1" w:lastRow="0" w:firstColumn="1" w:lastColumn="0" w:noHBand="0" w:noVBand="1"/>
        </w:tblPrEx>
        <w:tc>
          <w:tcPr>
            <w:tcW w:w="3765" w:type="dxa"/>
          </w:tcPr>
          <w:p w:rsidRPr="003F58CA" w:rsidR="008B3C6F" w:rsidP="006A20CA" w:rsidRDefault="008B3C6F" w14:paraId="62558F85" w14:textId="77777777">
            <w:pPr>
              <w:keepNext/>
              <w:keepLines/>
              <w:rPr>
                <w:spacing w:val="8"/>
                <w:sz w:val="24"/>
                <w:szCs w:val="24"/>
              </w:rPr>
            </w:pPr>
            <w:r w:rsidRPr="003F58CA">
              <w:rPr>
                <w:spacing w:val="8"/>
                <w:sz w:val="24"/>
                <w:szCs w:val="24"/>
              </w:rPr>
              <w:t>Highway Motorcycles</w:t>
            </w:r>
          </w:p>
        </w:tc>
        <w:tc>
          <w:tcPr>
            <w:tcW w:w="1503" w:type="dxa"/>
          </w:tcPr>
          <w:p w:rsidRPr="003F58CA" w:rsidR="008B3C6F" w:rsidP="006A20CA" w:rsidRDefault="008B2440" w14:paraId="076FDE60" w14:textId="21BF9A8E">
            <w:pPr>
              <w:keepNext/>
              <w:keepLines/>
              <w:jc w:val="right"/>
              <w:rPr>
                <w:b/>
                <w:bCs/>
                <w:sz w:val="24"/>
                <w:szCs w:val="24"/>
              </w:rPr>
            </w:pPr>
            <w:r>
              <w:rPr>
                <w:b/>
                <w:bCs/>
                <w:sz w:val="24"/>
                <w:szCs w:val="24"/>
              </w:rPr>
              <w:t>55</w:t>
            </w:r>
          </w:p>
        </w:tc>
        <w:tc>
          <w:tcPr>
            <w:tcW w:w="1320" w:type="dxa"/>
          </w:tcPr>
          <w:p w:rsidRPr="003F58CA" w:rsidR="008B3C6F" w:rsidP="006A20CA" w:rsidRDefault="008B3C6F" w14:paraId="69B2C26B" w14:textId="4E98F3F4">
            <w:pPr>
              <w:keepNext/>
              <w:keepLines/>
              <w:jc w:val="right"/>
              <w:rPr>
                <w:b/>
                <w:bCs/>
                <w:sz w:val="24"/>
                <w:szCs w:val="24"/>
              </w:rPr>
            </w:pPr>
            <w:r w:rsidRPr="003F58CA">
              <w:rPr>
                <w:b/>
                <w:bCs/>
                <w:sz w:val="24"/>
                <w:szCs w:val="24"/>
              </w:rPr>
              <w:t>$</w:t>
            </w:r>
            <w:r w:rsidR="008B2440">
              <w:rPr>
                <w:b/>
                <w:bCs/>
                <w:sz w:val="24"/>
                <w:szCs w:val="24"/>
              </w:rPr>
              <w:t>6,935</w:t>
            </w:r>
            <w:r w:rsidR="00CD43E2">
              <w:rPr>
                <w:b/>
                <w:bCs/>
                <w:sz w:val="24"/>
                <w:szCs w:val="24"/>
              </w:rPr>
              <w:t>.00</w:t>
            </w:r>
          </w:p>
        </w:tc>
        <w:tc>
          <w:tcPr>
            <w:tcW w:w="1800" w:type="dxa"/>
          </w:tcPr>
          <w:p w:rsidRPr="003F58CA" w:rsidR="008B3C6F" w:rsidP="006A20CA" w:rsidRDefault="008B3C6F" w14:paraId="09D96FE5" w14:textId="5CD3C496">
            <w:pPr>
              <w:keepNext/>
              <w:keepLines/>
              <w:jc w:val="right"/>
              <w:rPr>
                <w:b/>
                <w:bCs/>
                <w:sz w:val="24"/>
                <w:szCs w:val="24"/>
              </w:rPr>
            </w:pPr>
            <w:r w:rsidRPr="003F58CA">
              <w:rPr>
                <w:b/>
                <w:bCs/>
                <w:sz w:val="24"/>
                <w:szCs w:val="24"/>
              </w:rPr>
              <w:t>$</w:t>
            </w:r>
            <w:r w:rsidR="008B2440">
              <w:rPr>
                <w:b/>
                <w:bCs/>
                <w:sz w:val="24"/>
                <w:szCs w:val="24"/>
              </w:rPr>
              <w:t>182,560</w:t>
            </w:r>
          </w:p>
        </w:tc>
      </w:tr>
    </w:tbl>
    <w:p w:rsidR="00E21E82" w:rsidP="00393943" w:rsidRDefault="00E21E82" w14:paraId="0B2499C9" w14:textId="77777777">
      <w:pPr>
        <w:spacing w:after="0" w:line="240" w:lineRule="auto"/>
        <w:rPr>
          <w:rFonts w:ascii="Times New Roman" w:hAnsi="Times New Roman" w:cs="Times New Roman"/>
          <w:sz w:val="24"/>
          <w:szCs w:val="24"/>
        </w:rPr>
      </w:pPr>
    </w:p>
    <w:p w:rsidRPr="006B76A9" w:rsidR="006B76A9" w:rsidP="006B76A9" w:rsidRDefault="006B76A9" w14:paraId="162C6F24" w14:textId="77777777">
      <w:pPr>
        <w:spacing w:after="0" w:line="240" w:lineRule="auto"/>
        <w:rPr>
          <w:rFonts w:ascii="Times New Roman" w:hAnsi="Times New Roman" w:cs="Times New Roman"/>
          <w:sz w:val="24"/>
          <w:szCs w:val="24"/>
        </w:rPr>
      </w:pPr>
      <w:r w:rsidRPr="006B76A9">
        <w:rPr>
          <w:rFonts w:ascii="Times New Roman" w:hAnsi="Times New Roman" w:cs="Times New Roman"/>
          <w:sz w:val="24"/>
          <w:szCs w:val="24"/>
        </w:rPr>
        <w:t xml:space="preserve">Operations and Maintenance </w:t>
      </w:r>
      <w:r w:rsidR="00C06FD0">
        <w:rPr>
          <w:rFonts w:ascii="Times New Roman" w:hAnsi="Times New Roman" w:cs="Times New Roman"/>
          <w:sz w:val="24"/>
          <w:szCs w:val="24"/>
        </w:rPr>
        <w:t xml:space="preserve">(O&amp;M) </w:t>
      </w:r>
      <w:r w:rsidRPr="006B76A9">
        <w:rPr>
          <w:rFonts w:ascii="Times New Roman" w:hAnsi="Times New Roman" w:cs="Times New Roman"/>
          <w:sz w:val="24"/>
          <w:szCs w:val="24"/>
        </w:rPr>
        <w:t xml:space="preserve">costs are very largely those associated with running tests; there are also small cost elements associated with other reporting and recordkeeping activities. O&amp;M costs in this ICR are therefore highly dependent on the fluctuations in the size of the industries and do not reflect new program changes. </w:t>
      </w:r>
    </w:p>
    <w:p w:rsidRPr="006B76A9" w:rsidR="006B76A9" w:rsidP="006B76A9" w:rsidRDefault="006B76A9" w14:paraId="41B0779E" w14:textId="77777777">
      <w:pPr>
        <w:spacing w:after="0" w:line="240" w:lineRule="auto"/>
        <w:rPr>
          <w:rFonts w:ascii="Times New Roman" w:hAnsi="Times New Roman" w:cs="Times New Roman"/>
          <w:sz w:val="24"/>
          <w:szCs w:val="24"/>
        </w:rPr>
      </w:pPr>
    </w:p>
    <w:p w:rsidRPr="006B76A9" w:rsidR="006B76A9" w:rsidP="006B76A9" w:rsidRDefault="006B76A9" w14:paraId="29E9C370" w14:textId="565608D1">
      <w:pPr>
        <w:spacing w:after="0" w:line="240" w:lineRule="auto"/>
        <w:rPr>
          <w:rFonts w:ascii="Times New Roman" w:hAnsi="Times New Roman" w:cs="Times New Roman"/>
          <w:sz w:val="24"/>
          <w:szCs w:val="24"/>
        </w:rPr>
      </w:pPr>
      <w:r w:rsidRPr="006B76A9">
        <w:rPr>
          <w:rFonts w:ascii="Times New Roman" w:hAnsi="Times New Roman" w:cs="Times New Roman"/>
          <w:sz w:val="24"/>
          <w:szCs w:val="24"/>
        </w:rPr>
        <w:t xml:space="preserve">O&amp;M test costs here reflect a </w:t>
      </w:r>
      <w:r>
        <w:rPr>
          <w:rFonts w:ascii="Times New Roman" w:hAnsi="Times New Roman" w:cs="Times New Roman"/>
          <w:sz w:val="24"/>
          <w:szCs w:val="24"/>
        </w:rPr>
        <w:t>decrease</w:t>
      </w:r>
      <w:r w:rsidRPr="006B76A9">
        <w:rPr>
          <w:rFonts w:ascii="Times New Roman" w:hAnsi="Times New Roman" w:cs="Times New Roman"/>
          <w:sz w:val="24"/>
          <w:szCs w:val="24"/>
        </w:rPr>
        <w:t xml:space="preserve"> in the number of </w:t>
      </w:r>
      <w:r w:rsidR="000B0F73">
        <w:rPr>
          <w:rFonts w:ascii="Times New Roman" w:hAnsi="Times New Roman" w:cs="Times New Roman"/>
          <w:sz w:val="24"/>
          <w:szCs w:val="24"/>
        </w:rPr>
        <w:t xml:space="preserve">new </w:t>
      </w:r>
      <w:r w:rsidR="00C06FD0">
        <w:rPr>
          <w:rFonts w:ascii="Times New Roman" w:hAnsi="Times New Roman" w:cs="Times New Roman"/>
          <w:sz w:val="24"/>
          <w:szCs w:val="24"/>
        </w:rPr>
        <w:t>HMC</w:t>
      </w:r>
      <w:r w:rsidRPr="006B76A9">
        <w:rPr>
          <w:rFonts w:ascii="Times New Roman" w:hAnsi="Times New Roman" w:cs="Times New Roman"/>
          <w:sz w:val="24"/>
          <w:szCs w:val="24"/>
        </w:rPr>
        <w:t xml:space="preserve"> engine families being certified</w:t>
      </w:r>
      <w:r w:rsidR="000B0F73">
        <w:rPr>
          <w:rFonts w:ascii="Times New Roman" w:hAnsi="Times New Roman" w:cs="Times New Roman"/>
          <w:sz w:val="24"/>
          <w:szCs w:val="24"/>
        </w:rPr>
        <w:t xml:space="preserve"> that require new testing to demonstrate compliance with the standard</w:t>
      </w:r>
      <w:r w:rsidRPr="006B76A9">
        <w:rPr>
          <w:rFonts w:ascii="Times New Roman" w:hAnsi="Times New Roman" w:cs="Times New Roman"/>
          <w:sz w:val="24"/>
          <w:szCs w:val="24"/>
        </w:rPr>
        <w:t xml:space="preserve">. </w:t>
      </w:r>
      <w:r w:rsidR="000B0F73">
        <w:rPr>
          <w:rFonts w:ascii="Times New Roman" w:hAnsi="Times New Roman" w:cs="Times New Roman"/>
          <w:sz w:val="24"/>
          <w:szCs w:val="24"/>
        </w:rPr>
        <w:t xml:space="preserve">Many highway motorcycle manufacturers also contract with testing facilities to provide data to the EPA for certification and compliance testing. </w:t>
      </w:r>
      <w:r w:rsidR="00437E54">
        <w:rPr>
          <w:rFonts w:ascii="Times New Roman" w:hAnsi="Times New Roman" w:cs="Times New Roman"/>
          <w:sz w:val="24"/>
          <w:szCs w:val="24"/>
        </w:rPr>
        <w:t xml:space="preserve">Our estimates for O&amp;M from recordkeeping requirements is derived from our informal conversations with industry and reflect growing storage of information in electronic media, i.e. databases. </w:t>
      </w:r>
    </w:p>
    <w:p w:rsidRPr="006B76A9" w:rsidR="006B76A9" w:rsidP="006B76A9" w:rsidRDefault="006B76A9" w14:paraId="07FB6DC4" w14:textId="77777777">
      <w:pPr>
        <w:spacing w:after="0" w:line="240" w:lineRule="auto"/>
        <w:rPr>
          <w:rFonts w:ascii="Times New Roman" w:hAnsi="Times New Roman" w:cs="Times New Roman"/>
          <w:sz w:val="24"/>
          <w:szCs w:val="24"/>
        </w:rPr>
      </w:pPr>
    </w:p>
    <w:p w:rsidRPr="000A45AF" w:rsidR="000A45AF" w:rsidP="000A45AF" w:rsidRDefault="006D0C98" w14:paraId="53AEB605" w14:textId="06CFE737">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0A45AF" w:rsidR="000A45AF">
        <w:rPr>
          <w:rFonts w:ascii="Times New Roman" w:hAnsi="Times New Roman" w:cs="Times New Roman"/>
          <w:sz w:val="24"/>
          <w:szCs w:val="24"/>
          <w:u w:val="single"/>
        </w:rPr>
        <w:t>Estimating Capital Costs</w:t>
      </w:r>
    </w:p>
    <w:p w:rsidRPr="000A45AF" w:rsidR="000A45AF" w:rsidP="000A45AF" w:rsidRDefault="000A45AF" w14:paraId="7089B208" w14:textId="77777777">
      <w:pPr>
        <w:spacing w:after="0" w:line="240" w:lineRule="auto"/>
        <w:rPr>
          <w:rFonts w:ascii="Times New Roman" w:hAnsi="Times New Roman" w:cs="Times New Roman"/>
          <w:sz w:val="24"/>
          <w:szCs w:val="24"/>
        </w:rPr>
      </w:pPr>
    </w:p>
    <w:tbl>
      <w:tblPr>
        <w:tblW w:w="8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765"/>
        <w:gridCol w:w="1530"/>
        <w:gridCol w:w="1350"/>
        <w:gridCol w:w="1710"/>
      </w:tblGrid>
      <w:tr w:rsidRPr="000A45AF" w:rsidR="00CD43E2" w:rsidTr="00437E54" w14:paraId="278F1F32" w14:textId="77777777">
        <w:tc>
          <w:tcPr>
            <w:tcW w:w="3765" w:type="dxa"/>
            <w:tcBorders>
              <w:top w:val="double" w:color="auto" w:sz="4" w:space="0"/>
              <w:left w:val="double" w:color="auto" w:sz="4" w:space="0"/>
              <w:bottom w:val="double" w:color="auto" w:sz="4" w:space="0"/>
              <w:right w:val="single" w:color="auto" w:sz="4" w:space="0"/>
            </w:tcBorders>
          </w:tcPr>
          <w:p w:rsidRPr="000A45AF" w:rsidR="00CD43E2" w:rsidP="000A45AF" w:rsidRDefault="00CD43E2" w14:paraId="6D7FE366" w14:textId="77777777">
            <w:pPr>
              <w:spacing w:after="0" w:line="240" w:lineRule="auto"/>
              <w:rPr>
                <w:rFonts w:ascii="Times New Roman" w:hAnsi="Times New Roman" w:cs="Times New Roman"/>
                <w:b/>
                <w:sz w:val="24"/>
                <w:szCs w:val="24"/>
              </w:rPr>
            </w:pPr>
            <w:r w:rsidRPr="000A45AF">
              <w:rPr>
                <w:rFonts w:ascii="Times New Roman" w:hAnsi="Times New Roman" w:cs="Times New Roman"/>
                <w:b/>
                <w:sz w:val="24"/>
                <w:szCs w:val="24"/>
              </w:rPr>
              <w:t xml:space="preserve">Annualized Capital and Startup Costs: </w:t>
            </w:r>
          </w:p>
          <w:p w:rsidRPr="000A45AF" w:rsidR="00CD43E2" w:rsidP="000A45AF" w:rsidRDefault="00CD43E2" w14:paraId="5E43C20E" w14:textId="77777777">
            <w:pPr>
              <w:spacing w:after="0" w:line="240" w:lineRule="auto"/>
              <w:rPr>
                <w:rFonts w:ascii="Times New Roman" w:hAnsi="Times New Roman" w:cs="Times New Roman"/>
                <w:sz w:val="24"/>
                <w:szCs w:val="24"/>
              </w:rPr>
            </w:pPr>
          </w:p>
          <w:p w:rsidRPr="000A45AF" w:rsidR="00CD43E2" w:rsidP="000A45AF" w:rsidRDefault="00CD43E2" w14:paraId="6878729E"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Program/Activity</w:t>
            </w:r>
          </w:p>
        </w:tc>
        <w:tc>
          <w:tcPr>
            <w:tcW w:w="1530" w:type="dxa"/>
            <w:tcBorders>
              <w:top w:val="double" w:color="auto" w:sz="4" w:space="0"/>
              <w:left w:val="single" w:color="auto" w:sz="4" w:space="0"/>
              <w:bottom w:val="double" w:color="auto" w:sz="4" w:space="0"/>
              <w:right w:val="single" w:color="auto" w:sz="4" w:space="0"/>
            </w:tcBorders>
            <w:hideMark/>
          </w:tcPr>
          <w:p w:rsidRPr="000A45AF" w:rsidR="00CD43E2" w:rsidP="000A45AF" w:rsidRDefault="00CD43E2" w14:paraId="6FD207F0"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Number</w:t>
            </w:r>
          </w:p>
          <w:p w:rsidRPr="000A45AF" w:rsidR="00CD43E2" w:rsidP="000A45AF" w:rsidRDefault="00CD43E2" w14:paraId="67877BA5" w14:textId="0E9F7E43">
            <w:pPr>
              <w:spacing w:after="0" w:line="240" w:lineRule="auto"/>
              <w:rPr>
                <w:rFonts w:ascii="Times New Roman" w:hAnsi="Times New Roman" w:cs="Times New Roman"/>
                <w:sz w:val="24"/>
                <w:szCs w:val="24"/>
              </w:rPr>
            </w:pPr>
            <w:r>
              <w:rPr>
                <w:rFonts w:ascii="Times New Roman" w:hAnsi="Times New Roman" w:cs="Times New Roman"/>
                <w:sz w:val="24"/>
                <w:szCs w:val="24"/>
              </w:rPr>
              <w:t>Respondents</w:t>
            </w:r>
            <w:r w:rsidRPr="000A45AF">
              <w:rPr>
                <w:rFonts w:ascii="Times New Roman" w:hAnsi="Times New Roman" w:cs="Times New Roman"/>
                <w:sz w:val="24"/>
                <w:szCs w:val="24"/>
              </w:rPr>
              <w:t>/Year</w:t>
            </w:r>
          </w:p>
        </w:tc>
        <w:tc>
          <w:tcPr>
            <w:tcW w:w="1350" w:type="dxa"/>
            <w:tcBorders>
              <w:top w:val="double" w:color="auto" w:sz="4" w:space="0"/>
              <w:left w:val="single" w:color="auto" w:sz="4" w:space="0"/>
              <w:bottom w:val="double" w:color="auto" w:sz="4" w:space="0"/>
              <w:right w:val="single" w:color="auto" w:sz="4" w:space="0"/>
            </w:tcBorders>
          </w:tcPr>
          <w:p w:rsidRPr="000A45AF" w:rsidR="00CD43E2" w:rsidP="000A45AF" w:rsidRDefault="00CD43E2" w14:paraId="4B436037" w14:textId="600D47C7">
            <w:pPr>
              <w:spacing w:after="0" w:line="240" w:lineRule="auto"/>
              <w:rPr>
                <w:rFonts w:ascii="Times New Roman" w:hAnsi="Times New Roman" w:cs="Times New Roman"/>
                <w:sz w:val="24"/>
                <w:szCs w:val="24"/>
              </w:rPr>
            </w:pPr>
            <w:r>
              <w:rPr>
                <w:rFonts w:ascii="Times New Roman" w:hAnsi="Times New Roman" w:cs="Times New Roman"/>
                <w:sz w:val="24"/>
                <w:szCs w:val="24"/>
              </w:rPr>
              <w:t>Burden/ Response ($)</w:t>
            </w:r>
          </w:p>
        </w:tc>
        <w:tc>
          <w:tcPr>
            <w:tcW w:w="1710" w:type="dxa"/>
            <w:tcBorders>
              <w:top w:val="double" w:color="auto" w:sz="4" w:space="0"/>
              <w:left w:val="single" w:color="auto" w:sz="4" w:space="0"/>
              <w:bottom w:val="double" w:color="auto" w:sz="4" w:space="0"/>
              <w:right w:val="double" w:color="auto" w:sz="4" w:space="0"/>
            </w:tcBorders>
            <w:hideMark/>
          </w:tcPr>
          <w:p w:rsidRPr="000A45AF" w:rsidR="00CD43E2" w:rsidP="000A45AF" w:rsidRDefault="00CD43E2" w14:paraId="539F53B7" w14:textId="2B5086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Total</w:t>
            </w:r>
          </w:p>
          <w:p w:rsidRPr="000A45AF" w:rsidR="00CD43E2" w:rsidP="000A45AF" w:rsidRDefault="00CD43E2" w14:paraId="225B671A"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w:t>
            </w:r>
          </w:p>
        </w:tc>
      </w:tr>
      <w:tr w:rsidRPr="000A45AF" w:rsidR="00CD43E2" w:rsidTr="00437E54" w14:paraId="76DCB0AE" w14:textId="77777777">
        <w:tc>
          <w:tcPr>
            <w:tcW w:w="3765" w:type="dxa"/>
            <w:tcBorders>
              <w:top w:val="single" w:color="auto" w:sz="4" w:space="0"/>
              <w:left w:val="double" w:color="auto" w:sz="4" w:space="0"/>
              <w:bottom w:val="single" w:color="auto" w:sz="4" w:space="0"/>
              <w:right w:val="single" w:color="auto" w:sz="4" w:space="0"/>
            </w:tcBorders>
            <w:hideMark/>
          </w:tcPr>
          <w:p w:rsidRPr="000A45AF" w:rsidR="00CD43E2" w:rsidP="000A45AF" w:rsidRDefault="00CD43E2" w14:paraId="38AC9755"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Highway Motorcycles</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0A45AF" w:rsidR="00CD43E2" w:rsidP="000A45AF" w:rsidRDefault="00D925FA" w14:paraId="50366D5F" w14:textId="63CD7D7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55</w:t>
            </w:r>
          </w:p>
        </w:tc>
        <w:tc>
          <w:tcPr>
            <w:tcW w:w="1350" w:type="dxa"/>
            <w:tcBorders>
              <w:top w:val="single" w:color="auto" w:sz="4" w:space="0"/>
              <w:left w:val="single" w:color="auto" w:sz="4" w:space="0"/>
              <w:bottom w:val="single" w:color="auto" w:sz="4" w:space="0"/>
              <w:right w:val="single" w:color="auto" w:sz="4" w:space="0"/>
            </w:tcBorders>
          </w:tcPr>
          <w:p w:rsidR="00CD43E2" w:rsidDel="00CD43E2" w:rsidP="000A45AF" w:rsidRDefault="00CD43E2" w14:paraId="0B6A496B" w14:textId="02E81F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1D5DC0">
              <w:rPr>
                <w:rFonts w:ascii="Times New Roman" w:hAnsi="Times New Roman" w:cs="Times New Roman"/>
                <w:b/>
                <w:bCs/>
                <w:sz w:val="24"/>
                <w:szCs w:val="24"/>
              </w:rPr>
              <w:t>12,208</w:t>
            </w:r>
            <w:r>
              <w:rPr>
                <w:rFonts w:ascii="Times New Roman" w:hAnsi="Times New Roman" w:cs="Times New Roman"/>
                <w:b/>
                <w:bCs/>
                <w:sz w:val="24"/>
                <w:szCs w:val="24"/>
              </w:rPr>
              <w:t>.00</w:t>
            </w:r>
          </w:p>
        </w:tc>
        <w:tc>
          <w:tcPr>
            <w:tcW w:w="1710" w:type="dxa"/>
            <w:tcBorders>
              <w:top w:val="single" w:color="auto" w:sz="4" w:space="0"/>
              <w:left w:val="single" w:color="auto" w:sz="4" w:space="0"/>
              <w:bottom w:val="single" w:color="auto" w:sz="4" w:space="0"/>
              <w:right w:val="double" w:color="auto" w:sz="4" w:space="0"/>
            </w:tcBorders>
            <w:vAlign w:val="bottom"/>
            <w:hideMark/>
          </w:tcPr>
          <w:p w:rsidRPr="000A45AF" w:rsidR="00CD43E2" w:rsidP="000A45AF" w:rsidRDefault="00CD43E2" w14:paraId="530EB904" w14:textId="724977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2F2FED">
              <w:rPr>
                <w:rFonts w:ascii="Times New Roman" w:hAnsi="Times New Roman" w:cs="Times New Roman"/>
                <w:b/>
                <w:bCs/>
                <w:sz w:val="24"/>
                <w:szCs w:val="24"/>
              </w:rPr>
              <w:t>97</w:t>
            </w:r>
            <w:r>
              <w:rPr>
                <w:rFonts w:ascii="Times New Roman" w:hAnsi="Times New Roman" w:cs="Times New Roman"/>
                <w:b/>
                <w:bCs/>
                <w:sz w:val="24"/>
                <w:szCs w:val="24"/>
              </w:rPr>
              <w:t>,664.00</w:t>
            </w:r>
          </w:p>
        </w:tc>
      </w:tr>
    </w:tbl>
    <w:p w:rsidRPr="000A45AF" w:rsidR="000A45AF" w:rsidP="000A45AF" w:rsidRDefault="000A45AF" w14:paraId="0B730870" w14:textId="77777777">
      <w:pPr>
        <w:spacing w:after="0" w:line="240" w:lineRule="auto"/>
        <w:rPr>
          <w:rFonts w:ascii="Times New Roman" w:hAnsi="Times New Roman" w:cs="Times New Roman"/>
          <w:sz w:val="24"/>
          <w:szCs w:val="24"/>
        </w:rPr>
      </w:pPr>
    </w:p>
    <w:p w:rsidRPr="000A45AF" w:rsidR="000A45AF" w:rsidP="000A45AF" w:rsidRDefault="000A45AF" w14:paraId="571762AA"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To perform the required testing, </w:t>
      </w:r>
      <w:r>
        <w:rPr>
          <w:rFonts w:ascii="Times New Roman" w:hAnsi="Times New Roman" w:cs="Times New Roman"/>
          <w:sz w:val="24"/>
          <w:szCs w:val="24"/>
        </w:rPr>
        <w:t>a combination of “environmental</w:t>
      </w:r>
      <w:r w:rsidRPr="000A45AF">
        <w:rPr>
          <w:rFonts w:ascii="Times New Roman" w:hAnsi="Times New Roman" w:cs="Times New Roman"/>
          <w:sz w:val="24"/>
          <w:szCs w:val="24"/>
        </w:rPr>
        <w:t xml:space="preserve">” </w:t>
      </w:r>
      <w:r>
        <w:rPr>
          <w:rFonts w:ascii="Times New Roman" w:hAnsi="Times New Roman" w:cs="Times New Roman"/>
          <w:sz w:val="24"/>
          <w:szCs w:val="24"/>
        </w:rPr>
        <w:t>(</w:t>
      </w:r>
      <w:r w:rsidR="00C06FD0">
        <w:rPr>
          <w:rFonts w:ascii="Times New Roman" w:hAnsi="Times New Roman" w:cs="Times New Roman"/>
          <w:sz w:val="24"/>
          <w:szCs w:val="24"/>
        </w:rPr>
        <w:t>exhaust</w:t>
      </w:r>
      <w:r w:rsidRPr="000A45AF">
        <w:rPr>
          <w:rFonts w:ascii="Times New Roman" w:hAnsi="Times New Roman" w:cs="Times New Roman"/>
          <w:sz w:val="24"/>
          <w:szCs w:val="24"/>
        </w:rPr>
        <w:t xml:space="preserve"> and evaporative emissions</w:t>
      </w:r>
      <w:r>
        <w:rPr>
          <w:rFonts w:ascii="Times New Roman" w:hAnsi="Times New Roman" w:cs="Times New Roman"/>
          <w:sz w:val="24"/>
          <w:szCs w:val="24"/>
        </w:rPr>
        <w:t>)</w:t>
      </w:r>
      <w:r w:rsidRPr="000A45AF">
        <w:rPr>
          <w:rFonts w:ascii="Times New Roman" w:hAnsi="Times New Roman" w:cs="Times New Roman"/>
          <w:sz w:val="24"/>
          <w:szCs w:val="24"/>
        </w:rPr>
        <w:t xml:space="preserve"> test cells are required. A significant change in this ICR is made for evaporative emissions testing</w:t>
      </w:r>
      <w:r>
        <w:rPr>
          <w:rFonts w:ascii="Times New Roman" w:hAnsi="Times New Roman" w:cs="Times New Roman"/>
          <w:sz w:val="24"/>
          <w:szCs w:val="24"/>
        </w:rPr>
        <w:t>, which was not fully anticipated in the previous ICR estimates. Our estimates now reflect two chan</w:t>
      </w:r>
      <w:r w:rsidR="006F722D">
        <w:rPr>
          <w:rFonts w:ascii="Times New Roman" w:hAnsi="Times New Roman" w:cs="Times New Roman"/>
          <w:sz w:val="24"/>
          <w:szCs w:val="24"/>
        </w:rPr>
        <w:t>ges in information; 1) data of the evaporative program since the 2008 calendar year, and</w:t>
      </w:r>
      <w:r w:rsidRPr="000A45AF">
        <w:rPr>
          <w:rFonts w:ascii="Times New Roman" w:hAnsi="Times New Roman" w:cs="Times New Roman"/>
          <w:sz w:val="24"/>
          <w:szCs w:val="24"/>
        </w:rPr>
        <w:t xml:space="preserve"> </w:t>
      </w:r>
      <w:r w:rsidR="006F722D">
        <w:rPr>
          <w:rFonts w:ascii="Times New Roman" w:hAnsi="Times New Roman" w:cs="Times New Roman"/>
          <w:sz w:val="24"/>
          <w:szCs w:val="24"/>
        </w:rPr>
        <w:t xml:space="preserve">2) estimates of evaporative testing from commercial test facilities. </w:t>
      </w:r>
    </w:p>
    <w:p w:rsidRPr="000A45AF" w:rsidR="000A45AF" w:rsidP="000A45AF" w:rsidRDefault="000A45AF" w14:paraId="3730F384" w14:textId="77777777">
      <w:pPr>
        <w:spacing w:after="0" w:line="240" w:lineRule="auto"/>
        <w:rPr>
          <w:rFonts w:ascii="Times New Roman" w:hAnsi="Times New Roman" w:cs="Times New Roman"/>
          <w:sz w:val="24"/>
          <w:szCs w:val="24"/>
        </w:rPr>
      </w:pPr>
    </w:p>
    <w:p w:rsidRPr="000A45AF" w:rsidR="000A45AF" w:rsidP="000A45AF" w:rsidRDefault="000A45AF" w14:paraId="6BFAEE09" w14:textId="443FFF1E">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These capital costs have long been treated as ongoing costs rather than start-up costs in </w:t>
      </w:r>
      <w:r w:rsidR="00352453">
        <w:rPr>
          <w:rFonts w:ascii="Times New Roman" w:hAnsi="Times New Roman" w:cs="Times New Roman"/>
          <w:sz w:val="24"/>
          <w:szCs w:val="24"/>
        </w:rPr>
        <w:t>the former</w:t>
      </w:r>
      <w:r w:rsidRPr="000A45AF">
        <w:rPr>
          <w:rFonts w:ascii="Times New Roman" w:hAnsi="Times New Roman" w:cs="Times New Roman"/>
          <w:sz w:val="24"/>
          <w:szCs w:val="24"/>
        </w:rPr>
        <w:t xml:space="preserve"> </w:t>
      </w:r>
      <w:r w:rsidR="00FE2DF2">
        <w:rPr>
          <w:rFonts w:ascii="Times New Roman" w:hAnsi="Times New Roman" w:cs="Times New Roman"/>
          <w:sz w:val="24"/>
          <w:szCs w:val="24"/>
        </w:rPr>
        <w:t>ICR, OMB Control No. 2060-0104</w:t>
      </w:r>
      <w:r w:rsidRPr="000A45AF">
        <w:rPr>
          <w:rFonts w:ascii="Times New Roman" w:hAnsi="Times New Roman" w:cs="Times New Roman"/>
          <w:sz w:val="24"/>
          <w:szCs w:val="24"/>
        </w:rPr>
        <w:t xml:space="preserve"> series. In effect, this allows a capital cost to be attributed on a per-test basis. Because of the wide variety of circumstances among manufacturers (land availability, capital assets, lending terms, labor shifts) and the continuing changes in the numbers of vehicles and engines being certified from year to year, this is the best method of counting facilities capital costs and one which allows continuity of treatment from one collection request to another</w:t>
      </w:r>
      <w:r w:rsidR="00830CE7">
        <w:rPr>
          <w:rFonts w:ascii="Times New Roman" w:hAnsi="Times New Roman" w:cs="Times New Roman"/>
          <w:sz w:val="24"/>
          <w:szCs w:val="24"/>
        </w:rPr>
        <w:t xml:space="preserve">. </w:t>
      </w:r>
      <w:r w:rsidRPr="000A45AF">
        <w:rPr>
          <w:rFonts w:ascii="Times New Roman" w:hAnsi="Times New Roman" w:cs="Times New Roman"/>
          <w:sz w:val="24"/>
          <w:szCs w:val="24"/>
        </w:rPr>
        <w:t xml:space="preserve">This also has the result, as with O&amp;M costs, that collection requests can reflect changes in the information burden due to market forces in the industry that are much too complicated to model. The changes in this estimate from the last renewal reflect re-estimations and changes in the industry, not program changes by </w:t>
      </w:r>
      <w:r w:rsidR="0057142D">
        <w:rPr>
          <w:rFonts w:ascii="Times New Roman" w:hAnsi="Times New Roman" w:cs="Times New Roman"/>
          <w:sz w:val="24"/>
          <w:szCs w:val="24"/>
        </w:rPr>
        <w:t xml:space="preserve">the </w:t>
      </w:r>
      <w:r w:rsidRPr="000A45AF">
        <w:rPr>
          <w:rFonts w:ascii="Times New Roman" w:hAnsi="Times New Roman" w:cs="Times New Roman"/>
          <w:sz w:val="24"/>
          <w:szCs w:val="24"/>
        </w:rPr>
        <w:t>EPA</w:t>
      </w:r>
      <w:r w:rsidR="006F722D">
        <w:rPr>
          <w:rFonts w:ascii="Times New Roman" w:hAnsi="Times New Roman" w:cs="Times New Roman"/>
          <w:sz w:val="24"/>
          <w:szCs w:val="24"/>
        </w:rPr>
        <w:t xml:space="preserve"> and we will not depart from past practice in this on-highway motorcycle ICR</w:t>
      </w:r>
      <w:r w:rsidRPr="000A45AF">
        <w:rPr>
          <w:rFonts w:ascii="Times New Roman" w:hAnsi="Times New Roman" w:cs="Times New Roman"/>
          <w:sz w:val="24"/>
          <w:szCs w:val="24"/>
        </w:rPr>
        <w:t xml:space="preserve">. </w:t>
      </w:r>
    </w:p>
    <w:p w:rsidRPr="000A45AF" w:rsidR="000A45AF" w:rsidP="000A45AF" w:rsidRDefault="000A45AF" w14:paraId="148ABC5E" w14:textId="77777777">
      <w:pPr>
        <w:spacing w:after="0" w:line="240" w:lineRule="auto"/>
        <w:rPr>
          <w:rFonts w:ascii="Times New Roman" w:hAnsi="Times New Roman" w:cs="Times New Roman"/>
          <w:sz w:val="24"/>
          <w:szCs w:val="24"/>
        </w:rPr>
      </w:pPr>
    </w:p>
    <w:p w:rsidRPr="000A45AF" w:rsidR="000A45AF" w:rsidP="000A45AF" w:rsidRDefault="000A45AF" w14:paraId="2969279C" w14:textId="07771B48">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The annualized depreciated costs of these facilities using the standard assumptions </w:t>
      </w:r>
      <w:r w:rsidRPr="000A45AF" w:rsidR="006A20CA">
        <w:rPr>
          <w:rFonts w:ascii="Times New Roman" w:hAnsi="Times New Roman" w:cs="Times New Roman"/>
          <w:sz w:val="24"/>
          <w:szCs w:val="24"/>
        </w:rPr>
        <w:t xml:space="preserve">of </w:t>
      </w:r>
      <w:r w:rsidR="006A20CA">
        <w:rPr>
          <w:rFonts w:ascii="Times New Roman" w:hAnsi="Times New Roman" w:cs="Times New Roman"/>
          <w:sz w:val="24"/>
          <w:szCs w:val="24"/>
        </w:rPr>
        <w:t>seven</w:t>
      </w:r>
      <w:r w:rsidR="006D0C98">
        <w:rPr>
          <w:rFonts w:ascii="Times New Roman" w:hAnsi="Times New Roman" w:cs="Times New Roman"/>
          <w:sz w:val="24"/>
          <w:szCs w:val="24"/>
        </w:rPr>
        <w:t xml:space="preserve"> percent</w:t>
      </w:r>
      <w:r w:rsidRPr="000A45AF">
        <w:rPr>
          <w:rFonts w:ascii="Times New Roman" w:hAnsi="Times New Roman" w:cs="Times New Roman"/>
          <w:sz w:val="24"/>
          <w:szCs w:val="24"/>
        </w:rPr>
        <w:t xml:space="preserve"> interest yearly over </w:t>
      </w:r>
      <w:r w:rsidR="006D0C98">
        <w:rPr>
          <w:rFonts w:ascii="Times New Roman" w:hAnsi="Times New Roman" w:cs="Times New Roman"/>
          <w:sz w:val="24"/>
          <w:szCs w:val="24"/>
        </w:rPr>
        <w:t>10</w:t>
      </w:r>
      <w:r w:rsidRPr="000A45AF">
        <w:rPr>
          <w:rFonts w:ascii="Times New Roman" w:hAnsi="Times New Roman" w:cs="Times New Roman"/>
          <w:sz w:val="24"/>
          <w:szCs w:val="24"/>
        </w:rPr>
        <w:t xml:space="preserve"> years is $</w:t>
      </w:r>
      <w:r w:rsidR="00CD43E2">
        <w:rPr>
          <w:rFonts w:ascii="Times New Roman" w:hAnsi="Times New Roman" w:cs="Times New Roman"/>
          <w:sz w:val="24"/>
          <w:szCs w:val="24"/>
        </w:rPr>
        <w:t>5,333.00</w:t>
      </w:r>
      <w:r w:rsidRPr="000A45AF">
        <w:rPr>
          <w:rFonts w:ascii="Times New Roman" w:hAnsi="Times New Roman" w:cs="Times New Roman"/>
          <w:sz w:val="24"/>
          <w:szCs w:val="24"/>
        </w:rPr>
        <w:t>. This is regarded as a permanent capital cost item; that is, we regard the capital stock as being continuously depreciated and replaced.</w:t>
      </w:r>
    </w:p>
    <w:p w:rsidRPr="000A45AF" w:rsidR="000A45AF" w:rsidP="000A45AF" w:rsidRDefault="000A45AF" w14:paraId="12B0ED43" w14:textId="77777777">
      <w:pPr>
        <w:spacing w:after="0" w:line="240" w:lineRule="auto"/>
        <w:rPr>
          <w:rFonts w:ascii="Times New Roman" w:hAnsi="Times New Roman" w:cs="Times New Roman"/>
          <w:sz w:val="24"/>
          <w:szCs w:val="24"/>
        </w:rPr>
      </w:pPr>
    </w:p>
    <w:p w:rsidRPr="000A45AF" w:rsidR="000A45AF" w:rsidP="000A45AF" w:rsidRDefault="000A45AF" w14:paraId="288AD864"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6(c) </w:t>
      </w:r>
      <w:r w:rsidRPr="000A45AF">
        <w:rPr>
          <w:rFonts w:ascii="Times New Roman" w:hAnsi="Times New Roman" w:cs="Times New Roman"/>
          <w:sz w:val="24"/>
          <w:szCs w:val="24"/>
          <w:u w:val="single"/>
        </w:rPr>
        <w:t>Estimating Agency Burden</w:t>
      </w:r>
    </w:p>
    <w:p w:rsidRPr="000A45AF" w:rsidR="000A45AF" w:rsidP="000A45AF" w:rsidRDefault="000A45AF" w14:paraId="719C3EE1" w14:textId="77777777">
      <w:pPr>
        <w:spacing w:after="0" w:line="240" w:lineRule="auto"/>
        <w:rPr>
          <w:rFonts w:ascii="Times New Roman" w:hAnsi="Times New Roman" w:cs="Times New Roman"/>
          <w:sz w:val="24"/>
          <w:szCs w:val="24"/>
        </w:rPr>
      </w:pPr>
    </w:p>
    <w:p w:rsidRPr="00AA6E15" w:rsidR="00AA6E15" w:rsidP="00AA6E15" w:rsidRDefault="00AA6E15" w14:paraId="561D6AFF" w14:textId="6C57BC91">
      <w:pPr>
        <w:numPr>
          <w:ilvl w:val="12"/>
          <w:numId w:val="0"/>
        </w:numPr>
        <w:autoSpaceDE w:val="0"/>
        <w:autoSpaceDN w:val="0"/>
        <w:adjustRightInd w:val="0"/>
        <w:spacing w:after="0" w:line="240" w:lineRule="auto"/>
        <w:rPr>
          <w:rFonts w:ascii="Times New Roman" w:hAnsi="Times New Roman" w:eastAsia="Times New Roman" w:cs="Times New Roman"/>
          <w:sz w:val="24"/>
          <w:szCs w:val="24"/>
        </w:rPr>
      </w:pPr>
      <w:r w:rsidRPr="00AA6E15">
        <w:rPr>
          <w:rFonts w:ascii="Times New Roman" w:hAnsi="Times New Roman" w:eastAsia="Times New Roman" w:cs="Times New Roman"/>
          <w:sz w:val="24"/>
          <w:szCs w:val="24"/>
        </w:rPr>
        <w:t xml:space="preserve">The </w:t>
      </w:r>
      <w:r w:rsidR="006D0C98">
        <w:rPr>
          <w:rFonts w:ascii="Times New Roman" w:hAnsi="Times New Roman" w:eastAsia="Times New Roman" w:cs="Times New Roman"/>
          <w:sz w:val="24"/>
          <w:szCs w:val="24"/>
        </w:rPr>
        <w:t xml:space="preserve">Compliance Division’s Gasoline Engine Compliance Center </w:t>
      </w:r>
      <w:r w:rsidRPr="00AA6E15">
        <w:rPr>
          <w:rFonts w:ascii="Times New Roman" w:hAnsi="Times New Roman" w:eastAsia="Times New Roman" w:cs="Times New Roman"/>
          <w:sz w:val="24"/>
          <w:szCs w:val="24"/>
        </w:rPr>
        <w:t xml:space="preserve">administers </w:t>
      </w:r>
      <w:r>
        <w:rPr>
          <w:rFonts w:ascii="Times New Roman" w:hAnsi="Times New Roman" w:eastAsia="Times New Roman" w:cs="Times New Roman"/>
          <w:sz w:val="24"/>
          <w:szCs w:val="24"/>
        </w:rPr>
        <w:t xml:space="preserve">the highway motorcycle </w:t>
      </w:r>
      <w:r w:rsidRPr="00AA6E15">
        <w:rPr>
          <w:rFonts w:ascii="Times New Roman" w:hAnsi="Times New Roman" w:eastAsia="Times New Roman" w:cs="Times New Roman"/>
          <w:sz w:val="24"/>
          <w:szCs w:val="24"/>
        </w:rPr>
        <w:t xml:space="preserve">certification and compliance programs. This group currently </w:t>
      </w:r>
      <w:r>
        <w:rPr>
          <w:rFonts w:ascii="Times New Roman" w:hAnsi="Times New Roman" w:eastAsia="Times New Roman" w:cs="Times New Roman"/>
          <w:sz w:val="24"/>
          <w:szCs w:val="24"/>
        </w:rPr>
        <w:t>consists of one</w:t>
      </w:r>
      <w:r w:rsidRPr="00AA6E15">
        <w:rPr>
          <w:rFonts w:ascii="Times New Roman" w:hAnsi="Times New Roman" w:eastAsia="Times New Roman" w:cs="Times New Roman"/>
          <w:sz w:val="24"/>
          <w:szCs w:val="24"/>
        </w:rPr>
        <w:t xml:space="preserve"> full-time employee in Ann Arbor, MI, and </w:t>
      </w:r>
      <w:r>
        <w:rPr>
          <w:rFonts w:ascii="Times New Roman" w:hAnsi="Times New Roman" w:eastAsia="Times New Roman" w:cs="Times New Roman"/>
          <w:sz w:val="24"/>
          <w:szCs w:val="24"/>
        </w:rPr>
        <w:t>a</w:t>
      </w:r>
      <w:r w:rsidRPr="00AA6E15">
        <w:rPr>
          <w:rFonts w:ascii="Times New Roman" w:hAnsi="Times New Roman" w:eastAsia="Times New Roman" w:cs="Times New Roman"/>
          <w:sz w:val="24"/>
          <w:szCs w:val="24"/>
        </w:rPr>
        <w:t xml:space="preserve"> Senior Environmental Employment (SEE) Program (for </w:t>
      </w:r>
      <w:r>
        <w:rPr>
          <w:rFonts w:ascii="Times New Roman" w:hAnsi="Times New Roman" w:eastAsia="Times New Roman" w:cs="Times New Roman"/>
          <w:sz w:val="24"/>
          <w:szCs w:val="24"/>
        </w:rPr>
        <w:t>technical and administrative</w:t>
      </w:r>
      <w:r w:rsidRPr="00AA6E15">
        <w:rPr>
          <w:rFonts w:ascii="Times New Roman" w:hAnsi="Times New Roman" w:eastAsia="Times New Roman" w:cs="Times New Roman"/>
          <w:sz w:val="24"/>
          <w:szCs w:val="24"/>
        </w:rPr>
        <w:t xml:space="preserve"> support) dedicated to the activities covered by this ICR. Other EPA employees from </w:t>
      </w:r>
      <w:smartTag w:uri="urn:schemas-microsoft-com:office:smarttags" w:element="City">
        <w:r w:rsidRPr="00AA6E15">
          <w:rPr>
            <w:rFonts w:ascii="Times New Roman" w:eastAsia="Times New Roman" w:hAnsi="Times New Roman" w:cs="Times New Roman"/>
            <w:sz w:val="24"/>
            <w:szCs w:val="24"/>
          </w:rPr>
          <w:t>Washington</w:t>
        </w:r>
      </w:smartTag>
      <w:r w:rsidRPr="00AA6E15">
        <w:rPr>
          <w:rFonts w:ascii="Times New Roman" w:hAnsi="Times New Roman" w:eastAsia="Times New Roman" w:cs="Times New Roman"/>
          <w:sz w:val="24"/>
          <w:szCs w:val="24"/>
        </w:rPr>
        <w:t xml:space="preserve">, </w:t>
      </w:r>
      <w:smartTag w:uri="urn:schemas-microsoft-com:office:smarttags" w:element="State">
        <w:r w:rsidRPr="00AA6E15">
          <w:rPr>
            <w:rFonts w:ascii="Times New Roman" w:eastAsia="Times New Roman" w:hAnsi="Times New Roman" w:cs="Times New Roman"/>
            <w:sz w:val="24"/>
            <w:szCs w:val="24"/>
          </w:rPr>
          <w:t>DC</w:t>
        </w:r>
      </w:smartTag>
      <w:r w:rsidRPr="00AA6E15">
        <w:rPr>
          <w:rFonts w:ascii="Times New Roman" w:hAnsi="Times New Roman" w:eastAsia="Times New Roman" w:cs="Times New Roman"/>
          <w:sz w:val="24"/>
          <w:szCs w:val="24"/>
        </w:rPr>
        <w:t xml:space="preserve"> and </w:t>
      </w:r>
      <w:smartTag w:uri="urn:schemas-microsoft-com:office:smarttags" w:element="place">
        <w:smartTag w:uri="urn:schemas-microsoft-com:office:smarttags" w:element="City">
          <w:r w:rsidRPr="00AA6E15">
            <w:rPr>
              <w:rFonts w:ascii="Times New Roman" w:eastAsia="Times New Roman" w:hAnsi="Times New Roman" w:cs="Times New Roman"/>
              <w:sz w:val="24"/>
              <w:szCs w:val="24"/>
            </w:rPr>
            <w:t>Ann Arbor</w:t>
          </w:r>
        </w:smartTag>
      </w:smartTag>
      <w:r w:rsidRPr="00AA6E15">
        <w:rPr>
          <w:rFonts w:ascii="Times New Roman" w:hAnsi="Times New Roman" w:eastAsia="Times New Roman" w:cs="Times New Roman"/>
          <w:sz w:val="24"/>
          <w:szCs w:val="24"/>
        </w:rPr>
        <w:t xml:space="preserve"> also provide support for these activities, such as IT personnel, agency lawyers at the Office of General Counsel and the Office of Enforcement and Compliance Activities, work assignment/contract managers, upper management, etc. Contract support is also provided for database development/maintenance as well as compliance program report processing. </w:t>
      </w:r>
    </w:p>
    <w:p w:rsidRPr="00AA6E15" w:rsidR="00AA6E15" w:rsidP="00AA6E15" w:rsidRDefault="00AA6E15" w14:paraId="419EA702" w14:textId="77777777">
      <w:pPr>
        <w:numPr>
          <w:ilvl w:val="12"/>
          <w:numId w:val="0"/>
        </w:numPr>
        <w:autoSpaceDE w:val="0"/>
        <w:autoSpaceDN w:val="0"/>
        <w:adjustRightInd w:val="0"/>
        <w:spacing w:after="0" w:line="240" w:lineRule="auto"/>
        <w:rPr>
          <w:rFonts w:ascii="Times New Roman" w:hAnsi="Times New Roman" w:eastAsia="Times New Roman" w:cs="Times New Roman"/>
          <w:sz w:val="24"/>
          <w:szCs w:val="24"/>
        </w:rPr>
      </w:pPr>
    </w:p>
    <w:p w:rsidR="000E04DB" w:rsidP="00AA6E15" w:rsidRDefault="00AA6E15" w14:paraId="6C8667C8" w14:textId="662AEF99">
      <w:pPr>
        <w:spacing w:after="0" w:line="240" w:lineRule="auto"/>
        <w:rPr>
          <w:rFonts w:ascii="Times New Roman" w:hAnsi="Times New Roman" w:cs="Times New Roman"/>
          <w:sz w:val="24"/>
          <w:szCs w:val="24"/>
        </w:rPr>
      </w:pPr>
      <w:r w:rsidRPr="00AA6E15">
        <w:rPr>
          <w:rFonts w:ascii="Times New Roman" w:hAnsi="Times New Roman" w:eastAsia="Times New Roman" w:cs="Times New Roman"/>
          <w:sz w:val="24"/>
          <w:szCs w:val="24"/>
        </w:rPr>
        <w:tab/>
        <w:t>The cost</w:t>
      </w:r>
      <w:r>
        <w:rPr>
          <w:rFonts w:ascii="Times New Roman" w:hAnsi="Times New Roman" w:eastAsia="Times New Roman" w:cs="Times New Roman"/>
          <w:sz w:val="24"/>
          <w:szCs w:val="24"/>
        </w:rPr>
        <w:t xml:space="preserve"> of the Agency burden is</w:t>
      </w:r>
      <w:r w:rsidRPr="00AA6E15">
        <w:rPr>
          <w:rFonts w:ascii="Times New Roman" w:hAnsi="Times New Roman" w:eastAsia="Times New Roman" w:cs="Times New Roman"/>
          <w:sz w:val="24"/>
          <w:szCs w:val="24"/>
        </w:rPr>
        <w:t xml:space="preserve"> based on hourly wage rates that are effective as of January 2019 as obtained from the Office of Personnel Management (OPM) and adjusted by a factor of 1.6 to account for benefits and overhead. For purposes of estimating Agency labor costs, the labor rates for engineers from the Detroit, MI area were used to reflect the fact that nearly all Agency labor costs for the </w:t>
      </w:r>
      <w:r>
        <w:rPr>
          <w:rFonts w:ascii="Times New Roman" w:hAnsi="Times New Roman" w:eastAsia="Times New Roman" w:cs="Times New Roman"/>
          <w:sz w:val="24"/>
          <w:szCs w:val="24"/>
        </w:rPr>
        <w:t>highway motorcycle</w:t>
      </w:r>
      <w:r w:rsidRPr="00AA6E15">
        <w:rPr>
          <w:rFonts w:ascii="Times New Roman" w:hAnsi="Times New Roman" w:eastAsia="Times New Roman" w:cs="Times New Roman"/>
          <w:sz w:val="24"/>
          <w:szCs w:val="24"/>
        </w:rPr>
        <w:t xml:space="preserve"> program will be incurred at OTAQ’s Ann Arbor, MI location. These rates are available at https://www.opm.gov/policy-data-oversight/pay-leave/salaries-wages/salary-tables/pdf/2018/DET_.pdf</w:t>
      </w:r>
      <w:r w:rsidR="005B443E">
        <w:rPr>
          <w:rFonts w:ascii="Times New Roman" w:hAnsi="Times New Roman" w:eastAsia="Times New Roman" w:cs="Times New Roman"/>
          <w:sz w:val="24"/>
          <w:szCs w:val="24"/>
        </w:rPr>
        <w:t xml:space="preserve">. </w:t>
      </w:r>
    </w:p>
    <w:p w:rsidR="000E04DB" w:rsidP="00AA6E15" w:rsidRDefault="000E04DB" w14:paraId="1FB388B5" w14:textId="77777777">
      <w:pPr>
        <w:spacing w:after="0" w:line="240" w:lineRule="auto"/>
        <w:rPr>
          <w:rFonts w:ascii="Times New Roman" w:hAnsi="Times New Roman" w:cs="Times New Roman"/>
          <w:sz w:val="24"/>
          <w:szCs w:val="24"/>
        </w:rPr>
      </w:pPr>
    </w:p>
    <w:p w:rsidR="000A45AF" w:rsidP="00AA6E15" w:rsidRDefault="00AA6E15" w14:paraId="122533AE" w14:textId="11E7F9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ICR estimates the hourly wage for an EPA employee at $86.21 with an adjustment to $137.94. Administrative support is estimated to be </w:t>
      </w:r>
      <w:r w:rsidR="000E04DB">
        <w:rPr>
          <w:rFonts w:ascii="Times New Roman" w:hAnsi="Times New Roman" w:cs="Times New Roman"/>
          <w:sz w:val="24"/>
          <w:szCs w:val="24"/>
        </w:rPr>
        <w:t>an hourly wage of $35.87. Therefore, the combined wage for the Agency burden would be $173.81. We are estimating 3,</w:t>
      </w:r>
      <w:r w:rsidR="00352453">
        <w:rPr>
          <w:rFonts w:ascii="Times New Roman" w:hAnsi="Times New Roman" w:cs="Times New Roman"/>
          <w:sz w:val="24"/>
          <w:szCs w:val="24"/>
        </w:rPr>
        <w:t xml:space="preserve">275 </w:t>
      </w:r>
      <w:r w:rsidR="000E04DB">
        <w:rPr>
          <w:rFonts w:ascii="Times New Roman" w:hAnsi="Times New Roman" w:cs="Times New Roman"/>
          <w:sz w:val="24"/>
          <w:szCs w:val="24"/>
        </w:rPr>
        <w:t>hours a year for the Agency to review applications, conduct certification and compliance testing, review amendments to applications and certificates, and collect and review records required to be submitted to the EPA. This amounts to a total Agency burden of $</w:t>
      </w:r>
      <w:r w:rsidR="00352453">
        <w:rPr>
          <w:rFonts w:ascii="Times New Roman" w:hAnsi="Times New Roman" w:cs="Times New Roman"/>
          <w:sz w:val="24"/>
          <w:szCs w:val="24"/>
        </w:rPr>
        <w:t>248,328</w:t>
      </w:r>
      <w:r w:rsidR="000E04DB">
        <w:rPr>
          <w:rFonts w:ascii="Times New Roman" w:hAnsi="Times New Roman" w:cs="Times New Roman"/>
          <w:sz w:val="24"/>
          <w:szCs w:val="24"/>
        </w:rPr>
        <w:t xml:space="preserve"> annually to administer this program. </w:t>
      </w:r>
      <w:r w:rsidR="00352453">
        <w:rPr>
          <w:rFonts w:ascii="Times New Roman" w:hAnsi="Times New Roman" w:cs="Times New Roman"/>
          <w:sz w:val="24"/>
          <w:szCs w:val="24"/>
        </w:rPr>
        <w:t>These calculations are listed in the spreadsheet under the title, “Agency Burden.”</w:t>
      </w:r>
    </w:p>
    <w:p w:rsidRPr="000A45AF" w:rsidR="00AA6E15" w:rsidP="00AA6E15" w:rsidRDefault="00AA6E15" w14:paraId="7C320170" w14:textId="77777777">
      <w:pPr>
        <w:spacing w:after="0" w:line="240" w:lineRule="auto"/>
        <w:rPr>
          <w:rFonts w:ascii="Times New Roman" w:hAnsi="Times New Roman" w:cs="Times New Roman"/>
          <w:sz w:val="24"/>
          <w:szCs w:val="24"/>
        </w:rPr>
      </w:pPr>
    </w:p>
    <w:p w:rsidRPr="000A45AF" w:rsidR="000A45AF" w:rsidP="000A45AF" w:rsidRDefault="000A45AF" w14:paraId="383C4A17" w14:textId="77777777">
      <w:pPr>
        <w:spacing w:after="0" w:line="240" w:lineRule="auto"/>
        <w:rPr>
          <w:rFonts w:ascii="Times New Roman" w:hAnsi="Times New Roman" w:cs="Times New Roman"/>
          <w:sz w:val="24"/>
          <w:szCs w:val="24"/>
        </w:rPr>
      </w:pPr>
    </w:p>
    <w:p w:rsidRPr="000A45AF" w:rsidR="000A45AF" w:rsidP="000A45AF" w:rsidRDefault="000A45AF" w14:paraId="7BF330D0"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6(d) </w:t>
      </w:r>
      <w:r w:rsidRPr="000A45AF">
        <w:rPr>
          <w:rFonts w:ascii="Times New Roman" w:hAnsi="Times New Roman" w:cs="Times New Roman"/>
          <w:sz w:val="24"/>
          <w:szCs w:val="24"/>
          <w:u w:val="single"/>
        </w:rPr>
        <w:t>Estimating the Respondent Universe and Total Burden and Costs</w:t>
      </w:r>
    </w:p>
    <w:p w:rsidRPr="000A45AF" w:rsidR="000A45AF" w:rsidP="000A45AF" w:rsidRDefault="000A45AF" w14:paraId="3BA4A14F" w14:textId="77777777">
      <w:pPr>
        <w:spacing w:after="0" w:line="240" w:lineRule="auto"/>
        <w:rPr>
          <w:rFonts w:ascii="Times New Roman" w:hAnsi="Times New Roman" w:cs="Times New Roman"/>
          <w:sz w:val="24"/>
          <w:szCs w:val="24"/>
        </w:rPr>
      </w:pPr>
    </w:p>
    <w:p w:rsidRPr="000A45AF" w:rsidR="000A45AF" w:rsidP="000A45AF" w:rsidRDefault="000A45AF" w14:paraId="35CD3661" w14:textId="77777777">
      <w:pPr>
        <w:spacing w:after="0" w:line="240" w:lineRule="auto"/>
        <w:rPr>
          <w:rFonts w:ascii="Times New Roman" w:hAnsi="Times New Roman" w:cs="Times New Roman"/>
          <w:sz w:val="24"/>
          <w:szCs w:val="24"/>
        </w:rPr>
      </w:pPr>
      <w:r w:rsidRPr="000A45AF">
        <w:rPr>
          <w:rFonts w:ascii="Times New Roman" w:hAnsi="Times New Roman" w:cs="Times New Roman"/>
          <w:sz w:val="24"/>
          <w:szCs w:val="24"/>
        </w:rPr>
        <w:t xml:space="preserve">From the above discussion the following total burden and cost estimates can be calculated. Due to the diverse nature of the </w:t>
      </w:r>
      <w:r w:rsidR="008D75E1">
        <w:rPr>
          <w:rFonts w:ascii="Times New Roman" w:hAnsi="Times New Roman" w:cs="Times New Roman"/>
          <w:sz w:val="24"/>
          <w:szCs w:val="24"/>
        </w:rPr>
        <w:t>HMC</w:t>
      </w:r>
      <w:r w:rsidRPr="000A45AF">
        <w:rPr>
          <w:rFonts w:ascii="Times New Roman" w:hAnsi="Times New Roman" w:cs="Times New Roman"/>
          <w:sz w:val="24"/>
          <w:szCs w:val="24"/>
        </w:rPr>
        <w:t xml:space="preserve"> industry, there is no typical or average respondent. Respondents can be large manufacturers with many products such as </w:t>
      </w:r>
      <w:r w:rsidR="006F722D">
        <w:rPr>
          <w:rFonts w:ascii="Times New Roman" w:hAnsi="Times New Roman" w:cs="Times New Roman"/>
          <w:sz w:val="24"/>
          <w:szCs w:val="24"/>
        </w:rPr>
        <w:t>Honda</w:t>
      </w:r>
      <w:r w:rsidRPr="000A45AF">
        <w:rPr>
          <w:rFonts w:ascii="Times New Roman" w:hAnsi="Times New Roman" w:cs="Times New Roman"/>
          <w:sz w:val="24"/>
          <w:szCs w:val="24"/>
        </w:rPr>
        <w:t xml:space="preserve"> Motors</w:t>
      </w:r>
      <w:r w:rsidR="006E4A37">
        <w:rPr>
          <w:rFonts w:ascii="Times New Roman" w:hAnsi="Times New Roman" w:cs="Times New Roman"/>
          <w:sz w:val="24"/>
          <w:szCs w:val="24"/>
        </w:rPr>
        <w:t>, or they can be small businesses with a single product line. In addition, HWC’s</w:t>
      </w:r>
      <w:r w:rsidRPr="000A45AF">
        <w:rPr>
          <w:rFonts w:ascii="Times New Roman" w:hAnsi="Times New Roman" w:cs="Times New Roman"/>
          <w:sz w:val="24"/>
          <w:szCs w:val="24"/>
        </w:rPr>
        <w:t xml:space="preserve"> can also be small importers of a few specialized motorcycles per year</w:t>
      </w:r>
      <w:r w:rsidR="006E4A37">
        <w:rPr>
          <w:rFonts w:ascii="Times New Roman" w:hAnsi="Times New Roman" w:cs="Times New Roman"/>
          <w:sz w:val="24"/>
          <w:szCs w:val="24"/>
        </w:rPr>
        <w:t xml:space="preserve"> that are manufactured abroad</w:t>
      </w:r>
      <w:r w:rsidRPr="000A45AF">
        <w:rPr>
          <w:rFonts w:ascii="Times New Roman" w:hAnsi="Times New Roman" w:cs="Times New Roman"/>
          <w:sz w:val="24"/>
          <w:szCs w:val="24"/>
        </w:rPr>
        <w:t>.</w:t>
      </w:r>
      <w:r w:rsidR="006E4A37">
        <w:rPr>
          <w:rFonts w:ascii="Times New Roman" w:hAnsi="Times New Roman" w:cs="Times New Roman"/>
          <w:sz w:val="24"/>
          <w:szCs w:val="24"/>
        </w:rPr>
        <w:t xml:space="preserve"> The total burden and cost figures below are estimates </w:t>
      </w:r>
      <w:proofErr w:type="gramStart"/>
      <w:r w:rsidR="006E4A37">
        <w:rPr>
          <w:rFonts w:ascii="Times New Roman" w:hAnsi="Times New Roman" w:cs="Times New Roman"/>
          <w:sz w:val="24"/>
          <w:szCs w:val="24"/>
        </w:rPr>
        <w:t>on the basis of</w:t>
      </w:r>
      <w:proofErr w:type="gramEnd"/>
      <w:r w:rsidR="006E4A37">
        <w:rPr>
          <w:rFonts w:ascii="Times New Roman" w:hAnsi="Times New Roman" w:cs="Times New Roman"/>
          <w:sz w:val="24"/>
          <w:szCs w:val="24"/>
        </w:rPr>
        <w:t xml:space="preserve"> report data from production and end-of-year reports as well as estimates from EPA personnel.</w:t>
      </w:r>
    </w:p>
    <w:p w:rsidRPr="006B76A9" w:rsidR="006B76A9" w:rsidP="006B76A9" w:rsidRDefault="006B76A9" w14:paraId="1CAC098C" w14:textId="77777777">
      <w:pPr>
        <w:spacing w:after="0" w:line="240" w:lineRule="auto"/>
        <w:rPr>
          <w:rFonts w:ascii="Times New Roman" w:hAnsi="Times New Roman" w:cs="Times New Roman"/>
          <w:sz w:val="24"/>
          <w:szCs w:val="24"/>
        </w:rPr>
      </w:pPr>
    </w:p>
    <w:p w:rsidRPr="006F722D" w:rsidR="006F722D" w:rsidP="006F722D" w:rsidRDefault="006F722D" w14:paraId="0EF6FF54" w14:textId="77777777">
      <w:pPr>
        <w:spacing w:after="0" w:line="240" w:lineRule="auto"/>
        <w:rPr>
          <w:rFonts w:ascii="Times New Roman" w:hAnsi="Times New Roman" w:cs="Times New Roman"/>
          <w:sz w:val="24"/>
          <w:szCs w:val="24"/>
          <w:u w:val="single"/>
        </w:rPr>
      </w:pPr>
      <w:r w:rsidRPr="006F722D">
        <w:rPr>
          <w:rFonts w:ascii="Times New Roman" w:hAnsi="Times New Roman" w:cs="Times New Roman"/>
          <w:sz w:val="24"/>
          <w:szCs w:val="24"/>
        </w:rPr>
        <w:t xml:space="preserve">6(e) </w:t>
      </w:r>
      <w:r w:rsidRPr="006F722D">
        <w:rPr>
          <w:rFonts w:ascii="Times New Roman" w:hAnsi="Times New Roman" w:cs="Times New Roman"/>
          <w:sz w:val="24"/>
          <w:szCs w:val="24"/>
          <w:u w:val="single"/>
        </w:rPr>
        <w:t>Bottom Line Burden Hours and Cost</w:t>
      </w:r>
    </w:p>
    <w:p w:rsidRPr="006F722D" w:rsidR="006F722D" w:rsidP="006F722D" w:rsidRDefault="006F722D" w14:paraId="34ADE739" w14:textId="77777777">
      <w:pPr>
        <w:spacing w:after="0" w:line="240" w:lineRule="auto"/>
        <w:rPr>
          <w:rFonts w:ascii="Times New Roman" w:hAnsi="Times New Roman" w:cs="Times New Roman"/>
          <w:sz w:val="24"/>
          <w:szCs w:val="24"/>
          <w:u w:val="single"/>
        </w:rPr>
      </w:pPr>
    </w:p>
    <w:p w:rsidRPr="006F722D" w:rsidR="006F722D" w:rsidP="006F722D" w:rsidRDefault="006F722D" w14:paraId="0E8C47E8" w14:textId="77777777">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(i)  </w:t>
      </w:r>
      <w:r w:rsidRPr="006F722D">
        <w:rPr>
          <w:rFonts w:ascii="Times New Roman" w:hAnsi="Times New Roman" w:cs="Times New Roman"/>
          <w:sz w:val="24"/>
          <w:szCs w:val="24"/>
          <w:u w:val="single"/>
        </w:rPr>
        <w:t>Respondent Tally</w:t>
      </w:r>
    </w:p>
    <w:p w:rsidRPr="006F722D" w:rsidR="006F722D" w:rsidP="006F722D" w:rsidRDefault="006F722D" w14:paraId="36AF4CB9"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Pr="002E590B" w:rsidR="002E590B" w:rsidTr="002E590B" w14:paraId="284CC482" w14:textId="77777777">
        <w:tc>
          <w:tcPr>
            <w:tcW w:w="3116" w:type="dxa"/>
          </w:tcPr>
          <w:p w:rsidRPr="002E590B" w:rsidR="002E590B" w:rsidP="00C06FD0" w:rsidRDefault="002E590B" w14:paraId="7E1F2CF2" w14:textId="77777777">
            <w:pPr>
              <w:rPr>
                <w:sz w:val="24"/>
                <w:szCs w:val="24"/>
              </w:rPr>
            </w:pPr>
            <w:r w:rsidRPr="002E590B">
              <w:rPr>
                <w:sz w:val="24"/>
                <w:szCs w:val="24"/>
              </w:rPr>
              <w:t>RESPONDENTS</w:t>
            </w:r>
          </w:p>
        </w:tc>
        <w:tc>
          <w:tcPr>
            <w:tcW w:w="3117" w:type="dxa"/>
          </w:tcPr>
          <w:p w:rsidRPr="002E590B" w:rsidR="002E590B" w:rsidP="00C06FD0" w:rsidRDefault="00352453" w14:paraId="0D0C34A8" w14:textId="5D23047B">
            <w:pPr>
              <w:rPr>
                <w:sz w:val="24"/>
                <w:szCs w:val="24"/>
              </w:rPr>
            </w:pPr>
            <w:r>
              <w:rPr>
                <w:sz w:val="24"/>
                <w:szCs w:val="24"/>
              </w:rPr>
              <w:t>55</w:t>
            </w:r>
          </w:p>
        </w:tc>
      </w:tr>
      <w:tr w:rsidRPr="002E590B" w:rsidR="002E590B" w:rsidTr="002E590B" w14:paraId="2858A224" w14:textId="77777777">
        <w:tc>
          <w:tcPr>
            <w:tcW w:w="3116" w:type="dxa"/>
          </w:tcPr>
          <w:p w:rsidRPr="002E590B" w:rsidR="002E590B" w:rsidP="00C06FD0" w:rsidRDefault="002E590B" w14:paraId="241B80E7" w14:textId="77777777">
            <w:pPr>
              <w:rPr>
                <w:sz w:val="24"/>
                <w:szCs w:val="24"/>
              </w:rPr>
            </w:pPr>
            <w:r w:rsidRPr="002E590B">
              <w:rPr>
                <w:sz w:val="24"/>
                <w:szCs w:val="24"/>
              </w:rPr>
              <w:t>BURDEN HOURS</w:t>
            </w:r>
          </w:p>
        </w:tc>
        <w:tc>
          <w:tcPr>
            <w:tcW w:w="3117" w:type="dxa"/>
          </w:tcPr>
          <w:p w:rsidRPr="002E590B" w:rsidR="002E590B" w:rsidP="00C06FD0" w:rsidRDefault="00CC30D1" w14:paraId="4E2CD0F2" w14:textId="44E1414E">
            <w:pPr>
              <w:rPr>
                <w:sz w:val="24"/>
                <w:szCs w:val="24"/>
              </w:rPr>
            </w:pPr>
            <w:r>
              <w:rPr>
                <w:sz w:val="24"/>
                <w:szCs w:val="24"/>
              </w:rPr>
              <w:t>15,420</w:t>
            </w:r>
          </w:p>
        </w:tc>
      </w:tr>
      <w:tr w:rsidRPr="002E590B" w:rsidR="002E590B" w:rsidTr="002E590B" w14:paraId="2A85D918" w14:textId="77777777">
        <w:tc>
          <w:tcPr>
            <w:tcW w:w="3116" w:type="dxa"/>
          </w:tcPr>
          <w:p w:rsidRPr="002E590B" w:rsidR="002E590B" w:rsidP="00C06FD0" w:rsidRDefault="002E590B" w14:paraId="6B510AD4" w14:textId="77777777">
            <w:pPr>
              <w:rPr>
                <w:sz w:val="24"/>
                <w:szCs w:val="24"/>
              </w:rPr>
            </w:pPr>
            <w:r w:rsidRPr="002E590B">
              <w:rPr>
                <w:sz w:val="24"/>
                <w:szCs w:val="24"/>
              </w:rPr>
              <w:t>LABOR COST</w:t>
            </w:r>
          </w:p>
        </w:tc>
        <w:tc>
          <w:tcPr>
            <w:tcW w:w="3117" w:type="dxa"/>
          </w:tcPr>
          <w:p w:rsidRPr="002E590B" w:rsidR="002E590B" w:rsidP="00C06FD0" w:rsidRDefault="002E590B" w14:paraId="1F19595C" w14:textId="137491C4">
            <w:pPr>
              <w:rPr>
                <w:sz w:val="24"/>
                <w:szCs w:val="24"/>
              </w:rPr>
            </w:pPr>
            <w:r w:rsidRPr="002E590B">
              <w:rPr>
                <w:sz w:val="24"/>
                <w:szCs w:val="24"/>
              </w:rPr>
              <w:t>$</w:t>
            </w:r>
            <w:r w:rsidR="00352453">
              <w:rPr>
                <w:sz w:val="24"/>
                <w:szCs w:val="24"/>
              </w:rPr>
              <w:t>461,275</w:t>
            </w:r>
          </w:p>
        </w:tc>
      </w:tr>
      <w:tr w:rsidRPr="002E590B" w:rsidR="002E590B" w:rsidTr="002E590B" w14:paraId="3BF618A2" w14:textId="77777777">
        <w:tc>
          <w:tcPr>
            <w:tcW w:w="3116" w:type="dxa"/>
          </w:tcPr>
          <w:p w:rsidRPr="002E590B" w:rsidR="002E590B" w:rsidP="00C06FD0" w:rsidRDefault="002E590B" w14:paraId="6BE629CF" w14:textId="77777777">
            <w:pPr>
              <w:rPr>
                <w:sz w:val="24"/>
                <w:szCs w:val="24"/>
              </w:rPr>
            </w:pPr>
            <w:r w:rsidRPr="002E590B">
              <w:rPr>
                <w:sz w:val="24"/>
                <w:szCs w:val="24"/>
              </w:rPr>
              <w:t>OPERATING COST</w:t>
            </w:r>
          </w:p>
        </w:tc>
        <w:tc>
          <w:tcPr>
            <w:tcW w:w="3117" w:type="dxa"/>
          </w:tcPr>
          <w:p w:rsidRPr="002E590B" w:rsidR="002E590B" w:rsidP="00C06FD0" w:rsidRDefault="002E590B" w14:paraId="77DEDDF6" w14:textId="3C358D51">
            <w:pPr>
              <w:rPr>
                <w:sz w:val="24"/>
                <w:szCs w:val="24"/>
              </w:rPr>
            </w:pPr>
            <w:r w:rsidRPr="002E590B">
              <w:rPr>
                <w:sz w:val="24"/>
                <w:szCs w:val="24"/>
              </w:rPr>
              <w:t>$</w:t>
            </w:r>
            <w:r w:rsidR="00352453">
              <w:rPr>
                <w:sz w:val="24"/>
                <w:szCs w:val="24"/>
              </w:rPr>
              <w:t>182,560</w:t>
            </w:r>
            <w:r w:rsidRPr="002E590B">
              <w:rPr>
                <w:sz w:val="24"/>
                <w:szCs w:val="24"/>
              </w:rPr>
              <w:t xml:space="preserve"> </w:t>
            </w:r>
          </w:p>
        </w:tc>
      </w:tr>
      <w:tr w:rsidRPr="002E590B" w:rsidR="002E590B" w:rsidTr="002E590B" w14:paraId="7B4830A0" w14:textId="77777777">
        <w:tc>
          <w:tcPr>
            <w:tcW w:w="3116" w:type="dxa"/>
          </w:tcPr>
          <w:p w:rsidRPr="002E590B" w:rsidR="002E590B" w:rsidP="00C06FD0" w:rsidRDefault="002E590B" w14:paraId="6B1BD8D7" w14:textId="77777777">
            <w:pPr>
              <w:rPr>
                <w:sz w:val="24"/>
                <w:szCs w:val="24"/>
              </w:rPr>
            </w:pPr>
            <w:r w:rsidRPr="002E590B">
              <w:rPr>
                <w:sz w:val="24"/>
                <w:szCs w:val="24"/>
              </w:rPr>
              <w:t>CAPITALIZED COST</w:t>
            </w:r>
          </w:p>
        </w:tc>
        <w:tc>
          <w:tcPr>
            <w:tcW w:w="3117" w:type="dxa"/>
          </w:tcPr>
          <w:p w:rsidRPr="002E590B" w:rsidR="002E590B" w:rsidP="00C06FD0" w:rsidRDefault="000C641F" w14:paraId="265A8FB7" w14:textId="6D7B2315">
            <w:pPr>
              <w:rPr>
                <w:sz w:val="24"/>
                <w:szCs w:val="24"/>
              </w:rPr>
            </w:pPr>
            <w:r w:rsidRPr="000C641F">
              <w:rPr>
                <w:sz w:val="24"/>
                <w:szCs w:val="24"/>
              </w:rPr>
              <w:t>$</w:t>
            </w:r>
            <w:r w:rsidR="001B5D8E">
              <w:rPr>
                <w:sz w:val="24"/>
                <w:szCs w:val="24"/>
              </w:rPr>
              <w:t>97,644</w:t>
            </w:r>
          </w:p>
        </w:tc>
      </w:tr>
      <w:tr w:rsidRPr="002E590B" w:rsidR="00CC0BBE" w:rsidTr="002E590B" w14:paraId="209AE3DA" w14:textId="77777777">
        <w:tc>
          <w:tcPr>
            <w:tcW w:w="3116" w:type="dxa"/>
          </w:tcPr>
          <w:p w:rsidRPr="002E590B" w:rsidR="00CC0BBE" w:rsidP="00C06FD0" w:rsidRDefault="00CC0BBE" w14:paraId="56185CF8" w14:textId="239D77D0">
            <w:pPr>
              <w:rPr>
                <w:sz w:val="24"/>
                <w:szCs w:val="24"/>
              </w:rPr>
            </w:pPr>
            <w:r>
              <w:rPr>
                <w:sz w:val="24"/>
                <w:szCs w:val="24"/>
              </w:rPr>
              <w:t>Total Cost</w:t>
            </w:r>
          </w:p>
        </w:tc>
        <w:tc>
          <w:tcPr>
            <w:tcW w:w="3117" w:type="dxa"/>
          </w:tcPr>
          <w:p w:rsidRPr="000C641F" w:rsidR="00CC0BBE" w:rsidP="00C06FD0" w:rsidRDefault="00CC0BBE" w14:paraId="7FB3679D" w14:textId="53DBB907">
            <w:pPr>
              <w:rPr>
                <w:sz w:val="24"/>
                <w:szCs w:val="24"/>
              </w:rPr>
            </w:pPr>
            <w:r w:rsidRPr="00CC0BBE">
              <w:rPr>
                <w:sz w:val="24"/>
                <w:szCs w:val="24"/>
              </w:rPr>
              <w:t>$741,499</w:t>
            </w:r>
          </w:p>
        </w:tc>
      </w:tr>
    </w:tbl>
    <w:p w:rsidRPr="006F722D" w:rsidR="006F722D" w:rsidP="006F722D" w:rsidRDefault="006F722D" w14:paraId="1B7E5F77" w14:textId="77777777">
      <w:pPr>
        <w:spacing w:after="0" w:line="240" w:lineRule="auto"/>
        <w:rPr>
          <w:rFonts w:ascii="Times New Roman" w:hAnsi="Times New Roman" w:cs="Times New Roman"/>
          <w:sz w:val="24"/>
          <w:szCs w:val="24"/>
        </w:rPr>
      </w:pPr>
    </w:p>
    <w:p w:rsidRPr="006F722D" w:rsidR="006F722D" w:rsidP="006F722D" w:rsidRDefault="006F722D" w14:paraId="5A211D17" w14:textId="77777777">
      <w:pPr>
        <w:spacing w:after="0" w:line="240" w:lineRule="auto"/>
        <w:rPr>
          <w:rFonts w:ascii="Times New Roman" w:hAnsi="Times New Roman" w:cs="Times New Roman"/>
          <w:sz w:val="24"/>
          <w:szCs w:val="24"/>
          <w:u w:val="single"/>
        </w:rPr>
      </w:pPr>
      <w:r w:rsidRPr="006F722D">
        <w:rPr>
          <w:rFonts w:ascii="Times New Roman" w:hAnsi="Times New Roman" w:cs="Times New Roman"/>
          <w:sz w:val="24"/>
          <w:szCs w:val="24"/>
        </w:rPr>
        <w:t xml:space="preserve">(ii)  </w:t>
      </w:r>
      <w:r w:rsidRPr="006F722D">
        <w:rPr>
          <w:rFonts w:ascii="Times New Roman" w:hAnsi="Times New Roman" w:cs="Times New Roman"/>
          <w:sz w:val="24"/>
          <w:szCs w:val="24"/>
          <w:u w:val="single"/>
        </w:rPr>
        <w:t>Agency Tally</w:t>
      </w:r>
    </w:p>
    <w:p w:rsidRPr="006F722D" w:rsidR="006F722D" w:rsidP="006F722D" w:rsidRDefault="006F722D" w14:paraId="4365D26C" w14:textId="77777777">
      <w:pPr>
        <w:spacing w:after="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4675"/>
        <w:gridCol w:w="4675"/>
      </w:tblGrid>
      <w:tr w:rsidRPr="001E59CE" w:rsidR="001E59CE" w:rsidTr="001E59CE" w14:paraId="4BE7DE13" w14:textId="77777777">
        <w:tc>
          <w:tcPr>
            <w:tcW w:w="4675" w:type="dxa"/>
          </w:tcPr>
          <w:p w:rsidRPr="001E59CE" w:rsidR="001E59CE" w:rsidP="00C06FD0" w:rsidRDefault="001E59CE" w14:paraId="3446559F" w14:textId="77777777">
            <w:pPr>
              <w:rPr>
                <w:sz w:val="24"/>
                <w:szCs w:val="24"/>
              </w:rPr>
            </w:pPr>
            <w:r w:rsidRPr="001E59CE">
              <w:rPr>
                <w:sz w:val="24"/>
                <w:szCs w:val="24"/>
              </w:rPr>
              <w:t>EMPLOYEES</w:t>
            </w:r>
            <w:r w:rsidR="001637F1">
              <w:rPr>
                <w:sz w:val="24"/>
                <w:szCs w:val="24"/>
              </w:rPr>
              <w:t xml:space="preserve"> (2)</w:t>
            </w:r>
            <w:r w:rsidRPr="001E59CE">
              <w:rPr>
                <w:sz w:val="24"/>
                <w:szCs w:val="24"/>
              </w:rPr>
              <w:t xml:space="preserve">: </w:t>
            </w:r>
          </w:p>
        </w:tc>
        <w:tc>
          <w:tcPr>
            <w:tcW w:w="4675" w:type="dxa"/>
          </w:tcPr>
          <w:p w:rsidRPr="001E59CE" w:rsidR="001E59CE" w:rsidP="00C06FD0" w:rsidRDefault="006E4A37" w14:paraId="094F8D2E" w14:textId="08E276AF">
            <w:pPr>
              <w:rPr>
                <w:sz w:val="24"/>
                <w:szCs w:val="24"/>
              </w:rPr>
            </w:pPr>
            <w:r>
              <w:rPr>
                <w:sz w:val="24"/>
                <w:szCs w:val="24"/>
              </w:rPr>
              <w:t>$</w:t>
            </w:r>
            <w:r w:rsidR="007857C0">
              <w:rPr>
                <w:sz w:val="24"/>
                <w:szCs w:val="24"/>
              </w:rPr>
              <w:t>173.81</w:t>
            </w:r>
          </w:p>
        </w:tc>
      </w:tr>
      <w:tr w:rsidRPr="001E59CE" w:rsidR="001E59CE" w:rsidTr="001E59CE" w14:paraId="4EF7B46A" w14:textId="77777777">
        <w:tc>
          <w:tcPr>
            <w:tcW w:w="4675" w:type="dxa"/>
          </w:tcPr>
          <w:p w:rsidRPr="001E59CE" w:rsidR="001E59CE" w:rsidP="00C06FD0" w:rsidRDefault="007857C0" w14:paraId="193F59DE" w14:textId="76F3E4DF">
            <w:pPr>
              <w:rPr>
                <w:sz w:val="24"/>
                <w:szCs w:val="24"/>
              </w:rPr>
            </w:pPr>
            <w:r>
              <w:rPr>
                <w:sz w:val="24"/>
                <w:szCs w:val="24"/>
              </w:rPr>
              <w:t xml:space="preserve">Annual </w:t>
            </w:r>
            <w:r w:rsidRPr="001E59CE" w:rsidR="001E59CE">
              <w:rPr>
                <w:sz w:val="24"/>
                <w:szCs w:val="24"/>
              </w:rPr>
              <w:t xml:space="preserve">LABOR </w:t>
            </w:r>
            <w:r>
              <w:rPr>
                <w:sz w:val="24"/>
                <w:szCs w:val="24"/>
              </w:rPr>
              <w:t>Hours</w:t>
            </w:r>
            <w:r w:rsidRPr="001E59CE" w:rsidR="001E59CE">
              <w:rPr>
                <w:sz w:val="24"/>
                <w:szCs w:val="24"/>
              </w:rPr>
              <w:t>:</w:t>
            </w:r>
          </w:p>
        </w:tc>
        <w:tc>
          <w:tcPr>
            <w:tcW w:w="4675" w:type="dxa"/>
          </w:tcPr>
          <w:p w:rsidRPr="001E59CE" w:rsidR="001E59CE" w:rsidP="006E4A37" w:rsidRDefault="001B5D8E" w14:paraId="2E6760C2" w14:textId="17127C29">
            <w:pPr>
              <w:rPr>
                <w:sz w:val="24"/>
                <w:szCs w:val="24"/>
              </w:rPr>
            </w:pPr>
            <w:r>
              <w:rPr>
                <w:sz w:val="24"/>
                <w:szCs w:val="24"/>
              </w:rPr>
              <w:t>3275</w:t>
            </w:r>
          </w:p>
        </w:tc>
      </w:tr>
      <w:tr w:rsidRPr="001E59CE" w:rsidR="001E59CE" w:rsidTr="001E59CE" w14:paraId="0F4E9081" w14:textId="77777777">
        <w:tc>
          <w:tcPr>
            <w:tcW w:w="4675" w:type="dxa"/>
          </w:tcPr>
          <w:p w:rsidRPr="001E59CE" w:rsidR="001E59CE" w:rsidP="00C06FD0" w:rsidRDefault="007857C0" w14:paraId="0FD11A5B" w14:textId="2E7F5D8A">
            <w:pPr>
              <w:rPr>
                <w:sz w:val="24"/>
                <w:szCs w:val="24"/>
              </w:rPr>
            </w:pPr>
            <w:r>
              <w:rPr>
                <w:sz w:val="24"/>
                <w:szCs w:val="24"/>
              </w:rPr>
              <w:t xml:space="preserve">Agency </w:t>
            </w:r>
            <w:r w:rsidRPr="001E59CE" w:rsidR="001E59CE">
              <w:rPr>
                <w:sz w:val="24"/>
                <w:szCs w:val="24"/>
              </w:rPr>
              <w:t>COST</w:t>
            </w:r>
          </w:p>
        </w:tc>
        <w:tc>
          <w:tcPr>
            <w:tcW w:w="4675" w:type="dxa"/>
          </w:tcPr>
          <w:p w:rsidRPr="001E59CE" w:rsidR="001E59CE" w:rsidP="00896CDA" w:rsidRDefault="001E59CE" w14:paraId="63ECD259" w14:textId="3B31E160">
            <w:pPr>
              <w:rPr>
                <w:sz w:val="24"/>
                <w:szCs w:val="24"/>
              </w:rPr>
            </w:pPr>
            <w:r w:rsidRPr="001E59CE">
              <w:rPr>
                <w:sz w:val="24"/>
                <w:szCs w:val="24"/>
              </w:rPr>
              <w:t>$</w:t>
            </w:r>
            <w:r w:rsidR="001B5D8E">
              <w:rPr>
                <w:sz w:val="24"/>
                <w:szCs w:val="24"/>
              </w:rPr>
              <w:t>248,328</w:t>
            </w:r>
          </w:p>
        </w:tc>
      </w:tr>
    </w:tbl>
    <w:p w:rsidRPr="006F722D" w:rsidR="006F722D" w:rsidP="006F722D" w:rsidRDefault="006F722D" w14:paraId="540A551E" w14:textId="77777777">
      <w:pPr>
        <w:spacing w:after="0" w:line="240" w:lineRule="auto"/>
        <w:rPr>
          <w:rFonts w:ascii="Times New Roman" w:hAnsi="Times New Roman" w:cs="Times New Roman"/>
          <w:sz w:val="24"/>
          <w:szCs w:val="24"/>
        </w:rPr>
      </w:pPr>
    </w:p>
    <w:p w:rsidRPr="006F722D" w:rsidR="006F722D" w:rsidP="006F722D" w:rsidRDefault="006F722D" w14:paraId="2B7038D7" w14:textId="77777777">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6(f) </w:t>
      </w:r>
      <w:r w:rsidRPr="006F722D">
        <w:rPr>
          <w:rFonts w:ascii="Times New Roman" w:hAnsi="Times New Roman" w:cs="Times New Roman"/>
          <w:sz w:val="24"/>
          <w:szCs w:val="24"/>
          <w:u w:val="single"/>
        </w:rPr>
        <w:t>Reasons for change in burden</w:t>
      </w:r>
    </w:p>
    <w:p w:rsidRPr="006F722D" w:rsidR="006F722D" w:rsidP="006F722D" w:rsidRDefault="006F722D" w14:paraId="0B415AE3" w14:textId="77777777">
      <w:pPr>
        <w:spacing w:after="0" w:line="240" w:lineRule="auto"/>
        <w:rPr>
          <w:rFonts w:ascii="Times New Roman" w:hAnsi="Times New Roman" w:cs="Times New Roman"/>
          <w:sz w:val="24"/>
          <w:szCs w:val="24"/>
        </w:rPr>
      </w:pPr>
    </w:p>
    <w:p w:rsidRPr="006F722D" w:rsidR="006F722D" w:rsidP="006F722D" w:rsidRDefault="006F722D" w14:paraId="65487494" w14:textId="5AFBE8EB">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The change in burden </w:t>
      </w:r>
      <w:r w:rsidR="00F313FD">
        <w:rPr>
          <w:rFonts w:ascii="Times New Roman" w:hAnsi="Times New Roman" w:cs="Times New Roman"/>
          <w:sz w:val="24"/>
          <w:szCs w:val="24"/>
        </w:rPr>
        <w:t>compared</w:t>
      </w:r>
      <w:r w:rsidR="00604141">
        <w:rPr>
          <w:rFonts w:ascii="Times New Roman" w:hAnsi="Times New Roman" w:cs="Times New Roman"/>
          <w:sz w:val="24"/>
          <w:szCs w:val="24"/>
        </w:rPr>
        <w:t xml:space="preserve"> to the currently approved ICR</w:t>
      </w:r>
      <w:r w:rsidR="008D75E1">
        <w:rPr>
          <w:rFonts w:ascii="Times New Roman" w:hAnsi="Times New Roman" w:cs="Times New Roman"/>
          <w:sz w:val="24"/>
          <w:szCs w:val="24"/>
        </w:rPr>
        <w:t xml:space="preserve"> </w:t>
      </w:r>
      <w:r w:rsidRPr="006F722D">
        <w:rPr>
          <w:rFonts w:ascii="Times New Roman" w:hAnsi="Times New Roman" w:cs="Times New Roman"/>
          <w:sz w:val="24"/>
          <w:szCs w:val="24"/>
        </w:rPr>
        <w:t xml:space="preserve">is due to </w:t>
      </w:r>
      <w:r w:rsidR="004E230E">
        <w:rPr>
          <w:rFonts w:ascii="Times New Roman" w:hAnsi="Times New Roman" w:cs="Times New Roman"/>
          <w:sz w:val="24"/>
          <w:szCs w:val="24"/>
        </w:rPr>
        <w:t xml:space="preserve">improvements we have made in assessing O&amp;M cost, refined labor hours from feedback provided by the regulated community and greater accounting for permeation testing and reporting to the EPA by highway motorcycle manufacturers. </w:t>
      </w:r>
      <w:r w:rsidRPr="006F722D">
        <w:rPr>
          <w:rFonts w:ascii="Times New Roman" w:hAnsi="Times New Roman" w:cs="Times New Roman"/>
          <w:sz w:val="24"/>
          <w:szCs w:val="24"/>
        </w:rPr>
        <w:t xml:space="preserve"> </w:t>
      </w:r>
      <w:r w:rsidR="0057142D">
        <w:rPr>
          <w:rFonts w:ascii="Times New Roman" w:hAnsi="Times New Roman" w:cs="Times New Roman"/>
          <w:sz w:val="24"/>
          <w:szCs w:val="24"/>
        </w:rPr>
        <w:t xml:space="preserve">The </w:t>
      </w:r>
      <w:r w:rsidRPr="006F722D">
        <w:rPr>
          <w:rFonts w:ascii="Times New Roman" w:hAnsi="Times New Roman" w:cs="Times New Roman"/>
          <w:sz w:val="24"/>
          <w:szCs w:val="24"/>
        </w:rPr>
        <w:t>EPA has not made any program changes since the previous ICR renewal. The effect of these changes can be summarized as follows</w:t>
      </w:r>
      <w:r w:rsidR="00604141">
        <w:rPr>
          <w:rFonts w:ascii="Times New Roman" w:hAnsi="Times New Roman" w:cs="Times New Roman"/>
          <w:sz w:val="24"/>
          <w:szCs w:val="24"/>
        </w:rPr>
        <w:t>.</w:t>
      </w:r>
    </w:p>
    <w:p w:rsidRPr="006F722D" w:rsidR="006F722D" w:rsidP="006F722D" w:rsidRDefault="006F722D" w14:paraId="27AD41DC" w14:textId="77777777">
      <w:pPr>
        <w:spacing w:after="0" w:line="240" w:lineRule="auto"/>
        <w:rPr>
          <w:rFonts w:ascii="Times New Roman" w:hAnsi="Times New Roman" w:cs="Times New Roman"/>
          <w:sz w:val="24"/>
          <w:szCs w:val="24"/>
        </w:rPr>
      </w:pPr>
    </w:p>
    <w:p w:rsidR="007857C0" w:rsidP="006F722D" w:rsidRDefault="007857C0" w14:paraId="280D0973" w14:textId="75AC0B9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Additional Compliance Costs</w:t>
      </w:r>
    </w:p>
    <w:p w:rsidR="00252805" w:rsidP="006F722D" w:rsidRDefault="00252805" w14:paraId="644557E6" w14:textId="77777777">
      <w:pPr>
        <w:spacing w:after="0" w:line="240" w:lineRule="auto"/>
        <w:rPr>
          <w:rFonts w:ascii="Times New Roman" w:hAnsi="Times New Roman" w:cs="Times New Roman"/>
          <w:sz w:val="24"/>
          <w:szCs w:val="24"/>
          <w:u w:val="single"/>
        </w:rPr>
      </w:pPr>
    </w:p>
    <w:p w:rsidRPr="00DD65C0" w:rsidR="007857C0" w:rsidP="006F722D" w:rsidRDefault="007857C0" w14:paraId="0E4DA60F" w14:textId="5E4F6E99">
      <w:pPr>
        <w:spacing w:after="0" w:line="240" w:lineRule="auto"/>
        <w:rPr>
          <w:rFonts w:ascii="Times New Roman" w:hAnsi="Times New Roman" w:cs="Times New Roman"/>
          <w:sz w:val="24"/>
          <w:szCs w:val="24"/>
        </w:rPr>
      </w:pPr>
      <w:r w:rsidRPr="00DD65C0">
        <w:rPr>
          <w:rFonts w:ascii="Times New Roman" w:hAnsi="Times New Roman" w:cs="Times New Roman"/>
          <w:sz w:val="24"/>
          <w:szCs w:val="24"/>
        </w:rPr>
        <w:t xml:space="preserve">In addition to the Agency’s improved presence in certification and compliance, this ICR also recognizes the changes that have occurred in the highway motorcycle industry. EPA’s compliance actions against such entities like Motor Science and Systems Launch Associates, has increased the need for all respondents to properly report production and averaging numbers as well as provide accurate certification test reports. In addition, due to the diverse nature of the highway motorcycle industry, many manufacturers are relying on contract test laboratories to conduct certification testing instead of maintaining a certification test lab to comply with EPA test requirements. Finally, evaporative and permeation </w:t>
      </w:r>
      <w:r w:rsidR="004E230E">
        <w:rPr>
          <w:rFonts w:ascii="Times New Roman" w:hAnsi="Times New Roman" w:cs="Times New Roman"/>
          <w:sz w:val="24"/>
          <w:szCs w:val="24"/>
        </w:rPr>
        <w:t>reporting</w:t>
      </w:r>
      <w:r w:rsidRPr="00DD65C0" w:rsidR="004E230E">
        <w:rPr>
          <w:rFonts w:ascii="Times New Roman" w:hAnsi="Times New Roman" w:cs="Times New Roman"/>
          <w:sz w:val="24"/>
          <w:szCs w:val="24"/>
        </w:rPr>
        <w:t xml:space="preserve"> </w:t>
      </w:r>
      <w:r w:rsidRPr="00DD65C0">
        <w:rPr>
          <w:rFonts w:ascii="Times New Roman" w:hAnsi="Times New Roman" w:cs="Times New Roman"/>
          <w:sz w:val="24"/>
          <w:szCs w:val="24"/>
        </w:rPr>
        <w:t xml:space="preserve">is required for highway motorcycles. </w:t>
      </w:r>
      <w:r w:rsidRPr="00DD65C0" w:rsidR="003E033F">
        <w:rPr>
          <w:rFonts w:ascii="Times New Roman" w:hAnsi="Times New Roman" w:cs="Times New Roman"/>
          <w:sz w:val="24"/>
          <w:szCs w:val="24"/>
        </w:rPr>
        <w:t xml:space="preserve">Manufacturers have choices in terms of complying with </w:t>
      </w:r>
      <w:r w:rsidR="004E230E">
        <w:rPr>
          <w:rFonts w:ascii="Times New Roman" w:hAnsi="Times New Roman" w:cs="Times New Roman"/>
          <w:sz w:val="24"/>
          <w:szCs w:val="24"/>
        </w:rPr>
        <w:t>how they choose to meet the evaporative and permeation requirements</w:t>
      </w:r>
      <w:r w:rsidR="00CC0BBE">
        <w:rPr>
          <w:rFonts w:ascii="Times New Roman" w:hAnsi="Times New Roman" w:cs="Times New Roman"/>
          <w:sz w:val="24"/>
          <w:szCs w:val="24"/>
        </w:rPr>
        <w:t>, but all must report evaporative emissions at the time of certification, an additional burden in this information collection</w:t>
      </w:r>
      <w:r w:rsidRPr="00DD65C0" w:rsidR="003E033F">
        <w:rPr>
          <w:rFonts w:ascii="Times New Roman" w:hAnsi="Times New Roman" w:cs="Times New Roman"/>
          <w:sz w:val="24"/>
          <w:szCs w:val="24"/>
        </w:rPr>
        <w:t xml:space="preserve">. </w:t>
      </w:r>
    </w:p>
    <w:p w:rsidR="003E033F" w:rsidP="006F722D" w:rsidRDefault="003E033F" w14:paraId="68D27C42" w14:textId="77777777">
      <w:pPr>
        <w:spacing w:after="0" w:line="240" w:lineRule="auto"/>
        <w:rPr>
          <w:rFonts w:ascii="Times New Roman" w:hAnsi="Times New Roman" w:cs="Times New Roman"/>
          <w:sz w:val="24"/>
          <w:szCs w:val="24"/>
          <w:u w:val="single"/>
        </w:rPr>
      </w:pPr>
    </w:p>
    <w:p w:rsidRPr="006F722D" w:rsidR="006F722D" w:rsidP="006F722D" w:rsidRDefault="006F722D" w14:paraId="3CC46492" w14:textId="5DE02FF9">
      <w:pPr>
        <w:spacing w:after="0" w:line="240" w:lineRule="auto"/>
        <w:rPr>
          <w:rFonts w:ascii="Times New Roman" w:hAnsi="Times New Roman" w:cs="Times New Roman"/>
          <w:sz w:val="24"/>
          <w:szCs w:val="24"/>
        </w:rPr>
      </w:pPr>
      <w:r w:rsidRPr="006F722D">
        <w:rPr>
          <w:rFonts w:ascii="Times New Roman" w:hAnsi="Times New Roman" w:cs="Times New Roman"/>
          <w:sz w:val="24"/>
          <w:szCs w:val="24"/>
          <w:u w:val="single"/>
        </w:rPr>
        <w:t>Labor hours</w:t>
      </w:r>
      <w:r w:rsidRPr="006F722D">
        <w:rPr>
          <w:rFonts w:ascii="Times New Roman" w:hAnsi="Times New Roman" w:cs="Times New Roman"/>
          <w:sz w:val="24"/>
          <w:szCs w:val="24"/>
        </w:rPr>
        <w:t xml:space="preserve">:   This renewal </w:t>
      </w:r>
      <w:r w:rsidR="004D0520">
        <w:rPr>
          <w:rFonts w:ascii="Times New Roman" w:hAnsi="Times New Roman" w:cs="Times New Roman"/>
          <w:sz w:val="24"/>
          <w:szCs w:val="24"/>
        </w:rPr>
        <w:t>estimates</w:t>
      </w:r>
      <w:r w:rsidRPr="006F722D" w:rsidR="004D0520">
        <w:rPr>
          <w:rFonts w:ascii="Times New Roman" w:hAnsi="Times New Roman" w:cs="Times New Roman"/>
          <w:sz w:val="24"/>
          <w:szCs w:val="24"/>
        </w:rPr>
        <w:t xml:space="preserve"> </w:t>
      </w:r>
      <w:r w:rsidR="00CC0BBE">
        <w:rPr>
          <w:rFonts w:ascii="Times New Roman" w:hAnsi="Times New Roman" w:cs="Times New Roman"/>
          <w:sz w:val="24"/>
          <w:szCs w:val="24"/>
        </w:rPr>
        <w:t xml:space="preserve">a total of </w:t>
      </w:r>
      <w:r w:rsidR="00CC30D1">
        <w:rPr>
          <w:rFonts w:ascii="Times New Roman" w:hAnsi="Times New Roman" w:cs="Times New Roman"/>
          <w:sz w:val="24"/>
          <w:szCs w:val="24"/>
        </w:rPr>
        <w:t>15,420</w:t>
      </w:r>
      <w:r w:rsidRPr="006F722D">
        <w:rPr>
          <w:rFonts w:ascii="Times New Roman" w:hAnsi="Times New Roman" w:cs="Times New Roman"/>
          <w:sz w:val="24"/>
          <w:szCs w:val="24"/>
        </w:rPr>
        <w:t xml:space="preserve"> hours</w:t>
      </w:r>
      <w:r w:rsidR="003E033F">
        <w:rPr>
          <w:rFonts w:ascii="Times New Roman" w:hAnsi="Times New Roman" w:cs="Times New Roman"/>
          <w:sz w:val="24"/>
          <w:szCs w:val="24"/>
        </w:rPr>
        <w:t xml:space="preserve"> annually</w:t>
      </w:r>
      <w:r w:rsidR="00CC30D1">
        <w:rPr>
          <w:rFonts w:ascii="Times New Roman" w:hAnsi="Times New Roman" w:cs="Times New Roman"/>
          <w:sz w:val="24"/>
          <w:szCs w:val="24"/>
        </w:rPr>
        <w:t xml:space="preserve"> for all respondents</w:t>
      </w:r>
      <w:r w:rsidRPr="006F722D">
        <w:rPr>
          <w:rFonts w:ascii="Times New Roman" w:hAnsi="Times New Roman" w:cs="Times New Roman"/>
          <w:sz w:val="24"/>
          <w:szCs w:val="24"/>
        </w:rPr>
        <w:t>. This change is the result of corrections</w:t>
      </w:r>
      <w:r w:rsidR="004D0520">
        <w:rPr>
          <w:rFonts w:ascii="Times New Roman" w:hAnsi="Times New Roman" w:cs="Times New Roman"/>
          <w:sz w:val="24"/>
          <w:szCs w:val="24"/>
        </w:rPr>
        <w:t xml:space="preserve"> to the hours used to file applications, conduct exhaust and evaporative testing, and file an application under the </w:t>
      </w:r>
      <w:r w:rsidR="008C0137">
        <w:rPr>
          <w:rFonts w:ascii="Times New Roman" w:hAnsi="Times New Roman" w:cs="Times New Roman"/>
          <w:sz w:val="24"/>
          <w:szCs w:val="24"/>
        </w:rPr>
        <w:t>EV-CIS</w:t>
      </w:r>
      <w:r w:rsidR="004D0520">
        <w:rPr>
          <w:rFonts w:ascii="Times New Roman" w:hAnsi="Times New Roman" w:cs="Times New Roman"/>
          <w:sz w:val="24"/>
          <w:szCs w:val="24"/>
        </w:rPr>
        <w:t xml:space="preserve"> system.</w:t>
      </w:r>
      <w:r w:rsidRPr="006F722D">
        <w:rPr>
          <w:rFonts w:ascii="Times New Roman" w:hAnsi="Times New Roman" w:cs="Times New Roman"/>
          <w:sz w:val="24"/>
          <w:szCs w:val="24"/>
        </w:rPr>
        <w:t xml:space="preserve"> </w:t>
      </w:r>
      <w:r w:rsidR="003E033F">
        <w:rPr>
          <w:rFonts w:ascii="Times New Roman" w:hAnsi="Times New Roman" w:cs="Times New Roman"/>
          <w:sz w:val="24"/>
          <w:szCs w:val="24"/>
        </w:rPr>
        <w:t xml:space="preserve">This ICR also accounts for the time it likely takes respondents to comply with EPA production test orders, produce production numbers at the end of the model year, and maintain data used for certification and compliance. </w:t>
      </w:r>
      <w:r w:rsidR="004D0520">
        <w:rPr>
          <w:rFonts w:ascii="Times New Roman" w:hAnsi="Times New Roman" w:cs="Times New Roman"/>
          <w:sz w:val="24"/>
          <w:szCs w:val="24"/>
        </w:rPr>
        <w:t xml:space="preserve">This </w:t>
      </w:r>
      <w:r w:rsidR="003E033F">
        <w:rPr>
          <w:rFonts w:ascii="Times New Roman" w:hAnsi="Times New Roman" w:cs="Times New Roman"/>
          <w:sz w:val="24"/>
          <w:szCs w:val="24"/>
        </w:rPr>
        <w:t xml:space="preserve">increase </w:t>
      </w:r>
      <w:r w:rsidR="00CC30D1">
        <w:rPr>
          <w:rFonts w:ascii="Times New Roman" w:hAnsi="Times New Roman" w:cs="Times New Roman"/>
          <w:sz w:val="24"/>
          <w:szCs w:val="24"/>
        </w:rPr>
        <w:t>in</w:t>
      </w:r>
      <w:r w:rsidR="003E033F">
        <w:rPr>
          <w:rFonts w:ascii="Times New Roman" w:hAnsi="Times New Roman" w:cs="Times New Roman"/>
          <w:sz w:val="24"/>
          <w:szCs w:val="24"/>
        </w:rPr>
        <w:t xml:space="preserve"> </w:t>
      </w:r>
      <w:r w:rsidR="004D0520">
        <w:rPr>
          <w:rFonts w:ascii="Times New Roman" w:hAnsi="Times New Roman" w:cs="Times New Roman"/>
          <w:sz w:val="24"/>
          <w:szCs w:val="24"/>
        </w:rPr>
        <w:t>hours reflect</w:t>
      </w:r>
      <w:r w:rsidR="006E4A37">
        <w:rPr>
          <w:rFonts w:ascii="Times New Roman" w:hAnsi="Times New Roman" w:cs="Times New Roman"/>
          <w:sz w:val="24"/>
          <w:szCs w:val="24"/>
        </w:rPr>
        <w:t>s</w:t>
      </w:r>
      <w:r w:rsidR="004D0520">
        <w:rPr>
          <w:rFonts w:ascii="Times New Roman" w:hAnsi="Times New Roman" w:cs="Times New Roman"/>
          <w:sz w:val="24"/>
          <w:szCs w:val="24"/>
        </w:rPr>
        <w:t xml:space="preserve"> the improved </w:t>
      </w:r>
      <w:r w:rsidR="003E033F">
        <w:rPr>
          <w:rFonts w:ascii="Times New Roman" w:hAnsi="Times New Roman" w:cs="Times New Roman"/>
          <w:sz w:val="24"/>
          <w:szCs w:val="24"/>
        </w:rPr>
        <w:t xml:space="preserve">process of estimating respondent burden to comply with EPA requirements through certification and compliance activities. </w:t>
      </w:r>
    </w:p>
    <w:p w:rsidRPr="006F722D" w:rsidR="006F722D" w:rsidP="006F722D" w:rsidRDefault="006F722D" w14:paraId="55531219" w14:textId="77777777">
      <w:pPr>
        <w:spacing w:after="0" w:line="240" w:lineRule="auto"/>
        <w:rPr>
          <w:rFonts w:ascii="Times New Roman" w:hAnsi="Times New Roman" w:cs="Times New Roman"/>
          <w:sz w:val="24"/>
          <w:szCs w:val="24"/>
        </w:rPr>
      </w:pPr>
    </w:p>
    <w:p w:rsidRPr="006F722D" w:rsidR="006F722D" w:rsidP="006F722D" w:rsidRDefault="006F722D" w14:paraId="6EEA39D9" w14:textId="7CE9F93D">
      <w:pPr>
        <w:spacing w:after="0" w:line="240" w:lineRule="auto"/>
        <w:rPr>
          <w:rFonts w:ascii="Times New Roman" w:hAnsi="Times New Roman" w:cs="Times New Roman"/>
          <w:sz w:val="24"/>
          <w:szCs w:val="24"/>
        </w:rPr>
      </w:pPr>
      <w:r w:rsidRPr="006F722D">
        <w:rPr>
          <w:rFonts w:ascii="Times New Roman" w:hAnsi="Times New Roman" w:cs="Times New Roman"/>
          <w:sz w:val="24"/>
          <w:szCs w:val="24"/>
          <w:u w:val="single"/>
        </w:rPr>
        <w:t>Labor costs</w:t>
      </w:r>
      <w:r w:rsidRPr="006F722D">
        <w:rPr>
          <w:rFonts w:ascii="Times New Roman" w:hAnsi="Times New Roman" w:cs="Times New Roman"/>
          <w:sz w:val="24"/>
          <w:szCs w:val="24"/>
        </w:rPr>
        <w:t>:  As stated above, this request uses BLS labor costs with a 1</w:t>
      </w:r>
      <w:r w:rsidR="004D0520">
        <w:rPr>
          <w:rFonts w:ascii="Times New Roman" w:hAnsi="Times New Roman" w:cs="Times New Roman"/>
          <w:sz w:val="24"/>
          <w:szCs w:val="24"/>
        </w:rPr>
        <w:t>3</w:t>
      </w:r>
      <w:r w:rsidRPr="006F722D">
        <w:rPr>
          <w:rFonts w:ascii="Times New Roman" w:hAnsi="Times New Roman" w:cs="Times New Roman"/>
          <w:sz w:val="24"/>
          <w:szCs w:val="24"/>
        </w:rPr>
        <w:t>0</w:t>
      </w:r>
      <w:r w:rsidR="00252805">
        <w:rPr>
          <w:rFonts w:ascii="Times New Roman" w:hAnsi="Times New Roman" w:cs="Times New Roman"/>
          <w:sz w:val="24"/>
          <w:szCs w:val="24"/>
        </w:rPr>
        <w:t xml:space="preserve"> percent</w:t>
      </w:r>
      <w:r w:rsidRPr="006F722D">
        <w:rPr>
          <w:rFonts w:ascii="Times New Roman" w:hAnsi="Times New Roman" w:cs="Times New Roman"/>
          <w:sz w:val="24"/>
          <w:szCs w:val="24"/>
        </w:rPr>
        <w:t xml:space="preserve"> multiplier, which </w:t>
      </w:r>
      <w:r w:rsidR="004D0520">
        <w:rPr>
          <w:rFonts w:ascii="Times New Roman" w:hAnsi="Times New Roman" w:cs="Times New Roman"/>
          <w:sz w:val="24"/>
          <w:szCs w:val="24"/>
        </w:rPr>
        <w:t>captures the BLS estimate of overhead and medical care cost not reflected in the wage estimates</w:t>
      </w:r>
      <w:r w:rsidRPr="006F722D">
        <w:rPr>
          <w:rFonts w:ascii="Times New Roman" w:hAnsi="Times New Roman" w:cs="Times New Roman"/>
          <w:sz w:val="24"/>
          <w:szCs w:val="24"/>
        </w:rPr>
        <w:t xml:space="preserve">. In addition, the labor cost estimate reflects changes in the number of vehicle </w:t>
      </w:r>
      <w:r w:rsidR="00335077">
        <w:rPr>
          <w:rFonts w:ascii="Times New Roman" w:hAnsi="Times New Roman" w:cs="Times New Roman"/>
          <w:sz w:val="24"/>
          <w:szCs w:val="24"/>
        </w:rPr>
        <w:t>certification applications</w:t>
      </w:r>
      <w:r w:rsidRPr="006F722D">
        <w:rPr>
          <w:rFonts w:ascii="Times New Roman" w:hAnsi="Times New Roman" w:cs="Times New Roman"/>
          <w:sz w:val="24"/>
          <w:szCs w:val="24"/>
        </w:rPr>
        <w:t xml:space="preserve"> </w:t>
      </w:r>
      <w:r w:rsidR="004D0520">
        <w:rPr>
          <w:rFonts w:ascii="Times New Roman" w:hAnsi="Times New Roman" w:cs="Times New Roman"/>
          <w:sz w:val="24"/>
          <w:szCs w:val="24"/>
        </w:rPr>
        <w:t xml:space="preserve">to meet </w:t>
      </w:r>
      <w:r w:rsidR="00335077">
        <w:rPr>
          <w:rFonts w:ascii="Times New Roman" w:hAnsi="Times New Roman" w:cs="Times New Roman"/>
          <w:sz w:val="24"/>
          <w:szCs w:val="24"/>
        </w:rPr>
        <w:t xml:space="preserve">exhaust and </w:t>
      </w:r>
      <w:r w:rsidR="004D0520">
        <w:rPr>
          <w:rFonts w:ascii="Times New Roman" w:hAnsi="Times New Roman" w:cs="Times New Roman"/>
          <w:sz w:val="24"/>
          <w:szCs w:val="24"/>
        </w:rPr>
        <w:t>evaporative emissions requirements</w:t>
      </w:r>
      <w:r w:rsidR="00830CE7">
        <w:rPr>
          <w:rFonts w:ascii="Times New Roman" w:hAnsi="Times New Roman" w:cs="Times New Roman"/>
          <w:sz w:val="24"/>
          <w:szCs w:val="24"/>
        </w:rPr>
        <w:t xml:space="preserve">. </w:t>
      </w:r>
    </w:p>
    <w:p w:rsidRPr="006F722D" w:rsidR="006F722D" w:rsidP="006F722D" w:rsidRDefault="006F722D" w14:paraId="41B0C6B7" w14:textId="77777777">
      <w:pPr>
        <w:spacing w:after="0" w:line="240" w:lineRule="auto"/>
        <w:rPr>
          <w:rFonts w:ascii="Times New Roman" w:hAnsi="Times New Roman" w:cs="Times New Roman"/>
          <w:sz w:val="24"/>
          <w:szCs w:val="24"/>
        </w:rPr>
      </w:pPr>
    </w:p>
    <w:p w:rsidRPr="006F722D" w:rsidR="006F722D" w:rsidP="006F722D" w:rsidRDefault="006F722D" w14:paraId="35C42842" w14:textId="77777777">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6(g) </w:t>
      </w:r>
      <w:r w:rsidRPr="006F722D">
        <w:rPr>
          <w:rFonts w:ascii="Times New Roman" w:hAnsi="Times New Roman" w:cs="Times New Roman"/>
          <w:sz w:val="24"/>
          <w:szCs w:val="24"/>
          <w:u w:val="single"/>
        </w:rPr>
        <w:t>Burden Statement</w:t>
      </w:r>
    </w:p>
    <w:p w:rsidRPr="006F722D" w:rsidR="006F722D" w:rsidP="006F722D" w:rsidRDefault="006F722D" w14:paraId="41493448" w14:textId="77777777">
      <w:pPr>
        <w:spacing w:after="0" w:line="240" w:lineRule="auto"/>
        <w:rPr>
          <w:rFonts w:ascii="Times New Roman" w:hAnsi="Times New Roman" w:cs="Times New Roman"/>
          <w:sz w:val="24"/>
          <w:szCs w:val="24"/>
        </w:rPr>
      </w:pPr>
    </w:p>
    <w:p w:rsidRPr="006F722D" w:rsidR="006F722D" w:rsidP="00335077" w:rsidRDefault="00600E0E" w14:paraId="306792DC" w14:textId="0B34082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F722D" w:rsidR="006F722D">
        <w:rPr>
          <w:rFonts w:ascii="Times New Roman" w:hAnsi="Times New Roman" w:cs="Times New Roman"/>
          <w:sz w:val="24"/>
          <w:szCs w:val="24"/>
        </w:rPr>
        <w:t xml:space="preserve">he </w:t>
      </w:r>
      <w:r>
        <w:rPr>
          <w:rFonts w:ascii="Times New Roman" w:hAnsi="Times New Roman" w:cs="Times New Roman"/>
          <w:sz w:val="24"/>
          <w:szCs w:val="24"/>
        </w:rPr>
        <w:t xml:space="preserve">average annual </w:t>
      </w:r>
      <w:r w:rsidRPr="006F722D" w:rsidR="006F722D">
        <w:rPr>
          <w:rFonts w:ascii="Times New Roman" w:hAnsi="Times New Roman" w:cs="Times New Roman"/>
          <w:sz w:val="24"/>
          <w:szCs w:val="24"/>
        </w:rPr>
        <w:t xml:space="preserve">burden </w:t>
      </w:r>
      <w:r>
        <w:rPr>
          <w:rFonts w:ascii="Times New Roman" w:hAnsi="Times New Roman" w:cs="Times New Roman"/>
          <w:sz w:val="24"/>
          <w:szCs w:val="24"/>
        </w:rPr>
        <w:t xml:space="preserve">per </w:t>
      </w:r>
      <w:r w:rsidRPr="006F722D" w:rsidR="006F722D">
        <w:rPr>
          <w:rFonts w:ascii="Times New Roman" w:hAnsi="Times New Roman" w:cs="Times New Roman"/>
          <w:sz w:val="24"/>
          <w:szCs w:val="24"/>
        </w:rPr>
        <w:t>respondent</w:t>
      </w:r>
      <w:r>
        <w:rPr>
          <w:rFonts w:ascii="Times New Roman" w:hAnsi="Times New Roman" w:cs="Times New Roman"/>
          <w:sz w:val="24"/>
          <w:szCs w:val="24"/>
        </w:rPr>
        <w:t xml:space="preserve"> is approximately </w:t>
      </w:r>
      <w:r w:rsidR="00CC0BBE">
        <w:rPr>
          <w:rFonts w:ascii="Times New Roman" w:hAnsi="Times New Roman" w:cs="Times New Roman"/>
          <w:sz w:val="24"/>
          <w:szCs w:val="24"/>
        </w:rPr>
        <w:t>280</w:t>
      </w:r>
      <w:r>
        <w:rPr>
          <w:rFonts w:ascii="Times New Roman" w:hAnsi="Times New Roman" w:cs="Times New Roman"/>
          <w:sz w:val="24"/>
          <w:szCs w:val="24"/>
        </w:rPr>
        <w:t xml:space="preserve"> hours</w:t>
      </w:r>
      <w:r w:rsidR="00CC0BBE">
        <w:rPr>
          <w:rFonts w:ascii="Times New Roman" w:hAnsi="Times New Roman" w:cs="Times New Roman"/>
          <w:sz w:val="24"/>
          <w:szCs w:val="24"/>
        </w:rPr>
        <w:t>, per engine family</w:t>
      </w:r>
      <w:r w:rsidRPr="006F722D" w:rsidR="006F722D">
        <w:rPr>
          <w:rFonts w:ascii="Times New Roman" w:hAnsi="Times New Roman" w:cs="Times New Roman"/>
          <w:sz w:val="24"/>
          <w:szCs w:val="24"/>
        </w:rPr>
        <w:t>. These estimates include time to review applicable regulations and guidance documents, generate and gather the necessary information, submit documents</w:t>
      </w:r>
      <w:r w:rsidR="00072451">
        <w:rPr>
          <w:rFonts w:ascii="Times New Roman" w:hAnsi="Times New Roman" w:cs="Times New Roman"/>
          <w:sz w:val="24"/>
          <w:szCs w:val="24"/>
        </w:rPr>
        <w:t>, conduct certification and compliance testing, and provide all required reporting and record keeping activities</w:t>
      </w:r>
      <w:r w:rsidRPr="006F722D" w:rsidR="006F722D">
        <w:rPr>
          <w:rFonts w:ascii="Times New Roman" w:hAnsi="Times New Roman" w:cs="Times New Roman"/>
          <w:sz w:val="24"/>
          <w:szCs w:val="24"/>
        </w:rPr>
        <w:t>.</w:t>
      </w:r>
    </w:p>
    <w:p w:rsidRPr="006F722D" w:rsidR="006F722D" w:rsidP="006F722D" w:rsidRDefault="006F722D" w14:paraId="1079E08F" w14:textId="77777777">
      <w:pPr>
        <w:spacing w:after="0" w:line="240" w:lineRule="auto"/>
        <w:rPr>
          <w:rFonts w:ascii="Times New Roman" w:hAnsi="Times New Roman" w:cs="Times New Roman"/>
          <w:sz w:val="24"/>
          <w:szCs w:val="24"/>
        </w:rPr>
      </w:pPr>
    </w:p>
    <w:p w:rsidRPr="006F722D" w:rsidR="006F722D" w:rsidP="006F722D" w:rsidRDefault="006F722D" w14:paraId="2EA8913C" w14:textId="3FC90E02">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w:t>
      </w:r>
      <w:r w:rsidR="00072451">
        <w:rPr>
          <w:rFonts w:ascii="Times New Roman" w:hAnsi="Times New Roman" w:cs="Times New Roman"/>
          <w:sz w:val="24"/>
          <w:szCs w:val="24"/>
        </w:rPr>
        <w:t>submitting</w:t>
      </w:r>
      <w:r w:rsidRPr="006F722D">
        <w:rPr>
          <w:rFonts w:ascii="Times New Roman" w:hAnsi="Times New Roman" w:cs="Times New Roman"/>
          <w:sz w:val="24"/>
          <w:szCs w:val="24"/>
        </w:rPr>
        <w:t xml:space="preserve">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w:t>
      </w:r>
      <w:r w:rsidR="00295584">
        <w:rPr>
          <w:rFonts w:ascii="Times New Roman" w:hAnsi="Times New Roman" w:cs="Times New Roman"/>
          <w:sz w:val="24"/>
          <w:szCs w:val="24"/>
        </w:rPr>
        <w:t xml:space="preserve">the </w:t>
      </w:r>
      <w:r w:rsidRPr="006F722D">
        <w:rPr>
          <w:rFonts w:ascii="Times New Roman" w:hAnsi="Times New Roman" w:cs="Times New Roman"/>
          <w:sz w:val="24"/>
          <w:szCs w:val="24"/>
        </w:rPr>
        <w:t>EPA’s regulations are listed in 40 CFR Part 9 and 48 CFR Chapter 15.</w:t>
      </w:r>
    </w:p>
    <w:p w:rsidRPr="006F722D" w:rsidR="006F722D" w:rsidP="006F722D" w:rsidRDefault="006F722D" w14:paraId="13D888FC" w14:textId="77777777">
      <w:pPr>
        <w:spacing w:after="0" w:line="240" w:lineRule="auto"/>
        <w:rPr>
          <w:rFonts w:ascii="Times New Roman" w:hAnsi="Times New Roman" w:cs="Times New Roman"/>
          <w:sz w:val="24"/>
          <w:szCs w:val="24"/>
        </w:rPr>
      </w:pPr>
    </w:p>
    <w:p w:rsidRPr="001B463C" w:rsidR="001B463C" w:rsidP="001B463C" w:rsidRDefault="006F722D" w14:paraId="404F60B0" w14:textId="09F02F33">
      <w:pPr>
        <w:spacing w:after="0" w:line="240" w:lineRule="auto"/>
        <w:rPr>
          <w:rFonts w:ascii="Times New Roman" w:hAnsi="Times New Roman" w:cs="Times New Roman"/>
          <w:sz w:val="24"/>
          <w:szCs w:val="24"/>
        </w:rPr>
      </w:pPr>
      <w:r w:rsidRPr="006F722D">
        <w:rPr>
          <w:rFonts w:ascii="Times New Roman" w:hAnsi="Times New Roman" w:cs="Times New Roman"/>
          <w:sz w:val="24"/>
          <w:szCs w:val="24"/>
        </w:rPr>
        <w:t xml:space="preserve">To comment on the Agency's need for this information, the accuracy of the provided burden estimates, and any suggested methods for minimizing respondent burden, including the use of automated collection techniques, </w:t>
      </w:r>
      <w:r w:rsidR="00295584">
        <w:rPr>
          <w:rFonts w:ascii="Times New Roman" w:hAnsi="Times New Roman" w:cs="Times New Roman"/>
          <w:sz w:val="24"/>
          <w:szCs w:val="24"/>
        </w:rPr>
        <w:t xml:space="preserve">the </w:t>
      </w:r>
      <w:r w:rsidRPr="006F722D">
        <w:rPr>
          <w:rFonts w:ascii="Times New Roman" w:hAnsi="Times New Roman" w:cs="Times New Roman"/>
          <w:sz w:val="24"/>
          <w:szCs w:val="24"/>
        </w:rPr>
        <w:t>EPA has established a public docket for this ICR under Docket ID Number EPA-HQ-</w:t>
      </w:r>
      <w:r w:rsidRPr="001E59CE" w:rsidR="001E59CE">
        <w:rPr>
          <w:rFonts w:ascii="Times New Roman" w:hAnsi="Times New Roman" w:cs="Times New Roman"/>
          <w:sz w:val="24"/>
          <w:szCs w:val="24"/>
        </w:rPr>
        <w:t>OAR–2016–0027</w:t>
      </w:r>
      <w:r w:rsidRPr="006F722D">
        <w:rPr>
          <w:rFonts w:ascii="Times New Roman" w:hAnsi="Times New Roman" w:cs="Times New Roman"/>
          <w:sz w:val="24"/>
          <w:szCs w:val="24"/>
        </w:rPr>
        <w:t xml:space="preserve">, which is available for online viewing at </w:t>
      </w:r>
      <w:r w:rsidR="001B463C">
        <w:rPr>
          <w:rFonts w:ascii="Times New Roman" w:hAnsi="Times New Roman" w:cs="Times New Roman"/>
          <w:sz w:val="24"/>
          <w:szCs w:val="24"/>
        </w:rPr>
        <w:t>regulations.gov</w:t>
      </w:r>
      <w:r w:rsidRPr="00CC0BBE" w:rsidR="005B23D7">
        <w:rPr>
          <w:rFonts w:ascii="Times New Roman" w:hAnsi="Times New Roman" w:cs="Times New Roman"/>
          <w:sz w:val="24"/>
          <w:szCs w:val="24"/>
        </w:rPr>
        <w:t>, or in person viewing at the [insert your Program Office docket name] in the EPA Docket Center (EPA/DC), EPA West, Room 3334, 1301 Constitution Avenue, NW, Washington, D.C.  The EPA Docket Center Public Reading Room is open from 8:30 a.m. to 4:30 p.m., Monday through Friday, excluding legal holidays.  The telephone number for the Reading Room is (202) 566-1744</w:t>
      </w:r>
      <w:r w:rsidR="001B463C">
        <w:rPr>
          <w:rFonts w:ascii="Times New Roman" w:hAnsi="Times New Roman" w:cs="Times New Roman"/>
          <w:sz w:val="24"/>
          <w:szCs w:val="24"/>
        </w:rPr>
        <w:t>.</w:t>
      </w:r>
      <w:r w:rsidR="005B23D7">
        <w:rPr>
          <w:rFonts w:ascii="Times New Roman" w:hAnsi="Times New Roman" w:cs="Times New Roman"/>
          <w:sz w:val="24"/>
          <w:szCs w:val="24"/>
        </w:rPr>
        <w:t xml:space="preserve">  Regulations.gov </w:t>
      </w:r>
      <w:r w:rsidRPr="001B463C" w:rsidR="001B463C">
        <w:rPr>
          <w:rFonts w:ascii="Times New Roman" w:hAnsi="Times New Roman" w:cs="Times New Roman"/>
          <w:sz w:val="24"/>
          <w:szCs w:val="24"/>
        </w:rPr>
        <w:t>can be used to submit or view public comments, access the index listing of the contents of the public docket, and to access those documents in the public docket that are available electronically</w:t>
      </w:r>
      <w:r w:rsidR="00830CE7">
        <w:rPr>
          <w:rFonts w:ascii="Times New Roman" w:hAnsi="Times New Roman" w:cs="Times New Roman"/>
          <w:sz w:val="24"/>
          <w:szCs w:val="24"/>
        </w:rPr>
        <w:t xml:space="preserve">. </w:t>
      </w:r>
      <w:r w:rsidRPr="001B463C" w:rsidR="001B463C">
        <w:rPr>
          <w:rFonts w:ascii="Times New Roman" w:hAnsi="Times New Roman" w:cs="Times New Roman"/>
          <w:sz w:val="24"/>
          <w:szCs w:val="24"/>
        </w:rPr>
        <w:t>When in the system, select “search,” then key in the Docket ID Number identified above. Comments can also be sent to the Office of Information and Regulatory Affairs, Office of Management and Budget, 725 17th Street, NW, Washington, D.C. 20503, Attention: Desk Officer for EPA</w:t>
      </w:r>
      <w:r w:rsidR="00830CE7">
        <w:rPr>
          <w:rFonts w:ascii="Times New Roman" w:hAnsi="Times New Roman" w:cs="Times New Roman"/>
          <w:sz w:val="24"/>
          <w:szCs w:val="24"/>
        </w:rPr>
        <w:t xml:space="preserve">. </w:t>
      </w:r>
      <w:r w:rsidRPr="001B463C" w:rsidR="001B463C">
        <w:rPr>
          <w:rFonts w:ascii="Times New Roman" w:hAnsi="Times New Roman" w:cs="Times New Roman"/>
          <w:sz w:val="24"/>
          <w:szCs w:val="24"/>
        </w:rPr>
        <w:t>Please include the EPA Docket ID EPA-HQ-OAR-2016-00</w:t>
      </w:r>
      <w:r w:rsidR="001B463C">
        <w:rPr>
          <w:rFonts w:ascii="Times New Roman" w:hAnsi="Times New Roman" w:cs="Times New Roman"/>
          <w:sz w:val="24"/>
          <w:szCs w:val="24"/>
        </w:rPr>
        <w:t>27</w:t>
      </w:r>
      <w:r w:rsidRPr="001B463C" w:rsidR="001B463C">
        <w:rPr>
          <w:rFonts w:ascii="Times New Roman" w:hAnsi="Times New Roman" w:cs="Times New Roman"/>
          <w:sz w:val="24"/>
          <w:szCs w:val="24"/>
        </w:rPr>
        <w:t xml:space="preserve"> and OMB Control </w:t>
      </w:r>
      <w:r w:rsidRPr="005E2E73" w:rsidR="001B463C">
        <w:rPr>
          <w:rFonts w:ascii="Times New Roman" w:hAnsi="Times New Roman" w:cs="Times New Roman"/>
          <w:sz w:val="24"/>
          <w:szCs w:val="24"/>
        </w:rPr>
        <w:t>Number 2060-</w:t>
      </w:r>
      <w:r w:rsidRPr="005E2E73" w:rsidR="005E2E73">
        <w:rPr>
          <w:rFonts w:ascii="Times New Roman" w:hAnsi="Times New Roman" w:cs="Times New Roman"/>
          <w:sz w:val="24"/>
          <w:szCs w:val="24"/>
        </w:rPr>
        <w:t xml:space="preserve">0710 </w:t>
      </w:r>
      <w:r w:rsidRPr="005E2E73" w:rsidR="001B463C">
        <w:rPr>
          <w:rFonts w:ascii="Times New Roman" w:hAnsi="Times New Roman" w:cs="Times New Roman"/>
          <w:sz w:val="24"/>
          <w:szCs w:val="24"/>
        </w:rPr>
        <w:t>in</w:t>
      </w:r>
      <w:r w:rsidRPr="001B463C" w:rsidR="001B463C">
        <w:rPr>
          <w:rFonts w:ascii="Times New Roman" w:hAnsi="Times New Roman" w:cs="Times New Roman"/>
          <w:sz w:val="24"/>
          <w:szCs w:val="24"/>
        </w:rPr>
        <w:t xml:space="preserve"> any correspondence.</w:t>
      </w:r>
    </w:p>
    <w:p w:rsidR="001B463C" w:rsidP="001B463C" w:rsidRDefault="001B463C" w14:paraId="403D0A1E" w14:textId="77777777">
      <w:pPr>
        <w:spacing w:after="0" w:line="240" w:lineRule="auto"/>
        <w:rPr>
          <w:rFonts w:ascii="Times New Roman" w:hAnsi="Times New Roman" w:cs="Times New Roman"/>
          <w:sz w:val="24"/>
          <w:szCs w:val="24"/>
        </w:rPr>
      </w:pPr>
    </w:p>
    <w:sectPr w:rsidR="001B463C" w:rsidSect="00830BDD">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A5E8F" w14:textId="77777777" w:rsidR="00F14166" w:rsidRDefault="00F14166" w:rsidP="00D608A0">
      <w:pPr>
        <w:spacing w:after="0" w:line="240" w:lineRule="auto"/>
      </w:pPr>
      <w:r>
        <w:separator/>
      </w:r>
    </w:p>
  </w:endnote>
  <w:endnote w:type="continuationSeparator" w:id="0">
    <w:p w14:paraId="00BA98A7" w14:textId="77777777" w:rsidR="00F14166" w:rsidRDefault="00F14166" w:rsidP="00D6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637548"/>
      <w:docPartObj>
        <w:docPartGallery w:val="Page Numbers (Bottom of Page)"/>
        <w:docPartUnique/>
      </w:docPartObj>
    </w:sdtPr>
    <w:sdtEndPr>
      <w:rPr>
        <w:noProof/>
      </w:rPr>
    </w:sdtEndPr>
    <w:sdtContent>
      <w:p w14:paraId="7D0AF29C" w14:textId="77777777" w:rsidR="00C26068" w:rsidRDefault="00C2606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80A416F" w14:textId="77777777" w:rsidR="00C26068" w:rsidRDefault="00C2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1F8F" w14:textId="77777777" w:rsidR="00F14166" w:rsidRDefault="00F14166" w:rsidP="00D608A0">
      <w:pPr>
        <w:spacing w:after="0" w:line="240" w:lineRule="auto"/>
      </w:pPr>
      <w:r>
        <w:separator/>
      </w:r>
    </w:p>
  </w:footnote>
  <w:footnote w:type="continuationSeparator" w:id="0">
    <w:p w14:paraId="074F6DE1" w14:textId="77777777" w:rsidR="00F14166" w:rsidRDefault="00F14166" w:rsidP="00D608A0">
      <w:pPr>
        <w:spacing w:after="0" w:line="240" w:lineRule="auto"/>
      </w:pPr>
      <w:r>
        <w:continuationSeparator/>
      </w:r>
    </w:p>
  </w:footnote>
  <w:footnote w:id="1">
    <w:p w14:paraId="781354F6" w14:textId="1420B275" w:rsidR="00C26068" w:rsidRDefault="00C26068" w:rsidP="003D6E8C">
      <w:pPr>
        <w:pStyle w:val="FootnoteText"/>
      </w:pPr>
      <w:r>
        <w:rPr>
          <w:rStyle w:val="FootnoteReference"/>
        </w:rPr>
        <w:footnoteRef/>
      </w:r>
      <w:r>
        <w:t xml:space="preserve"> The term “model year” is defined under 40 CFR § 86.402-78(a); “</w:t>
      </w:r>
      <w:r w:rsidRPr="00DD65C0">
        <w:rPr>
          <w:i/>
        </w:rPr>
        <w:t>Model year</w:t>
      </w:r>
      <w:r w:rsidRPr="003D6E8C">
        <w:t xml:space="preserve"> means the manufacturer's annual production period (as determined by the Administrator) which includes January first of such calendar year. If the manufacturer has no annual production period, the term model year shall mean the calendar year.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9F2"/>
    <w:multiLevelType w:val="hybridMultilevel"/>
    <w:tmpl w:val="5D447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6C2AC"/>
    <w:multiLevelType w:val="singleLevel"/>
    <w:tmpl w:val="50B0D42C"/>
    <w:lvl w:ilvl="0">
      <w:start w:val="1"/>
      <w:numFmt w:val="lowerRoman"/>
      <w:lvlText w:val="(%1)"/>
      <w:lvlJc w:val="left"/>
      <w:pPr>
        <w:ind w:left="720" w:hanging="360"/>
      </w:pPr>
      <w:rPr>
        <w:color w:val="000000"/>
      </w:rPr>
    </w:lvl>
  </w:abstractNum>
  <w:abstractNum w:abstractNumId="2" w15:restartNumberingAfterBreak="0">
    <w:nsid w:val="0843E9F7"/>
    <w:multiLevelType w:val="singleLevel"/>
    <w:tmpl w:val="6E735C16"/>
    <w:lvl w:ilvl="0">
      <w:start w:val="1"/>
      <w:numFmt w:val="lowerLetter"/>
      <w:lvlText w:val="5(%1)"/>
      <w:lvlJc w:val="left"/>
      <w:pPr>
        <w:tabs>
          <w:tab w:val="num" w:pos="504"/>
        </w:tabs>
      </w:pPr>
      <w:rPr>
        <w:color w:val="000000"/>
      </w:rPr>
    </w:lvl>
  </w:abstractNum>
  <w:abstractNum w:abstractNumId="3" w15:restartNumberingAfterBreak="0">
    <w:nsid w:val="2B8267E2"/>
    <w:multiLevelType w:val="hybridMultilevel"/>
    <w:tmpl w:val="3D0E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71D0E"/>
    <w:multiLevelType w:val="hybridMultilevel"/>
    <w:tmpl w:val="056A07B6"/>
    <w:lvl w:ilvl="0" w:tplc="D0387B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A35A4F"/>
    <w:multiLevelType w:val="hybridMultilevel"/>
    <w:tmpl w:val="C7688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02339"/>
    <w:multiLevelType w:val="hybridMultilevel"/>
    <w:tmpl w:val="0608B45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1162E"/>
    <w:multiLevelType w:val="hybridMultilevel"/>
    <w:tmpl w:val="8B2A689E"/>
    <w:lvl w:ilvl="0" w:tplc="88FA5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A0"/>
    <w:rsid w:val="000053C6"/>
    <w:rsid w:val="000119A4"/>
    <w:rsid w:val="000303BE"/>
    <w:rsid w:val="000329D7"/>
    <w:rsid w:val="000476BF"/>
    <w:rsid w:val="000520CA"/>
    <w:rsid w:val="00056FF3"/>
    <w:rsid w:val="000578E9"/>
    <w:rsid w:val="0006695B"/>
    <w:rsid w:val="00072451"/>
    <w:rsid w:val="000A341C"/>
    <w:rsid w:val="000A45AF"/>
    <w:rsid w:val="000A638F"/>
    <w:rsid w:val="000B0F73"/>
    <w:rsid w:val="000C009E"/>
    <w:rsid w:val="000C641F"/>
    <w:rsid w:val="000D2D8D"/>
    <w:rsid w:val="000D580A"/>
    <w:rsid w:val="000E04DB"/>
    <w:rsid w:val="000E2532"/>
    <w:rsid w:val="000E5FE2"/>
    <w:rsid w:val="001033AA"/>
    <w:rsid w:val="00105C00"/>
    <w:rsid w:val="00110068"/>
    <w:rsid w:val="00110B73"/>
    <w:rsid w:val="001115F7"/>
    <w:rsid w:val="001245C4"/>
    <w:rsid w:val="00133057"/>
    <w:rsid w:val="001334C9"/>
    <w:rsid w:val="001355B3"/>
    <w:rsid w:val="00142679"/>
    <w:rsid w:val="001503D5"/>
    <w:rsid w:val="0015377D"/>
    <w:rsid w:val="001637F1"/>
    <w:rsid w:val="00163E55"/>
    <w:rsid w:val="001644B5"/>
    <w:rsid w:val="001649A8"/>
    <w:rsid w:val="00171E37"/>
    <w:rsid w:val="001720E5"/>
    <w:rsid w:val="00182071"/>
    <w:rsid w:val="00182EC7"/>
    <w:rsid w:val="00191852"/>
    <w:rsid w:val="001945AB"/>
    <w:rsid w:val="001A055D"/>
    <w:rsid w:val="001A05DD"/>
    <w:rsid w:val="001A1978"/>
    <w:rsid w:val="001A19FF"/>
    <w:rsid w:val="001B0177"/>
    <w:rsid w:val="001B463C"/>
    <w:rsid w:val="001B5D8E"/>
    <w:rsid w:val="001B7EB6"/>
    <w:rsid w:val="001C0590"/>
    <w:rsid w:val="001C5C81"/>
    <w:rsid w:val="001D3D2C"/>
    <w:rsid w:val="001D3DBF"/>
    <w:rsid w:val="001D5DC0"/>
    <w:rsid w:val="001E12FB"/>
    <w:rsid w:val="001E59CE"/>
    <w:rsid w:val="00211BFF"/>
    <w:rsid w:val="00222E80"/>
    <w:rsid w:val="002232A1"/>
    <w:rsid w:val="002252C7"/>
    <w:rsid w:val="00227589"/>
    <w:rsid w:val="0023133E"/>
    <w:rsid w:val="00243B4B"/>
    <w:rsid w:val="00252805"/>
    <w:rsid w:val="002751ED"/>
    <w:rsid w:val="00276899"/>
    <w:rsid w:val="00295584"/>
    <w:rsid w:val="00297749"/>
    <w:rsid w:val="002A035C"/>
    <w:rsid w:val="002B3691"/>
    <w:rsid w:val="002D4185"/>
    <w:rsid w:val="002D64F2"/>
    <w:rsid w:val="002E590B"/>
    <w:rsid w:val="002F0D63"/>
    <w:rsid w:val="002F11FB"/>
    <w:rsid w:val="002F1CBD"/>
    <w:rsid w:val="002F2FED"/>
    <w:rsid w:val="002F4276"/>
    <w:rsid w:val="002F79E8"/>
    <w:rsid w:val="003047C5"/>
    <w:rsid w:val="00317337"/>
    <w:rsid w:val="00321096"/>
    <w:rsid w:val="00325928"/>
    <w:rsid w:val="00335077"/>
    <w:rsid w:val="003413BD"/>
    <w:rsid w:val="00352453"/>
    <w:rsid w:val="003651C6"/>
    <w:rsid w:val="00376EBF"/>
    <w:rsid w:val="00377074"/>
    <w:rsid w:val="003813D7"/>
    <w:rsid w:val="00385BAA"/>
    <w:rsid w:val="0038799B"/>
    <w:rsid w:val="00390666"/>
    <w:rsid w:val="00392E85"/>
    <w:rsid w:val="00393943"/>
    <w:rsid w:val="00396982"/>
    <w:rsid w:val="003C4F35"/>
    <w:rsid w:val="003D6E8C"/>
    <w:rsid w:val="003E033F"/>
    <w:rsid w:val="003E3624"/>
    <w:rsid w:val="003F58CA"/>
    <w:rsid w:val="003F78CC"/>
    <w:rsid w:val="003F7BA3"/>
    <w:rsid w:val="00402331"/>
    <w:rsid w:val="0040721C"/>
    <w:rsid w:val="00411E46"/>
    <w:rsid w:val="00412FEB"/>
    <w:rsid w:val="004334BE"/>
    <w:rsid w:val="004361A8"/>
    <w:rsid w:val="00437E54"/>
    <w:rsid w:val="00441DC5"/>
    <w:rsid w:val="004607A8"/>
    <w:rsid w:val="00480E29"/>
    <w:rsid w:val="00493AFD"/>
    <w:rsid w:val="004941D5"/>
    <w:rsid w:val="004942D6"/>
    <w:rsid w:val="004B7589"/>
    <w:rsid w:val="004B77AF"/>
    <w:rsid w:val="004C5646"/>
    <w:rsid w:val="004C703A"/>
    <w:rsid w:val="004D0520"/>
    <w:rsid w:val="004D2459"/>
    <w:rsid w:val="004E230E"/>
    <w:rsid w:val="004E42E3"/>
    <w:rsid w:val="004E4C9B"/>
    <w:rsid w:val="004F39D0"/>
    <w:rsid w:val="004F5C81"/>
    <w:rsid w:val="004F768B"/>
    <w:rsid w:val="00501053"/>
    <w:rsid w:val="00510DC9"/>
    <w:rsid w:val="005137A9"/>
    <w:rsid w:val="0051602B"/>
    <w:rsid w:val="00522983"/>
    <w:rsid w:val="00524821"/>
    <w:rsid w:val="00552D5E"/>
    <w:rsid w:val="00563CC0"/>
    <w:rsid w:val="0057142D"/>
    <w:rsid w:val="00575074"/>
    <w:rsid w:val="005813C3"/>
    <w:rsid w:val="005824E3"/>
    <w:rsid w:val="00584A2D"/>
    <w:rsid w:val="00594DCA"/>
    <w:rsid w:val="005A18E2"/>
    <w:rsid w:val="005B23D7"/>
    <w:rsid w:val="005B4152"/>
    <w:rsid w:val="005B443E"/>
    <w:rsid w:val="005B645F"/>
    <w:rsid w:val="005B7524"/>
    <w:rsid w:val="005C2F56"/>
    <w:rsid w:val="005C5ABC"/>
    <w:rsid w:val="005D1D1E"/>
    <w:rsid w:val="005D51B6"/>
    <w:rsid w:val="005D5EC2"/>
    <w:rsid w:val="005E2E73"/>
    <w:rsid w:val="005F515D"/>
    <w:rsid w:val="00600E0E"/>
    <w:rsid w:val="00604141"/>
    <w:rsid w:val="0061471C"/>
    <w:rsid w:val="00617CB4"/>
    <w:rsid w:val="00636A8A"/>
    <w:rsid w:val="00662935"/>
    <w:rsid w:val="006640D0"/>
    <w:rsid w:val="00672403"/>
    <w:rsid w:val="00676ABC"/>
    <w:rsid w:val="00681326"/>
    <w:rsid w:val="006860C3"/>
    <w:rsid w:val="006A1E26"/>
    <w:rsid w:val="006A20CA"/>
    <w:rsid w:val="006B76A9"/>
    <w:rsid w:val="006C003B"/>
    <w:rsid w:val="006C569E"/>
    <w:rsid w:val="006D0C98"/>
    <w:rsid w:val="006E4A37"/>
    <w:rsid w:val="006E6BCD"/>
    <w:rsid w:val="006E78D5"/>
    <w:rsid w:val="006F6195"/>
    <w:rsid w:val="006F722D"/>
    <w:rsid w:val="007111B1"/>
    <w:rsid w:val="0072031B"/>
    <w:rsid w:val="007254C7"/>
    <w:rsid w:val="00743EEC"/>
    <w:rsid w:val="007514F8"/>
    <w:rsid w:val="00766682"/>
    <w:rsid w:val="007713D3"/>
    <w:rsid w:val="007857C0"/>
    <w:rsid w:val="00792131"/>
    <w:rsid w:val="007A5C8F"/>
    <w:rsid w:val="007C568B"/>
    <w:rsid w:val="007D77F7"/>
    <w:rsid w:val="007E5ADA"/>
    <w:rsid w:val="007E7C86"/>
    <w:rsid w:val="007F3D15"/>
    <w:rsid w:val="007F4B46"/>
    <w:rsid w:val="0081636B"/>
    <w:rsid w:val="00823410"/>
    <w:rsid w:val="0082708B"/>
    <w:rsid w:val="00830BDD"/>
    <w:rsid w:val="00830CE7"/>
    <w:rsid w:val="00832EE7"/>
    <w:rsid w:val="00841F8D"/>
    <w:rsid w:val="008523BE"/>
    <w:rsid w:val="00852C2C"/>
    <w:rsid w:val="00872AA2"/>
    <w:rsid w:val="0087514C"/>
    <w:rsid w:val="0088771C"/>
    <w:rsid w:val="0089351B"/>
    <w:rsid w:val="00896CDA"/>
    <w:rsid w:val="00896FB2"/>
    <w:rsid w:val="008973E5"/>
    <w:rsid w:val="008A217A"/>
    <w:rsid w:val="008A26AF"/>
    <w:rsid w:val="008A38AE"/>
    <w:rsid w:val="008A4585"/>
    <w:rsid w:val="008B2440"/>
    <w:rsid w:val="008B3617"/>
    <w:rsid w:val="008B3C6F"/>
    <w:rsid w:val="008C0137"/>
    <w:rsid w:val="008C1DF5"/>
    <w:rsid w:val="008C260B"/>
    <w:rsid w:val="008C28BA"/>
    <w:rsid w:val="008C53F5"/>
    <w:rsid w:val="008D0A90"/>
    <w:rsid w:val="008D48D7"/>
    <w:rsid w:val="008D6AF2"/>
    <w:rsid w:val="008D75E1"/>
    <w:rsid w:val="008F7913"/>
    <w:rsid w:val="0090443D"/>
    <w:rsid w:val="009152BE"/>
    <w:rsid w:val="009203CB"/>
    <w:rsid w:val="00922C39"/>
    <w:rsid w:val="00962CD4"/>
    <w:rsid w:val="00967012"/>
    <w:rsid w:val="00971E6F"/>
    <w:rsid w:val="00981277"/>
    <w:rsid w:val="00983657"/>
    <w:rsid w:val="0098599F"/>
    <w:rsid w:val="00996A3A"/>
    <w:rsid w:val="009A2618"/>
    <w:rsid w:val="009A29EB"/>
    <w:rsid w:val="009C2204"/>
    <w:rsid w:val="009D62C5"/>
    <w:rsid w:val="009D68AE"/>
    <w:rsid w:val="009E4B3B"/>
    <w:rsid w:val="00A02242"/>
    <w:rsid w:val="00A111C1"/>
    <w:rsid w:val="00A11BDB"/>
    <w:rsid w:val="00A1439C"/>
    <w:rsid w:val="00A27B65"/>
    <w:rsid w:val="00A30B72"/>
    <w:rsid w:val="00A30D05"/>
    <w:rsid w:val="00A32058"/>
    <w:rsid w:val="00A925E7"/>
    <w:rsid w:val="00AA656C"/>
    <w:rsid w:val="00AA6E15"/>
    <w:rsid w:val="00AA7F91"/>
    <w:rsid w:val="00AB3C9B"/>
    <w:rsid w:val="00AB6CF6"/>
    <w:rsid w:val="00AD21F3"/>
    <w:rsid w:val="00AD7921"/>
    <w:rsid w:val="00AE380A"/>
    <w:rsid w:val="00AF49E6"/>
    <w:rsid w:val="00AF7204"/>
    <w:rsid w:val="00B04397"/>
    <w:rsid w:val="00B12061"/>
    <w:rsid w:val="00B1265B"/>
    <w:rsid w:val="00B331C4"/>
    <w:rsid w:val="00B43A47"/>
    <w:rsid w:val="00B440BD"/>
    <w:rsid w:val="00B61B65"/>
    <w:rsid w:val="00B62937"/>
    <w:rsid w:val="00B66A34"/>
    <w:rsid w:val="00B7406F"/>
    <w:rsid w:val="00B76509"/>
    <w:rsid w:val="00B85F7C"/>
    <w:rsid w:val="00BA3D4D"/>
    <w:rsid w:val="00BB096D"/>
    <w:rsid w:val="00BB1509"/>
    <w:rsid w:val="00BB5E9D"/>
    <w:rsid w:val="00BD3B1F"/>
    <w:rsid w:val="00BE1142"/>
    <w:rsid w:val="00BE5EC2"/>
    <w:rsid w:val="00BF2AF6"/>
    <w:rsid w:val="00BF435C"/>
    <w:rsid w:val="00C0433E"/>
    <w:rsid w:val="00C06FD0"/>
    <w:rsid w:val="00C119E9"/>
    <w:rsid w:val="00C205A8"/>
    <w:rsid w:val="00C26068"/>
    <w:rsid w:val="00C36CA5"/>
    <w:rsid w:val="00C4149E"/>
    <w:rsid w:val="00C41D6C"/>
    <w:rsid w:val="00C5282F"/>
    <w:rsid w:val="00C61D66"/>
    <w:rsid w:val="00C72D92"/>
    <w:rsid w:val="00C930A4"/>
    <w:rsid w:val="00CC0BBE"/>
    <w:rsid w:val="00CC2043"/>
    <w:rsid w:val="00CC30D1"/>
    <w:rsid w:val="00CC429A"/>
    <w:rsid w:val="00CD43E2"/>
    <w:rsid w:val="00CD493C"/>
    <w:rsid w:val="00CD50A0"/>
    <w:rsid w:val="00CD7A3C"/>
    <w:rsid w:val="00CD7CFC"/>
    <w:rsid w:val="00CE5BA8"/>
    <w:rsid w:val="00CE5CCD"/>
    <w:rsid w:val="00D0273E"/>
    <w:rsid w:val="00D0278A"/>
    <w:rsid w:val="00D03BFB"/>
    <w:rsid w:val="00D1290C"/>
    <w:rsid w:val="00D154BE"/>
    <w:rsid w:val="00D366A5"/>
    <w:rsid w:val="00D421D0"/>
    <w:rsid w:val="00D53359"/>
    <w:rsid w:val="00D55E74"/>
    <w:rsid w:val="00D573E7"/>
    <w:rsid w:val="00D608A0"/>
    <w:rsid w:val="00D64322"/>
    <w:rsid w:val="00D83603"/>
    <w:rsid w:val="00D925FA"/>
    <w:rsid w:val="00DB1CCC"/>
    <w:rsid w:val="00DB4C6E"/>
    <w:rsid w:val="00DC1451"/>
    <w:rsid w:val="00DC5406"/>
    <w:rsid w:val="00DC55C2"/>
    <w:rsid w:val="00DC6E7F"/>
    <w:rsid w:val="00DD10E9"/>
    <w:rsid w:val="00DD65C0"/>
    <w:rsid w:val="00DD779A"/>
    <w:rsid w:val="00DE7217"/>
    <w:rsid w:val="00E027A6"/>
    <w:rsid w:val="00E21A5A"/>
    <w:rsid w:val="00E21E82"/>
    <w:rsid w:val="00E31A1E"/>
    <w:rsid w:val="00E35A67"/>
    <w:rsid w:val="00E41755"/>
    <w:rsid w:val="00E64AEE"/>
    <w:rsid w:val="00E67E7E"/>
    <w:rsid w:val="00E706BE"/>
    <w:rsid w:val="00E83BC1"/>
    <w:rsid w:val="00E850D7"/>
    <w:rsid w:val="00E866D1"/>
    <w:rsid w:val="00EA17F9"/>
    <w:rsid w:val="00EB3D4A"/>
    <w:rsid w:val="00EB607C"/>
    <w:rsid w:val="00EC64DB"/>
    <w:rsid w:val="00EF46AA"/>
    <w:rsid w:val="00EF5352"/>
    <w:rsid w:val="00EF6629"/>
    <w:rsid w:val="00F06D05"/>
    <w:rsid w:val="00F07CC7"/>
    <w:rsid w:val="00F12603"/>
    <w:rsid w:val="00F14166"/>
    <w:rsid w:val="00F144EA"/>
    <w:rsid w:val="00F313FD"/>
    <w:rsid w:val="00F479DC"/>
    <w:rsid w:val="00F64CFD"/>
    <w:rsid w:val="00F77723"/>
    <w:rsid w:val="00F837B9"/>
    <w:rsid w:val="00F97F52"/>
    <w:rsid w:val="00FA57CB"/>
    <w:rsid w:val="00FE2DF2"/>
    <w:rsid w:val="00FF3E11"/>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8A0A42A"/>
  <w15:chartTrackingRefBased/>
  <w15:docId w15:val="{404A5971-7440-4D83-BD56-DB3AADC2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8A0"/>
  </w:style>
  <w:style w:type="paragraph" w:styleId="Footer">
    <w:name w:val="footer"/>
    <w:basedOn w:val="Normal"/>
    <w:link w:val="FooterChar"/>
    <w:uiPriority w:val="99"/>
    <w:unhideWhenUsed/>
    <w:rsid w:val="00D6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8A0"/>
  </w:style>
  <w:style w:type="character" w:styleId="CommentReference">
    <w:name w:val="annotation reference"/>
    <w:basedOn w:val="DefaultParagraphFont"/>
    <w:uiPriority w:val="99"/>
    <w:semiHidden/>
    <w:unhideWhenUsed/>
    <w:rsid w:val="009D68AE"/>
    <w:rPr>
      <w:sz w:val="16"/>
      <w:szCs w:val="16"/>
    </w:rPr>
  </w:style>
  <w:style w:type="paragraph" w:styleId="CommentText">
    <w:name w:val="annotation text"/>
    <w:basedOn w:val="Normal"/>
    <w:link w:val="CommentTextChar"/>
    <w:uiPriority w:val="99"/>
    <w:semiHidden/>
    <w:unhideWhenUsed/>
    <w:rsid w:val="009D68AE"/>
    <w:pPr>
      <w:spacing w:line="240" w:lineRule="auto"/>
    </w:pPr>
    <w:rPr>
      <w:sz w:val="20"/>
      <w:szCs w:val="20"/>
    </w:rPr>
  </w:style>
  <w:style w:type="character" w:customStyle="1" w:styleId="CommentTextChar">
    <w:name w:val="Comment Text Char"/>
    <w:basedOn w:val="DefaultParagraphFont"/>
    <w:link w:val="CommentText"/>
    <w:uiPriority w:val="99"/>
    <w:semiHidden/>
    <w:rsid w:val="009D68AE"/>
    <w:rPr>
      <w:sz w:val="20"/>
      <w:szCs w:val="20"/>
    </w:rPr>
  </w:style>
  <w:style w:type="paragraph" w:styleId="CommentSubject">
    <w:name w:val="annotation subject"/>
    <w:basedOn w:val="CommentText"/>
    <w:next w:val="CommentText"/>
    <w:link w:val="CommentSubjectChar"/>
    <w:uiPriority w:val="99"/>
    <w:semiHidden/>
    <w:unhideWhenUsed/>
    <w:rsid w:val="009D68AE"/>
    <w:rPr>
      <w:b/>
      <w:bCs/>
    </w:rPr>
  </w:style>
  <w:style w:type="character" w:customStyle="1" w:styleId="CommentSubjectChar">
    <w:name w:val="Comment Subject Char"/>
    <w:basedOn w:val="CommentTextChar"/>
    <w:link w:val="CommentSubject"/>
    <w:uiPriority w:val="99"/>
    <w:semiHidden/>
    <w:rsid w:val="009D68AE"/>
    <w:rPr>
      <w:b/>
      <w:bCs/>
      <w:sz w:val="20"/>
      <w:szCs w:val="20"/>
    </w:rPr>
  </w:style>
  <w:style w:type="paragraph" w:styleId="Revision">
    <w:name w:val="Revision"/>
    <w:hidden/>
    <w:uiPriority w:val="99"/>
    <w:semiHidden/>
    <w:rsid w:val="009D68AE"/>
    <w:pPr>
      <w:spacing w:after="0" w:line="240" w:lineRule="auto"/>
    </w:pPr>
  </w:style>
  <w:style w:type="paragraph" w:styleId="BalloonText">
    <w:name w:val="Balloon Text"/>
    <w:basedOn w:val="Normal"/>
    <w:link w:val="BalloonTextChar"/>
    <w:uiPriority w:val="99"/>
    <w:semiHidden/>
    <w:unhideWhenUsed/>
    <w:rsid w:val="009D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AE"/>
    <w:rPr>
      <w:rFonts w:ascii="Segoe UI" w:hAnsi="Segoe UI" w:cs="Segoe UI"/>
      <w:sz w:val="18"/>
      <w:szCs w:val="18"/>
    </w:rPr>
  </w:style>
  <w:style w:type="character" w:styleId="Hyperlink">
    <w:name w:val="Hyperlink"/>
    <w:basedOn w:val="DefaultParagraphFont"/>
    <w:uiPriority w:val="99"/>
    <w:unhideWhenUsed/>
    <w:rsid w:val="00B66A34"/>
    <w:rPr>
      <w:color w:val="0563C1" w:themeColor="hyperlink"/>
      <w:u w:val="single"/>
    </w:rPr>
  </w:style>
  <w:style w:type="table" w:styleId="TableGrid">
    <w:name w:val="Table Grid"/>
    <w:basedOn w:val="TableNormal"/>
    <w:rsid w:val="008D0A90"/>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913"/>
    <w:pPr>
      <w:ind w:left="720"/>
      <w:contextualSpacing/>
    </w:pPr>
  </w:style>
  <w:style w:type="paragraph" w:styleId="FootnoteText">
    <w:name w:val="footnote text"/>
    <w:basedOn w:val="Normal"/>
    <w:link w:val="FootnoteTextChar"/>
    <w:uiPriority w:val="99"/>
    <w:semiHidden/>
    <w:unhideWhenUsed/>
    <w:rsid w:val="00816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36B"/>
    <w:rPr>
      <w:sz w:val="20"/>
      <w:szCs w:val="20"/>
    </w:rPr>
  </w:style>
  <w:style w:type="character" w:styleId="FootnoteReference">
    <w:name w:val="footnote reference"/>
    <w:basedOn w:val="DefaultParagraphFont"/>
    <w:uiPriority w:val="99"/>
    <w:semiHidden/>
    <w:unhideWhenUsed/>
    <w:rsid w:val="0081636B"/>
    <w:rPr>
      <w:vertAlign w:val="superscript"/>
    </w:rPr>
  </w:style>
  <w:style w:type="character" w:styleId="FollowedHyperlink">
    <w:name w:val="FollowedHyperlink"/>
    <w:basedOn w:val="DefaultParagraphFont"/>
    <w:uiPriority w:val="99"/>
    <w:semiHidden/>
    <w:unhideWhenUsed/>
    <w:rsid w:val="00D0273E"/>
    <w:rPr>
      <w:color w:val="954F72" w:themeColor="followedHyperlink"/>
      <w:u w:val="single"/>
    </w:rPr>
  </w:style>
  <w:style w:type="character" w:styleId="UnresolvedMention">
    <w:name w:val="Unresolved Mention"/>
    <w:basedOn w:val="DefaultParagraphFont"/>
    <w:uiPriority w:val="99"/>
    <w:semiHidden/>
    <w:unhideWhenUsed/>
    <w:rsid w:val="003813D7"/>
    <w:rPr>
      <w:color w:val="605E5C"/>
      <w:shd w:val="clear" w:color="auto" w:fill="E1DFDD"/>
    </w:rPr>
  </w:style>
  <w:style w:type="paragraph" w:customStyle="1" w:styleId="a">
    <w:name w:val="!"/>
    <w:rsid w:val="001B7EB6"/>
    <w:pPr>
      <w:autoSpaceDE w:val="0"/>
      <w:autoSpaceDN w:val="0"/>
      <w:adjustRightInd w:val="0"/>
      <w:spacing w:after="0"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37418">
      <w:bodyDiv w:val="1"/>
      <w:marLeft w:val="0"/>
      <w:marRight w:val="0"/>
      <w:marTop w:val="0"/>
      <w:marBottom w:val="0"/>
      <w:divBdr>
        <w:top w:val="none" w:sz="0" w:space="0" w:color="auto"/>
        <w:left w:val="none" w:sz="0" w:space="0" w:color="auto"/>
        <w:bottom w:val="none" w:sz="0" w:space="0" w:color="auto"/>
        <w:right w:val="none" w:sz="0" w:space="0" w:color="auto"/>
      </w:divBdr>
    </w:div>
    <w:div w:id="627928291">
      <w:bodyDiv w:val="1"/>
      <w:marLeft w:val="0"/>
      <w:marRight w:val="0"/>
      <w:marTop w:val="0"/>
      <w:marBottom w:val="0"/>
      <w:divBdr>
        <w:top w:val="none" w:sz="0" w:space="0" w:color="auto"/>
        <w:left w:val="none" w:sz="0" w:space="0" w:color="auto"/>
        <w:bottom w:val="none" w:sz="0" w:space="0" w:color="auto"/>
        <w:right w:val="none" w:sz="0" w:space="0" w:color="auto"/>
      </w:divBdr>
    </w:div>
    <w:div w:id="12224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clean-air-act-overview/title-ii-emission-standards-moving-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epa.gov/otaq/crtt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BB2F40E98726B4E96CF12BEE2956B98" ma:contentTypeVersion="33" ma:contentTypeDescription="Create a new document." ma:contentTypeScope="" ma:versionID="96102d0f90ce2668a4b276eaad706c4a">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7cb5431-bb90-48ae-84b5-c16010da6198" xmlns:ns7="fec65ff5-874e-4de3-b420-a3711d4cbce7" targetNamespace="http://schemas.microsoft.com/office/2006/metadata/properties" ma:root="true" ma:fieldsID="a601f274ab4f9d796c1caa4deca162d0" ns1:_="" ns3:_="" ns4:_="" ns5:_="" ns6:_="" ns7:_="">
    <xsd:import namespace="http://schemas.microsoft.com/sharepoint/v3"/>
    <xsd:import namespace="4ffa91fb-a0ff-4ac5-b2db-65c790d184a4"/>
    <xsd:import namespace="http://schemas.microsoft.com/sharepoint.v3"/>
    <xsd:import namespace="http://schemas.microsoft.com/sharepoint/v3/fields"/>
    <xsd:import namespace="77cb5431-bb90-48ae-84b5-c16010da6198"/>
    <xsd:import namespace="fec65ff5-874e-4de3-b420-a3711d4cbce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ca3da2e-c750-4783-9b98-3b839ecd2164}" ma:internalName="TaxCatchAllLabel" ma:readOnly="true" ma:showField="CatchAllDataLabel" ma:web="77cb5431-bb90-48ae-84b5-c16010da619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ca3da2e-c750-4783-9b98-3b839ecd2164}" ma:internalName="TaxCatchAll" ma:showField="CatchAllData" ma:web="77cb5431-bb90-48ae-84b5-c16010da6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5431-bb90-48ae-84b5-c16010da6198"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c65ff5-874e-4de3-b420-a3711d4cbce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Status xmlns="77cb5431-bb90-48ae-84b5-c16010da6198">Pending</Records_x0020_Status>
    <TaxKeywordTaxHTField xmlns="4ffa91fb-a0ff-4ac5-b2db-65c790d184a4">
      <Terms xmlns="http://schemas.microsoft.com/office/infopath/2007/PartnerControls"/>
    </TaxKeywordTaxHTField>
    <Record xmlns="4ffa91fb-a0ff-4ac5-b2db-65c790d184a4">Shared</Record>
    <Records_x0020_Date xmlns="77cb5431-bb90-48ae-84b5-c16010da6198" xsi:nil="true"/>
    <Rights xmlns="4ffa91fb-a0ff-4ac5-b2db-65c790d184a4" xsi:nil="true"/>
    <Document_x0020_Creation_x0020_Date xmlns="4ffa91fb-a0ff-4ac5-b2db-65c790d184a4">2020-03-25T19:45:59+00:00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6DA3-B796-4CBC-ABF3-1528B502143A}">
  <ds:schemaRefs>
    <ds:schemaRef ds:uri="Microsoft.SharePoint.Taxonomy.ContentTypeSync"/>
  </ds:schemaRefs>
</ds:datastoreItem>
</file>

<file path=customXml/itemProps2.xml><?xml version="1.0" encoding="utf-8"?>
<ds:datastoreItem xmlns:ds="http://schemas.openxmlformats.org/officeDocument/2006/customXml" ds:itemID="{F718DED4-5336-4F53-84B3-7CFED193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7cb5431-bb90-48ae-84b5-c16010da6198"/>
    <ds:schemaRef ds:uri="fec65ff5-874e-4de3-b420-a3711d4cb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A2FB7-E35B-433B-A216-382A61C24B2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77cb5431-bb90-48ae-84b5-c16010da6198"/>
    <ds:schemaRef ds:uri="http://schemas.microsoft.com/sharepoint.v3"/>
  </ds:schemaRefs>
</ds:datastoreItem>
</file>

<file path=customXml/itemProps4.xml><?xml version="1.0" encoding="utf-8"?>
<ds:datastoreItem xmlns:ds="http://schemas.openxmlformats.org/officeDocument/2006/customXml" ds:itemID="{D7525DC9-B528-4BF1-8411-6C8104D29619}">
  <ds:schemaRefs>
    <ds:schemaRef ds:uri="http://schemas.microsoft.com/sharepoint/v3/contenttype/forms"/>
  </ds:schemaRefs>
</ds:datastoreItem>
</file>

<file path=customXml/itemProps5.xml><?xml version="1.0" encoding="utf-8"?>
<ds:datastoreItem xmlns:ds="http://schemas.openxmlformats.org/officeDocument/2006/customXml" ds:itemID="{45B3C288-19E4-4D05-AB35-54BC64E8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Julian</dc:creator>
  <cp:keywords/>
  <dc:description/>
  <cp:lastModifiedBy>Salahuddin, Diane</cp:lastModifiedBy>
  <cp:revision>2</cp:revision>
  <cp:lastPrinted>2020-02-01T00:54:00Z</cp:lastPrinted>
  <dcterms:created xsi:type="dcterms:W3CDTF">2020-03-31T21:16:00Z</dcterms:created>
  <dcterms:modified xsi:type="dcterms:W3CDTF">2020-03-31T21:16:00Z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0x0101005BB2F40E98726B4E96CF12BEE2956B98</vt:lpwstr>
  </property>
</Properties>
</file>