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F6277" w:rsidR="00706F93" w:rsidP="00EA122D" w:rsidRDefault="000F45CD">
      <w:pPr>
        <w:spacing w:after="0" w:line="240" w:lineRule="auto"/>
        <w:jc w:val="center"/>
        <w:rPr>
          <w:b/>
        </w:rPr>
      </w:pPr>
      <w:r w:rsidRPr="002F6277">
        <w:rPr>
          <w:b/>
        </w:rPr>
        <w:t>Justification for Change</w:t>
      </w:r>
    </w:p>
    <w:p w:rsidRPr="002F6277" w:rsidR="000F45CD" w:rsidP="00EA122D" w:rsidRDefault="002F6277">
      <w:pPr>
        <w:spacing w:after="0" w:line="240" w:lineRule="auto"/>
        <w:jc w:val="center"/>
        <w:rPr>
          <w:b/>
        </w:rPr>
      </w:pPr>
      <w:r w:rsidRPr="002F6277">
        <w:rPr>
          <w:b/>
        </w:rPr>
        <w:t>Rail Carrier and Tank Car Tanks Requirements, Rail Tank Car Tanks - Transportation of Hazardous Materials by Rail</w:t>
      </w:r>
    </w:p>
    <w:p w:rsidRPr="002F6277" w:rsidR="002F6277" w:rsidP="00EA122D" w:rsidRDefault="002F6277">
      <w:pPr>
        <w:spacing w:after="0" w:line="240" w:lineRule="auto"/>
        <w:jc w:val="center"/>
        <w:rPr>
          <w:b/>
        </w:rPr>
      </w:pPr>
      <w:r w:rsidRPr="002F6277">
        <w:rPr>
          <w:b/>
        </w:rPr>
        <w:t>2137-0559</w:t>
      </w:r>
    </w:p>
    <w:p w:rsidR="002F6277" w:rsidRDefault="002F6277"/>
    <w:p w:rsidRPr="009434FC" w:rsidR="002F6277" w:rsidRDefault="002F6277">
      <w:pPr>
        <w:rPr>
          <w:b/>
        </w:rPr>
      </w:pPr>
      <w:r w:rsidRPr="009434FC">
        <w:rPr>
          <w:b/>
        </w:rPr>
        <w:t>Request</w:t>
      </w:r>
    </w:p>
    <w:p w:rsidR="002F6277" w:rsidRDefault="002F6277">
      <w:r>
        <w:t xml:space="preserve">PHMSA is </w:t>
      </w:r>
      <w:r w:rsidR="00641FBA">
        <w:t>updating</w:t>
      </w:r>
      <w:r>
        <w:t xml:space="preserve"> the number of one time movement approvals</w:t>
      </w:r>
      <w:r w:rsidR="00641FBA">
        <w:t xml:space="preserve"> (OTMAs)</w:t>
      </w:r>
      <w:r>
        <w:t xml:space="preserve"> submitted to the Federal Railway Administration (FRA)</w:t>
      </w:r>
      <w:r w:rsidR="00641FBA">
        <w:t xml:space="preserve"> in accordance with 49 CFR 174.50</w:t>
      </w:r>
      <w:r>
        <w:t>.</w:t>
      </w:r>
      <w:r w:rsidR="00836F50">
        <w:t xml:space="preserve">  Under this OMB control number, PHMSA has an </w:t>
      </w:r>
      <w:r w:rsidR="009434FC">
        <w:t>information</w:t>
      </w:r>
      <w:r w:rsidR="00836F50">
        <w:t xml:space="preserve"> collection titled </w:t>
      </w:r>
      <w:r w:rsidR="009434FC">
        <w:t>“</w:t>
      </w:r>
      <w:r w:rsidRPr="002F6277" w:rsidR="009434FC">
        <w:t>Nonconforming bulk packages must be repaired or approved from movement by the FRA</w:t>
      </w:r>
      <w:r w:rsidR="009434FC">
        <w:t xml:space="preserve">.”  </w:t>
      </w:r>
      <w:r w:rsidR="00641FBA">
        <w:t xml:space="preserve">After reviewing this information collection with FRA and based on the number of OTMAs received on an annual basis, </w:t>
      </w:r>
      <w:r w:rsidR="009434FC">
        <w:t xml:space="preserve">PHMSA </w:t>
      </w:r>
      <w:r w:rsidR="00EA122D">
        <w:t>is</w:t>
      </w:r>
      <w:r w:rsidR="009434FC">
        <w:t xml:space="preserve"> requesting to increase </w:t>
      </w:r>
      <w:r w:rsidR="00641FBA">
        <w:t xml:space="preserve">the number of respondents and responses per carrier to more accurately reflect the current number of requests. </w:t>
      </w:r>
    </w:p>
    <w:p w:rsidRPr="009434FC" w:rsidR="002F6277" w:rsidRDefault="002F6277">
      <w:pPr>
        <w:rPr>
          <w:b/>
        </w:rPr>
      </w:pPr>
      <w:r w:rsidRPr="009434FC">
        <w:rPr>
          <w:b/>
        </w:rPr>
        <w:t>Background</w:t>
      </w:r>
    </w:p>
    <w:p w:rsidR="002F6277" w:rsidRDefault="00641FBA">
      <w:r>
        <w:t xml:space="preserve">Following </w:t>
      </w:r>
      <w:r w:rsidR="002F6277">
        <w:t>discussion</w:t>
      </w:r>
      <w:r>
        <w:t>s</w:t>
      </w:r>
      <w:r w:rsidR="002F6277">
        <w:t xml:space="preserve"> with FRA</w:t>
      </w:r>
      <w:r>
        <w:t xml:space="preserve">, PHMSA determined </w:t>
      </w:r>
      <w:r w:rsidR="002F6277">
        <w:t xml:space="preserve">that the number of </w:t>
      </w:r>
      <w:r>
        <w:t xml:space="preserve">OTMAs that is </w:t>
      </w:r>
      <w:r w:rsidR="002F6277">
        <w:t>current</w:t>
      </w:r>
      <w:r>
        <w:t xml:space="preserve"> being reported</w:t>
      </w:r>
      <w:r w:rsidR="002F6277">
        <w:t xml:space="preserve"> in ROCIS is </w:t>
      </w:r>
      <w:r>
        <w:t>not an accurate representation of the actual information collection.  PHMSA and FRA reviewed the historical data for OTMAs submitted to the FRA and identified that there are more applicants than previously reported.</w:t>
      </w:r>
    </w:p>
    <w:p w:rsidR="009B35BE" w:rsidRDefault="009B35BE"/>
    <w:p w:rsidR="009B35BE" w:rsidRDefault="009B35BE">
      <w:r>
        <w:t xml:space="preserve">Currently Approved </w:t>
      </w:r>
      <w:r w:rsidR="001D301D">
        <w:t>for the adjusted information collection:</w:t>
      </w:r>
    </w:p>
    <w:tbl>
      <w:tblPr>
        <w:tblW w:w="6051" w:type="pct"/>
        <w:jc w:val="center"/>
        <w:tblLook w:val="04A0" w:firstRow="1" w:lastRow="0" w:firstColumn="1" w:lastColumn="0" w:noHBand="0" w:noVBand="1"/>
      </w:tblPr>
      <w:tblGrid>
        <w:gridCol w:w="1094"/>
        <w:gridCol w:w="2285"/>
        <w:gridCol w:w="1239"/>
        <w:gridCol w:w="1009"/>
        <w:gridCol w:w="1061"/>
        <w:gridCol w:w="983"/>
        <w:gridCol w:w="806"/>
        <w:gridCol w:w="806"/>
        <w:gridCol w:w="1016"/>
        <w:gridCol w:w="1016"/>
      </w:tblGrid>
      <w:tr w:rsidRPr="00664F46" w:rsidR="00BE3596" w:rsidTr="00FE7DD6">
        <w:trPr>
          <w:trHeight w:val="630"/>
          <w:jc w:val="center"/>
        </w:trPr>
        <w:tc>
          <w:tcPr>
            <w:tcW w:w="483" w:type="pct"/>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bottom"/>
            <w:hideMark/>
          </w:tcPr>
          <w:p w:rsidRPr="00664F46" w:rsidR="00BE3596" w:rsidP="00BE3596" w:rsidRDefault="00BE3596">
            <w:pPr>
              <w:autoSpaceDN w:val="0"/>
              <w:spacing w:after="0" w:line="240" w:lineRule="auto"/>
              <w:jc w:val="center"/>
              <w:rPr>
                <w:rFonts w:ascii="Times New Roman" w:hAnsi="Times New Roman" w:eastAsia="Times New Roman" w:cs="Times New Roman"/>
                <w:bCs/>
                <w:color w:val="000000"/>
                <w:sz w:val="20"/>
                <w:szCs w:val="20"/>
                <w:u w:val="single"/>
              </w:rPr>
            </w:pPr>
            <w:r w:rsidRPr="00664F46">
              <w:rPr>
                <w:rFonts w:ascii="Times New Roman" w:hAnsi="Times New Roman" w:eastAsia="Times New Roman" w:cs="Times New Roman"/>
                <w:bCs/>
                <w:color w:val="000000"/>
                <w:sz w:val="20"/>
                <w:szCs w:val="20"/>
                <w:u w:val="single"/>
              </w:rPr>
              <w:t>Regulation</w:t>
            </w:r>
          </w:p>
        </w:tc>
        <w:tc>
          <w:tcPr>
            <w:tcW w:w="1010" w:type="pct"/>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bottom"/>
            <w:hideMark/>
          </w:tcPr>
          <w:p w:rsidRPr="00664F46" w:rsidR="00BE3596" w:rsidP="00BE3596" w:rsidRDefault="00BE3596">
            <w:pPr>
              <w:autoSpaceDN w:val="0"/>
              <w:spacing w:after="0" w:line="240" w:lineRule="auto"/>
              <w:jc w:val="center"/>
              <w:rPr>
                <w:rFonts w:ascii="Times New Roman" w:hAnsi="Times New Roman" w:eastAsia="Times New Roman" w:cs="Times New Roman"/>
                <w:bCs/>
                <w:color w:val="000000"/>
                <w:sz w:val="20"/>
                <w:szCs w:val="20"/>
                <w:u w:val="single"/>
              </w:rPr>
            </w:pPr>
            <w:r w:rsidRPr="00664F46">
              <w:rPr>
                <w:rFonts w:ascii="Times New Roman" w:hAnsi="Times New Roman" w:eastAsia="Times New Roman" w:cs="Times New Roman"/>
                <w:bCs/>
                <w:color w:val="000000"/>
                <w:sz w:val="20"/>
                <w:szCs w:val="20"/>
                <w:u w:val="single"/>
              </w:rPr>
              <w:t>Information Collection Request</w:t>
            </w:r>
          </w:p>
        </w:tc>
        <w:tc>
          <w:tcPr>
            <w:tcW w:w="547" w:type="pct"/>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bottom"/>
            <w:hideMark/>
          </w:tcPr>
          <w:p w:rsidRPr="00664F46" w:rsidR="00BE3596" w:rsidP="00BE3596" w:rsidRDefault="00BE3596">
            <w:pPr>
              <w:autoSpaceDN w:val="0"/>
              <w:spacing w:after="0" w:line="240" w:lineRule="auto"/>
              <w:jc w:val="center"/>
              <w:rPr>
                <w:rFonts w:ascii="Times New Roman" w:hAnsi="Times New Roman" w:eastAsia="Times New Roman" w:cs="Times New Roman"/>
                <w:bCs/>
                <w:color w:val="000000"/>
                <w:sz w:val="20"/>
                <w:szCs w:val="20"/>
                <w:u w:val="single"/>
              </w:rPr>
            </w:pPr>
            <w:r w:rsidRPr="00664F46">
              <w:rPr>
                <w:rFonts w:ascii="Times New Roman" w:hAnsi="Times New Roman" w:eastAsia="Times New Roman" w:cs="Times New Roman"/>
                <w:bCs/>
                <w:color w:val="000000"/>
                <w:sz w:val="20"/>
                <w:szCs w:val="20"/>
                <w:u w:val="single"/>
              </w:rPr>
              <w:t>Number of Respondents</w:t>
            </w:r>
          </w:p>
        </w:tc>
        <w:tc>
          <w:tcPr>
            <w:tcW w:w="446" w:type="pct"/>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bottom"/>
            <w:hideMark/>
          </w:tcPr>
          <w:p w:rsidRPr="00664F46" w:rsidR="00BE3596" w:rsidP="00BE3596" w:rsidRDefault="00BE3596">
            <w:pPr>
              <w:autoSpaceDN w:val="0"/>
              <w:spacing w:after="0" w:line="240" w:lineRule="auto"/>
              <w:jc w:val="center"/>
              <w:rPr>
                <w:rFonts w:ascii="Times New Roman" w:hAnsi="Times New Roman" w:eastAsia="Times New Roman" w:cs="Times New Roman"/>
                <w:bCs/>
                <w:color w:val="000000"/>
                <w:sz w:val="20"/>
                <w:szCs w:val="20"/>
                <w:u w:val="single"/>
              </w:rPr>
            </w:pPr>
            <w:r w:rsidRPr="00664F46">
              <w:rPr>
                <w:rFonts w:ascii="Times New Roman" w:hAnsi="Times New Roman" w:eastAsia="Times New Roman" w:cs="Times New Roman"/>
                <w:bCs/>
                <w:color w:val="000000"/>
                <w:sz w:val="20"/>
                <w:szCs w:val="20"/>
                <w:u w:val="single"/>
              </w:rPr>
              <w:t>Response per Carrier</w:t>
            </w:r>
          </w:p>
        </w:tc>
        <w:tc>
          <w:tcPr>
            <w:tcW w:w="469" w:type="pct"/>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bottom"/>
            <w:hideMark/>
          </w:tcPr>
          <w:p w:rsidRPr="00664F46" w:rsidR="00BE3596" w:rsidP="00BE3596" w:rsidRDefault="00BE3596">
            <w:pPr>
              <w:autoSpaceDN w:val="0"/>
              <w:spacing w:after="0" w:line="240" w:lineRule="auto"/>
              <w:jc w:val="center"/>
              <w:rPr>
                <w:rFonts w:ascii="Times New Roman" w:hAnsi="Times New Roman" w:eastAsia="Times New Roman" w:cs="Times New Roman"/>
                <w:bCs/>
                <w:color w:val="000000"/>
                <w:sz w:val="20"/>
                <w:szCs w:val="20"/>
                <w:u w:val="single"/>
              </w:rPr>
            </w:pPr>
            <w:r w:rsidRPr="00664F46">
              <w:rPr>
                <w:rFonts w:ascii="Times New Roman" w:hAnsi="Times New Roman" w:eastAsia="Times New Roman" w:cs="Times New Roman"/>
                <w:bCs/>
                <w:color w:val="000000"/>
                <w:sz w:val="20"/>
                <w:szCs w:val="20"/>
                <w:u w:val="single"/>
              </w:rPr>
              <w:t>Number of Responses</w:t>
            </w:r>
          </w:p>
        </w:tc>
        <w:tc>
          <w:tcPr>
            <w:tcW w:w="434" w:type="pct"/>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bottom"/>
            <w:hideMark/>
          </w:tcPr>
          <w:p w:rsidRPr="00664F46" w:rsidR="00BE3596" w:rsidP="00BE3596" w:rsidRDefault="00BE3596">
            <w:pPr>
              <w:autoSpaceDN w:val="0"/>
              <w:spacing w:after="0" w:line="240" w:lineRule="auto"/>
              <w:jc w:val="center"/>
              <w:rPr>
                <w:rFonts w:ascii="Times New Roman" w:hAnsi="Times New Roman" w:eastAsia="Times New Roman" w:cs="Times New Roman"/>
                <w:bCs/>
                <w:color w:val="000000"/>
                <w:sz w:val="20"/>
                <w:szCs w:val="20"/>
                <w:u w:val="single"/>
              </w:rPr>
            </w:pPr>
            <w:r w:rsidRPr="00664F46">
              <w:rPr>
                <w:rFonts w:ascii="Times New Roman" w:hAnsi="Times New Roman" w:eastAsia="Times New Roman" w:cs="Times New Roman"/>
                <w:bCs/>
                <w:color w:val="000000"/>
                <w:sz w:val="20"/>
                <w:szCs w:val="20"/>
                <w:u w:val="single"/>
              </w:rPr>
              <w:t>Minutes per Response</w:t>
            </w:r>
          </w:p>
        </w:tc>
        <w:tc>
          <w:tcPr>
            <w:tcW w:w="356" w:type="pct"/>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bottom"/>
            <w:hideMark/>
          </w:tcPr>
          <w:p w:rsidRPr="00664F46" w:rsidR="00BE3596" w:rsidP="00BE3596" w:rsidRDefault="00BE3596">
            <w:pPr>
              <w:autoSpaceDN w:val="0"/>
              <w:spacing w:after="0" w:line="240" w:lineRule="auto"/>
              <w:jc w:val="center"/>
              <w:rPr>
                <w:rFonts w:ascii="Times New Roman" w:hAnsi="Times New Roman" w:eastAsia="Times New Roman" w:cs="Times New Roman"/>
                <w:bCs/>
                <w:color w:val="000000"/>
                <w:sz w:val="20"/>
                <w:szCs w:val="20"/>
                <w:u w:val="single"/>
              </w:rPr>
            </w:pPr>
            <w:r w:rsidRPr="00664F46">
              <w:rPr>
                <w:rFonts w:ascii="Times New Roman" w:hAnsi="Times New Roman" w:eastAsia="Times New Roman" w:cs="Times New Roman"/>
                <w:bCs/>
                <w:color w:val="000000"/>
                <w:sz w:val="20"/>
                <w:szCs w:val="20"/>
                <w:u w:val="single"/>
              </w:rPr>
              <w:t>Total Burden Hours</w:t>
            </w:r>
          </w:p>
        </w:tc>
        <w:tc>
          <w:tcPr>
            <w:tcW w:w="356" w:type="pct"/>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bottom"/>
            <w:hideMark/>
          </w:tcPr>
          <w:p w:rsidRPr="00664F46" w:rsidR="00BE3596" w:rsidP="00BE3596" w:rsidRDefault="00BE3596">
            <w:pPr>
              <w:autoSpaceDN w:val="0"/>
              <w:spacing w:after="0" w:line="240" w:lineRule="auto"/>
              <w:jc w:val="center"/>
              <w:rPr>
                <w:rFonts w:ascii="Times New Roman" w:hAnsi="Times New Roman" w:eastAsia="Times New Roman" w:cs="Times New Roman"/>
                <w:bCs/>
                <w:color w:val="000000"/>
                <w:sz w:val="20"/>
                <w:szCs w:val="20"/>
                <w:u w:val="single"/>
              </w:rPr>
            </w:pPr>
            <w:r w:rsidRPr="00664F46">
              <w:rPr>
                <w:rFonts w:ascii="Times New Roman" w:hAnsi="Times New Roman" w:eastAsia="Times New Roman" w:cs="Times New Roman"/>
                <w:bCs/>
                <w:color w:val="000000"/>
                <w:sz w:val="20"/>
                <w:szCs w:val="20"/>
                <w:u w:val="single"/>
              </w:rPr>
              <w:t>Salary Cost per Hour</w:t>
            </w:r>
          </w:p>
        </w:tc>
        <w:tc>
          <w:tcPr>
            <w:tcW w:w="449" w:type="pct"/>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bottom"/>
            <w:hideMark/>
          </w:tcPr>
          <w:p w:rsidRPr="00664F46" w:rsidR="00BE3596" w:rsidP="00BE3596" w:rsidRDefault="00BE3596">
            <w:pPr>
              <w:autoSpaceDN w:val="0"/>
              <w:spacing w:after="0" w:line="240" w:lineRule="auto"/>
              <w:jc w:val="center"/>
              <w:rPr>
                <w:rFonts w:ascii="Times New Roman" w:hAnsi="Times New Roman" w:eastAsia="Times New Roman" w:cs="Times New Roman"/>
                <w:bCs/>
                <w:color w:val="000000"/>
                <w:sz w:val="20"/>
                <w:szCs w:val="20"/>
                <w:u w:val="single"/>
              </w:rPr>
            </w:pPr>
            <w:r w:rsidRPr="00664F46">
              <w:rPr>
                <w:rFonts w:ascii="Times New Roman" w:hAnsi="Times New Roman" w:eastAsia="Times New Roman" w:cs="Times New Roman"/>
                <w:bCs/>
                <w:color w:val="000000"/>
                <w:sz w:val="20"/>
                <w:szCs w:val="20"/>
                <w:u w:val="single"/>
              </w:rPr>
              <w:t>Total Salary Cost</w:t>
            </w:r>
          </w:p>
        </w:tc>
        <w:tc>
          <w:tcPr>
            <w:tcW w:w="449" w:type="pct"/>
            <w:tcBorders>
              <w:top w:val="single" w:color="000000" w:sz="4" w:space="0"/>
              <w:left w:val="single" w:color="000000" w:sz="4" w:space="0"/>
              <w:bottom w:val="single" w:color="000000" w:sz="4" w:space="0"/>
              <w:right w:val="single" w:color="000000" w:sz="4" w:space="0"/>
            </w:tcBorders>
            <w:vAlign w:val="bottom"/>
          </w:tcPr>
          <w:p w:rsidRPr="00664F46" w:rsidR="00BE3596" w:rsidP="00BE3596" w:rsidRDefault="00BE3596">
            <w:pPr>
              <w:autoSpaceDN w:val="0"/>
              <w:spacing w:after="0" w:line="240" w:lineRule="auto"/>
              <w:jc w:val="center"/>
              <w:rPr>
                <w:rFonts w:ascii="Times New Roman" w:hAnsi="Times New Roman" w:eastAsia="Times New Roman" w:cs="Times New Roman"/>
                <w:bCs/>
                <w:color w:val="000000"/>
                <w:sz w:val="20"/>
                <w:szCs w:val="20"/>
                <w:u w:val="single"/>
              </w:rPr>
            </w:pPr>
            <w:r>
              <w:rPr>
                <w:rFonts w:ascii="Times New Roman" w:hAnsi="Times New Roman" w:eastAsia="Times New Roman" w:cs="Times New Roman"/>
                <w:bCs/>
                <w:color w:val="000000"/>
                <w:sz w:val="20"/>
                <w:szCs w:val="20"/>
                <w:u w:val="single"/>
              </w:rPr>
              <w:t>Annual Burden Cost</w:t>
            </w:r>
          </w:p>
        </w:tc>
      </w:tr>
      <w:tr w:rsidRPr="00664F46" w:rsidR="00BE3596" w:rsidTr="00FE7DD6">
        <w:trPr>
          <w:trHeight w:val="945"/>
          <w:jc w:val="center"/>
        </w:trPr>
        <w:tc>
          <w:tcPr>
            <w:tcW w:w="48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08" w:type="dxa"/>
              <w:bottom w:w="15" w:type="dxa"/>
              <w:right w:w="108" w:type="dxa"/>
            </w:tcMar>
            <w:vAlign w:val="bottom"/>
            <w:hideMark/>
          </w:tcPr>
          <w:p w:rsidRPr="00664F46" w:rsidR="00BE3596" w:rsidP="00BE3596" w:rsidRDefault="00BE3596">
            <w:pPr>
              <w:autoSpaceDN w:val="0"/>
              <w:spacing w:after="0" w:line="240" w:lineRule="auto"/>
              <w:jc w:val="center"/>
              <w:rPr>
                <w:rFonts w:ascii="Times New Roman" w:hAnsi="Times New Roman" w:eastAsia="Times New Roman" w:cs="Times New Roman"/>
                <w:bCs/>
                <w:color w:val="000000"/>
                <w:sz w:val="20"/>
                <w:szCs w:val="20"/>
              </w:rPr>
            </w:pPr>
            <w:r w:rsidRPr="00664F46">
              <w:rPr>
                <w:rFonts w:ascii="Times New Roman" w:hAnsi="Times New Roman" w:eastAsia="Times New Roman" w:cs="Times New Roman"/>
                <w:bCs/>
                <w:color w:val="000000"/>
                <w:sz w:val="20"/>
                <w:szCs w:val="20"/>
              </w:rPr>
              <w:t>Section 174.50</w:t>
            </w:r>
          </w:p>
        </w:tc>
        <w:tc>
          <w:tcPr>
            <w:tcW w:w="1010" w:type="pct"/>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bottom"/>
            <w:hideMark/>
          </w:tcPr>
          <w:p w:rsidRPr="00664F46" w:rsidR="00BE3596" w:rsidP="00BE3596" w:rsidRDefault="00BE3596">
            <w:pPr>
              <w:autoSpaceDN w:val="0"/>
              <w:spacing w:after="0" w:line="240" w:lineRule="auto"/>
              <w:jc w:val="center"/>
              <w:rPr>
                <w:rFonts w:ascii="Times New Roman" w:hAnsi="Times New Roman" w:eastAsia="Times New Roman" w:cs="Times New Roman"/>
                <w:color w:val="000000"/>
                <w:sz w:val="20"/>
                <w:szCs w:val="20"/>
              </w:rPr>
            </w:pPr>
            <w:r w:rsidRPr="00664F46">
              <w:rPr>
                <w:rFonts w:ascii="Times New Roman" w:hAnsi="Times New Roman" w:eastAsia="Times New Roman" w:cs="Times New Roman"/>
                <w:color w:val="000000"/>
                <w:sz w:val="20"/>
                <w:szCs w:val="20"/>
              </w:rPr>
              <w:t>Nonconforming bulk packages must be repaired or approved from movement by the FRA</w:t>
            </w:r>
          </w:p>
        </w:tc>
        <w:tc>
          <w:tcPr>
            <w:tcW w:w="54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08" w:type="dxa"/>
              <w:bottom w:w="15" w:type="dxa"/>
              <w:right w:w="108" w:type="dxa"/>
            </w:tcMar>
            <w:vAlign w:val="bottom"/>
            <w:hideMark/>
          </w:tcPr>
          <w:p w:rsidRPr="00664F46" w:rsidR="00BE3596" w:rsidP="00BE3596" w:rsidRDefault="00BE3596">
            <w:pPr>
              <w:autoSpaceDN w:val="0"/>
              <w:spacing w:after="0" w:line="240" w:lineRule="auto"/>
              <w:jc w:val="center"/>
              <w:rPr>
                <w:rFonts w:ascii="Times New Roman" w:hAnsi="Times New Roman" w:eastAsia="Times New Roman" w:cs="Times New Roman"/>
                <w:color w:val="000000"/>
                <w:sz w:val="20"/>
                <w:szCs w:val="20"/>
              </w:rPr>
            </w:pPr>
            <w:r w:rsidRPr="00664F46">
              <w:rPr>
                <w:rFonts w:ascii="Times New Roman" w:hAnsi="Times New Roman" w:eastAsia="Times New Roman" w:cs="Times New Roman"/>
                <w:color w:val="000000"/>
                <w:sz w:val="20"/>
                <w:szCs w:val="20"/>
              </w:rPr>
              <w:t>34</w:t>
            </w:r>
          </w:p>
        </w:tc>
        <w:tc>
          <w:tcPr>
            <w:tcW w:w="44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08" w:type="dxa"/>
              <w:bottom w:w="15" w:type="dxa"/>
              <w:right w:w="108" w:type="dxa"/>
            </w:tcMar>
            <w:vAlign w:val="bottom"/>
            <w:hideMark/>
          </w:tcPr>
          <w:p w:rsidRPr="00664F46" w:rsidR="00BE3596" w:rsidP="00BE3596" w:rsidRDefault="00BE3596">
            <w:pPr>
              <w:autoSpaceDN w:val="0"/>
              <w:spacing w:after="0" w:line="240" w:lineRule="auto"/>
              <w:jc w:val="center"/>
              <w:rPr>
                <w:rFonts w:ascii="Times New Roman" w:hAnsi="Times New Roman" w:eastAsia="Times New Roman" w:cs="Times New Roman"/>
                <w:color w:val="000000"/>
                <w:sz w:val="20"/>
                <w:szCs w:val="20"/>
              </w:rPr>
            </w:pPr>
            <w:r w:rsidRPr="00664F46">
              <w:rPr>
                <w:rFonts w:ascii="Times New Roman" w:hAnsi="Times New Roman" w:eastAsia="Times New Roman" w:cs="Times New Roman"/>
                <w:color w:val="000000"/>
                <w:sz w:val="20"/>
                <w:szCs w:val="20"/>
              </w:rPr>
              <w:t>10</w:t>
            </w:r>
          </w:p>
        </w:tc>
        <w:tc>
          <w:tcPr>
            <w:tcW w:w="46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08" w:type="dxa"/>
              <w:bottom w:w="15" w:type="dxa"/>
              <w:right w:w="108" w:type="dxa"/>
            </w:tcMar>
            <w:vAlign w:val="bottom"/>
            <w:hideMark/>
          </w:tcPr>
          <w:p w:rsidRPr="00664F46" w:rsidR="00BE3596" w:rsidP="00BE3596" w:rsidRDefault="00BE3596">
            <w:pPr>
              <w:autoSpaceDN w:val="0"/>
              <w:spacing w:after="0" w:line="240" w:lineRule="auto"/>
              <w:jc w:val="center"/>
              <w:rPr>
                <w:rFonts w:ascii="Times New Roman" w:hAnsi="Times New Roman" w:eastAsia="Times New Roman" w:cs="Times New Roman"/>
                <w:color w:val="000000"/>
                <w:sz w:val="20"/>
                <w:szCs w:val="20"/>
              </w:rPr>
            </w:pPr>
            <w:r w:rsidRPr="00664F46">
              <w:rPr>
                <w:rFonts w:ascii="Times New Roman" w:hAnsi="Times New Roman" w:eastAsia="Times New Roman" w:cs="Times New Roman"/>
                <w:color w:val="000000"/>
                <w:sz w:val="20"/>
                <w:szCs w:val="20"/>
              </w:rPr>
              <w:t>340</w:t>
            </w:r>
          </w:p>
        </w:tc>
        <w:tc>
          <w:tcPr>
            <w:tcW w:w="4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08" w:type="dxa"/>
              <w:bottom w:w="15" w:type="dxa"/>
              <w:right w:w="108" w:type="dxa"/>
            </w:tcMar>
            <w:vAlign w:val="bottom"/>
            <w:hideMark/>
          </w:tcPr>
          <w:p w:rsidRPr="00664F46" w:rsidR="00BE3596" w:rsidP="00BE3596" w:rsidRDefault="00BE3596">
            <w:pPr>
              <w:autoSpaceDN w:val="0"/>
              <w:spacing w:after="0" w:line="240" w:lineRule="auto"/>
              <w:jc w:val="center"/>
              <w:rPr>
                <w:rFonts w:ascii="Times New Roman" w:hAnsi="Times New Roman" w:eastAsia="Times New Roman" w:cs="Times New Roman"/>
                <w:color w:val="000000"/>
                <w:sz w:val="20"/>
                <w:szCs w:val="20"/>
              </w:rPr>
            </w:pPr>
            <w:r w:rsidRPr="00664F46">
              <w:rPr>
                <w:rFonts w:ascii="Times New Roman" w:hAnsi="Times New Roman" w:eastAsia="Times New Roman" w:cs="Times New Roman"/>
                <w:color w:val="000000"/>
                <w:sz w:val="20"/>
                <w:szCs w:val="20"/>
              </w:rPr>
              <w:t>10</w:t>
            </w:r>
          </w:p>
        </w:tc>
        <w:tc>
          <w:tcPr>
            <w:tcW w:w="356" w:type="pct"/>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bottom"/>
            <w:hideMark/>
          </w:tcPr>
          <w:p w:rsidRPr="00664F46" w:rsidR="00BE3596" w:rsidP="00BE3596" w:rsidRDefault="00BE3596">
            <w:pPr>
              <w:autoSpaceDN w:val="0"/>
              <w:spacing w:after="0" w:line="240" w:lineRule="auto"/>
              <w:jc w:val="center"/>
              <w:rPr>
                <w:rFonts w:ascii="Times New Roman" w:hAnsi="Times New Roman" w:eastAsia="Times New Roman" w:cs="Times New Roman"/>
                <w:color w:val="000000"/>
                <w:sz w:val="20"/>
                <w:szCs w:val="20"/>
              </w:rPr>
            </w:pPr>
            <w:r w:rsidRPr="00664F46">
              <w:rPr>
                <w:rFonts w:ascii="Times New Roman" w:hAnsi="Times New Roman" w:eastAsia="Times New Roman" w:cs="Times New Roman"/>
                <w:color w:val="000000"/>
                <w:sz w:val="20"/>
                <w:szCs w:val="20"/>
              </w:rPr>
              <w:t>57</w:t>
            </w:r>
          </w:p>
        </w:tc>
        <w:tc>
          <w:tcPr>
            <w:tcW w:w="356" w:type="pct"/>
            <w:tcBorders>
              <w:top w:val="single" w:color="auto" w:sz="4" w:space="0"/>
              <w:left w:val="single" w:color="auto" w:sz="4" w:space="0"/>
              <w:bottom w:val="single" w:color="auto" w:sz="4" w:space="0"/>
              <w:right w:val="single" w:color="auto" w:sz="4" w:space="0"/>
            </w:tcBorders>
            <w:shd w:val="clear" w:color="auto" w:fill="FFFFFF"/>
            <w:noWrap/>
            <w:tcMar>
              <w:top w:w="15" w:type="dxa"/>
              <w:left w:w="108" w:type="dxa"/>
              <w:bottom w:w="15" w:type="dxa"/>
              <w:right w:w="108" w:type="dxa"/>
            </w:tcMar>
            <w:vAlign w:val="bottom"/>
            <w:hideMark/>
          </w:tcPr>
          <w:p w:rsidRPr="00664F46" w:rsidR="00BE3596" w:rsidP="00BE3596" w:rsidRDefault="00BE3596">
            <w:pPr>
              <w:autoSpaceDN w:val="0"/>
              <w:spacing w:after="0" w:line="240" w:lineRule="auto"/>
              <w:jc w:val="center"/>
              <w:rPr>
                <w:rFonts w:ascii="Times New Roman" w:hAnsi="Times New Roman" w:eastAsia="Times New Roman" w:cs="Times New Roman"/>
                <w:color w:val="000000"/>
                <w:sz w:val="20"/>
                <w:szCs w:val="20"/>
              </w:rPr>
            </w:pPr>
            <w:r w:rsidRPr="00664F46">
              <w:rPr>
                <w:rFonts w:ascii="Times New Roman" w:hAnsi="Times New Roman" w:eastAsia="Times New Roman" w:cs="Times New Roman"/>
                <w:color w:val="000000"/>
                <w:sz w:val="20"/>
                <w:szCs w:val="20"/>
              </w:rPr>
              <w:t>$68.58</w:t>
            </w:r>
          </w:p>
        </w:tc>
        <w:tc>
          <w:tcPr>
            <w:tcW w:w="44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08" w:type="dxa"/>
              <w:bottom w:w="15" w:type="dxa"/>
              <w:right w:w="108" w:type="dxa"/>
            </w:tcMar>
            <w:vAlign w:val="bottom"/>
            <w:hideMark/>
          </w:tcPr>
          <w:p w:rsidRPr="00664F46" w:rsidR="00BE3596" w:rsidP="00BE3596" w:rsidRDefault="00BE3596">
            <w:pPr>
              <w:autoSpaceDN w:val="0"/>
              <w:spacing w:after="0" w:line="240" w:lineRule="auto"/>
              <w:jc w:val="center"/>
              <w:rPr>
                <w:rFonts w:ascii="Times New Roman" w:hAnsi="Times New Roman" w:eastAsia="Times New Roman" w:cs="Times New Roman"/>
                <w:color w:val="000000"/>
                <w:sz w:val="20"/>
                <w:szCs w:val="20"/>
              </w:rPr>
            </w:pPr>
            <w:r w:rsidRPr="00664F46">
              <w:rPr>
                <w:rFonts w:ascii="Times New Roman" w:hAnsi="Times New Roman" w:eastAsia="Times New Roman" w:cs="Times New Roman"/>
                <w:color w:val="000000"/>
                <w:sz w:val="20"/>
                <w:szCs w:val="20"/>
              </w:rPr>
              <w:t>$3,909.05</w:t>
            </w: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bottom"/>
          </w:tcPr>
          <w:p w:rsidRPr="00664F46" w:rsidR="00BE3596" w:rsidP="00BE3596" w:rsidRDefault="00BE3596">
            <w:pPr>
              <w:autoSpaceDN w:val="0"/>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w:t>
            </w:r>
          </w:p>
        </w:tc>
      </w:tr>
    </w:tbl>
    <w:p w:rsidR="009B35BE" w:rsidRDefault="009B35BE"/>
    <w:p w:rsidR="00ED1CE9" w:rsidRDefault="001B769A">
      <w:r>
        <w:t xml:space="preserve">Revised </w:t>
      </w:r>
      <w:r w:rsidR="00ED1CE9">
        <w:t>number</w:t>
      </w:r>
      <w:r w:rsidR="00FE7DD6">
        <w:t>s</w:t>
      </w:r>
      <w:r w:rsidR="00ED1CE9">
        <w:t xml:space="preserve"> for this information collection</w:t>
      </w:r>
      <w:r w:rsidR="00FE7DD6">
        <w:t>:</w:t>
      </w:r>
    </w:p>
    <w:tbl>
      <w:tblPr>
        <w:tblW w:w="6158" w:type="pct"/>
        <w:jc w:val="center"/>
        <w:tblLook w:val="04A0" w:firstRow="1" w:lastRow="0" w:firstColumn="1" w:lastColumn="0" w:noHBand="0" w:noVBand="1"/>
      </w:tblPr>
      <w:tblGrid>
        <w:gridCol w:w="1095"/>
        <w:gridCol w:w="2153"/>
        <w:gridCol w:w="1239"/>
        <w:gridCol w:w="983"/>
        <w:gridCol w:w="1062"/>
        <w:gridCol w:w="983"/>
        <w:gridCol w:w="806"/>
        <w:gridCol w:w="767"/>
        <w:gridCol w:w="1216"/>
        <w:gridCol w:w="1211"/>
      </w:tblGrid>
      <w:tr w:rsidRPr="00664F46" w:rsidR="00BE3596" w:rsidTr="00FE7DD6">
        <w:trPr>
          <w:trHeight w:val="630"/>
          <w:jc w:val="center"/>
        </w:trPr>
        <w:tc>
          <w:tcPr>
            <w:tcW w:w="475" w:type="pct"/>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bottom"/>
            <w:hideMark/>
          </w:tcPr>
          <w:p w:rsidRPr="00664F46" w:rsidR="00BE3596" w:rsidP="00FE7DD6" w:rsidRDefault="00BE3596">
            <w:pPr>
              <w:autoSpaceDN w:val="0"/>
              <w:spacing w:after="0" w:line="240" w:lineRule="auto"/>
              <w:jc w:val="center"/>
              <w:rPr>
                <w:rFonts w:ascii="Times New Roman" w:hAnsi="Times New Roman" w:eastAsia="Times New Roman" w:cs="Times New Roman"/>
                <w:bCs/>
                <w:color w:val="000000"/>
                <w:sz w:val="20"/>
                <w:szCs w:val="20"/>
                <w:u w:val="single"/>
              </w:rPr>
            </w:pPr>
            <w:r w:rsidRPr="00664F46">
              <w:rPr>
                <w:rFonts w:ascii="Times New Roman" w:hAnsi="Times New Roman" w:eastAsia="Times New Roman" w:cs="Times New Roman"/>
                <w:bCs/>
                <w:color w:val="000000"/>
                <w:sz w:val="20"/>
                <w:szCs w:val="20"/>
                <w:u w:val="single"/>
              </w:rPr>
              <w:t>Regulation</w:t>
            </w:r>
          </w:p>
        </w:tc>
        <w:tc>
          <w:tcPr>
            <w:tcW w:w="935" w:type="pct"/>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bottom"/>
            <w:hideMark/>
          </w:tcPr>
          <w:p w:rsidRPr="00664F46" w:rsidR="00BE3596" w:rsidP="00FE7DD6" w:rsidRDefault="00BE3596">
            <w:pPr>
              <w:autoSpaceDN w:val="0"/>
              <w:spacing w:after="0" w:line="240" w:lineRule="auto"/>
              <w:jc w:val="center"/>
              <w:rPr>
                <w:rFonts w:ascii="Times New Roman" w:hAnsi="Times New Roman" w:eastAsia="Times New Roman" w:cs="Times New Roman"/>
                <w:bCs/>
                <w:color w:val="000000"/>
                <w:sz w:val="20"/>
                <w:szCs w:val="20"/>
                <w:u w:val="single"/>
              </w:rPr>
            </w:pPr>
            <w:r w:rsidRPr="00664F46">
              <w:rPr>
                <w:rFonts w:ascii="Times New Roman" w:hAnsi="Times New Roman" w:eastAsia="Times New Roman" w:cs="Times New Roman"/>
                <w:bCs/>
                <w:color w:val="000000"/>
                <w:sz w:val="20"/>
                <w:szCs w:val="20"/>
                <w:u w:val="single"/>
              </w:rPr>
              <w:t>Information Collection Request</w:t>
            </w:r>
          </w:p>
        </w:tc>
        <w:tc>
          <w:tcPr>
            <w:tcW w:w="538" w:type="pct"/>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bottom"/>
            <w:hideMark/>
          </w:tcPr>
          <w:p w:rsidRPr="00664F46" w:rsidR="00BE3596" w:rsidP="00FE7DD6" w:rsidRDefault="00BE3596">
            <w:pPr>
              <w:autoSpaceDN w:val="0"/>
              <w:spacing w:after="0" w:line="240" w:lineRule="auto"/>
              <w:jc w:val="center"/>
              <w:rPr>
                <w:rFonts w:ascii="Times New Roman" w:hAnsi="Times New Roman" w:eastAsia="Times New Roman" w:cs="Times New Roman"/>
                <w:bCs/>
                <w:color w:val="000000"/>
                <w:sz w:val="20"/>
                <w:szCs w:val="20"/>
                <w:u w:val="single"/>
              </w:rPr>
            </w:pPr>
            <w:r w:rsidRPr="00664F46">
              <w:rPr>
                <w:rFonts w:ascii="Times New Roman" w:hAnsi="Times New Roman" w:eastAsia="Times New Roman" w:cs="Times New Roman"/>
                <w:bCs/>
                <w:color w:val="000000"/>
                <w:sz w:val="20"/>
                <w:szCs w:val="20"/>
                <w:u w:val="single"/>
              </w:rPr>
              <w:t>Number of Respondents</w:t>
            </w:r>
          </w:p>
        </w:tc>
        <w:tc>
          <w:tcPr>
            <w:tcW w:w="427" w:type="pct"/>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bottom"/>
            <w:hideMark/>
          </w:tcPr>
          <w:p w:rsidRPr="00664F46" w:rsidR="00BE3596" w:rsidP="00FE7DD6" w:rsidRDefault="00BE3596">
            <w:pPr>
              <w:autoSpaceDN w:val="0"/>
              <w:spacing w:after="0" w:line="240" w:lineRule="auto"/>
              <w:jc w:val="center"/>
              <w:rPr>
                <w:rFonts w:ascii="Times New Roman" w:hAnsi="Times New Roman" w:eastAsia="Times New Roman" w:cs="Times New Roman"/>
                <w:bCs/>
                <w:color w:val="000000"/>
                <w:sz w:val="20"/>
                <w:szCs w:val="20"/>
                <w:u w:val="single"/>
              </w:rPr>
            </w:pPr>
            <w:r w:rsidRPr="00664F46">
              <w:rPr>
                <w:rFonts w:ascii="Times New Roman" w:hAnsi="Times New Roman" w:eastAsia="Times New Roman" w:cs="Times New Roman"/>
                <w:bCs/>
                <w:color w:val="000000"/>
                <w:sz w:val="20"/>
                <w:szCs w:val="20"/>
                <w:u w:val="single"/>
              </w:rPr>
              <w:t>Response per Carrier</w:t>
            </w:r>
          </w:p>
        </w:tc>
        <w:tc>
          <w:tcPr>
            <w:tcW w:w="461" w:type="pct"/>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bottom"/>
            <w:hideMark/>
          </w:tcPr>
          <w:p w:rsidRPr="00664F46" w:rsidR="00BE3596" w:rsidP="00FE7DD6" w:rsidRDefault="00BE3596">
            <w:pPr>
              <w:autoSpaceDN w:val="0"/>
              <w:spacing w:after="0" w:line="240" w:lineRule="auto"/>
              <w:jc w:val="center"/>
              <w:rPr>
                <w:rFonts w:ascii="Times New Roman" w:hAnsi="Times New Roman" w:eastAsia="Times New Roman" w:cs="Times New Roman"/>
                <w:bCs/>
                <w:color w:val="000000"/>
                <w:sz w:val="20"/>
                <w:szCs w:val="20"/>
                <w:u w:val="single"/>
              </w:rPr>
            </w:pPr>
            <w:r w:rsidRPr="00664F46">
              <w:rPr>
                <w:rFonts w:ascii="Times New Roman" w:hAnsi="Times New Roman" w:eastAsia="Times New Roman" w:cs="Times New Roman"/>
                <w:bCs/>
                <w:color w:val="000000"/>
                <w:sz w:val="20"/>
                <w:szCs w:val="20"/>
                <w:u w:val="single"/>
              </w:rPr>
              <w:t>Number of Responses</w:t>
            </w:r>
          </w:p>
        </w:tc>
        <w:tc>
          <w:tcPr>
            <w:tcW w:w="427" w:type="pct"/>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bottom"/>
            <w:hideMark/>
          </w:tcPr>
          <w:p w:rsidRPr="00664F46" w:rsidR="00BE3596" w:rsidP="00FE7DD6" w:rsidRDefault="00BE3596">
            <w:pPr>
              <w:autoSpaceDN w:val="0"/>
              <w:spacing w:after="0" w:line="240" w:lineRule="auto"/>
              <w:jc w:val="center"/>
              <w:rPr>
                <w:rFonts w:ascii="Times New Roman" w:hAnsi="Times New Roman" w:eastAsia="Times New Roman" w:cs="Times New Roman"/>
                <w:bCs/>
                <w:color w:val="000000"/>
                <w:sz w:val="20"/>
                <w:szCs w:val="20"/>
                <w:u w:val="single"/>
              </w:rPr>
            </w:pPr>
            <w:r w:rsidRPr="00664F46">
              <w:rPr>
                <w:rFonts w:ascii="Times New Roman" w:hAnsi="Times New Roman" w:eastAsia="Times New Roman" w:cs="Times New Roman"/>
                <w:bCs/>
                <w:color w:val="000000"/>
                <w:sz w:val="20"/>
                <w:szCs w:val="20"/>
                <w:u w:val="single"/>
              </w:rPr>
              <w:t>Minutes per Response</w:t>
            </w:r>
          </w:p>
        </w:tc>
        <w:tc>
          <w:tcPr>
            <w:tcW w:w="350" w:type="pct"/>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bottom"/>
            <w:hideMark/>
          </w:tcPr>
          <w:p w:rsidRPr="00664F46" w:rsidR="00BE3596" w:rsidP="00FE7DD6" w:rsidRDefault="00BE3596">
            <w:pPr>
              <w:autoSpaceDN w:val="0"/>
              <w:spacing w:after="0" w:line="240" w:lineRule="auto"/>
              <w:jc w:val="center"/>
              <w:rPr>
                <w:rFonts w:ascii="Times New Roman" w:hAnsi="Times New Roman" w:eastAsia="Times New Roman" w:cs="Times New Roman"/>
                <w:bCs/>
                <w:color w:val="000000"/>
                <w:sz w:val="20"/>
                <w:szCs w:val="20"/>
                <w:u w:val="single"/>
              </w:rPr>
            </w:pPr>
            <w:r w:rsidRPr="00664F46">
              <w:rPr>
                <w:rFonts w:ascii="Times New Roman" w:hAnsi="Times New Roman" w:eastAsia="Times New Roman" w:cs="Times New Roman"/>
                <w:bCs/>
                <w:color w:val="000000"/>
                <w:sz w:val="20"/>
                <w:szCs w:val="20"/>
                <w:u w:val="single"/>
              </w:rPr>
              <w:t>Total Burden Hours</w:t>
            </w:r>
          </w:p>
        </w:tc>
        <w:tc>
          <w:tcPr>
            <w:tcW w:w="333" w:type="pct"/>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bottom"/>
            <w:hideMark/>
          </w:tcPr>
          <w:p w:rsidRPr="00664F46" w:rsidR="00BE3596" w:rsidP="00FE7DD6" w:rsidRDefault="00BE3596">
            <w:pPr>
              <w:autoSpaceDN w:val="0"/>
              <w:spacing w:after="0" w:line="240" w:lineRule="auto"/>
              <w:jc w:val="center"/>
              <w:rPr>
                <w:rFonts w:ascii="Times New Roman" w:hAnsi="Times New Roman" w:eastAsia="Times New Roman" w:cs="Times New Roman"/>
                <w:bCs/>
                <w:color w:val="000000"/>
                <w:sz w:val="20"/>
                <w:szCs w:val="20"/>
                <w:u w:val="single"/>
              </w:rPr>
            </w:pPr>
            <w:r w:rsidRPr="00664F46">
              <w:rPr>
                <w:rFonts w:ascii="Times New Roman" w:hAnsi="Times New Roman" w:eastAsia="Times New Roman" w:cs="Times New Roman"/>
                <w:bCs/>
                <w:color w:val="000000"/>
                <w:sz w:val="20"/>
                <w:szCs w:val="20"/>
                <w:u w:val="single"/>
              </w:rPr>
              <w:t>Salary Cost per Hour</w:t>
            </w:r>
          </w:p>
        </w:tc>
        <w:tc>
          <w:tcPr>
            <w:tcW w:w="528" w:type="pct"/>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bottom"/>
            <w:hideMark/>
          </w:tcPr>
          <w:p w:rsidRPr="00664F46" w:rsidR="00BE3596" w:rsidP="00FE7DD6" w:rsidRDefault="00BE3596">
            <w:pPr>
              <w:autoSpaceDN w:val="0"/>
              <w:spacing w:after="0" w:line="240" w:lineRule="auto"/>
              <w:jc w:val="center"/>
              <w:rPr>
                <w:rFonts w:ascii="Times New Roman" w:hAnsi="Times New Roman" w:eastAsia="Times New Roman" w:cs="Times New Roman"/>
                <w:bCs/>
                <w:color w:val="000000"/>
                <w:sz w:val="20"/>
                <w:szCs w:val="20"/>
                <w:u w:val="single"/>
              </w:rPr>
            </w:pPr>
            <w:r w:rsidRPr="00664F46">
              <w:rPr>
                <w:rFonts w:ascii="Times New Roman" w:hAnsi="Times New Roman" w:eastAsia="Times New Roman" w:cs="Times New Roman"/>
                <w:bCs/>
                <w:color w:val="000000"/>
                <w:sz w:val="20"/>
                <w:szCs w:val="20"/>
                <w:u w:val="single"/>
              </w:rPr>
              <w:t>Total Salary Cost</w:t>
            </w:r>
          </w:p>
        </w:tc>
        <w:tc>
          <w:tcPr>
            <w:tcW w:w="526" w:type="pct"/>
            <w:tcBorders>
              <w:top w:val="single" w:color="000000" w:sz="4" w:space="0"/>
              <w:left w:val="single" w:color="000000" w:sz="4" w:space="0"/>
              <w:bottom w:val="single" w:color="000000" w:sz="4" w:space="0"/>
              <w:right w:val="single" w:color="000000" w:sz="4" w:space="0"/>
            </w:tcBorders>
            <w:vAlign w:val="bottom"/>
          </w:tcPr>
          <w:p w:rsidRPr="00CB7AB0" w:rsidR="00BE3596" w:rsidP="00FE7DD6" w:rsidRDefault="00BE3596">
            <w:pPr>
              <w:jc w:val="center"/>
            </w:pPr>
            <w:r w:rsidRPr="00CB7AB0">
              <w:t>Annual Burden Cost</w:t>
            </w:r>
          </w:p>
        </w:tc>
      </w:tr>
      <w:tr w:rsidRPr="00664F46" w:rsidR="00BE3596" w:rsidTr="00FE7DD6">
        <w:trPr>
          <w:trHeight w:val="945"/>
          <w:jc w:val="center"/>
        </w:trPr>
        <w:tc>
          <w:tcPr>
            <w:tcW w:w="47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08" w:type="dxa"/>
              <w:bottom w:w="15" w:type="dxa"/>
              <w:right w:w="108" w:type="dxa"/>
            </w:tcMar>
            <w:vAlign w:val="bottom"/>
            <w:hideMark/>
          </w:tcPr>
          <w:p w:rsidRPr="00664F46" w:rsidR="00BE3596" w:rsidP="00FE7DD6" w:rsidRDefault="00BE3596">
            <w:pPr>
              <w:autoSpaceDN w:val="0"/>
              <w:spacing w:after="0" w:line="240" w:lineRule="auto"/>
              <w:jc w:val="center"/>
              <w:rPr>
                <w:rFonts w:ascii="Times New Roman" w:hAnsi="Times New Roman" w:eastAsia="Times New Roman" w:cs="Times New Roman"/>
                <w:bCs/>
                <w:color w:val="000000"/>
                <w:sz w:val="20"/>
                <w:szCs w:val="20"/>
              </w:rPr>
            </w:pPr>
            <w:r w:rsidRPr="00664F46">
              <w:rPr>
                <w:rFonts w:ascii="Times New Roman" w:hAnsi="Times New Roman" w:eastAsia="Times New Roman" w:cs="Times New Roman"/>
                <w:bCs/>
                <w:color w:val="000000"/>
                <w:sz w:val="20"/>
                <w:szCs w:val="20"/>
              </w:rPr>
              <w:t>Section 174.50</w:t>
            </w:r>
          </w:p>
        </w:tc>
        <w:tc>
          <w:tcPr>
            <w:tcW w:w="935" w:type="pct"/>
            <w:tcBorders>
              <w:top w:val="single" w:color="000000" w:sz="4" w:space="0"/>
              <w:left w:val="single" w:color="000000" w:sz="4" w:space="0"/>
              <w:bottom w:val="single" w:color="000000" w:sz="4" w:space="0"/>
              <w:right w:val="single" w:color="000000" w:sz="4" w:space="0"/>
            </w:tcBorders>
            <w:tcMar>
              <w:top w:w="15" w:type="dxa"/>
              <w:left w:w="108" w:type="dxa"/>
              <w:bottom w:w="15" w:type="dxa"/>
              <w:right w:w="108" w:type="dxa"/>
            </w:tcMar>
            <w:vAlign w:val="bottom"/>
            <w:hideMark/>
          </w:tcPr>
          <w:p w:rsidRPr="00664F46" w:rsidR="00BE3596" w:rsidP="00FE7DD6" w:rsidRDefault="00BE3596">
            <w:pPr>
              <w:autoSpaceDN w:val="0"/>
              <w:spacing w:after="0" w:line="240" w:lineRule="auto"/>
              <w:jc w:val="center"/>
              <w:rPr>
                <w:rFonts w:ascii="Times New Roman" w:hAnsi="Times New Roman" w:eastAsia="Times New Roman" w:cs="Times New Roman"/>
                <w:color w:val="000000"/>
                <w:sz w:val="20"/>
                <w:szCs w:val="20"/>
              </w:rPr>
            </w:pPr>
            <w:r w:rsidRPr="00664F46">
              <w:rPr>
                <w:rFonts w:ascii="Times New Roman" w:hAnsi="Times New Roman" w:eastAsia="Times New Roman" w:cs="Times New Roman"/>
                <w:color w:val="000000"/>
                <w:sz w:val="20"/>
                <w:szCs w:val="20"/>
              </w:rPr>
              <w:t>Nonconforming bulk packages must be repaired or approved from movement by the FRA</w:t>
            </w:r>
          </w:p>
        </w:tc>
        <w:tc>
          <w:tcPr>
            <w:tcW w:w="53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08" w:type="dxa"/>
              <w:bottom w:w="15" w:type="dxa"/>
              <w:right w:w="108" w:type="dxa"/>
            </w:tcMar>
            <w:vAlign w:val="bottom"/>
            <w:hideMark/>
          </w:tcPr>
          <w:p w:rsidRPr="00664F46" w:rsidR="00BE3596" w:rsidP="00FE7DD6" w:rsidRDefault="00BE3596">
            <w:pPr>
              <w:autoSpaceDN w:val="0"/>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442</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08" w:type="dxa"/>
              <w:bottom w:w="15" w:type="dxa"/>
              <w:right w:w="108" w:type="dxa"/>
            </w:tcMar>
            <w:vAlign w:val="bottom"/>
            <w:hideMark/>
          </w:tcPr>
          <w:p w:rsidRPr="00664F46" w:rsidR="00BE3596" w:rsidP="00FE7DD6" w:rsidRDefault="00BE3596">
            <w:pPr>
              <w:autoSpaceDN w:val="0"/>
              <w:spacing w:after="0" w:line="240" w:lineRule="auto"/>
              <w:jc w:val="center"/>
              <w:rPr>
                <w:rFonts w:ascii="Times New Roman" w:hAnsi="Times New Roman" w:eastAsia="Times New Roman" w:cs="Times New Roman"/>
                <w:color w:val="000000"/>
                <w:sz w:val="20"/>
                <w:szCs w:val="20"/>
              </w:rPr>
            </w:pPr>
            <w:r w:rsidRPr="00664F46">
              <w:rPr>
                <w:rFonts w:ascii="Times New Roman" w:hAnsi="Times New Roman" w:eastAsia="Times New Roman" w:cs="Times New Roman"/>
                <w:color w:val="000000"/>
                <w:sz w:val="20"/>
                <w:szCs w:val="20"/>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08" w:type="dxa"/>
              <w:bottom w:w="15" w:type="dxa"/>
              <w:right w:w="108" w:type="dxa"/>
            </w:tcMar>
            <w:vAlign w:val="bottom"/>
            <w:hideMark/>
          </w:tcPr>
          <w:p w:rsidRPr="00664F46" w:rsidR="00BE3596" w:rsidP="00FE7DD6" w:rsidRDefault="00BE3596">
            <w:pPr>
              <w:autoSpaceDN w:val="0"/>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4420</w:t>
            </w:r>
          </w:p>
        </w:tc>
        <w:tc>
          <w:tcPr>
            <w:tcW w:w="4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08" w:type="dxa"/>
              <w:bottom w:w="15" w:type="dxa"/>
              <w:right w:w="108" w:type="dxa"/>
            </w:tcMar>
            <w:vAlign w:val="bottom"/>
            <w:hideMark/>
          </w:tcPr>
          <w:p w:rsidRPr="00664F46" w:rsidR="00BE3596" w:rsidP="00FE7DD6" w:rsidRDefault="00BE3596">
            <w:pPr>
              <w:autoSpaceDN w:val="0"/>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30</w:t>
            </w:r>
          </w:p>
        </w:tc>
        <w:tc>
          <w:tcPr>
            <w:tcW w:w="350" w:type="pct"/>
            <w:tcBorders>
              <w:top w:val="single" w:color="000000" w:sz="4" w:space="0"/>
              <w:left w:val="single" w:color="000000" w:sz="4" w:space="0"/>
              <w:bottom w:val="single" w:color="000000" w:sz="4" w:space="0"/>
              <w:right w:val="single" w:color="000000" w:sz="4" w:space="0"/>
            </w:tcBorders>
            <w:noWrap/>
            <w:tcMar>
              <w:top w:w="15" w:type="dxa"/>
              <w:left w:w="108" w:type="dxa"/>
              <w:bottom w:w="15" w:type="dxa"/>
              <w:right w:w="108" w:type="dxa"/>
            </w:tcMar>
            <w:vAlign w:val="bottom"/>
            <w:hideMark/>
          </w:tcPr>
          <w:p w:rsidRPr="00664F46" w:rsidR="00BE3596" w:rsidP="00FE7DD6" w:rsidRDefault="00BE3596">
            <w:pPr>
              <w:autoSpaceDN w:val="0"/>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2210</w:t>
            </w:r>
          </w:p>
        </w:tc>
        <w:tc>
          <w:tcPr>
            <w:tcW w:w="33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08" w:type="dxa"/>
              <w:bottom w:w="15" w:type="dxa"/>
              <w:right w:w="108" w:type="dxa"/>
            </w:tcMar>
            <w:vAlign w:val="bottom"/>
            <w:hideMark/>
          </w:tcPr>
          <w:p w:rsidRPr="00664F46" w:rsidR="00BE3596" w:rsidP="00FE7DD6" w:rsidRDefault="00BE3596">
            <w:pPr>
              <w:autoSpaceDN w:val="0"/>
              <w:spacing w:after="0" w:line="240" w:lineRule="auto"/>
              <w:jc w:val="center"/>
              <w:rPr>
                <w:rFonts w:ascii="Times New Roman" w:hAnsi="Times New Roman" w:eastAsia="Times New Roman" w:cs="Times New Roman"/>
                <w:color w:val="000000"/>
                <w:sz w:val="20"/>
                <w:szCs w:val="20"/>
              </w:rPr>
            </w:pPr>
            <w:r w:rsidRPr="00664F46">
              <w:rPr>
                <w:rFonts w:ascii="Times New Roman" w:hAnsi="Times New Roman" w:eastAsia="Times New Roman" w:cs="Times New Roman"/>
                <w:color w:val="000000"/>
                <w:sz w:val="20"/>
                <w:szCs w:val="20"/>
              </w:rPr>
              <w:t>$68.58</w:t>
            </w:r>
          </w:p>
        </w:tc>
        <w:tc>
          <w:tcPr>
            <w:tcW w:w="52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08" w:type="dxa"/>
              <w:bottom w:w="15" w:type="dxa"/>
              <w:right w:w="108" w:type="dxa"/>
            </w:tcMar>
            <w:vAlign w:val="bottom"/>
            <w:hideMark/>
          </w:tcPr>
          <w:p w:rsidRPr="00664F46" w:rsidR="00BE3596" w:rsidP="00FE7DD6" w:rsidRDefault="00BE3596">
            <w:pPr>
              <w:autoSpaceDN w:val="0"/>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$151,561.35</w:t>
            </w:r>
          </w:p>
        </w:tc>
        <w:tc>
          <w:tcPr>
            <w:tcW w:w="526" w:type="pct"/>
            <w:tcBorders>
              <w:top w:val="single" w:color="000000" w:sz="4" w:space="0"/>
              <w:left w:val="single" w:color="000000" w:sz="4" w:space="0"/>
              <w:bottom w:val="single" w:color="000000" w:sz="4" w:space="0"/>
              <w:right w:val="single" w:color="000000" w:sz="4" w:space="0"/>
            </w:tcBorders>
            <w:shd w:val="clear" w:color="auto" w:fill="FFFFFF"/>
            <w:vAlign w:val="bottom"/>
          </w:tcPr>
          <w:p w:rsidR="00BE3596" w:rsidP="00FE7DD6" w:rsidRDefault="00BE3596">
            <w:pPr>
              <w:jc w:val="center"/>
            </w:pPr>
            <w:r w:rsidRPr="00CB7AB0">
              <w:t>$0</w:t>
            </w:r>
          </w:p>
        </w:tc>
      </w:tr>
    </w:tbl>
    <w:p w:rsidR="00ED1CE9" w:rsidP="00ED1CE9" w:rsidRDefault="00ED1CE9"/>
    <w:sectPr w:rsidR="00ED1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86C"/>
    <w:rsid w:val="000F45CD"/>
    <w:rsid w:val="001B769A"/>
    <w:rsid w:val="001D301D"/>
    <w:rsid w:val="00231F87"/>
    <w:rsid w:val="002F6277"/>
    <w:rsid w:val="00537073"/>
    <w:rsid w:val="00641FBA"/>
    <w:rsid w:val="00664F46"/>
    <w:rsid w:val="00836F50"/>
    <w:rsid w:val="00901202"/>
    <w:rsid w:val="009434FC"/>
    <w:rsid w:val="009B35BE"/>
    <w:rsid w:val="00A4086C"/>
    <w:rsid w:val="00BA73A1"/>
    <w:rsid w:val="00BE3596"/>
    <w:rsid w:val="00EA122D"/>
    <w:rsid w:val="00ED1CE9"/>
    <w:rsid w:val="00F727F2"/>
    <w:rsid w:val="00FE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F8108"/>
  <w15:chartTrackingRefBased/>
  <w15:docId w15:val="{B3476CD0-98F7-4426-9A46-DC8EFCFC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D1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80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Steven (PHMSA)</dc:creator>
  <cp:keywords/>
  <dc:description/>
  <cp:lastModifiedBy>Andrews, Steven (PHMSA)</cp:lastModifiedBy>
  <cp:revision>3</cp:revision>
  <dcterms:created xsi:type="dcterms:W3CDTF">2020-03-20T14:33:00Z</dcterms:created>
  <dcterms:modified xsi:type="dcterms:W3CDTF">2020-03-24T17:23:00Z</dcterms:modified>
</cp:coreProperties>
</file>