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8A" w:rsidRPr="00801995" w:rsidRDefault="0070688A" w:rsidP="0070688A">
      <w:pPr>
        <w:pStyle w:val="AbtHeadA"/>
      </w:pPr>
      <w:bookmarkStart w:id="0" w:name="_Toc190490668"/>
      <w:bookmarkStart w:id="1" w:name="_Toc207084210"/>
      <w:bookmarkStart w:id="2" w:name="_Toc224972124"/>
      <w:bookmarkStart w:id="3" w:name="_Toc245118204"/>
      <w:r w:rsidRPr="00801995">
        <w:t>Part B</w:t>
      </w:r>
      <w:r>
        <w:t xml:space="preserve">: </w:t>
      </w:r>
      <w:r w:rsidRPr="00801995">
        <w:t>Statistical Methods</w:t>
      </w:r>
      <w:bookmarkEnd w:id="0"/>
      <w:bookmarkEnd w:id="1"/>
      <w:bookmarkEnd w:id="2"/>
      <w:bookmarkEnd w:id="3"/>
    </w:p>
    <w:p w:rsidR="0070688A" w:rsidRDefault="0070688A" w:rsidP="0070688A">
      <w:pPr>
        <w:pStyle w:val="AbtHeadB"/>
      </w:pPr>
      <w:bookmarkStart w:id="4" w:name="_Toc190490669"/>
      <w:bookmarkStart w:id="5" w:name="_Toc207084211"/>
      <w:bookmarkStart w:id="6" w:name="_Toc224972125"/>
      <w:bookmarkStart w:id="7" w:name="_Toc233451968"/>
      <w:bookmarkStart w:id="8" w:name="_Toc233453281"/>
      <w:bookmarkStart w:id="9" w:name="_Toc245118205"/>
      <w:r w:rsidRPr="00870831">
        <w:rPr>
          <w:rFonts w:ascii="Times New Roman" w:hAnsi="Times New Roman"/>
          <w:b w:val="0"/>
          <w:sz w:val="24"/>
          <w:szCs w:val="24"/>
        </w:rPr>
        <w:t xml:space="preserve">No statistical methods are used to complete the </w:t>
      </w:r>
      <w:r>
        <w:rPr>
          <w:rFonts w:ascii="Times New Roman" w:hAnsi="Times New Roman"/>
          <w:b w:val="0"/>
          <w:sz w:val="24"/>
          <w:szCs w:val="24"/>
        </w:rPr>
        <w:t>Annual Performance Report.  The discussion below refers to statistical methods for the Annual Homeless Assessment Report.</w:t>
      </w:r>
      <w:bookmarkEnd w:id="7"/>
      <w:bookmarkEnd w:id="8"/>
      <w:bookmarkEnd w:id="9"/>
      <w:r>
        <w:rPr>
          <w:rFonts w:ascii="Times New Roman" w:hAnsi="Times New Roman"/>
          <w:b w:val="0"/>
          <w:sz w:val="24"/>
          <w:szCs w:val="24"/>
        </w:rPr>
        <w:t xml:space="preserve"> </w:t>
      </w:r>
    </w:p>
    <w:p w:rsidR="0070688A" w:rsidRDefault="0070688A" w:rsidP="0070688A">
      <w:pPr>
        <w:pStyle w:val="AbtHeadB"/>
      </w:pPr>
      <w:bookmarkStart w:id="10" w:name="_Toc245118206"/>
      <w:r>
        <w:t>B1</w:t>
      </w:r>
      <w:r>
        <w:tab/>
        <w:t>Potential Respondent Universe</w:t>
      </w:r>
      <w:bookmarkEnd w:id="4"/>
      <w:bookmarkEnd w:id="5"/>
      <w:bookmarkEnd w:id="6"/>
      <w:r>
        <w:t xml:space="preserve"> for the Annual Homeless Assessment Report</w:t>
      </w:r>
      <w:bookmarkEnd w:id="10"/>
    </w:p>
    <w:p w:rsidR="0070688A" w:rsidRPr="00735844" w:rsidRDefault="0070688A" w:rsidP="0070688A">
      <w:pPr>
        <w:rPr>
          <w:szCs w:val="24"/>
        </w:rPr>
      </w:pPr>
      <w:r w:rsidRPr="00735844">
        <w:rPr>
          <w:szCs w:val="24"/>
        </w:rPr>
        <w:t xml:space="preserve">Per the HMIS Data </w:t>
      </w:r>
      <w:r>
        <w:rPr>
          <w:szCs w:val="24"/>
        </w:rPr>
        <w:t xml:space="preserve">Standards, program providers in each </w:t>
      </w:r>
      <w:proofErr w:type="spellStart"/>
      <w:r>
        <w:rPr>
          <w:szCs w:val="24"/>
        </w:rPr>
        <w:t>CoC</w:t>
      </w:r>
      <w:proofErr w:type="spellEnd"/>
      <w:r w:rsidRPr="00735844">
        <w:rPr>
          <w:szCs w:val="24"/>
        </w:rPr>
        <w:t xml:space="preserve"> collect data on program participants at participant entry and exit and, for some data elements, at least once annually during program enrollment, if the period between program entry and exit exceeds one year.  </w:t>
      </w:r>
    </w:p>
    <w:p w:rsidR="0070688A" w:rsidRPr="00735844" w:rsidRDefault="0070688A" w:rsidP="0070688A">
      <w:pPr>
        <w:rPr>
          <w:szCs w:val="24"/>
        </w:rPr>
      </w:pPr>
    </w:p>
    <w:p w:rsidR="0070688A" w:rsidRPr="005313FE" w:rsidRDefault="0070688A" w:rsidP="0070688A">
      <w:pPr>
        <w:pStyle w:val="BodyText"/>
        <w:rPr>
          <w:spacing w:val="-4"/>
          <w:szCs w:val="24"/>
        </w:rPr>
      </w:pPr>
      <w:r w:rsidRPr="00735844">
        <w:rPr>
          <w:szCs w:val="24"/>
        </w:rPr>
        <w:t>Data are typically collected manually and then entered into the local HMIS by staff of the recipient organization.  However, recipients may also collect and enter data into HMIS simultaneously or “in real time.”  To complete a</w:t>
      </w:r>
      <w:r>
        <w:rPr>
          <w:szCs w:val="24"/>
        </w:rPr>
        <w:t xml:space="preserve"> local Annual Homeless Assessment </w:t>
      </w:r>
      <w:r w:rsidRPr="00735844">
        <w:rPr>
          <w:szCs w:val="24"/>
        </w:rPr>
        <w:t xml:space="preserve">Report, recipients must aggregate data contained in HMIS into </w:t>
      </w:r>
      <w:r>
        <w:rPr>
          <w:szCs w:val="24"/>
        </w:rPr>
        <w:t xml:space="preserve">AHAR </w:t>
      </w:r>
      <w:r w:rsidRPr="00735844">
        <w:rPr>
          <w:szCs w:val="24"/>
        </w:rPr>
        <w:t>response tables associ</w:t>
      </w:r>
      <w:r>
        <w:rPr>
          <w:szCs w:val="24"/>
        </w:rPr>
        <w:t>ated with each question.  In many</w:t>
      </w:r>
      <w:r w:rsidRPr="00735844">
        <w:rPr>
          <w:szCs w:val="24"/>
        </w:rPr>
        <w:t xml:space="preserve"> instances this is accomplished automatically through a canned </w:t>
      </w:r>
      <w:r>
        <w:rPr>
          <w:szCs w:val="24"/>
        </w:rPr>
        <w:t xml:space="preserve">report </w:t>
      </w:r>
      <w:r w:rsidRPr="00735844">
        <w:rPr>
          <w:szCs w:val="24"/>
        </w:rPr>
        <w:t xml:space="preserve">in HMIS. </w:t>
      </w:r>
    </w:p>
    <w:p w:rsidR="0070688A" w:rsidRPr="00E24DFE" w:rsidRDefault="0070688A" w:rsidP="0070688A">
      <w:pPr>
        <w:pStyle w:val="BodyText"/>
        <w:rPr>
          <w:rFonts w:ascii="Arial" w:hAnsi="Arial" w:cs="Arial"/>
          <w:b/>
          <w:szCs w:val="22"/>
        </w:rPr>
      </w:pPr>
    </w:p>
    <w:p w:rsidR="0070688A" w:rsidRPr="00735844" w:rsidRDefault="0070688A" w:rsidP="0070688A">
      <w:pPr>
        <w:pStyle w:val="BodyText"/>
        <w:rPr>
          <w:szCs w:val="24"/>
        </w:rPr>
      </w:pPr>
      <w:r>
        <w:rPr>
          <w:szCs w:val="24"/>
        </w:rPr>
        <w:t>HUD expects and encourages</w:t>
      </w:r>
      <w:r w:rsidRPr="00735844">
        <w:rPr>
          <w:szCs w:val="24"/>
        </w:rPr>
        <w:t xml:space="preserve"> all </w:t>
      </w:r>
      <w:proofErr w:type="spellStart"/>
      <w:r w:rsidRPr="00735844">
        <w:rPr>
          <w:szCs w:val="24"/>
        </w:rPr>
        <w:t>CoCs</w:t>
      </w:r>
      <w:proofErr w:type="spellEnd"/>
      <w:r w:rsidRPr="00735844">
        <w:rPr>
          <w:szCs w:val="24"/>
        </w:rPr>
        <w:t xml:space="preserve"> (approximately 4</w:t>
      </w:r>
      <w:r>
        <w:rPr>
          <w:szCs w:val="24"/>
        </w:rPr>
        <w:t>4</w:t>
      </w:r>
      <w:r w:rsidRPr="00735844">
        <w:rPr>
          <w:szCs w:val="24"/>
        </w:rPr>
        <w:t>8) to submit local AHAR report</w:t>
      </w:r>
      <w:r>
        <w:rPr>
          <w:szCs w:val="24"/>
        </w:rPr>
        <w:t>s</w:t>
      </w:r>
      <w:r w:rsidRPr="00735844">
        <w:rPr>
          <w:szCs w:val="24"/>
        </w:rPr>
        <w:t>.  The burden estimates in section A.12 are based on this assumption.</w:t>
      </w:r>
      <w:r>
        <w:rPr>
          <w:szCs w:val="24"/>
        </w:rPr>
        <w:t xml:space="preserve"> However, when HUD initiated this effort in 2002, some </w:t>
      </w:r>
      <w:proofErr w:type="spellStart"/>
      <w:r>
        <w:rPr>
          <w:szCs w:val="24"/>
        </w:rPr>
        <w:t>CoCs</w:t>
      </w:r>
      <w:proofErr w:type="spellEnd"/>
      <w:r>
        <w:rPr>
          <w:szCs w:val="24"/>
        </w:rPr>
        <w:t xml:space="preserve"> did not have a functional HMIS and many others were collecting information from only a portion of homeless assistance providers in their community.  As a result, HUD developed a representative national sample of 102 communities to target for data collection until all </w:t>
      </w:r>
      <w:proofErr w:type="spellStart"/>
      <w:r>
        <w:rPr>
          <w:szCs w:val="24"/>
        </w:rPr>
        <w:t>CoCs</w:t>
      </w:r>
      <w:proofErr w:type="spellEnd"/>
      <w:r>
        <w:rPr>
          <w:szCs w:val="24"/>
        </w:rPr>
        <w:t xml:space="preserve"> could participate in the AHAR.  Participation has steadily grown beyond the original sample.  For the 2008 report, 222 </w:t>
      </w:r>
      <w:proofErr w:type="spellStart"/>
      <w:r>
        <w:rPr>
          <w:szCs w:val="24"/>
        </w:rPr>
        <w:t>CoCs</w:t>
      </w:r>
      <w:proofErr w:type="spellEnd"/>
      <w:r>
        <w:rPr>
          <w:szCs w:val="24"/>
        </w:rPr>
        <w:t xml:space="preserve"> contributed their data. </w:t>
      </w:r>
    </w:p>
    <w:p w:rsidR="0070688A" w:rsidRPr="00286643" w:rsidRDefault="0070688A" w:rsidP="0070688A"/>
    <w:p w:rsidR="0070688A" w:rsidRDefault="0070688A" w:rsidP="0070688A">
      <w:pPr>
        <w:pStyle w:val="AbtHeadB"/>
      </w:pPr>
      <w:bookmarkStart w:id="11" w:name="_Toc190490670"/>
      <w:bookmarkStart w:id="12" w:name="_Toc207084212"/>
      <w:bookmarkStart w:id="13" w:name="_Toc224972127"/>
      <w:bookmarkStart w:id="14" w:name="_Toc245118207"/>
      <w:r>
        <w:t>B2</w:t>
      </w:r>
      <w:r>
        <w:tab/>
        <w:t>Statistical Methods</w:t>
      </w:r>
      <w:bookmarkEnd w:id="11"/>
      <w:bookmarkEnd w:id="12"/>
      <w:r>
        <w:t xml:space="preserve"> and Data Collection Procedures</w:t>
      </w:r>
      <w:bookmarkEnd w:id="13"/>
      <w:bookmarkEnd w:id="14"/>
    </w:p>
    <w:p w:rsidR="0070688A" w:rsidRPr="00036E7B" w:rsidRDefault="0070688A" w:rsidP="0070688A">
      <w:pPr>
        <w:pStyle w:val="AbtHeadBOutlined"/>
        <w:tabs>
          <w:tab w:val="clear" w:pos="720"/>
        </w:tabs>
        <w:ind w:left="0" w:firstLine="0"/>
        <w:rPr>
          <w:sz w:val="22"/>
          <w:szCs w:val="22"/>
        </w:rPr>
      </w:pPr>
      <w:bookmarkStart w:id="15" w:name="_Toc233451971"/>
      <w:bookmarkStart w:id="16" w:name="_Toc233453284"/>
      <w:bookmarkStart w:id="17" w:name="_Toc245118208"/>
      <w:r w:rsidRPr="00036E7B">
        <w:rPr>
          <w:rFonts w:cs="Arial"/>
          <w:sz w:val="22"/>
          <w:szCs w:val="22"/>
        </w:rPr>
        <w:t>B.2.1</w:t>
      </w:r>
      <w:r w:rsidRPr="00036E7B">
        <w:rPr>
          <w:rFonts w:cs="Arial"/>
          <w:sz w:val="22"/>
          <w:szCs w:val="22"/>
        </w:rPr>
        <w:tab/>
      </w:r>
      <w:bookmarkStart w:id="18" w:name="_Toc231981170"/>
      <w:bookmarkStart w:id="19" w:name="_Toc231982276"/>
      <w:bookmarkStart w:id="20" w:name="_Toc232240042"/>
      <w:bookmarkStart w:id="21" w:name="_Toc232240301"/>
      <w:r w:rsidRPr="00036E7B">
        <w:rPr>
          <w:sz w:val="22"/>
          <w:szCs w:val="22"/>
        </w:rPr>
        <w:t>Sampling Plan</w:t>
      </w:r>
      <w:bookmarkEnd w:id="15"/>
      <w:bookmarkEnd w:id="16"/>
      <w:bookmarkEnd w:id="17"/>
      <w:bookmarkEnd w:id="18"/>
      <w:bookmarkEnd w:id="19"/>
      <w:bookmarkEnd w:id="20"/>
      <w:bookmarkEnd w:id="21"/>
    </w:p>
    <w:p w:rsidR="0070688A" w:rsidRDefault="0070688A" w:rsidP="0070688A">
      <w:r>
        <w:t>This section describes the procedures for selecting a nationally representative sample of 102 jurisdictions for the AHAR.</w:t>
      </w:r>
      <w:r>
        <w:rPr>
          <w:rStyle w:val="FootnoteReference"/>
        </w:rPr>
        <w:footnoteReference w:id="1"/>
      </w:r>
      <w:r>
        <w:t xml:space="preserve">  </w:t>
      </w:r>
    </w:p>
    <w:p w:rsidR="0070688A" w:rsidRDefault="0070688A" w:rsidP="0070688A"/>
    <w:p w:rsidR="0070688A" w:rsidRDefault="0070688A" w:rsidP="0070688A">
      <w:pPr>
        <w:pStyle w:val="AbtHeadC"/>
      </w:pPr>
      <w:bookmarkStart w:id="22" w:name="_Toc147656881"/>
      <w:bookmarkStart w:id="23" w:name="_Toc156799505"/>
      <w:bookmarkStart w:id="24" w:name="_Toc181176736"/>
      <w:bookmarkStart w:id="25" w:name="_Toc181183229"/>
      <w:bookmarkStart w:id="26" w:name="_Toc184796801"/>
      <w:bookmarkStart w:id="27" w:name="_Toc184797121"/>
      <w:bookmarkStart w:id="28" w:name="_Toc187055403"/>
      <w:bookmarkStart w:id="29" w:name="_Toc187055816"/>
      <w:bookmarkStart w:id="30" w:name="_Toc201059418"/>
      <w:bookmarkStart w:id="31" w:name="_Toc202331843"/>
      <w:bookmarkStart w:id="32" w:name="_Toc203282101"/>
      <w:r>
        <w:t>CDBG Jurisdictions Are the Primary Sampling Units</w:t>
      </w:r>
      <w:bookmarkEnd w:id="22"/>
      <w:bookmarkEnd w:id="23"/>
      <w:bookmarkEnd w:id="24"/>
      <w:bookmarkEnd w:id="25"/>
      <w:bookmarkEnd w:id="26"/>
      <w:bookmarkEnd w:id="27"/>
      <w:bookmarkEnd w:id="28"/>
      <w:bookmarkEnd w:id="29"/>
      <w:bookmarkEnd w:id="30"/>
      <w:bookmarkEnd w:id="31"/>
      <w:bookmarkEnd w:id="32"/>
    </w:p>
    <w:p w:rsidR="0070688A" w:rsidRDefault="0070688A" w:rsidP="0070688A">
      <w:r>
        <w:t xml:space="preserve">The AHAR uses the geographic areas defined for the allocation of CDBG funds as the primary sampling unit.  The four types of CDBG jurisdictions are: </w:t>
      </w:r>
    </w:p>
    <w:p w:rsidR="0070688A" w:rsidRDefault="0070688A" w:rsidP="0070688A"/>
    <w:p w:rsidR="0070688A" w:rsidRDefault="0070688A" w:rsidP="0070688A">
      <w:pPr>
        <w:numPr>
          <w:ilvl w:val="0"/>
          <w:numId w:val="1"/>
        </w:numPr>
        <w:tabs>
          <w:tab w:val="clear" w:pos="1080"/>
          <w:tab w:val="clear" w:pos="1440"/>
          <w:tab w:val="clear" w:pos="1800"/>
        </w:tabs>
        <w:spacing w:after="120"/>
      </w:pPr>
      <w:r>
        <w:t>Principal cities</w:t>
      </w:r>
      <w:r>
        <w:rPr>
          <w:rStyle w:val="FootnoteReference"/>
        </w:rPr>
        <w:footnoteReference w:id="2"/>
      </w:r>
    </w:p>
    <w:p w:rsidR="0070688A" w:rsidRDefault="0070688A" w:rsidP="0070688A">
      <w:pPr>
        <w:numPr>
          <w:ilvl w:val="0"/>
          <w:numId w:val="1"/>
        </w:numPr>
        <w:tabs>
          <w:tab w:val="clear" w:pos="1080"/>
          <w:tab w:val="clear" w:pos="1440"/>
          <w:tab w:val="clear" w:pos="1800"/>
        </w:tabs>
        <w:spacing w:after="120"/>
      </w:pPr>
      <w:r>
        <w:t>Cities with 50,000 or more persons (that are not principal cities)</w:t>
      </w:r>
    </w:p>
    <w:p w:rsidR="0070688A" w:rsidRDefault="0070688A" w:rsidP="0070688A">
      <w:pPr>
        <w:numPr>
          <w:ilvl w:val="0"/>
          <w:numId w:val="1"/>
        </w:numPr>
        <w:tabs>
          <w:tab w:val="clear" w:pos="1080"/>
          <w:tab w:val="clear" w:pos="1440"/>
          <w:tab w:val="clear" w:pos="1800"/>
        </w:tabs>
        <w:spacing w:after="120"/>
      </w:pPr>
      <w:r>
        <w:t xml:space="preserve">Urban counties </w:t>
      </w:r>
    </w:p>
    <w:p w:rsidR="0070688A" w:rsidRDefault="0070688A" w:rsidP="0070688A">
      <w:pPr>
        <w:numPr>
          <w:ilvl w:val="0"/>
          <w:numId w:val="1"/>
        </w:numPr>
        <w:tabs>
          <w:tab w:val="clear" w:pos="1080"/>
          <w:tab w:val="clear" w:pos="1440"/>
          <w:tab w:val="clear" w:pos="1800"/>
        </w:tabs>
      </w:pPr>
      <w:r>
        <w:t xml:space="preserve">Rural areas or non-entitlement jurisdictions  </w:t>
      </w:r>
    </w:p>
    <w:p w:rsidR="0070688A" w:rsidRDefault="0070688A" w:rsidP="0070688A"/>
    <w:p w:rsidR="0070688A" w:rsidRDefault="0070688A" w:rsidP="0070688A">
      <w:r>
        <w:t xml:space="preserve">CDBG jurisdictions constitute the basic building blocks of </w:t>
      </w:r>
      <w:proofErr w:type="spellStart"/>
      <w:r>
        <w:t>CoCs</w:t>
      </w:r>
      <w:proofErr w:type="spellEnd"/>
      <w:r>
        <w:t xml:space="preserve">.  In some cases, the CDBG jurisdiction and the </w:t>
      </w:r>
      <w:proofErr w:type="spellStart"/>
      <w:r>
        <w:t>CoC</w:t>
      </w:r>
      <w:proofErr w:type="spellEnd"/>
      <w:r>
        <w:t xml:space="preserve"> represent the same geographic area (e.g., principal cities are often a single </w:t>
      </w:r>
      <w:proofErr w:type="spellStart"/>
      <w:r>
        <w:t>CoC</w:t>
      </w:r>
      <w:proofErr w:type="spellEnd"/>
      <w:r>
        <w:t xml:space="preserve">), but, in other situations, the CDBG jurisdiction is a geographic subunit of the </w:t>
      </w:r>
      <w:proofErr w:type="spellStart"/>
      <w:r>
        <w:t>CoC</w:t>
      </w:r>
      <w:proofErr w:type="spellEnd"/>
      <w:r>
        <w:t xml:space="preserve"> (e.g., a small city with 50,000 or more persons may be a subunit of a countywide </w:t>
      </w:r>
      <w:proofErr w:type="spellStart"/>
      <w:r>
        <w:t>CoC</w:t>
      </w:r>
      <w:proofErr w:type="spellEnd"/>
      <w:r>
        <w:t>).  The selection of 102 CDBG jurisdictions ensures the inclusion of a wide range of sites in the AHAR as well as the reasonably precise measurement of the characteristics of homeless persons and their patterns of service use.</w:t>
      </w:r>
    </w:p>
    <w:p w:rsidR="0070688A" w:rsidRDefault="0070688A" w:rsidP="0070688A"/>
    <w:p w:rsidR="0070688A" w:rsidRDefault="0070688A" w:rsidP="0070688A">
      <w:r>
        <w:t xml:space="preserve">HUD provided a sampling frame for the selection of CDBG jurisdictions.  The sampling frame is a list of all 3,142 CDBG jurisdictions within the 430 </w:t>
      </w:r>
      <w:proofErr w:type="spellStart"/>
      <w:r>
        <w:t>CoCs</w:t>
      </w:r>
      <w:proofErr w:type="spellEnd"/>
      <w:r>
        <w:t xml:space="preserve"> in the 50 states as of 2002.</w:t>
      </w:r>
      <w:r>
        <w:rPr>
          <w:rStyle w:val="FootnoteReference"/>
        </w:rPr>
        <w:footnoteReference w:id="3"/>
      </w:r>
      <w:r>
        <w:t xml:space="preserve">  The next section describes the decision to stratify the sites based on geographic type, along with the procedures for selecting certainty and non-certainty sites.</w:t>
      </w:r>
    </w:p>
    <w:p w:rsidR="0070688A" w:rsidRDefault="0070688A" w:rsidP="0070688A"/>
    <w:p w:rsidR="0070688A" w:rsidRDefault="0070688A" w:rsidP="0070688A">
      <w:pPr>
        <w:pStyle w:val="AbtHeadC1"/>
      </w:pPr>
      <w:bookmarkStart w:id="33" w:name="_Toc31092350"/>
      <w:bookmarkStart w:id="34" w:name="_Toc123024790"/>
      <w:bookmarkStart w:id="35" w:name="_Toc147656882"/>
      <w:bookmarkStart w:id="36" w:name="_Toc156799506"/>
      <w:bookmarkStart w:id="37" w:name="_Toc181176737"/>
      <w:bookmarkStart w:id="38" w:name="_Toc181183230"/>
      <w:bookmarkStart w:id="39" w:name="_Toc184796802"/>
      <w:bookmarkStart w:id="40" w:name="_Toc184797122"/>
      <w:bookmarkStart w:id="41" w:name="_Toc187055404"/>
      <w:bookmarkStart w:id="42" w:name="_Toc187055817"/>
      <w:bookmarkStart w:id="43" w:name="_Toc201059419"/>
      <w:bookmarkStart w:id="44" w:name="_Toc202331844"/>
      <w:bookmarkStart w:id="45" w:name="_Toc203282102"/>
      <w:r>
        <w:lastRenderedPageBreak/>
        <w:t>Stratifying the Sample by Type of Geographic Area</w:t>
      </w:r>
      <w:bookmarkEnd w:id="33"/>
      <w:bookmarkEnd w:id="34"/>
      <w:bookmarkEnd w:id="35"/>
      <w:bookmarkEnd w:id="36"/>
      <w:bookmarkEnd w:id="37"/>
      <w:bookmarkEnd w:id="38"/>
      <w:bookmarkEnd w:id="39"/>
      <w:bookmarkEnd w:id="40"/>
      <w:bookmarkEnd w:id="41"/>
      <w:bookmarkEnd w:id="42"/>
      <w:bookmarkEnd w:id="43"/>
      <w:bookmarkEnd w:id="44"/>
      <w:bookmarkEnd w:id="45"/>
    </w:p>
    <w:p w:rsidR="0070688A" w:rsidRDefault="0070688A" w:rsidP="0070688A">
      <w:pPr>
        <w:rPr>
          <w:spacing w:val="-4"/>
        </w:rPr>
      </w:pPr>
      <w:r>
        <w:rPr>
          <w:spacing w:val="-4"/>
        </w:rPr>
        <w:t xml:space="preserve">A CDBG jurisdiction may be a large </w:t>
      </w:r>
      <w:r>
        <w:t xml:space="preserve">principal </w:t>
      </w:r>
      <w:r>
        <w:rPr>
          <w:spacing w:val="-4"/>
        </w:rPr>
        <w:t>city of a metropolitan area, a smaller city with a population of 50,000 or more, one or more suburban or urban fringe counties, or a rural area.  As such, the number of homeless persons in each jurisdiction varies considerably.</w:t>
      </w:r>
    </w:p>
    <w:p w:rsidR="0070688A" w:rsidRDefault="0070688A" w:rsidP="0070688A"/>
    <w:p w:rsidR="0070688A" w:rsidRDefault="0070688A" w:rsidP="0070688A">
      <w:pPr>
        <w:rPr>
          <w:spacing w:val="-4"/>
        </w:rPr>
      </w:pPr>
      <w:r>
        <w:rPr>
          <w:spacing w:val="-4"/>
        </w:rPr>
        <w:t>Using the relative size of the homeless population in each CDBG jurisdiction to select a sample may increase the precision of the estimates for any particular sample size.  However, with the number of homeless persons in each CDBG jurisdiction unknown, the study team assumed that the total population in each CDBG jurisdiction provided a measure of relative size of the homeless population for purposes of sample selection.  The study team premised the assumption on the likelihood that the number of homeless persons is correlated with the total population in the area served by the CDBG jurisdiction.  The team further refined the assumption by dividing the sample into strata based on the expected rate of homelessness.</w:t>
      </w:r>
      <w:r>
        <w:rPr>
          <w:rStyle w:val="FootnoteReference"/>
          <w:spacing w:val="-4"/>
        </w:rPr>
        <w:footnoteReference w:id="4"/>
      </w:r>
    </w:p>
    <w:p w:rsidR="0070688A" w:rsidRDefault="0070688A" w:rsidP="0070688A"/>
    <w:p w:rsidR="0070688A" w:rsidRPr="00B236E3" w:rsidRDefault="0070688A" w:rsidP="0070688A">
      <w:pPr>
        <w:rPr>
          <w:spacing w:val="-2"/>
        </w:rPr>
      </w:pPr>
      <w:r w:rsidRPr="00B236E3">
        <w:rPr>
          <w:spacing w:val="-2"/>
        </w:rPr>
        <w:t xml:space="preserve">Earlier research on homelessness indicates that the rate of homelessness varies by type of geographic area.  For example, Burt (2001) found that 71 percent of the homeless persons using homeless-related services are located in principal cities but that only 30 percent of the total </w:t>
      </w:r>
      <w:smartTag w:uri="urn:schemas-microsoft-com:office:smarttags" w:element="place">
        <w:smartTag w:uri="urn:schemas-microsoft-com:office:smarttags" w:element="country-region">
          <w:r w:rsidRPr="00B236E3">
            <w:rPr>
              <w:spacing w:val="-2"/>
            </w:rPr>
            <w:t>U.S.</w:t>
          </w:r>
        </w:smartTag>
      </w:smartTag>
      <w:r w:rsidRPr="00B236E3">
        <w:rPr>
          <w:spacing w:val="-2"/>
        </w:rPr>
        <w:t xml:space="preserve"> population lives in principal cities.</w:t>
      </w:r>
      <w:r w:rsidRPr="00B236E3">
        <w:rPr>
          <w:spacing w:val="-2"/>
          <w:vertAlign w:val="superscript"/>
        </w:rPr>
        <w:footnoteReference w:id="5"/>
      </w:r>
      <w:r w:rsidRPr="00B236E3">
        <w:rPr>
          <w:spacing w:val="-2"/>
        </w:rPr>
        <w:t xml:space="preserve">  By contrast, rural areas account for 9 percent of the homeless population, but 20 percent of the overall population.  Further, suburban/urban fringe areas represent 21 percent of homeless persons, but 50 percent of the overall population.  These findings suggest that, before using the total population as a proxy for the relative size of the homeless population, the CDBG jurisdictions should be stratified by type of geographic area to account for the fact that the ratio of homeless persons to the population varies across geographic areas.  Hence, the study team divided the CDBG jurisdictions into four groups based on their classification for the allocation of CDBG funds: principal cities, other cities larger than 50,000, urban counties, and rural areas (i.e., counties that are part of non-entitlement areas).  Such stratification increases the precision of estimates.</w:t>
      </w:r>
    </w:p>
    <w:p w:rsidR="0070688A" w:rsidRDefault="0070688A" w:rsidP="0070688A"/>
    <w:p w:rsidR="0070688A" w:rsidRDefault="0070688A" w:rsidP="0070688A">
      <w:pPr>
        <w:pStyle w:val="AbtHeadC1"/>
      </w:pPr>
      <w:bookmarkStart w:id="46" w:name="_Toc31092351"/>
      <w:bookmarkStart w:id="47" w:name="_Toc123024791"/>
      <w:bookmarkStart w:id="48" w:name="_Toc147656883"/>
      <w:bookmarkStart w:id="49" w:name="_Toc156799507"/>
      <w:bookmarkStart w:id="50" w:name="_Toc181176738"/>
      <w:bookmarkStart w:id="51" w:name="_Toc181183231"/>
      <w:bookmarkStart w:id="52" w:name="_Toc184796803"/>
      <w:bookmarkStart w:id="53" w:name="_Toc184797123"/>
      <w:bookmarkStart w:id="54" w:name="_Toc187055405"/>
      <w:bookmarkStart w:id="55" w:name="_Toc187055818"/>
      <w:bookmarkStart w:id="56" w:name="_Toc201059420"/>
      <w:bookmarkStart w:id="57" w:name="_Toc202331845"/>
      <w:bookmarkStart w:id="58" w:name="_Toc203282103"/>
      <w:r>
        <w:lastRenderedPageBreak/>
        <w:t>Very Large CDBG Jurisdictions Selected with Certainty</w:t>
      </w:r>
      <w:bookmarkEnd w:id="46"/>
      <w:bookmarkEnd w:id="47"/>
      <w:bookmarkEnd w:id="48"/>
      <w:bookmarkEnd w:id="49"/>
      <w:bookmarkEnd w:id="50"/>
      <w:bookmarkEnd w:id="51"/>
      <w:bookmarkEnd w:id="52"/>
      <w:bookmarkEnd w:id="53"/>
      <w:bookmarkEnd w:id="54"/>
      <w:bookmarkEnd w:id="55"/>
      <w:bookmarkEnd w:id="56"/>
      <w:bookmarkEnd w:id="57"/>
      <w:bookmarkEnd w:id="58"/>
    </w:p>
    <w:p w:rsidR="0070688A" w:rsidRDefault="0070688A" w:rsidP="0070688A">
      <w:r>
        <w:t>Given that the size of the population across CDBG jurisdictions is skewed by a few very large jurisdictions covering areas with several million residents, a useful strategy for reducing sampling variability in the estimated number and characteristics of homeless persons is to select very large jurisdictions in the sample with certainty.  Selecting a CDBG jurisdiction with certainty means that the CDBG jurisdiction represents only itself in the sample estimates but ensures that the sample does not exclude the largest jurisdictions, whose number and characteristics of the homeless population could substantially affect national estimates.</w:t>
      </w:r>
      <w:r w:rsidRPr="00932D51">
        <w:t xml:space="preserve"> </w:t>
      </w:r>
      <w:r>
        <w:t>Exhibit B-1 lists the 18 CDBG jurisdictions selected with certainty.</w:t>
      </w:r>
    </w:p>
    <w:p w:rsidR="0070688A" w:rsidRDefault="0070688A" w:rsidP="0070688A"/>
    <w:p w:rsidR="0070688A" w:rsidRPr="00F82F37" w:rsidRDefault="0070688A" w:rsidP="0070688A">
      <w:pPr>
        <w:ind w:right="-270"/>
        <w:rPr>
          <w:spacing w:val="-4"/>
        </w:rPr>
      </w:pPr>
      <w:r w:rsidRPr="00F82F37">
        <w:rPr>
          <w:spacing w:val="-4"/>
        </w:rPr>
        <w:t>For selecting the certainty sites, the study team divided the CDBG jurisdictions into the four geographic-type strata.  Assuming the rate of homelessness was the same in each area within each stratum, the study team calculated the standard deviation (square root of the variance) of the number of homeless persons for the entire stratum.  The team then recalculated the standard deviation by excluding the largest site (as if that site were taken with certainty) to obtain a relative estimate of the reduction in the variance of the estimates that would occur if that site were selected with certainty.  In the event of substantial reduction in the variance due to the selection of the certainty unit, the overall variance of the sample estimates will be smaller as the variance contribution to the estimate from the certainty sites is zero.  The process of selecting the next-largest site as a certainty site continued until the reduction of the variance or standard deviation was small or marginal.  The process resulted in the identification of 11 certainty sites consisting of eight principal cities, one other city larger than 50,000, and two urban counties (but no non-entitlement areas).</w:t>
      </w:r>
    </w:p>
    <w:p w:rsidR="0070688A" w:rsidRDefault="0070688A" w:rsidP="0070688A"/>
    <w:p w:rsidR="0070688A" w:rsidRDefault="0070688A" w:rsidP="0070688A">
      <w:r>
        <w:t>Based on earlier research findings showing that homeless persons are disproportionately located in principal cities, the study team identified 7 additional principal cities as certainty sites, for a total of 15 principal cities in the certainty sample (and 18 certainty sites in total).  The team selected the 7 additional principal cities with certainty because the cities had among the largest populations of persons living in emergency and transitional shelters in the 1990 and 2000 Census counts.</w:t>
      </w:r>
      <w:r>
        <w:rPr>
          <w:vertAlign w:val="superscript"/>
        </w:rPr>
        <w:footnoteReference w:id="6"/>
      </w:r>
      <w:r>
        <w:t xml:space="preserve">  All 7 certainty sites had one of the 10 largest counts in either 1990 or 2000.</w:t>
      </w:r>
      <w:r>
        <w:rPr>
          <w:vertAlign w:val="superscript"/>
        </w:rPr>
        <w:footnoteReference w:id="7"/>
      </w:r>
      <w:r>
        <w:t xml:space="preserve">  Given that so many homeless persons live in these cities, it is important to include them with certainty in a nationally representative sample.</w:t>
      </w:r>
    </w:p>
    <w:p w:rsidR="0070688A" w:rsidRDefault="0070688A" w:rsidP="0070688A"/>
    <w:tbl>
      <w:tblPr>
        <w:tblW w:w="9030" w:type="dxa"/>
        <w:tblInd w:w="60" w:type="dxa"/>
        <w:tblLayout w:type="fixed"/>
        <w:tblCellMar>
          <w:left w:w="60" w:type="dxa"/>
          <w:right w:w="60" w:type="dxa"/>
        </w:tblCellMar>
        <w:tblLook w:val="0000"/>
      </w:tblPr>
      <w:tblGrid>
        <w:gridCol w:w="454"/>
        <w:gridCol w:w="1886"/>
        <w:gridCol w:w="1470"/>
        <w:gridCol w:w="1230"/>
        <w:gridCol w:w="1350"/>
        <w:gridCol w:w="2640"/>
      </w:tblGrid>
      <w:tr w:rsidR="0070688A" w:rsidTr="004F22BF">
        <w:tblPrEx>
          <w:tblCellMar>
            <w:top w:w="0" w:type="dxa"/>
            <w:bottom w:w="0" w:type="dxa"/>
          </w:tblCellMar>
        </w:tblPrEx>
        <w:trPr>
          <w:cantSplit/>
          <w:trHeight w:val="264"/>
          <w:tblHeader/>
        </w:trPr>
        <w:tc>
          <w:tcPr>
            <w:tcW w:w="9030" w:type="dxa"/>
            <w:gridSpan w:val="6"/>
            <w:tcBorders>
              <w:top w:val="single" w:sz="4" w:space="0" w:color="000000"/>
              <w:left w:val="single" w:sz="4" w:space="0" w:color="000000"/>
              <w:bottom w:val="single" w:sz="4" w:space="0" w:color="000000"/>
              <w:right w:val="single" w:sz="4" w:space="0" w:color="000000"/>
            </w:tcBorders>
            <w:shd w:val="clear" w:color="auto" w:fill="000080"/>
            <w:vAlign w:val="bottom"/>
          </w:tcPr>
          <w:p w:rsidR="0070688A" w:rsidRPr="002D7197" w:rsidRDefault="0070688A" w:rsidP="004F22BF">
            <w:pPr>
              <w:keepNext/>
              <w:adjustRightInd w:val="0"/>
              <w:jc w:val="center"/>
              <w:rPr>
                <w:rFonts w:ascii="Arial" w:hAnsi="Arial" w:cs="Arial"/>
                <w:b/>
                <w:bCs/>
                <w:color w:val="000000"/>
                <w:sz w:val="22"/>
                <w:szCs w:val="22"/>
              </w:rPr>
            </w:pPr>
            <w:r w:rsidRPr="002D7197">
              <w:rPr>
                <w:rFonts w:ascii="Arial" w:hAnsi="Arial" w:cs="Arial"/>
                <w:b/>
                <w:bCs/>
                <w:sz w:val="22"/>
                <w:szCs w:val="22"/>
              </w:rPr>
              <w:lastRenderedPageBreak/>
              <w:t>Exhibit B-1</w:t>
            </w:r>
            <w:r>
              <w:rPr>
                <w:rFonts w:ascii="Arial" w:hAnsi="Arial" w:cs="Arial"/>
                <w:b/>
                <w:bCs/>
                <w:sz w:val="22"/>
                <w:szCs w:val="22"/>
              </w:rPr>
              <w:t xml:space="preserve">: </w:t>
            </w:r>
            <w:r w:rsidRPr="002D7197">
              <w:rPr>
                <w:rFonts w:ascii="Arial" w:hAnsi="Arial" w:cs="Arial"/>
                <w:b/>
                <w:bCs/>
                <w:sz w:val="22"/>
                <w:szCs w:val="22"/>
              </w:rPr>
              <w:t>Geographic Characteristics and Population of 18 Certainty Sites</w:t>
            </w:r>
          </w:p>
        </w:tc>
      </w:tr>
      <w:tr w:rsidR="0070688A" w:rsidRPr="00424782" w:rsidTr="004F22BF">
        <w:tblPrEx>
          <w:tblCellMar>
            <w:top w:w="0" w:type="dxa"/>
            <w:bottom w:w="0" w:type="dxa"/>
          </w:tblCellMar>
        </w:tblPrEx>
        <w:trPr>
          <w:cantSplit/>
          <w:tblHeader/>
        </w:trPr>
        <w:tc>
          <w:tcPr>
            <w:tcW w:w="454" w:type="dxa"/>
            <w:tcBorders>
              <w:top w:val="single" w:sz="6" w:space="0" w:color="000000"/>
              <w:left w:val="single" w:sz="4" w:space="0" w:color="000000"/>
              <w:bottom w:val="single" w:sz="12" w:space="0" w:color="000000"/>
              <w:right w:val="nil"/>
            </w:tcBorders>
            <w:shd w:val="clear" w:color="auto" w:fill="E6E6E6"/>
            <w:vAlign w:val="bottom"/>
          </w:tcPr>
          <w:p w:rsidR="0070688A" w:rsidRPr="00424782" w:rsidRDefault="0070688A" w:rsidP="004F22BF">
            <w:pPr>
              <w:keepNext/>
              <w:adjustRightInd w:val="0"/>
              <w:spacing w:before="60" w:after="60"/>
              <w:jc w:val="center"/>
              <w:rPr>
                <w:rFonts w:ascii="Arial" w:hAnsi="Arial" w:cs="Arial"/>
                <w:b/>
                <w:bCs/>
                <w:color w:val="000000"/>
                <w:sz w:val="20"/>
                <w:szCs w:val="22"/>
              </w:rPr>
            </w:pPr>
          </w:p>
        </w:tc>
        <w:tc>
          <w:tcPr>
            <w:tcW w:w="1886" w:type="dxa"/>
            <w:tcBorders>
              <w:top w:val="single" w:sz="6" w:space="0" w:color="000000"/>
              <w:left w:val="single" w:sz="2" w:space="0" w:color="000000"/>
              <w:bottom w:val="single" w:sz="12" w:space="0" w:color="000000"/>
              <w:right w:val="single" w:sz="4" w:space="0" w:color="000000"/>
            </w:tcBorders>
            <w:shd w:val="clear" w:color="auto" w:fill="E6E6E6"/>
            <w:vAlign w:val="bottom"/>
          </w:tcPr>
          <w:p w:rsidR="0070688A" w:rsidRPr="00424782" w:rsidRDefault="0070688A" w:rsidP="004F22BF">
            <w:pPr>
              <w:keepNext/>
              <w:adjustRightInd w:val="0"/>
              <w:spacing w:before="60" w:after="60"/>
              <w:rPr>
                <w:rFonts w:ascii="Arial" w:hAnsi="Arial" w:cs="Arial"/>
                <w:b/>
                <w:bCs/>
                <w:color w:val="000000"/>
                <w:sz w:val="20"/>
                <w:szCs w:val="22"/>
              </w:rPr>
            </w:pPr>
            <w:r w:rsidRPr="00424782">
              <w:rPr>
                <w:rFonts w:ascii="Arial" w:hAnsi="Arial" w:cs="Arial"/>
                <w:b/>
                <w:bCs/>
                <w:color w:val="000000"/>
                <w:sz w:val="20"/>
                <w:szCs w:val="22"/>
              </w:rPr>
              <w:t>Geographic Area</w:t>
            </w:r>
          </w:p>
        </w:tc>
        <w:tc>
          <w:tcPr>
            <w:tcW w:w="1470" w:type="dxa"/>
            <w:tcBorders>
              <w:top w:val="single" w:sz="6" w:space="0" w:color="000000"/>
              <w:left w:val="single" w:sz="4" w:space="0" w:color="000000"/>
              <w:bottom w:val="single" w:sz="12" w:space="0" w:color="000000"/>
              <w:right w:val="single" w:sz="4" w:space="0" w:color="000000"/>
            </w:tcBorders>
            <w:shd w:val="clear" w:color="auto" w:fill="E6E6E6"/>
            <w:vAlign w:val="bottom"/>
          </w:tcPr>
          <w:p w:rsidR="0070688A" w:rsidRPr="00424782" w:rsidRDefault="0070688A" w:rsidP="004F22BF">
            <w:pPr>
              <w:keepNext/>
              <w:adjustRightInd w:val="0"/>
              <w:spacing w:before="60" w:after="60"/>
              <w:jc w:val="center"/>
              <w:rPr>
                <w:rFonts w:ascii="Arial" w:hAnsi="Arial" w:cs="Arial"/>
                <w:b/>
                <w:bCs/>
                <w:color w:val="000000"/>
                <w:sz w:val="20"/>
                <w:szCs w:val="22"/>
              </w:rPr>
            </w:pPr>
            <w:r w:rsidRPr="00424782">
              <w:rPr>
                <w:rFonts w:ascii="Arial" w:hAnsi="Arial" w:cs="Arial"/>
                <w:b/>
                <w:bCs/>
                <w:color w:val="000000"/>
                <w:sz w:val="20"/>
                <w:szCs w:val="22"/>
              </w:rPr>
              <w:t>Type of  CDBG  Entity</w:t>
            </w:r>
          </w:p>
        </w:tc>
        <w:tc>
          <w:tcPr>
            <w:tcW w:w="1230" w:type="dxa"/>
            <w:tcBorders>
              <w:top w:val="single" w:sz="6" w:space="0" w:color="000000"/>
              <w:left w:val="single" w:sz="4" w:space="0" w:color="000000"/>
              <w:bottom w:val="single" w:sz="12" w:space="0" w:color="000000"/>
              <w:right w:val="single" w:sz="4" w:space="0" w:color="000000"/>
            </w:tcBorders>
            <w:shd w:val="clear" w:color="auto" w:fill="E6E6E6"/>
            <w:vAlign w:val="bottom"/>
          </w:tcPr>
          <w:p w:rsidR="0070688A" w:rsidRPr="00424782" w:rsidRDefault="0070688A" w:rsidP="004F22BF">
            <w:pPr>
              <w:keepNext/>
              <w:adjustRightInd w:val="0"/>
              <w:spacing w:before="60" w:after="60"/>
              <w:jc w:val="center"/>
              <w:rPr>
                <w:rFonts w:ascii="Arial" w:hAnsi="Arial" w:cs="Arial"/>
                <w:b/>
                <w:bCs/>
                <w:color w:val="000000"/>
                <w:spacing w:val="-4"/>
                <w:sz w:val="20"/>
                <w:szCs w:val="22"/>
              </w:rPr>
            </w:pPr>
            <w:r w:rsidRPr="00424782">
              <w:rPr>
                <w:rFonts w:ascii="Arial" w:hAnsi="Arial" w:cs="Arial"/>
                <w:b/>
                <w:bCs/>
                <w:color w:val="000000"/>
                <w:spacing w:val="-4"/>
                <w:sz w:val="20"/>
                <w:szCs w:val="22"/>
              </w:rPr>
              <w:t>Size of Housed Population</w:t>
            </w:r>
          </w:p>
        </w:tc>
        <w:tc>
          <w:tcPr>
            <w:tcW w:w="1350" w:type="dxa"/>
            <w:tcBorders>
              <w:top w:val="single" w:sz="6" w:space="0" w:color="000000"/>
              <w:left w:val="single" w:sz="4" w:space="0" w:color="000000"/>
              <w:bottom w:val="single" w:sz="12" w:space="0" w:color="000000"/>
              <w:right w:val="single" w:sz="4" w:space="0" w:color="000000"/>
            </w:tcBorders>
            <w:shd w:val="clear" w:color="auto" w:fill="E6E6E6"/>
            <w:vAlign w:val="bottom"/>
          </w:tcPr>
          <w:p w:rsidR="0070688A" w:rsidRPr="00424782" w:rsidRDefault="0070688A" w:rsidP="004F22BF">
            <w:pPr>
              <w:keepNext/>
              <w:adjustRightInd w:val="0"/>
              <w:spacing w:before="60" w:after="60"/>
              <w:jc w:val="center"/>
              <w:rPr>
                <w:rFonts w:ascii="Arial" w:hAnsi="Arial" w:cs="Arial"/>
                <w:b/>
                <w:bCs/>
                <w:color w:val="000000"/>
                <w:sz w:val="20"/>
                <w:szCs w:val="22"/>
              </w:rPr>
            </w:pPr>
            <w:r w:rsidRPr="00424782">
              <w:rPr>
                <w:rFonts w:ascii="Arial" w:hAnsi="Arial" w:cs="Arial"/>
                <w:b/>
                <w:bCs/>
                <w:color w:val="000000"/>
                <w:sz w:val="20"/>
                <w:szCs w:val="22"/>
              </w:rPr>
              <w:t>Census Region</w:t>
            </w:r>
          </w:p>
        </w:tc>
        <w:tc>
          <w:tcPr>
            <w:tcW w:w="2640" w:type="dxa"/>
            <w:tcBorders>
              <w:top w:val="single" w:sz="6" w:space="0" w:color="000000"/>
              <w:left w:val="single" w:sz="4" w:space="0" w:color="000000"/>
              <w:bottom w:val="single" w:sz="12" w:space="0" w:color="000000"/>
              <w:right w:val="single" w:sz="4" w:space="0" w:color="000000"/>
            </w:tcBorders>
            <w:shd w:val="clear" w:color="auto" w:fill="E6E6E6"/>
            <w:vAlign w:val="bottom"/>
          </w:tcPr>
          <w:p w:rsidR="0070688A" w:rsidRPr="00424782" w:rsidRDefault="0070688A" w:rsidP="004F22BF">
            <w:pPr>
              <w:keepNext/>
              <w:adjustRightInd w:val="0"/>
              <w:spacing w:before="60" w:after="60"/>
              <w:jc w:val="center"/>
              <w:rPr>
                <w:rFonts w:ascii="Arial" w:hAnsi="Arial" w:cs="Arial"/>
                <w:b/>
                <w:bCs/>
                <w:color w:val="000000"/>
                <w:sz w:val="20"/>
                <w:szCs w:val="22"/>
              </w:rPr>
            </w:pPr>
            <w:proofErr w:type="spellStart"/>
            <w:r w:rsidRPr="00424782">
              <w:rPr>
                <w:rFonts w:ascii="Arial" w:hAnsi="Arial" w:cs="Arial"/>
                <w:b/>
                <w:bCs/>
                <w:color w:val="000000"/>
                <w:sz w:val="20"/>
                <w:szCs w:val="22"/>
              </w:rPr>
              <w:t>CoC</w:t>
            </w:r>
            <w:proofErr w:type="spellEnd"/>
            <w:r w:rsidRPr="00424782">
              <w:rPr>
                <w:rFonts w:ascii="Arial" w:hAnsi="Arial" w:cs="Arial"/>
                <w:b/>
                <w:bCs/>
                <w:color w:val="000000"/>
                <w:sz w:val="20"/>
                <w:szCs w:val="22"/>
              </w:rPr>
              <w:t xml:space="preserve"> Name</w:t>
            </w:r>
          </w:p>
        </w:tc>
      </w:tr>
      <w:tr w:rsidR="0070688A" w:rsidRPr="00424782" w:rsidTr="004F22BF">
        <w:tblPrEx>
          <w:tblCellMar>
            <w:top w:w="0" w:type="dxa"/>
            <w:bottom w:w="0" w:type="dxa"/>
          </w:tblCellMar>
        </w:tblPrEx>
        <w:trPr>
          <w:cantSplit/>
        </w:trPr>
        <w:tc>
          <w:tcPr>
            <w:tcW w:w="454" w:type="dxa"/>
            <w:tcBorders>
              <w:top w:val="single" w:sz="12"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both"/>
              <w:rPr>
                <w:rFonts w:ascii="Arial" w:hAnsi="Arial" w:cs="Arial"/>
                <w:b/>
                <w:bCs/>
                <w:color w:val="000000"/>
                <w:sz w:val="20"/>
                <w:szCs w:val="22"/>
              </w:rPr>
            </w:pPr>
            <w:r w:rsidRPr="00424782">
              <w:rPr>
                <w:rFonts w:ascii="Arial" w:hAnsi="Arial" w:cs="Arial"/>
                <w:b/>
                <w:bCs/>
                <w:color w:val="000000"/>
                <w:sz w:val="20"/>
                <w:szCs w:val="22"/>
              </w:rPr>
              <w:t>1</w:t>
            </w:r>
          </w:p>
        </w:tc>
        <w:tc>
          <w:tcPr>
            <w:tcW w:w="1886" w:type="dxa"/>
            <w:tcBorders>
              <w:top w:val="single" w:sz="12"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both"/>
              <w:rPr>
                <w:rFonts w:ascii="Arial" w:hAnsi="Arial" w:cs="Arial"/>
                <w:color w:val="000000"/>
                <w:sz w:val="20"/>
                <w:szCs w:val="19"/>
              </w:rPr>
            </w:pPr>
            <w:smartTag w:uri="urn:schemas-microsoft-com:office:smarttags" w:element="place">
              <w:smartTag w:uri="urn:schemas-microsoft-com:office:smarttags" w:element="City">
                <w:r w:rsidRPr="00424782">
                  <w:rPr>
                    <w:rFonts w:ascii="Arial" w:hAnsi="Arial" w:cs="Arial"/>
                    <w:color w:val="000000"/>
                    <w:sz w:val="20"/>
                    <w:szCs w:val="19"/>
                  </w:rPr>
                  <w:t>NEW YORK CITY</w:t>
                </w:r>
              </w:smartTag>
            </w:smartTag>
          </w:p>
        </w:tc>
        <w:tc>
          <w:tcPr>
            <w:tcW w:w="1470" w:type="dxa"/>
            <w:tcBorders>
              <w:top w:val="single" w:sz="12"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center"/>
              <w:rPr>
                <w:rFonts w:ascii="Arial" w:hAnsi="Arial" w:cs="Arial"/>
                <w:color w:val="000000"/>
                <w:sz w:val="20"/>
                <w:szCs w:val="19"/>
              </w:rPr>
            </w:pPr>
            <w:smartTag w:uri="urn:schemas-microsoft-com:office:smarttags" w:element="place">
              <w:smartTag w:uri="urn:schemas-microsoft-com:office:smarttags" w:element="PlaceName">
                <w:r>
                  <w:rPr>
                    <w:rFonts w:ascii="Arial" w:hAnsi="Arial" w:cs="Arial"/>
                    <w:color w:val="000000"/>
                    <w:sz w:val="20"/>
                    <w:szCs w:val="19"/>
                  </w:rPr>
                  <w:t>P</w:t>
                </w:r>
                <w:r w:rsidRPr="00936388">
                  <w:rPr>
                    <w:rFonts w:ascii="Arial" w:hAnsi="Arial" w:cs="Arial"/>
                    <w:color w:val="000000"/>
                    <w:sz w:val="20"/>
                    <w:szCs w:val="19"/>
                  </w:rPr>
                  <w:t>rincipal</w:t>
                </w:r>
              </w:smartTag>
              <w:r w:rsidRPr="00936388">
                <w:rPr>
                  <w:rFonts w:ascii="Arial" w:hAnsi="Arial" w:cs="Arial"/>
                  <w:color w:val="000000"/>
                  <w:sz w:val="20"/>
                  <w:szCs w:val="19"/>
                </w:rPr>
                <w:t xml:space="preserve"> </w:t>
              </w:r>
              <w:smartTag w:uri="urn:schemas-microsoft-com:office:smarttags" w:element="PlaceType">
                <w:r w:rsidRPr="00424782">
                  <w:rPr>
                    <w:rFonts w:ascii="Arial" w:hAnsi="Arial" w:cs="Arial"/>
                    <w:color w:val="000000"/>
                    <w:sz w:val="20"/>
                    <w:szCs w:val="19"/>
                  </w:rPr>
                  <w:t>City</w:t>
                </w:r>
              </w:smartTag>
            </w:smartTag>
          </w:p>
        </w:tc>
        <w:tc>
          <w:tcPr>
            <w:tcW w:w="1230" w:type="dxa"/>
            <w:tcBorders>
              <w:top w:val="single" w:sz="12"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ind w:right="180"/>
              <w:jc w:val="right"/>
              <w:rPr>
                <w:rFonts w:ascii="Arial" w:hAnsi="Arial" w:cs="Arial"/>
                <w:color w:val="000000"/>
                <w:sz w:val="20"/>
                <w:szCs w:val="19"/>
              </w:rPr>
            </w:pPr>
            <w:r w:rsidRPr="00424782">
              <w:rPr>
                <w:rFonts w:ascii="Arial" w:hAnsi="Arial" w:cs="Arial"/>
                <w:color w:val="000000"/>
                <w:sz w:val="20"/>
                <w:szCs w:val="19"/>
              </w:rPr>
              <w:t>8,008,278</w:t>
            </w:r>
          </w:p>
        </w:tc>
        <w:tc>
          <w:tcPr>
            <w:tcW w:w="1350" w:type="dxa"/>
            <w:tcBorders>
              <w:top w:val="single" w:sz="12"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center"/>
              <w:rPr>
                <w:rFonts w:ascii="Arial" w:hAnsi="Arial" w:cs="Arial"/>
                <w:color w:val="000000"/>
                <w:sz w:val="20"/>
                <w:szCs w:val="19"/>
              </w:rPr>
            </w:pPr>
            <w:r w:rsidRPr="00424782">
              <w:rPr>
                <w:rFonts w:ascii="Arial" w:hAnsi="Arial" w:cs="Arial"/>
                <w:color w:val="000000"/>
                <w:sz w:val="20"/>
                <w:szCs w:val="19"/>
              </w:rPr>
              <w:t>Northeast</w:t>
            </w:r>
          </w:p>
        </w:tc>
        <w:tc>
          <w:tcPr>
            <w:tcW w:w="2640" w:type="dxa"/>
            <w:tcBorders>
              <w:top w:val="single" w:sz="12"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rPr>
                <w:rFonts w:ascii="Arial" w:hAnsi="Arial" w:cs="Arial"/>
                <w:color w:val="000000"/>
                <w:sz w:val="20"/>
                <w:szCs w:val="19"/>
              </w:rPr>
            </w:pPr>
            <w:smartTag w:uri="urn:schemas-microsoft-com:office:smarttags" w:element="place">
              <w:smartTag w:uri="urn:schemas-microsoft-com:office:smarttags" w:element="City">
                <w:r w:rsidRPr="00424782">
                  <w:rPr>
                    <w:rFonts w:ascii="Arial" w:hAnsi="Arial" w:cs="Arial"/>
                    <w:color w:val="000000"/>
                    <w:sz w:val="20"/>
                    <w:szCs w:val="19"/>
                  </w:rPr>
                  <w:t>New York City</w:t>
                </w:r>
              </w:smartTag>
            </w:smartTag>
            <w:r w:rsidRPr="00424782">
              <w:rPr>
                <w:rFonts w:ascii="Arial" w:hAnsi="Arial" w:cs="Arial"/>
                <w:color w:val="000000"/>
                <w:sz w:val="20"/>
                <w:szCs w:val="19"/>
              </w:rPr>
              <w:t xml:space="preserve"> Coalition/</w:t>
            </w:r>
            <w:proofErr w:type="spellStart"/>
            <w:r w:rsidRPr="00424782">
              <w:rPr>
                <w:rFonts w:ascii="Arial" w:hAnsi="Arial" w:cs="Arial"/>
                <w:color w:val="000000"/>
                <w:sz w:val="20"/>
                <w:szCs w:val="19"/>
              </w:rPr>
              <w:t>CoC</w:t>
            </w:r>
            <w:proofErr w:type="spellEnd"/>
          </w:p>
        </w:tc>
      </w:tr>
      <w:tr w:rsidR="0070688A" w:rsidRPr="00424782" w:rsidTr="004F22BF">
        <w:tblPrEx>
          <w:tblCellMar>
            <w:top w:w="0" w:type="dxa"/>
            <w:bottom w:w="0" w:type="dxa"/>
          </w:tblCellMar>
        </w:tblPrEx>
        <w:trPr>
          <w:cantSplit/>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both"/>
              <w:rPr>
                <w:rFonts w:ascii="Arial" w:hAnsi="Arial" w:cs="Arial"/>
                <w:b/>
                <w:bCs/>
                <w:color w:val="000000"/>
                <w:sz w:val="20"/>
                <w:szCs w:val="22"/>
              </w:rPr>
            </w:pPr>
            <w:r w:rsidRPr="00424782">
              <w:rPr>
                <w:rFonts w:ascii="Arial" w:hAnsi="Arial" w:cs="Arial"/>
                <w:b/>
                <w:bCs/>
                <w:color w:val="000000"/>
                <w:sz w:val="20"/>
                <w:szCs w:val="22"/>
              </w:rPr>
              <w:t>2</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both"/>
              <w:rPr>
                <w:rFonts w:ascii="Arial" w:hAnsi="Arial" w:cs="Arial"/>
                <w:color w:val="000000"/>
                <w:sz w:val="20"/>
                <w:szCs w:val="19"/>
              </w:rPr>
            </w:pPr>
            <w:r w:rsidRPr="00424782">
              <w:rPr>
                <w:rFonts w:ascii="Arial" w:hAnsi="Arial" w:cs="Arial"/>
                <w:color w:val="000000"/>
                <w:sz w:val="20"/>
                <w:szCs w:val="19"/>
              </w:rPr>
              <w:t>LOS ANGELES</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70688A" w:rsidRDefault="0070688A" w:rsidP="004F22BF">
            <w:pPr>
              <w:jc w:val="center"/>
            </w:pPr>
            <w:smartTag w:uri="urn:schemas-microsoft-com:office:smarttags" w:element="place">
              <w:smartTag w:uri="urn:schemas-microsoft-com:office:smarttags" w:element="PlaceName">
                <w:r w:rsidRPr="00AF1D7B">
                  <w:rPr>
                    <w:rFonts w:ascii="Arial" w:hAnsi="Arial" w:cs="Arial"/>
                    <w:color w:val="000000"/>
                    <w:sz w:val="20"/>
                    <w:szCs w:val="19"/>
                  </w:rPr>
                  <w:t>Principal</w:t>
                </w:r>
              </w:smartTag>
              <w:r w:rsidRPr="00AF1D7B">
                <w:rPr>
                  <w:rFonts w:ascii="Arial" w:hAnsi="Arial" w:cs="Arial"/>
                  <w:color w:val="000000"/>
                  <w:sz w:val="20"/>
                  <w:szCs w:val="19"/>
                </w:rPr>
                <w:t xml:space="preserve"> </w:t>
              </w:r>
              <w:smartTag w:uri="urn:schemas-microsoft-com:office:smarttags" w:element="PlaceType">
                <w:r w:rsidRPr="00AF1D7B">
                  <w:rPr>
                    <w:rFonts w:ascii="Arial" w:hAnsi="Arial" w:cs="Arial"/>
                    <w:color w:val="000000"/>
                    <w:sz w:val="20"/>
                    <w:szCs w:val="19"/>
                  </w:rPr>
                  <w:t>City</w:t>
                </w:r>
              </w:smartTag>
            </w:smartTag>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ind w:right="180"/>
              <w:jc w:val="right"/>
              <w:rPr>
                <w:rFonts w:ascii="Arial" w:hAnsi="Arial" w:cs="Arial"/>
                <w:color w:val="000000"/>
                <w:sz w:val="20"/>
                <w:szCs w:val="19"/>
              </w:rPr>
            </w:pPr>
            <w:r w:rsidRPr="00424782">
              <w:rPr>
                <w:rFonts w:ascii="Arial" w:hAnsi="Arial" w:cs="Arial"/>
                <w:color w:val="000000"/>
                <w:sz w:val="20"/>
                <w:szCs w:val="19"/>
              </w:rPr>
              <w:t>3,694,820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center"/>
              <w:rPr>
                <w:rFonts w:ascii="Arial" w:hAnsi="Arial" w:cs="Arial"/>
                <w:color w:val="000000"/>
                <w:sz w:val="20"/>
                <w:szCs w:val="19"/>
              </w:rPr>
            </w:pPr>
            <w:r w:rsidRPr="00424782">
              <w:rPr>
                <w:rFonts w:ascii="Arial" w:hAnsi="Arial" w:cs="Arial"/>
                <w:color w:val="000000"/>
                <w:sz w:val="20"/>
                <w:szCs w:val="19"/>
              </w:rPr>
              <w:t>West</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rPr>
                <w:rFonts w:ascii="Arial" w:hAnsi="Arial" w:cs="Arial"/>
                <w:color w:val="000000"/>
                <w:sz w:val="20"/>
                <w:szCs w:val="19"/>
              </w:rPr>
            </w:pPr>
            <w:smartTag w:uri="urn:schemas-microsoft-com:office:smarttags" w:element="place">
              <w:smartTag w:uri="urn:schemas-microsoft-com:office:smarttags" w:element="City">
                <w:r w:rsidRPr="00424782">
                  <w:rPr>
                    <w:rFonts w:ascii="Arial" w:hAnsi="Arial" w:cs="Arial"/>
                    <w:color w:val="000000"/>
                    <w:sz w:val="20"/>
                    <w:szCs w:val="19"/>
                  </w:rPr>
                  <w:t>County of Los Angeles</w:t>
                </w:r>
              </w:smartTag>
              <w:r w:rsidRPr="00424782">
                <w:rPr>
                  <w:rFonts w:ascii="Arial" w:hAnsi="Arial" w:cs="Arial"/>
                  <w:color w:val="000000"/>
                  <w:sz w:val="20"/>
                  <w:szCs w:val="19"/>
                </w:rPr>
                <w:t xml:space="preserve">, </w:t>
              </w:r>
              <w:smartTag w:uri="urn:schemas-microsoft-com:office:smarttags" w:element="State">
                <w:r w:rsidRPr="00424782">
                  <w:rPr>
                    <w:rFonts w:ascii="Arial" w:hAnsi="Arial" w:cs="Arial"/>
                    <w:color w:val="000000"/>
                    <w:sz w:val="20"/>
                    <w:szCs w:val="19"/>
                  </w:rPr>
                  <w:t>C</w:t>
                </w:r>
                <w:r>
                  <w:rPr>
                    <w:rFonts w:ascii="Arial" w:hAnsi="Arial" w:cs="Arial"/>
                    <w:color w:val="000000"/>
                    <w:sz w:val="20"/>
                    <w:szCs w:val="19"/>
                  </w:rPr>
                  <w:t>A</w:t>
                </w:r>
              </w:smartTag>
            </w:smartTag>
          </w:p>
        </w:tc>
      </w:tr>
      <w:tr w:rsidR="0070688A" w:rsidRPr="00424782" w:rsidTr="004F22BF">
        <w:tblPrEx>
          <w:tblCellMar>
            <w:top w:w="0" w:type="dxa"/>
            <w:bottom w:w="0" w:type="dxa"/>
          </w:tblCellMar>
        </w:tblPrEx>
        <w:trPr>
          <w:cantSplit/>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0688A" w:rsidRPr="004209FB" w:rsidRDefault="0070688A" w:rsidP="004F22BF">
            <w:pPr>
              <w:adjustRightInd w:val="0"/>
              <w:spacing w:before="60" w:after="60"/>
              <w:jc w:val="both"/>
              <w:rPr>
                <w:rFonts w:ascii="Arial" w:hAnsi="Arial" w:cs="Arial"/>
                <w:b/>
                <w:bCs/>
                <w:color w:val="000000"/>
                <w:sz w:val="20"/>
                <w:szCs w:val="22"/>
              </w:rPr>
            </w:pPr>
            <w:r w:rsidRPr="004209FB">
              <w:rPr>
                <w:rFonts w:ascii="Arial" w:hAnsi="Arial" w:cs="Arial"/>
                <w:b/>
                <w:bCs/>
                <w:color w:val="000000"/>
                <w:sz w:val="20"/>
                <w:szCs w:val="22"/>
              </w:rPr>
              <w:t>3</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both"/>
              <w:rPr>
                <w:rFonts w:ascii="Arial" w:hAnsi="Arial" w:cs="Arial"/>
                <w:color w:val="000000"/>
                <w:sz w:val="20"/>
                <w:szCs w:val="19"/>
              </w:rPr>
            </w:pPr>
            <w:smartTag w:uri="urn:schemas-microsoft-com:office:smarttags" w:element="place">
              <w:smartTag w:uri="urn:schemas-microsoft-com:office:smarttags" w:element="City">
                <w:r w:rsidRPr="00424782">
                  <w:rPr>
                    <w:rFonts w:ascii="Arial" w:hAnsi="Arial" w:cs="Arial"/>
                    <w:color w:val="000000"/>
                    <w:sz w:val="20"/>
                    <w:szCs w:val="19"/>
                  </w:rPr>
                  <w:t>CHICAGO</w:t>
                </w:r>
              </w:smartTag>
            </w:smartTag>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70688A" w:rsidRDefault="0070688A" w:rsidP="004F22BF">
            <w:pPr>
              <w:jc w:val="center"/>
            </w:pPr>
            <w:smartTag w:uri="urn:schemas-microsoft-com:office:smarttags" w:element="place">
              <w:smartTag w:uri="urn:schemas-microsoft-com:office:smarttags" w:element="PlaceName">
                <w:r w:rsidRPr="00AF1D7B">
                  <w:rPr>
                    <w:rFonts w:ascii="Arial" w:hAnsi="Arial" w:cs="Arial"/>
                    <w:color w:val="000000"/>
                    <w:sz w:val="20"/>
                    <w:szCs w:val="19"/>
                  </w:rPr>
                  <w:t>Principal</w:t>
                </w:r>
              </w:smartTag>
              <w:r w:rsidRPr="00AF1D7B">
                <w:rPr>
                  <w:rFonts w:ascii="Arial" w:hAnsi="Arial" w:cs="Arial"/>
                  <w:color w:val="000000"/>
                  <w:sz w:val="20"/>
                  <w:szCs w:val="19"/>
                </w:rPr>
                <w:t xml:space="preserve"> </w:t>
              </w:r>
              <w:smartTag w:uri="urn:schemas-microsoft-com:office:smarttags" w:element="PlaceType">
                <w:r w:rsidRPr="00AF1D7B">
                  <w:rPr>
                    <w:rFonts w:ascii="Arial" w:hAnsi="Arial" w:cs="Arial"/>
                    <w:color w:val="000000"/>
                    <w:sz w:val="20"/>
                    <w:szCs w:val="19"/>
                  </w:rPr>
                  <w:t>City</w:t>
                </w:r>
              </w:smartTag>
            </w:smartTag>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ind w:right="180"/>
              <w:jc w:val="right"/>
              <w:rPr>
                <w:rFonts w:ascii="Arial" w:hAnsi="Arial" w:cs="Arial"/>
                <w:color w:val="000000"/>
                <w:sz w:val="20"/>
                <w:szCs w:val="19"/>
              </w:rPr>
            </w:pPr>
            <w:r w:rsidRPr="00424782">
              <w:rPr>
                <w:rFonts w:ascii="Arial" w:hAnsi="Arial" w:cs="Arial"/>
                <w:color w:val="000000"/>
                <w:sz w:val="20"/>
                <w:szCs w:val="19"/>
              </w:rPr>
              <w:t>2,896,016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center"/>
              <w:rPr>
                <w:rFonts w:ascii="Arial" w:hAnsi="Arial" w:cs="Arial"/>
                <w:color w:val="000000"/>
                <w:sz w:val="20"/>
                <w:szCs w:val="19"/>
              </w:rPr>
            </w:pPr>
            <w:smartTag w:uri="urn:schemas-microsoft-com:office:smarttags" w:element="place">
              <w:r w:rsidRPr="00424782">
                <w:rPr>
                  <w:rFonts w:ascii="Arial" w:hAnsi="Arial" w:cs="Arial"/>
                  <w:color w:val="000000"/>
                  <w:sz w:val="20"/>
                  <w:szCs w:val="19"/>
                </w:rPr>
                <w:t>Midwest</w:t>
              </w:r>
            </w:smartTag>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rPr>
                <w:rFonts w:ascii="Arial" w:hAnsi="Arial" w:cs="Arial"/>
                <w:color w:val="000000"/>
                <w:sz w:val="20"/>
                <w:szCs w:val="19"/>
              </w:rPr>
            </w:pPr>
            <w:smartTag w:uri="urn:schemas-microsoft-com:office:smarttags" w:element="place">
              <w:smartTag w:uri="urn:schemas-microsoft-com:office:smarttags" w:element="City">
                <w:r w:rsidRPr="00424782">
                  <w:rPr>
                    <w:rFonts w:ascii="Arial" w:hAnsi="Arial" w:cs="Arial"/>
                    <w:color w:val="000000"/>
                    <w:sz w:val="20"/>
                    <w:szCs w:val="19"/>
                  </w:rPr>
                  <w:t>Chicago</w:t>
                </w:r>
              </w:smartTag>
            </w:smartTag>
            <w:r w:rsidRPr="00424782">
              <w:rPr>
                <w:rFonts w:ascii="Arial" w:hAnsi="Arial" w:cs="Arial"/>
                <w:color w:val="000000"/>
                <w:sz w:val="20"/>
                <w:szCs w:val="19"/>
              </w:rPr>
              <w:t xml:space="preserve"> </w:t>
            </w:r>
            <w:proofErr w:type="spellStart"/>
            <w:r w:rsidRPr="00424782">
              <w:rPr>
                <w:rFonts w:ascii="Arial" w:hAnsi="Arial" w:cs="Arial"/>
                <w:color w:val="000000"/>
                <w:sz w:val="20"/>
                <w:szCs w:val="19"/>
              </w:rPr>
              <w:t>CoC</w:t>
            </w:r>
            <w:proofErr w:type="spellEnd"/>
          </w:p>
        </w:tc>
      </w:tr>
      <w:tr w:rsidR="0070688A" w:rsidRPr="00424782" w:rsidTr="004F22BF">
        <w:tblPrEx>
          <w:tblCellMar>
            <w:top w:w="0" w:type="dxa"/>
            <w:bottom w:w="0" w:type="dxa"/>
          </w:tblCellMar>
        </w:tblPrEx>
        <w:trPr>
          <w:cantSplit/>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both"/>
              <w:rPr>
                <w:rFonts w:ascii="Arial" w:hAnsi="Arial" w:cs="Arial"/>
                <w:b/>
                <w:bCs/>
                <w:color w:val="000000"/>
                <w:sz w:val="20"/>
                <w:szCs w:val="22"/>
              </w:rPr>
            </w:pPr>
            <w:r w:rsidRPr="00424782">
              <w:rPr>
                <w:rFonts w:ascii="Arial" w:hAnsi="Arial" w:cs="Arial"/>
                <w:b/>
                <w:bCs/>
                <w:color w:val="000000"/>
                <w:sz w:val="20"/>
                <w:szCs w:val="22"/>
              </w:rPr>
              <w:t>4</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both"/>
              <w:rPr>
                <w:rFonts w:ascii="Arial" w:hAnsi="Arial" w:cs="Arial"/>
                <w:color w:val="000000"/>
                <w:sz w:val="20"/>
                <w:szCs w:val="19"/>
              </w:rPr>
            </w:pPr>
            <w:smartTag w:uri="urn:schemas-microsoft-com:office:smarttags" w:element="place">
              <w:smartTag w:uri="urn:schemas-microsoft-com:office:smarttags" w:element="City">
                <w:r w:rsidRPr="00424782">
                  <w:rPr>
                    <w:rFonts w:ascii="Arial" w:hAnsi="Arial" w:cs="Arial"/>
                    <w:color w:val="000000"/>
                    <w:sz w:val="20"/>
                    <w:szCs w:val="19"/>
                  </w:rPr>
                  <w:t>HOUSTON</w:t>
                </w:r>
              </w:smartTag>
            </w:smartTag>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70688A" w:rsidRDefault="0070688A" w:rsidP="004F22BF">
            <w:pPr>
              <w:jc w:val="center"/>
            </w:pPr>
            <w:smartTag w:uri="urn:schemas-microsoft-com:office:smarttags" w:element="place">
              <w:smartTag w:uri="urn:schemas-microsoft-com:office:smarttags" w:element="PlaceName">
                <w:r w:rsidRPr="00AF1D7B">
                  <w:rPr>
                    <w:rFonts w:ascii="Arial" w:hAnsi="Arial" w:cs="Arial"/>
                    <w:color w:val="000000"/>
                    <w:sz w:val="20"/>
                    <w:szCs w:val="19"/>
                  </w:rPr>
                  <w:t>Principal</w:t>
                </w:r>
              </w:smartTag>
              <w:r w:rsidRPr="00AF1D7B">
                <w:rPr>
                  <w:rFonts w:ascii="Arial" w:hAnsi="Arial" w:cs="Arial"/>
                  <w:color w:val="000000"/>
                  <w:sz w:val="20"/>
                  <w:szCs w:val="19"/>
                </w:rPr>
                <w:t xml:space="preserve"> </w:t>
              </w:r>
              <w:smartTag w:uri="urn:schemas-microsoft-com:office:smarttags" w:element="PlaceType">
                <w:r w:rsidRPr="00AF1D7B">
                  <w:rPr>
                    <w:rFonts w:ascii="Arial" w:hAnsi="Arial" w:cs="Arial"/>
                    <w:color w:val="000000"/>
                    <w:sz w:val="20"/>
                    <w:szCs w:val="19"/>
                  </w:rPr>
                  <w:t>City</w:t>
                </w:r>
              </w:smartTag>
            </w:smartTag>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ind w:right="180"/>
              <w:jc w:val="right"/>
              <w:rPr>
                <w:rFonts w:ascii="Arial" w:hAnsi="Arial" w:cs="Arial"/>
                <w:color w:val="000000"/>
                <w:sz w:val="20"/>
                <w:szCs w:val="19"/>
              </w:rPr>
            </w:pPr>
            <w:r w:rsidRPr="00424782">
              <w:rPr>
                <w:rFonts w:ascii="Arial" w:hAnsi="Arial" w:cs="Arial"/>
                <w:color w:val="000000"/>
                <w:sz w:val="20"/>
                <w:szCs w:val="19"/>
              </w:rPr>
              <w:t>1,953,631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center"/>
              <w:rPr>
                <w:rFonts w:ascii="Arial" w:hAnsi="Arial" w:cs="Arial"/>
                <w:color w:val="000000"/>
                <w:sz w:val="20"/>
                <w:szCs w:val="19"/>
              </w:rPr>
            </w:pPr>
            <w:r w:rsidRPr="00424782">
              <w:rPr>
                <w:rFonts w:ascii="Arial" w:hAnsi="Arial" w:cs="Arial"/>
                <w:color w:val="000000"/>
                <w:sz w:val="20"/>
                <w:szCs w:val="19"/>
              </w:rPr>
              <w:t>South</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rPr>
                <w:rFonts w:ascii="Arial" w:hAnsi="Arial" w:cs="Arial"/>
                <w:color w:val="000000"/>
                <w:sz w:val="20"/>
                <w:szCs w:val="19"/>
              </w:rPr>
            </w:pPr>
            <w:r w:rsidRPr="00424782">
              <w:rPr>
                <w:rFonts w:ascii="Arial" w:hAnsi="Arial" w:cs="Arial"/>
                <w:color w:val="000000"/>
                <w:sz w:val="20"/>
                <w:szCs w:val="19"/>
              </w:rPr>
              <w:t>Houston/Harris County</w:t>
            </w:r>
          </w:p>
        </w:tc>
      </w:tr>
      <w:tr w:rsidR="0070688A" w:rsidRPr="00424782" w:rsidTr="004F22BF">
        <w:tblPrEx>
          <w:tblCellMar>
            <w:top w:w="0" w:type="dxa"/>
            <w:bottom w:w="0" w:type="dxa"/>
          </w:tblCellMar>
        </w:tblPrEx>
        <w:trPr>
          <w:cantSplit/>
          <w:trHeight w:val="440"/>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both"/>
              <w:rPr>
                <w:rFonts w:ascii="Arial" w:hAnsi="Arial" w:cs="Arial"/>
                <w:b/>
                <w:bCs/>
                <w:color w:val="000000"/>
                <w:sz w:val="20"/>
                <w:szCs w:val="22"/>
              </w:rPr>
            </w:pPr>
            <w:r w:rsidRPr="00424782">
              <w:rPr>
                <w:rFonts w:ascii="Arial" w:hAnsi="Arial" w:cs="Arial"/>
                <w:b/>
                <w:bCs/>
                <w:color w:val="000000"/>
                <w:sz w:val="20"/>
                <w:szCs w:val="22"/>
              </w:rPr>
              <w:t>5</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both"/>
              <w:rPr>
                <w:rFonts w:ascii="Arial" w:hAnsi="Arial" w:cs="Arial"/>
                <w:color w:val="000000"/>
                <w:sz w:val="20"/>
                <w:szCs w:val="19"/>
              </w:rPr>
            </w:pPr>
            <w:smartTag w:uri="urn:schemas-microsoft-com:office:smarttags" w:element="place">
              <w:smartTag w:uri="urn:schemas-microsoft-com:office:smarttags" w:element="City">
                <w:r w:rsidRPr="00424782">
                  <w:rPr>
                    <w:rFonts w:ascii="Arial" w:hAnsi="Arial" w:cs="Arial"/>
                    <w:color w:val="000000"/>
                    <w:sz w:val="20"/>
                    <w:szCs w:val="19"/>
                  </w:rPr>
                  <w:t>PHILADELPHIA</w:t>
                </w:r>
              </w:smartTag>
            </w:smartTag>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70688A" w:rsidRDefault="0070688A" w:rsidP="004F22BF">
            <w:pPr>
              <w:jc w:val="center"/>
            </w:pPr>
            <w:smartTag w:uri="urn:schemas-microsoft-com:office:smarttags" w:element="place">
              <w:smartTag w:uri="urn:schemas-microsoft-com:office:smarttags" w:element="PlaceName">
                <w:r w:rsidRPr="00AF1D7B">
                  <w:rPr>
                    <w:rFonts w:ascii="Arial" w:hAnsi="Arial" w:cs="Arial"/>
                    <w:color w:val="000000"/>
                    <w:sz w:val="20"/>
                    <w:szCs w:val="19"/>
                  </w:rPr>
                  <w:t>Principal</w:t>
                </w:r>
              </w:smartTag>
              <w:r w:rsidRPr="00AF1D7B">
                <w:rPr>
                  <w:rFonts w:ascii="Arial" w:hAnsi="Arial" w:cs="Arial"/>
                  <w:color w:val="000000"/>
                  <w:sz w:val="20"/>
                  <w:szCs w:val="19"/>
                </w:rPr>
                <w:t xml:space="preserve"> </w:t>
              </w:r>
              <w:smartTag w:uri="urn:schemas-microsoft-com:office:smarttags" w:element="PlaceType">
                <w:r w:rsidRPr="00AF1D7B">
                  <w:rPr>
                    <w:rFonts w:ascii="Arial" w:hAnsi="Arial" w:cs="Arial"/>
                    <w:color w:val="000000"/>
                    <w:sz w:val="20"/>
                    <w:szCs w:val="19"/>
                  </w:rPr>
                  <w:t>City</w:t>
                </w:r>
              </w:smartTag>
            </w:smartTag>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ind w:right="180"/>
              <w:jc w:val="right"/>
              <w:rPr>
                <w:rFonts w:ascii="Arial" w:hAnsi="Arial" w:cs="Arial"/>
                <w:color w:val="000000"/>
                <w:sz w:val="20"/>
                <w:szCs w:val="19"/>
              </w:rPr>
            </w:pPr>
            <w:r w:rsidRPr="00424782">
              <w:rPr>
                <w:rFonts w:ascii="Arial" w:hAnsi="Arial" w:cs="Arial"/>
                <w:color w:val="000000"/>
                <w:sz w:val="20"/>
                <w:szCs w:val="19"/>
              </w:rPr>
              <w:t>1,517,550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center"/>
              <w:rPr>
                <w:rFonts w:ascii="Arial" w:hAnsi="Arial" w:cs="Arial"/>
                <w:color w:val="000000"/>
                <w:sz w:val="20"/>
                <w:szCs w:val="19"/>
              </w:rPr>
            </w:pPr>
            <w:r w:rsidRPr="00424782">
              <w:rPr>
                <w:rFonts w:ascii="Arial" w:hAnsi="Arial" w:cs="Arial"/>
                <w:color w:val="000000"/>
                <w:sz w:val="20"/>
                <w:szCs w:val="19"/>
              </w:rPr>
              <w:t>Northeast</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rPr>
                <w:rFonts w:ascii="Arial" w:hAnsi="Arial" w:cs="Arial"/>
                <w:color w:val="000000"/>
                <w:sz w:val="20"/>
                <w:szCs w:val="19"/>
              </w:rPr>
            </w:pPr>
            <w:r w:rsidRPr="00424782">
              <w:rPr>
                <w:rFonts w:ascii="Arial" w:hAnsi="Arial" w:cs="Arial"/>
                <w:color w:val="000000"/>
                <w:sz w:val="20"/>
                <w:szCs w:val="19"/>
              </w:rPr>
              <w:t xml:space="preserve">City of </w:t>
            </w:r>
            <w:smartTag w:uri="urn:schemas-microsoft-com:office:smarttags" w:element="place">
              <w:smartTag w:uri="urn:schemas-microsoft-com:office:smarttags" w:element="City">
                <w:r w:rsidRPr="00424782">
                  <w:rPr>
                    <w:rFonts w:ascii="Arial" w:hAnsi="Arial" w:cs="Arial"/>
                    <w:color w:val="000000"/>
                    <w:sz w:val="20"/>
                    <w:szCs w:val="19"/>
                  </w:rPr>
                  <w:t>Philadelphia</w:t>
                </w:r>
              </w:smartTag>
            </w:smartTag>
          </w:p>
        </w:tc>
      </w:tr>
      <w:tr w:rsidR="0070688A" w:rsidRPr="00424782" w:rsidTr="004F22BF">
        <w:tblPrEx>
          <w:tblCellMar>
            <w:top w:w="0" w:type="dxa"/>
            <w:bottom w:w="0" w:type="dxa"/>
          </w:tblCellMar>
        </w:tblPrEx>
        <w:trPr>
          <w:cantSplit/>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both"/>
              <w:rPr>
                <w:rFonts w:ascii="Arial" w:hAnsi="Arial" w:cs="Arial"/>
                <w:b/>
                <w:bCs/>
                <w:color w:val="000000"/>
                <w:sz w:val="20"/>
                <w:szCs w:val="22"/>
              </w:rPr>
            </w:pPr>
            <w:r w:rsidRPr="00424782">
              <w:rPr>
                <w:rFonts w:ascii="Arial" w:hAnsi="Arial" w:cs="Arial"/>
                <w:b/>
                <w:bCs/>
                <w:color w:val="000000"/>
                <w:sz w:val="20"/>
                <w:szCs w:val="22"/>
              </w:rPr>
              <w:t>6</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both"/>
              <w:rPr>
                <w:rFonts w:ascii="Arial" w:hAnsi="Arial" w:cs="Arial"/>
                <w:color w:val="000000"/>
                <w:sz w:val="20"/>
                <w:szCs w:val="19"/>
              </w:rPr>
            </w:pPr>
            <w:smartTag w:uri="urn:schemas-microsoft-com:office:smarttags" w:element="place">
              <w:smartTag w:uri="urn:schemas-microsoft-com:office:smarttags" w:element="City">
                <w:r w:rsidRPr="00424782">
                  <w:rPr>
                    <w:rFonts w:ascii="Arial" w:hAnsi="Arial" w:cs="Arial"/>
                    <w:color w:val="000000"/>
                    <w:sz w:val="20"/>
                    <w:szCs w:val="19"/>
                  </w:rPr>
                  <w:t>PHOENIX</w:t>
                </w:r>
              </w:smartTag>
            </w:smartTag>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70688A" w:rsidRDefault="0070688A" w:rsidP="004F22BF">
            <w:pPr>
              <w:jc w:val="center"/>
            </w:pPr>
            <w:smartTag w:uri="urn:schemas-microsoft-com:office:smarttags" w:element="place">
              <w:smartTag w:uri="urn:schemas-microsoft-com:office:smarttags" w:element="PlaceName">
                <w:r w:rsidRPr="00AF1D7B">
                  <w:rPr>
                    <w:rFonts w:ascii="Arial" w:hAnsi="Arial" w:cs="Arial"/>
                    <w:color w:val="000000"/>
                    <w:sz w:val="20"/>
                    <w:szCs w:val="19"/>
                  </w:rPr>
                  <w:t>Principal</w:t>
                </w:r>
              </w:smartTag>
              <w:r w:rsidRPr="00AF1D7B">
                <w:rPr>
                  <w:rFonts w:ascii="Arial" w:hAnsi="Arial" w:cs="Arial"/>
                  <w:color w:val="000000"/>
                  <w:sz w:val="20"/>
                  <w:szCs w:val="19"/>
                </w:rPr>
                <w:t xml:space="preserve"> </w:t>
              </w:r>
              <w:smartTag w:uri="urn:schemas-microsoft-com:office:smarttags" w:element="PlaceType">
                <w:r w:rsidRPr="00AF1D7B">
                  <w:rPr>
                    <w:rFonts w:ascii="Arial" w:hAnsi="Arial" w:cs="Arial"/>
                    <w:color w:val="000000"/>
                    <w:sz w:val="20"/>
                    <w:szCs w:val="19"/>
                  </w:rPr>
                  <w:t>City</w:t>
                </w:r>
              </w:smartTag>
            </w:smartTag>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ind w:right="180"/>
              <w:jc w:val="right"/>
              <w:rPr>
                <w:rFonts w:ascii="Arial" w:hAnsi="Arial" w:cs="Arial"/>
                <w:color w:val="000000"/>
                <w:sz w:val="20"/>
                <w:szCs w:val="19"/>
              </w:rPr>
            </w:pPr>
            <w:r w:rsidRPr="00424782">
              <w:rPr>
                <w:rFonts w:ascii="Arial" w:hAnsi="Arial" w:cs="Arial"/>
                <w:color w:val="000000"/>
                <w:sz w:val="20"/>
                <w:szCs w:val="19"/>
              </w:rPr>
              <w:t>1,321,045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jc w:val="center"/>
              <w:rPr>
                <w:rFonts w:ascii="Arial" w:hAnsi="Arial" w:cs="Arial"/>
                <w:color w:val="000000"/>
                <w:sz w:val="20"/>
                <w:szCs w:val="19"/>
              </w:rPr>
            </w:pPr>
            <w:r w:rsidRPr="00424782">
              <w:rPr>
                <w:rFonts w:ascii="Arial" w:hAnsi="Arial" w:cs="Arial"/>
                <w:color w:val="000000"/>
                <w:sz w:val="20"/>
                <w:szCs w:val="19"/>
              </w:rPr>
              <w:t>West</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70688A" w:rsidRPr="00424782" w:rsidRDefault="0070688A" w:rsidP="004F22BF">
            <w:pPr>
              <w:adjustRightInd w:val="0"/>
              <w:spacing w:before="60" w:after="60"/>
              <w:rPr>
                <w:rFonts w:ascii="Arial" w:hAnsi="Arial" w:cs="Arial"/>
                <w:color w:val="000000"/>
                <w:sz w:val="20"/>
                <w:szCs w:val="19"/>
              </w:rPr>
            </w:pPr>
            <w:r w:rsidRPr="00424782">
              <w:rPr>
                <w:rFonts w:ascii="Arial" w:hAnsi="Arial" w:cs="Arial"/>
                <w:color w:val="000000"/>
                <w:sz w:val="20"/>
                <w:szCs w:val="19"/>
              </w:rPr>
              <w:t xml:space="preserve">Maricopa </w:t>
            </w:r>
            <w:proofErr w:type="spellStart"/>
            <w:r w:rsidRPr="00424782">
              <w:rPr>
                <w:rFonts w:ascii="Arial" w:hAnsi="Arial" w:cs="Arial"/>
                <w:color w:val="000000"/>
                <w:sz w:val="20"/>
                <w:szCs w:val="19"/>
              </w:rPr>
              <w:t>CoC</w:t>
            </w:r>
            <w:proofErr w:type="spellEnd"/>
          </w:p>
        </w:tc>
      </w:tr>
    </w:tbl>
    <w:p w:rsidR="003149D3" w:rsidRDefault="003149D3"/>
    <w:sectPr w:rsidR="003149D3" w:rsidSect="00174F5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88A" w:rsidRDefault="0070688A" w:rsidP="0070688A">
      <w:pPr>
        <w:spacing w:line="240" w:lineRule="auto"/>
      </w:pPr>
      <w:r>
        <w:separator/>
      </w:r>
    </w:p>
  </w:endnote>
  <w:endnote w:type="continuationSeparator" w:id="0">
    <w:p w:rsidR="0070688A" w:rsidRDefault="0070688A" w:rsidP="007068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88A" w:rsidRDefault="0070688A" w:rsidP="0070688A">
      <w:pPr>
        <w:spacing w:line="240" w:lineRule="auto"/>
      </w:pPr>
      <w:r>
        <w:separator/>
      </w:r>
    </w:p>
  </w:footnote>
  <w:footnote w:type="continuationSeparator" w:id="0">
    <w:p w:rsidR="0070688A" w:rsidRDefault="0070688A" w:rsidP="0070688A">
      <w:pPr>
        <w:spacing w:line="240" w:lineRule="auto"/>
      </w:pPr>
      <w:r>
        <w:continuationSeparator/>
      </w:r>
    </w:p>
  </w:footnote>
  <w:footnote w:id="1">
    <w:p w:rsidR="0070688A" w:rsidRDefault="0070688A" w:rsidP="0070688A">
      <w:pPr>
        <w:pStyle w:val="FotnoteText"/>
      </w:pPr>
      <w:r>
        <w:rPr>
          <w:rStyle w:val="FootnoteReference"/>
        </w:rPr>
        <w:footnoteRef/>
      </w:r>
      <w:r>
        <w:t xml:space="preserve"> </w:t>
      </w:r>
      <w:r>
        <w:tab/>
      </w:r>
      <w:r w:rsidRPr="00584491">
        <w:t xml:space="preserve">The initial AHAR sample consisted of 80 jurisdictions. </w:t>
      </w:r>
      <w:r>
        <w:t xml:space="preserve">Some jurisdictions from the original sample—especially jurisdictions representing rural areas—were unable to provide data to the AHAR because of HMIS implementation issues or other data quality concerns.  In addition, several of the rural sample sites did not have any homeless residential service providers located in their jurisdiction.  As a result, we were unable to report data by geography.  In an effort to improve the scope and quality of data from rural jurisdictions, </w:t>
      </w:r>
      <w:r w:rsidRPr="00584491">
        <w:t xml:space="preserve">22 additional rural jurisdictions </w:t>
      </w:r>
      <w:r>
        <w:t xml:space="preserve">were added to the </w:t>
      </w:r>
      <w:r w:rsidRPr="00584491">
        <w:t>AHAR sample</w:t>
      </w:r>
      <w:r>
        <w:t xml:space="preserve">.  </w:t>
      </w:r>
      <w:r w:rsidRPr="00584491">
        <w:t xml:space="preserve">Thus, there are </w:t>
      </w:r>
      <w:r>
        <w:t>a total of</w:t>
      </w:r>
      <w:r w:rsidRPr="00584491">
        <w:t xml:space="preserve"> 102 AHAR sample sites. </w:t>
      </w:r>
    </w:p>
  </w:footnote>
  <w:footnote w:id="2">
    <w:p w:rsidR="0070688A" w:rsidRDefault="0070688A" w:rsidP="0070688A">
      <w:pPr>
        <w:pStyle w:val="FotnoteText"/>
      </w:pPr>
      <w:r>
        <w:rPr>
          <w:rStyle w:val="FootnoteReference"/>
        </w:rPr>
        <w:footnoteRef/>
      </w:r>
      <w:r>
        <w:t xml:space="preserve"> </w:t>
      </w:r>
      <w:r>
        <w:tab/>
      </w:r>
      <w:r w:rsidRPr="00BF0847">
        <w:t xml:space="preserve">The original file from which the sample was selected used the category of </w:t>
      </w:r>
      <w:r>
        <w:t>“</w:t>
      </w:r>
      <w:r w:rsidRPr="00BF0847">
        <w:t>central city</w:t>
      </w:r>
      <w:r>
        <w:t>”</w:t>
      </w:r>
      <w:r w:rsidRPr="00BF0847">
        <w:t xml:space="preserve"> for CDBG jurisdictions rather than </w:t>
      </w:r>
      <w:r>
        <w:t>“</w:t>
      </w:r>
      <w:r w:rsidRPr="00BF0847">
        <w:t>principal city.</w:t>
      </w:r>
      <w:r>
        <w:t>”</w:t>
      </w:r>
      <w:r w:rsidRPr="00BF0847">
        <w:t xml:space="preserve">  However, the CDBG program moved to designation of principal city rather than central city following the OMB guidance, and the definition of central city and principal city are slightly different (see 24 CFR Part 570).  Of the 482 CDBG central city jurisdictions that existed both before and after the definition change, 327 central city jurisdictions (68%) became principle cities with the definition change.</w:t>
      </w:r>
      <w:r>
        <w:t xml:space="preserve">  </w:t>
      </w:r>
      <w:r w:rsidRPr="00BF0847">
        <w:t>A small number of non-central cities (85 out of 2</w:t>
      </w:r>
      <w:r>
        <w:t>,</w:t>
      </w:r>
      <w:r w:rsidRPr="00BF0847">
        <w:t>501</w:t>
      </w:r>
      <w:r>
        <w:t>)</w:t>
      </w:r>
      <w:r w:rsidRPr="00BF0847">
        <w:t xml:space="preserve"> in the original file were categorized as principal cities in the 2007 CDBG file.</w:t>
      </w:r>
      <w:r>
        <w:t xml:space="preserve"> </w:t>
      </w:r>
      <w:r w:rsidRPr="00BF0847">
        <w:t xml:space="preserve"> In our analysis by CDBG jurisdiction and in procedures for adjusting the sampling weights, we used the community’s current CDBG jurisdiction to ensure that our results accurately represented the current system for designating CDBG jurisdictions.</w:t>
      </w:r>
    </w:p>
  </w:footnote>
  <w:footnote w:id="3">
    <w:p w:rsidR="0070688A" w:rsidRDefault="0070688A" w:rsidP="0070688A">
      <w:pPr>
        <w:pStyle w:val="FotnoteText"/>
      </w:pPr>
      <w:r>
        <w:rPr>
          <w:rStyle w:val="FootnoteReference"/>
        </w:rPr>
        <w:footnoteRef/>
      </w:r>
      <w:r>
        <w:t xml:space="preserve"> </w:t>
      </w:r>
      <w:r>
        <w:tab/>
        <w:t xml:space="preserve">HUD provided a file called “COC_GeoAreasInfo.xls” with a list of 3,219 CDBG jurisdictions, jurisdiction type, and population of each jurisdiction.  Geographic areas in the </w:t>
      </w:r>
      <w:smartTag w:uri="urn:schemas-microsoft-com:office:smarttags" w:element="PlaceName">
        <w:r>
          <w:t>U.S</w:t>
        </w:r>
      </w:smartTag>
      <w:r>
        <w:t xml:space="preserve"> </w:t>
      </w:r>
      <w:smartTag w:uri="urn:schemas-microsoft-com:office:smarttags" w:element="PlaceType">
        <w:r>
          <w:t>Territories</w:t>
        </w:r>
      </w:smartTag>
      <w:r>
        <w:t xml:space="preserve"> and </w:t>
      </w:r>
      <w:smartTag w:uri="urn:schemas-microsoft-com:office:smarttags" w:element="place">
        <w:r>
          <w:t>Puerto Rico</w:t>
        </w:r>
      </w:smartTag>
      <w:r>
        <w:t xml:space="preserve"> and three duplicate records were eliminated, resulting in a sampling frame of 3,142 CDBG jurisdictions.  In addition, four CDBG areas in Massachusetts and one in New Hampshire included overlapping geographic areas and double-counted the population; therefore, the population was evenly divided across the overlapping CDBG jurisdictions before sampling. </w:t>
      </w:r>
    </w:p>
  </w:footnote>
  <w:footnote w:id="4">
    <w:p w:rsidR="0070688A" w:rsidRDefault="0070688A" w:rsidP="0070688A">
      <w:pPr>
        <w:pStyle w:val="FotnoteText"/>
      </w:pPr>
      <w:r>
        <w:rPr>
          <w:rStyle w:val="FootnoteReference"/>
        </w:rPr>
        <w:footnoteRef/>
      </w:r>
      <w:r>
        <w:t xml:space="preserve"> </w:t>
      </w:r>
      <w:r>
        <w:tab/>
        <w:t>Sampling based on the expected rate of homelessness is an attempt to obtain more precise estimates than those yielded by a simple random sample.  If the proxy for the expected rate of homelessness is not correlated with the actual rate of homelessness, the resulting estimates will still be unbiased; however, the extra precision gains go unrealized.</w:t>
      </w:r>
    </w:p>
  </w:footnote>
  <w:footnote w:id="5">
    <w:p w:rsidR="0070688A" w:rsidRPr="00B236E3" w:rsidRDefault="0070688A" w:rsidP="0070688A">
      <w:pPr>
        <w:pStyle w:val="FotnoteText"/>
        <w:rPr>
          <w:spacing w:val="-4"/>
        </w:rPr>
      </w:pPr>
      <w:r w:rsidRPr="00B236E3">
        <w:rPr>
          <w:rStyle w:val="FootnoteReference"/>
          <w:spacing w:val="-4"/>
        </w:rPr>
        <w:footnoteRef/>
      </w:r>
      <w:r w:rsidRPr="00B236E3">
        <w:rPr>
          <w:spacing w:val="-4"/>
        </w:rPr>
        <w:t xml:space="preserve"> </w:t>
      </w:r>
      <w:r w:rsidRPr="00B236E3">
        <w:rPr>
          <w:spacing w:val="-4"/>
        </w:rPr>
        <w:tab/>
        <w:t xml:space="preserve">Burt, Martha.  2001.  Homeless Families, Singles, and Others: Findings from the 1996 National Survey of Homeless Assistance Providers and Clients.  </w:t>
      </w:r>
      <w:r w:rsidRPr="00B236E3">
        <w:rPr>
          <w:i/>
          <w:iCs/>
          <w:spacing w:val="-4"/>
        </w:rPr>
        <w:t xml:space="preserve">Housing Policy Debate, </w:t>
      </w:r>
      <w:r w:rsidRPr="00B236E3">
        <w:rPr>
          <w:spacing w:val="-4"/>
        </w:rPr>
        <w:t>V12 (4), 737-780.  This report presents the share of the homeless population by urban/rural status.  The share of the population in each type of geographic area comes from the author’s calculations based on March 1996 Current Population Survey data.  The results from the Burt study were based on central cities rather than principal cities, but we refer to them as principal cities here because of the high degree of overlap and to make the discussion easier to follow.</w:t>
      </w:r>
    </w:p>
  </w:footnote>
  <w:footnote w:id="6">
    <w:p w:rsidR="0070688A" w:rsidRDefault="0070688A" w:rsidP="0070688A">
      <w:pPr>
        <w:pStyle w:val="FotnoteText"/>
      </w:pPr>
      <w:r>
        <w:rPr>
          <w:rStyle w:val="FootnoteReference"/>
        </w:rPr>
        <w:footnoteRef/>
      </w:r>
      <w:r>
        <w:t xml:space="preserve">  </w:t>
      </w:r>
      <w:r>
        <w:tab/>
        <w:t xml:space="preserve">For 1990 counts, see U.S. Department of Housing and Urban Development. “Allocating Homeless Assistance by Formula.”  A Report to Congress, 1992.  For 2000 counts, see U.S. Census Bureau. “Emergency and Transitional Shelter Population: 2000.”  A Census 2000 Special Report. </w:t>
      </w:r>
    </w:p>
  </w:footnote>
  <w:footnote w:id="7">
    <w:p w:rsidR="0070688A" w:rsidRDefault="0070688A" w:rsidP="0070688A">
      <w:pPr>
        <w:pStyle w:val="FotnoteText"/>
      </w:pPr>
      <w:r>
        <w:rPr>
          <w:rStyle w:val="FootnoteReference"/>
        </w:rPr>
        <w:footnoteRef/>
      </w:r>
      <w:r>
        <w:t xml:space="preserve"> </w:t>
      </w:r>
      <w:r>
        <w:tab/>
        <w:t>The other 8 certainty sites in principal cities were all ranked in the top 15 in the 1990 or 2000 Census counts.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06918"/>
    <w:multiLevelType w:val="hybridMultilevel"/>
    <w:tmpl w:val="2ABCBA46"/>
    <w:lvl w:ilvl="0" w:tplc="E4D41808">
      <w:start w:val="1"/>
      <w:numFmt w:val="bullet"/>
      <w:lvlText w:val=""/>
      <w:lvlJc w:val="left"/>
      <w:pPr>
        <w:tabs>
          <w:tab w:val="num" w:pos="720"/>
        </w:tabs>
        <w:ind w:left="720" w:hanging="360"/>
      </w:pPr>
      <w:rPr>
        <w:rFonts w:ascii="Symbol" w:hAnsi="Symbol" w:hint="default"/>
        <w:b/>
        <w:bCs/>
        <w:shadow/>
        <w:emboss w:val="0"/>
        <w:imprint w:val="0"/>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revisionView w:inkAnnotations="0"/>
  <w:defaultTabStop w:val="720"/>
  <w:characterSpacingControl w:val="doNotCompress"/>
  <w:footnotePr>
    <w:footnote w:id="-1"/>
    <w:footnote w:id="0"/>
  </w:footnotePr>
  <w:endnotePr>
    <w:endnote w:id="-1"/>
    <w:endnote w:id="0"/>
  </w:endnotePr>
  <w:compat/>
  <w:rsids>
    <w:rsidRoot w:val="0070688A"/>
    <w:rsid w:val="0000078C"/>
    <w:rsid w:val="00000F17"/>
    <w:rsid w:val="00002C5E"/>
    <w:rsid w:val="00006224"/>
    <w:rsid w:val="00017087"/>
    <w:rsid w:val="00020177"/>
    <w:rsid w:val="0002767B"/>
    <w:rsid w:val="0003412E"/>
    <w:rsid w:val="000342E6"/>
    <w:rsid w:val="00035C54"/>
    <w:rsid w:val="00036315"/>
    <w:rsid w:val="0004436A"/>
    <w:rsid w:val="00046443"/>
    <w:rsid w:val="00050D1E"/>
    <w:rsid w:val="000519C8"/>
    <w:rsid w:val="00054184"/>
    <w:rsid w:val="00054E2B"/>
    <w:rsid w:val="000563F7"/>
    <w:rsid w:val="00063A8E"/>
    <w:rsid w:val="00065AB3"/>
    <w:rsid w:val="000670B5"/>
    <w:rsid w:val="000674D7"/>
    <w:rsid w:val="00070510"/>
    <w:rsid w:val="00071904"/>
    <w:rsid w:val="000732F4"/>
    <w:rsid w:val="00074E4D"/>
    <w:rsid w:val="0008520A"/>
    <w:rsid w:val="00094539"/>
    <w:rsid w:val="000A0DCC"/>
    <w:rsid w:val="000A651A"/>
    <w:rsid w:val="000A68AF"/>
    <w:rsid w:val="000B2787"/>
    <w:rsid w:val="000B2E0A"/>
    <w:rsid w:val="000B4A52"/>
    <w:rsid w:val="000B66C0"/>
    <w:rsid w:val="000B75B1"/>
    <w:rsid w:val="000B7F7C"/>
    <w:rsid w:val="000C02C9"/>
    <w:rsid w:val="000D305D"/>
    <w:rsid w:val="000D5061"/>
    <w:rsid w:val="000E3C18"/>
    <w:rsid w:val="000E6541"/>
    <w:rsid w:val="000F69C8"/>
    <w:rsid w:val="000F7503"/>
    <w:rsid w:val="001054B7"/>
    <w:rsid w:val="00105BD1"/>
    <w:rsid w:val="001111B6"/>
    <w:rsid w:val="001133F5"/>
    <w:rsid w:val="0011596C"/>
    <w:rsid w:val="00117FB2"/>
    <w:rsid w:val="00131AC0"/>
    <w:rsid w:val="001343CF"/>
    <w:rsid w:val="00134E2B"/>
    <w:rsid w:val="001358CF"/>
    <w:rsid w:val="001363C2"/>
    <w:rsid w:val="00142985"/>
    <w:rsid w:val="001559B1"/>
    <w:rsid w:val="00163C4A"/>
    <w:rsid w:val="00172667"/>
    <w:rsid w:val="00174224"/>
    <w:rsid w:val="00174F55"/>
    <w:rsid w:val="00176379"/>
    <w:rsid w:val="0018096B"/>
    <w:rsid w:val="001815C2"/>
    <w:rsid w:val="00181E1B"/>
    <w:rsid w:val="00185E54"/>
    <w:rsid w:val="001869B4"/>
    <w:rsid w:val="0018701E"/>
    <w:rsid w:val="00197445"/>
    <w:rsid w:val="001A70AF"/>
    <w:rsid w:val="001A7225"/>
    <w:rsid w:val="001B63ED"/>
    <w:rsid w:val="001C25E1"/>
    <w:rsid w:val="001D236C"/>
    <w:rsid w:val="001E4B78"/>
    <w:rsid w:val="001E7B07"/>
    <w:rsid w:val="001F41DF"/>
    <w:rsid w:val="001F7353"/>
    <w:rsid w:val="0020490A"/>
    <w:rsid w:val="00204CA6"/>
    <w:rsid w:val="00206554"/>
    <w:rsid w:val="0021224F"/>
    <w:rsid w:val="00212F9B"/>
    <w:rsid w:val="00213E6F"/>
    <w:rsid w:val="002212BA"/>
    <w:rsid w:val="0022180B"/>
    <w:rsid w:val="002222DC"/>
    <w:rsid w:val="00225E96"/>
    <w:rsid w:val="00231448"/>
    <w:rsid w:val="0023398B"/>
    <w:rsid w:val="00244BCF"/>
    <w:rsid w:val="00253BF4"/>
    <w:rsid w:val="002544CC"/>
    <w:rsid w:val="00254553"/>
    <w:rsid w:val="00254867"/>
    <w:rsid w:val="00254FBA"/>
    <w:rsid w:val="0027137D"/>
    <w:rsid w:val="0027246E"/>
    <w:rsid w:val="00282760"/>
    <w:rsid w:val="00282C8C"/>
    <w:rsid w:val="002835A5"/>
    <w:rsid w:val="00295193"/>
    <w:rsid w:val="00297D1C"/>
    <w:rsid w:val="002A2978"/>
    <w:rsid w:val="002A299B"/>
    <w:rsid w:val="002A2FF0"/>
    <w:rsid w:val="002B2C65"/>
    <w:rsid w:val="002C0AE5"/>
    <w:rsid w:val="002C1E4A"/>
    <w:rsid w:val="002C44C9"/>
    <w:rsid w:val="002C523A"/>
    <w:rsid w:val="002C7016"/>
    <w:rsid w:val="002C78E2"/>
    <w:rsid w:val="002D7603"/>
    <w:rsid w:val="002E0EA1"/>
    <w:rsid w:val="002E4B0B"/>
    <w:rsid w:val="002E7AC1"/>
    <w:rsid w:val="002F1028"/>
    <w:rsid w:val="002F7D56"/>
    <w:rsid w:val="0030119E"/>
    <w:rsid w:val="003027DA"/>
    <w:rsid w:val="003053A9"/>
    <w:rsid w:val="00305A0B"/>
    <w:rsid w:val="00305CC7"/>
    <w:rsid w:val="00306384"/>
    <w:rsid w:val="0030640E"/>
    <w:rsid w:val="00306EC2"/>
    <w:rsid w:val="0031066A"/>
    <w:rsid w:val="003149D3"/>
    <w:rsid w:val="0031547C"/>
    <w:rsid w:val="00317BB4"/>
    <w:rsid w:val="00321B2F"/>
    <w:rsid w:val="003249AB"/>
    <w:rsid w:val="00332527"/>
    <w:rsid w:val="003361E1"/>
    <w:rsid w:val="00336F42"/>
    <w:rsid w:val="003379FB"/>
    <w:rsid w:val="0035109A"/>
    <w:rsid w:val="00356DB0"/>
    <w:rsid w:val="0035766E"/>
    <w:rsid w:val="0036588F"/>
    <w:rsid w:val="00365F4C"/>
    <w:rsid w:val="003708CE"/>
    <w:rsid w:val="00373EDF"/>
    <w:rsid w:val="00374801"/>
    <w:rsid w:val="00383751"/>
    <w:rsid w:val="003849D9"/>
    <w:rsid w:val="00384A15"/>
    <w:rsid w:val="00387108"/>
    <w:rsid w:val="003917B1"/>
    <w:rsid w:val="00393351"/>
    <w:rsid w:val="00393678"/>
    <w:rsid w:val="00395E36"/>
    <w:rsid w:val="00396D08"/>
    <w:rsid w:val="003A4F91"/>
    <w:rsid w:val="003A5673"/>
    <w:rsid w:val="003A6DFE"/>
    <w:rsid w:val="003A713A"/>
    <w:rsid w:val="003B2E69"/>
    <w:rsid w:val="003B3ADC"/>
    <w:rsid w:val="003B63AD"/>
    <w:rsid w:val="003C3D26"/>
    <w:rsid w:val="003C3F64"/>
    <w:rsid w:val="003C501E"/>
    <w:rsid w:val="003D0180"/>
    <w:rsid w:val="003D299A"/>
    <w:rsid w:val="003D5EF3"/>
    <w:rsid w:val="003D6D17"/>
    <w:rsid w:val="003E146A"/>
    <w:rsid w:val="003E3CB9"/>
    <w:rsid w:val="003F0DD5"/>
    <w:rsid w:val="003F73AE"/>
    <w:rsid w:val="00402FB7"/>
    <w:rsid w:val="0040507E"/>
    <w:rsid w:val="00407B50"/>
    <w:rsid w:val="004177B2"/>
    <w:rsid w:val="004213F6"/>
    <w:rsid w:val="00424E83"/>
    <w:rsid w:val="00425E26"/>
    <w:rsid w:val="00431735"/>
    <w:rsid w:val="00434F70"/>
    <w:rsid w:val="00435CC2"/>
    <w:rsid w:val="00436B86"/>
    <w:rsid w:val="004372F0"/>
    <w:rsid w:val="00444184"/>
    <w:rsid w:val="0045122E"/>
    <w:rsid w:val="00457A98"/>
    <w:rsid w:val="00461E1D"/>
    <w:rsid w:val="0046517E"/>
    <w:rsid w:val="004656D5"/>
    <w:rsid w:val="00466D45"/>
    <w:rsid w:val="004767B1"/>
    <w:rsid w:val="00477AEF"/>
    <w:rsid w:val="00480E58"/>
    <w:rsid w:val="00484A91"/>
    <w:rsid w:val="004A4ADC"/>
    <w:rsid w:val="004A4DB0"/>
    <w:rsid w:val="004B2348"/>
    <w:rsid w:val="004B3B49"/>
    <w:rsid w:val="004B6E08"/>
    <w:rsid w:val="004C27AA"/>
    <w:rsid w:val="004C4299"/>
    <w:rsid w:val="004C7DE6"/>
    <w:rsid w:val="004D0167"/>
    <w:rsid w:val="004D06AC"/>
    <w:rsid w:val="004D25AB"/>
    <w:rsid w:val="004D2A71"/>
    <w:rsid w:val="004D5481"/>
    <w:rsid w:val="004D7922"/>
    <w:rsid w:val="004E2010"/>
    <w:rsid w:val="004F0419"/>
    <w:rsid w:val="004F0F1A"/>
    <w:rsid w:val="004F3E0D"/>
    <w:rsid w:val="00504A03"/>
    <w:rsid w:val="00505949"/>
    <w:rsid w:val="00510A07"/>
    <w:rsid w:val="00526855"/>
    <w:rsid w:val="00533025"/>
    <w:rsid w:val="0053334B"/>
    <w:rsid w:val="00536984"/>
    <w:rsid w:val="00541016"/>
    <w:rsid w:val="00544473"/>
    <w:rsid w:val="005452E6"/>
    <w:rsid w:val="005471CE"/>
    <w:rsid w:val="0054731D"/>
    <w:rsid w:val="005501B1"/>
    <w:rsid w:val="00552A52"/>
    <w:rsid w:val="005567B5"/>
    <w:rsid w:val="00560A7F"/>
    <w:rsid w:val="005648A1"/>
    <w:rsid w:val="00570445"/>
    <w:rsid w:val="00570A65"/>
    <w:rsid w:val="00570C3D"/>
    <w:rsid w:val="00575283"/>
    <w:rsid w:val="005824E2"/>
    <w:rsid w:val="00582A34"/>
    <w:rsid w:val="00584355"/>
    <w:rsid w:val="0058489B"/>
    <w:rsid w:val="00585EAB"/>
    <w:rsid w:val="00593F2E"/>
    <w:rsid w:val="00596536"/>
    <w:rsid w:val="0059770E"/>
    <w:rsid w:val="005A2278"/>
    <w:rsid w:val="005A451C"/>
    <w:rsid w:val="005A4921"/>
    <w:rsid w:val="005A4F39"/>
    <w:rsid w:val="005B2D04"/>
    <w:rsid w:val="005C41F3"/>
    <w:rsid w:val="005D0B02"/>
    <w:rsid w:val="005D7DDA"/>
    <w:rsid w:val="005E0CE3"/>
    <w:rsid w:val="005E1CA9"/>
    <w:rsid w:val="005E1F7E"/>
    <w:rsid w:val="005E62D3"/>
    <w:rsid w:val="005F4837"/>
    <w:rsid w:val="00601E46"/>
    <w:rsid w:val="00601F61"/>
    <w:rsid w:val="00617873"/>
    <w:rsid w:val="00624B66"/>
    <w:rsid w:val="00627388"/>
    <w:rsid w:val="00627F17"/>
    <w:rsid w:val="00640A3F"/>
    <w:rsid w:val="006419FD"/>
    <w:rsid w:val="006425EF"/>
    <w:rsid w:val="006428CB"/>
    <w:rsid w:val="00656335"/>
    <w:rsid w:val="00660B95"/>
    <w:rsid w:val="00661D34"/>
    <w:rsid w:val="006624DF"/>
    <w:rsid w:val="00665FC3"/>
    <w:rsid w:val="006675EB"/>
    <w:rsid w:val="006711E8"/>
    <w:rsid w:val="00672D6B"/>
    <w:rsid w:val="00680C77"/>
    <w:rsid w:val="00681139"/>
    <w:rsid w:val="00687D67"/>
    <w:rsid w:val="00691516"/>
    <w:rsid w:val="0069604A"/>
    <w:rsid w:val="006A005D"/>
    <w:rsid w:val="006A10A2"/>
    <w:rsid w:val="006A504A"/>
    <w:rsid w:val="006A68EE"/>
    <w:rsid w:val="006A7150"/>
    <w:rsid w:val="006B22AE"/>
    <w:rsid w:val="006B7649"/>
    <w:rsid w:val="006C0403"/>
    <w:rsid w:val="006C1899"/>
    <w:rsid w:val="006C1EEB"/>
    <w:rsid w:val="006C427B"/>
    <w:rsid w:val="006F22C7"/>
    <w:rsid w:val="006F5778"/>
    <w:rsid w:val="006F6265"/>
    <w:rsid w:val="00702ED8"/>
    <w:rsid w:val="00705764"/>
    <w:rsid w:val="0070688A"/>
    <w:rsid w:val="00710FA6"/>
    <w:rsid w:val="00727788"/>
    <w:rsid w:val="00730363"/>
    <w:rsid w:val="00733161"/>
    <w:rsid w:val="00734D4C"/>
    <w:rsid w:val="007428F3"/>
    <w:rsid w:val="00744293"/>
    <w:rsid w:val="00747ABF"/>
    <w:rsid w:val="00755130"/>
    <w:rsid w:val="00761870"/>
    <w:rsid w:val="0076226E"/>
    <w:rsid w:val="0076378C"/>
    <w:rsid w:val="00771B6A"/>
    <w:rsid w:val="00772465"/>
    <w:rsid w:val="00777F7B"/>
    <w:rsid w:val="00782730"/>
    <w:rsid w:val="00783DB4"/>
    <w:rsid w:val="00787553"/>
    <w:rsid w:val="0079222A"/>
    <w:rsid w:val="007A2F44"/>
    <w:rsid w:val="007B1216"/>
    <w:rsid w:val="007B27D6"/>
    <w:rsid w:val="007B3555"/>
    <w:rsid w:val="007B6671"/>
    <w:rsid w:val="007C2D6A"/>
    <w:rsid w:val="007C3B79"/>
    <w:rsid w:val="007C5338"/>
    <w:rsid w:val="007C5E25"/>
    <w:rsid w:val="007D0129"/>
    <w:rsid w:val="007D0D43"/>
    <w:rsid w:val="007D3B3E"/>
    <w:rsid w:val="007D5119"/>
    <w:rsid w:val="007D6E5E"/>
    <w:rsid w:val="007E2E33"/>
    <w:rsid w:val="007E604A"/>
    <w:rsid w:val="007F73C9"/>
    <w:rsid w:val="00805BEA"/>
    <w:rsid w:val="00807E05"/>
    <w:rsid w:val="00812002"/>
    <w:rsid w:val="00823DB3"/>
    <w:rsid w:val="00825D73"/>
    <w:rsid w:val="00833F3A"/>
    <w:rsid w:val="008357A5"/>
    <w:rsid w:val="0084161D"/>
    <w:rsid w:val="008417ED"/>
    <w:rsid w:val="00851527"/>
    <w:rsid w:val="008542B0"/>
    <w:rsid w:val="00864F83"/>
    <w:rsid w:val="008677B8"/>
    <w:rsid w:val="00872303"/>
    <w:rsid w:val="00873FE2"/>
    <w:rsid w:val="00877CDB"/>
    <w:rsid w:val="008834CC"/>
    <w:rsid w:val="008862BB"/>
    <w:rsid w:val="00890B82"/>
    <w:rsid w:val="00893608"/>
    <w:rsid w:val="008941DF"/>
    <w:rsid w:val="008943BF"/>
    <w:rsid w:val="008A13BC"/>
    <w:rsid w:val="008A4F9F"/>
    <w:rsid w:val="008A7348"/>
    <w:rsid w:val="008B07EF"/>
    <w:rsid w:val="008B08B1"/>
    <w:rsid w:val="008B59AF"/>
    <w:rsid w:val="008C181C"/>
    <w:rsid w:val="008C510D"/>
    <w:rsid w:val="008D0BCD"/>
    <w:rsid w:val="008D1870"/>
    <w:rsid w:val="008D366D"/>
    <w:rsid w:val="008D633A"/>
    <w:rsid w:val="008E1559"/>
    <w:rsid w:val="008E1E8E"/>
    <w:rsid w:val="008F091A"/>
    <w:rsid w:val="008F2D3F"/>
    <w:rsid w:val="008F32F1"/>
    <w:rsid w:val="008F7306"/>
    <w:rsid w:val="00900299"/>
    <w:rsid w:val="00901B4C"/>
    <w:rsid w:val="00903375"/>
    <w:rsid w:val="0090575C"/>
    <w:rsid w:val="00915E94"/>
    <w:rsid w:val="009179A4"/>
    <w:rsid w:val="00920548"/>
    <w:rsid w:val="00920DBD"/>
    <w:rsid w:val="00925FAD"/>
    <w:rsid w:val="00927683"/>
    <w:rsid w:val="009278AB"/>
    <w:rsid w:val="00934742"/>
    <w:rsid w:val="009378B2"/>
    <w:rsid w:val="00951D43"/>
    <w:rsid w:val="00952C74"/>
    <w:rsid w:val="009546F7"/>
    <w:rsid w:val="0095478C"/>
    <w:rsid w:val="00962E23"/>
    <w:rsid w:val="00965C65"/>
    <w:rsid w:val="00965FDD"/>
    <w:rsid w:val="00973D16"/>
    <w:rsid w:val="00976085"/>
    <w:rsid w:val="00976D87"/>
    <w:rsid w:val="009823D2"/>
    <w:rsid w:val="009879DF"/>
    <w:rsid w:val="00992037"/>
    <w:rsid w:val="00995AFB"/>
    <w:rsid w:val="00996705"/>
    <w:rsid w:val="009A1280"/>
    <w:rsid w:val="009A6135"/>
    <w:rsid w:val="009A7962"/>
    <w:rsid w:val="009B1024"/>
    <w:rsid w:val="009B410C"/>
    <w:rsid w:val="009B44F5"/>
    <w:rsid w:val="009B78C2"/>
    <w:rsid w:val="009C0BCE"/>
    <w:rsid w:val="009C3532"/>
    <w:rsid w:val="009C4185"/>
    <w:rsid w:val="009C68DC"/>
    <w:rsid w:val="009D1890"/>
    <w:rsid w:val="009D6E0F"/>
    <w:rsid w:val="009E0414"/>
    <w:rsid w:val="009E3B5A"/>
    <w:rsid w:val="009F2263"/>
    <w:rsid w:val="00A01348"/>
    <w:rsid w:val="00A04BCD"/>
    <w:rsid w:val="00A07501"/>
    <w:rsid w:val="00A10A6A"/>
    <w:rsid w:val="00A12A6D"/>
    <w:rsid w:val="00A145CA"/>
    <w:rsid w:val="00A171D0"/>
    <w:rsid w:val="00A176B7"/>
    <w:rsid w:val="00A25BB2"/>
    <w:rsid w:val="00A3164D"/>
    <w:rsid w:val="00A33B15"/>
    <w:rsid w:val="00A3518F"/>
    <w:rsid w:val="00A36E08"/>
    <w:rsid w:val="00A40E29"/>
    <w:rsid w:val="00A5710F"/>
    <w:rsid w:val="00A64DA4"/>
    <w:rsid w:val="00A65244"/>
    <w:rsid w:val="00A6719D"/>
    <w:rsid w:val="00A72E4A"/>
    <w:rsid w:val="00A8357F"/>
    <w:rsid w:val="00A876C5"/>
    <w:rsid w:val="00A90C93"/>
    <w:rsid w:val="00AB43C4"/>
    <w:rsid w:val="00AB50AC"/>
    <w:rsid w:val="00AB769D"/>
    <w:rsid w:val="00AC1AE1"/>
    <w:rsid w:val="00AC344D"/>
    <w:rsid w:val="00AC4D12"/>
    <w:rsid w:val="00AC6275"/>
    <w:rsid w:val="00AC77EA"/>
    <w:rsid w:val="00AD2BCB"/>
    <w:rsid w:val="00AF066B"/>
    <w:rsid w:val="00AF0904"/>
    <w:rsid w:val="00AF1EED"/>
    <w:rsid w:val="00B067D6"/>
    <w:rsid w:val="00B06914"/>
    <w:rsid w:val="00B15C04"/>
    <w:rsid w:val="00B20E23"/>
    <w:rsid w:val="00B3253E"/>
    <w:rsid w:val="00B37DF4"/>
    <w:rsid w:val="00B43114"/>
    <w:rsid w:val="00B44EA5"/>
    <w:rsid w:val="00B456C4"/>
    <w:rsid w:val="00B51FDC"/>
    <w:rsid w:val="00B53CB5"/>
    <w:rsid w:val="00B57186"/>
    <w:rsid w:val="00B747FA"/>
    <w:rsid w:val="00B80BED"/>
    <w:rsid w:val="00B80D0F"/>
    <w:rsid w:val="00B81980"/>
    <w:rsid w:val="00B82103"/>
    <w:rsid w:val="00B82971"/>
    <w:rsid w:val="00B857CC"/>
    <w:rsid w:val="00B87433"/>
    <w:rsid w:val="00B8791B"/>
    <w:rsid w:val="00B9293F"/>
    <w:rsid w:val="00BA101A"/>
    <w:rsid w:val="00BA5E0D"/>
    <w:rsid w:val="00BA5EEF"/>
    <w:rsid w:val="00BB375B"/>
    <w:rsid w:val="00BB5E38"/>
    <w:rsid w:val="00BB66AA"/>
    <w:rsid w:val="00BC1E10"/>
    <w:rsid w:val="00BC5409"/>
    <w:rsid w:val="00BC5D61"/>
    <w:rsid w:val="00BD4671"/>
    <w:rsid w:val="00BD5DA1"/>
    <w:rsid w:val="00BD7647"/>
    <w:rsid w:val="00BE2C50"/>
    <w:rsid w:val="00BE56B3"/>
    <w:rsid w:val="00BF1DFE"/>
    <w:rsid w:val="00BF76C8"/>
    <w:rsid w:val="00BF785B"/>
    <w:rsid w:val="00C02C1C"/>
    <w:rsid w:val="00C065E4"/>
    <w:rsid w:val="00C07D23"/>
    <w:rsid w:val="00C1459C"/>
    <w:rsid w:val="00C15836"/>
    <w:rsid w:val="00C1730C"/>
    <w:rsid w:val="00C2031A"/>
    <w:rsid w:val="00C26205"/>
    <w:rsid w:val="00C27A5E"/>
    <w:rsid w:val="00C300F2"/>
    <w:rsid w:val="00C3031E"/>
    <w:rsid w:val="00C305FA"/>
    <w:rsid w:val="00C33B47"/>
    <w:rsid w:val="00C36472"/>
    <w:rsid w:val="00C4158A"/>
    <w:rsid w:val="00C427C7"/>
    <w:rsid w:val="00C45057"/>
    <w:rsid w:val="00C4629C"/>
    <w:rsid w:val="00C54912"/>
    <w:rsid w:val="00C61C9A"/>
    <w:rsid w:val="00C61D61"/>
    <w:rsid w:val="00C72A3C"/>
    <w:rsid w:val="00C73469"/>
    <w:rsid w:val="00C804F2"/>
    <w:rsid w:val="00C81AFB"/>
    <w:rsid w:val="00C85BF2"/>
    <w:rsid w:val="00C868AF"/>
    <w:rsid w:val="00C94C87"/>
    <w:rsid w:val="00C96958"/>
    <w:rsid w:val="00CA01BD"/>
    <w:rsid w:val="00CB1832"/>
    <w:rsid w:val="00CC2277"/>
    <w:rsid w:val="00CC3128"/>
    <w:rsid w:val="00CC3A5C"/>
    <w:rsid w:val="00CD0802"/>
    <w:rsid w:val="00CD0C53"/>
    <w:rsid w:val="00CD1F89"/>
    <w:rsid w:val="00CD2714"/>
    <w:rsid w:val="00CD778E"/>
    <w:rsid w:val="00CF24A0"/>
    <w:rsid w:val="00CF261D"/>
    <w:rsid w:val="00CF26AD"/>
    <w:rsid w:val="00CF6614"/>
    <w:rsid w:val="00CF7531"/>
    <w:rsid w:val="00D00706"/>
    <w:rsid w:val="00D017A9"/>
    <w:rsid w:val="00D03DC8"/>
    <w:rsid w:val="00D05B7C"/>
    <w:rsid w:val="00D14A2C"/>
    <w:rsid w:val="00D16DC1"/>
    <w:rsid w:val="00D223F4"/>
    <w:rsid w:val="00D36373"/>
    <w:rsid w:val="00D46932"/>
    <w:rsid w:val="00D61873"/>
    <w:rsid w:val="00D64954"/>
    <w:rsid w:val="00D708C4"/>
    <w:rsid w:val="00D71377"/>
    <w:rsid w:val="00D71485"/>
    <w:rsid w:val="00D74432"/>
    <w:rsid w:val="00D752F5"/>
    <w:rsid w:val="00D7731A"/>
    <w:rsid w:val="00D90204"/>
    <w:rsid w:val="00D9295E"/>
    <w:rsid w:val="00D937EE"/>
    <w:rsid w:val="00D9425F"/>
    <w:rsid w:val="00D944AA"/>
    <w:rsid w:val="00D96F22"/>
    <w:rsid w:val="00DA19F2"/>
    <w:rsid w:val="00DA1DCF"/>
    <w:rsid w:val="00DA21B4"/>
    <w:rsid w:val="00DA2D58"/>
    <w:rsid w:val="00DA6DE8"/>
    <w:rsid w:val="00DB0745"/>
    <w:rsid w:val="00DB0C24"/>
    <w:rsid w:val="00DB0EF4"/>
    <w:rsid w:val="00DB3822"/>
    <w:rsid w:val="00DB7969"/>
    <w:rsid w:val="00DC3457"/>
    <w:rsid w:val="00DC667E"/>
    <w:rsid w:val="00DD0011"/>
    <w:rsid w:val="00DD43BB"/>
    <w:rsid w:val="00DD620C"/>
    <w:rsid w:val="00DD67EB"/>
    <w:rsid w:val="00DE08E6"/>
    <w:rsid w:val="00DE119A"/>
    <w:rsid w:val="00DE38F5"/>
    <w:rsid w:val="00DE4A3D"/>
    <w:rsid w:val="00DF0536"/>
    <w:rsid w:val="00E042A3"/>
    <w:rsid w:val="00E04336"/>
    <w:rsid w:val="00E04781"/>
    <w:rsid w:val="00E105FA"/>
    <w:rsid w:val="00E113D2"/>
    <w:rsid w:val="00E12691"/>
    <w:rsid w:val="00E13FA5"/>
    <w:rsid w:val="00E153A2"/>
    <w:rsid w:val="00E15A16"/>
    <w:rsid w:val="00E15B4A"/>
    <w:rsid w:val="00E23CB0"/>
    <w:rsid w:val="00E2788C"/>
    <w:rsid w:val="00E30D83"/>
    <w:rsid w:val="00E31182"/>
    <w:rsid w:val="00E35312"/>
    <w:rsid w:val="00E3605F"/>
    <w:rsid w:val="00E37337"/>
    <w:rsid w:val="00E417A8"/>
    <w:rsid w:val="00E51A85"/>
    <w:rsid w:val="00E537FF"/>
    <w:rsid w:val="00E555FC"/>
    <w:rsid w:val="00E669A4"/>
    <w:rsid w:val="00E742CA"/>
    <w:rsid w:val="00E74B27"/>
    <w:rsid w:val="00E821BD"/>
    <w:rsid w:val="00E8312A"/>
    <w:rsid w:val="00E83F1F"/>
    <w:rsid w:val="00E901BC"/>
    <w:rsid w:val="00E95F56"/>
    <w:rsid w:val="00E975A9"/>
    <w:rsid w:val="00EA2C23"/>
    <w:rsid w:val="00EA2C8F"/>
    <w:rsid w:val="00EB096D"/>
    <w:rsid w:val="00EB76C0"/>
    <w:rsid w:val="00EB7CB0"/>
    <w:rsid w:val="00EC49A2"/>
    <w:rsid w:val="00ED13CF"/>
    <w:rsid w:val="00ED2822"/>
    <w:rsid w:val="00ED2980"/>
    <w:rsid w:val="00ED62FF"/>
    <w:rsid w:val="00EE0DD5"/>
    <w:rsid w:val="00EE3F79"/>
    <w:rsid w:val="00EF09C7"/>
    <w:rsid w:val="00EF2283"/>
    <w:rsid w:val="00EF3D0E"/>
    <w:rsid w:val="00F13B85"/>
    <w:rsid w:val="00F13F2A"/>
    <w:rsid w:val="00F20CCC"/>
    <w:rsid w:val="00F30ADA"/>
    <w:rsid w:val="00F40090"/>
    <w:rsid w:val="00F43886"/>
    <w:rsid w:val="00F54841"/>
    <w:rsid w:val="00F60AB2"/>
    <w:rsid w:val="00F67799"/>
    <w:rsid w:val="00F71B1B"/>
    <w:rsid w:val="00F7676E"/>
    <w:rsid w:val="00F835F2"/>
    <w:rsid w:val="00F86639"/>
    <w:rsid w:val="00F86E4F"/>
    <w:rsid w:val="00F93401"/>
    <w:rsid w:val="00F95103"/>
    <w:rsid w:val="00FA1930"/>
    <w:rsid w:val="00FA3688"/>
    <w:rsid w:val="00FA3D17"/>
    <w:rsid w:val="00FA61D5"/>
    <w:rsid w:val="00FB13F7"/>
    <w:rsid w:val="00FB399D"/>
    <w:rsid w:val="00FC06B6"/>
    <w:rsid w:val="00FC7AB6"/>
    <w:rsid w:val="00FD21D3"/>
    <w:rsid w:val="00FD246B"/>
    <w:rsid w:val="00FE5F05"/>
    <w:rsid w:val="00FE6BC9"/>
    <w:rsid w:val="00FF11F9"/>
    <w:rsid w:val="00FF2F9A"/>
    <w:rsid w:val="00FF4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88A"/>
    <w:pPr>
      <w:tabs>
        <w:tab w:val="left" w:pos="720"/>
        <w:tab w:val="left" w:pos="1080"/>
        <w:tab w:val="left" w:pos="1440"/>
        <w:tab w:val="left" w:pos="1800"/>
      </w:tabs>
      <w:spacing w:line="264"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link w:val="AbtHeadAChar"/>
    <w:rsid w:val="0070688A"/>
    <w:pPr>
      <w:keepNext/>
      <w:keepLines/>
      <w:spacing w:after="360"/>
      <w:outlineLvl w:val="0"/>
    </w:pPr>
    <w:rPr>
      <w:rFonts w:ascii="Arial" w:hAnsi="Arial"/>
      <w:b/>
      <w:sz w:val="36"/>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T,bt,bold"/>
    <w:basedOn w:val="Normal"/>
    <w:link w:val="BodyTextChar"/>
    <w:rsid w:val="0070688A"/>
  </w:style>
  <w:style w:type="character" w:customStyle="1" w:styleId="BodyTextChar">
    <w:name w:val="Body Text Char"/>
    <w:basedOn w:val="DefaultParagraphFont"/>
    <w:link w:val="BodyText"/>
    <w:rsid w:val="0070688A"/>
    <w:rPr>
      <w:sz w:val="24"/>
    </w:rPr>
  </w:style>
  <w:style w:type="paragraph" w:customStyle="1" w:styleId="AbtHeadB">
    <w:name w:val="AbtHead B"/>
    <w:basedOn w:val="Normal"/>
    <w:next w:val="BodyText"/>
    <w:rsid w:val="0070688A"/>
    <w:pPr>
      <w:keepNext/>
      <w:keepLines/>
      <w:spacing w:after="280"/>
      <w:outlineLvl w:val="1"/>
    </w:pPr>
    <w:rPr>
      <w:rFonts w:ascii="Arial" w:hAnsi="Arial"/>
      <w:b/>
      <w:sz w:val="28"/>
    </w:rPr>
  </w:style>
  <w:style w:type="paragraph" w:customStyle="1" w:styleId="AbtHeadC">
    <w:name w:val="AbtHead C"/>
    <w:basedOn w:val="Normal"/>
    <w:next w:val="BodyText"/>
    <w:rsid w:val="0070688A"/>
    <w:pPr>
      <w:keepNext/>
      <w:keepLines/>
      <w:spacing w:after="240"/>
      <w:outlineLvl w:val="2"/>
    </w:pPr>
    <w:rPr>
      <w:rFonts w:ascii="Arial" w:hAnsi="Arial"/>
      <w:b/>
      <w:sz w:val="20"/>
    </w:rPr>
  </w:style>
  <w:style w:type="paragraph" w:customStyle="1" w:styleId="AbtHeadBOutlined">
    <w:name w:val="AbtHead B Outlined"/>
    <w:basedOn w:val="AbtHeadB"/>
    <w:next w:val="BodyText"/>
    <w:rsid w:val="0070688A"/>
    <w:pPr>
      <w:tabs>
        <w:tab w:val="num" w:pos="720"/>
      </w:tabs>
      <w:ind w:left="720" w:hanging="720"/>
    </w:pPr>
  </w:style>
  <w:style w:type="character" w:styleId="FootnoteReference">
    <w:name w:val="footnote reference"/>
    <w:basedOn w:val="DefaultParagraphFont"/>
    <w:rsid w:val="0070688A"/>
    <w:rPr>
      <w:vertAlign w:val="superscript"/>
    </w:rPr>
  </w:style>
  <w:style w:type="character" w:customStyle="1" w:styleId="AbtHeadAChar">
    <w:name w:val="AbtHead A Char"/>
    <w:basedOn w:val="DefaultParagraphFont"/>
    <w:link w:val="AbtHeadA"/>
    <w:rsid w:val="0070688A"/>
    <w:rPr>
      <w:rFonts w:ascii="Arial" w:hAnsi="Arial"/>
      <w:b/>
      <w:sz w:val="36"/>
    </w:rPr>
  </w:style>
  <w:style w:type="paragraph" w:customStyle="1" w:styleId="FotnoteText">
    <w:name w:val="Fotnote Text"/>
    <w:basedOn w:val="FootnoteText"/>
    <w:link w:val="FotnoteTextChar1"/>
    <w:rsid w:val="0070688A"/>
    <w:pPr>
      <w:tabs>
        <w:tab w:val="clear" w:pos="720"/>
        <w:tab w:val="clear" w:pos="1080"/>
        <w:tab w:val="clear" w:pos="1440"/>
        <w:tab w:val="clear" w:pos="1800"/>
      </w:tabs>
      <w:spacing w:after="120" w:line="264" w:lineRule="auto"/>
      <w:ind w:left="360" w:hanging="360"/>
    </w:pPr>
    <w:rPr>
      <w:szCs w:val="24"/>
    </w:rPr>
  </w:style>
  <w:style w:type="paragraph" w:customStyle="1" w:styleId="AbtHeadC1">
    <w:name w:val="AbtHead C1"/>
    <w:basedOn w:val="AbtHeadC"/>
    <w:rsid w:val="0070688A"/>
    <w:pPr>
      <w:tabs>
        <w:tab w:val="clear" w:pos="720"/>
      </w:tabs>
    </w:pPr>
  </w:style>
  <w:style w:type="character" w:customStyle="1" w:styleId="FotnoteTextChar1">
    <w:name w:val="Fotnote Text Char1"/>
    <w:basedOn w:val="DefaultParagraphFont"/>
    <w:link w:val="FotnoteText"/>
    <w:rsid w:val="0070688A"/>
    <w:rPr>
      <w:szCs w:val="24"/>
    </w:rPr>
  </w:style>
  <w:style w:type="paragraph" w:styleId="FootnoteText">
    <w:name w:val="footnote text"/>
    <w:basedOn w:val="Normal"/>
    <w:link w:val="FootnoteTextChar"/>
    <w:rsid w:val="0070688A"/>
    <w:pPr>
      <w:spacing w:line="240" w:lineRule="auto"/>
    </w:pPr>
    <w:rPr>
      <w:sz w:val="20"/>
    </w:rPr>
  </w:style>
  <w:style w:type="character" w:customStyle="1" w:styleId="FootnoteTextChar">
    <w:name w:val="Footnote Text Char"/>
    <w:basedOn w:val="DefaultParagraphFont"/>
    <w:link w:val="FootnoteText"/>
    <w:rsid w:val="007068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7312</Characters>
  <Application>Microsoft Office Word</Application>
  <DocSecurity>0</DocSecurity>
  <Lines>60</Lines>
  <Paragraphs>17</Paragraphs>
  <ScaleCrop>false</ScaleCrop>
  <Company>Housing and Urban Development</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Theodore Potts</dc:creator>
  <cp:keywords/>
  <dc:description/>
  <cp:lastModifiedBy>A Theodore Potts</cp:lastModifiedBy>
  <cp:revision>1</cp:revision>
  <dcterms:created xsi:type="dcterms:W3CDTF">2009-11-18T17:56:00Z</dcterms:created>
  <dcterms:modified xsi:type="dcterms:W3CDTF">2009-11-18T17:57:00Z</dcterms:modified>
</cp:coreProperties>
</file>