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B04DE81" w14:textId="0B8FEAD9">
      <w:pPr>
        <w:pStyle w:val="Heading2"/>
        <w:tabs>
          <w:tab w:val="left" w:pos="900"/>
        </w:tabs>
        <w:ind w:right="-180"/>
      </w:pPr>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r w:rsidRPr="00FC1F83" w:rsidR="00FC1F83">
        <w:rPr>
          <w:sz w:val="28"/>
          <w:szCs w:val="28"/>
        </w:rPr>
        <w:t>(OMB Circular A-11, Section 280 Implementation)</w:t>
      </w:r>
      <w:r w:rsidRPr="00F06866">
        <w:rPr>
          <w:sz w:val="28"/>
        </w:rPr>
        <w:t>”</w:t>
      </w:r>
      <w:r>
        <w:rPr>
          <w:sz w:val="28"/>
        </w:rPr>
        <w:t xml:space="preserve"> (OMB Control Number: </w:t>
      </w:r>
      <w:r w:rsidR="00FD311D">
        <w:rPr>
          <w:sz w:val="28"/>
        </w:rPr>
        <w:t>2900</w:t>
      </w:r>
      <w:r>
        <w:rPr>
          <w:sz w:val="28"/>
        </w:rPr>
        <w:t>-</w:t>
      </w:r>
      <w:r w:rsidR="00B71904">
        <w:rPr>
          <w:sz w:val="28"/>
        </w:rPr>
        <w:t>0836</w:t>
      </w:r>
      <w:r>
        <w:rPr>
          <w:sz w:val="28"/>
        </w:rPr>
        <w:t>)</w:t>
      </w:r>
    </w:p>
    <w:p w:rsidR="008B2E1F" w:rsidP="00434E33" w:rsidRDefault="00E70B07" w14:paraId="74D8C09E" w14:textId="77777777">
      <w:pPr>
        <w:rPr>
          <w:b/>
        </w:rPr>
      </w:pPr>
      <w:r>
        <w:rPr>
          <w:b/>
          <w:noProof/>
        </w:rPr>
        <mc:AlternateContent>
          <mc:Choice Requires="wps">
            <w:drawing>
              <wp:anchor distT="0" distB="0" distL="114300" distR="114300" simplePos="0" relativeHeight="251658240"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65A56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434E33" w:rsidRDefault="005E714A" w14:paraId="3A6271B9" w14:textId="17FC8616">
      <w:pPr>
        <w:rPr>
          <w:b/>
        </w:rPr>
      </w:pPr>
      <w:r w:rsidRPr="00434E33">
        <w:rPr>
          <w:b/>
        </w:rPr>
        <w:t>TITLE OF INFORMATION COLLECTION:</w:t>
      </w:r>
      <w:r>
        <w:t xml:space="preserve">  </w:t>
      </w:r>
      <w:r w:rsidR="00CE3AD5">
        <w:t>AMO [Appeals Management Office] Survey</w:t>
      </w:r>
    </w:p>
    <w:p w:rsidR="005E714A" w:rsidRDefault="005E714A" w14:paraId="6DB197A7" w14:textId="77777777"/>
    <w:p w:rsidR="008B2E1F" w:rsidRDefault="008B2E1F" w14:paraId="5113CC84" w14:textId="77777777"/>
    <w:p w:rsidR="008B2E1F" w:rsidRDefault="008B2E1F" w14:paraId="7F99BEB0" w14:textId="77777777">
      <w:pPr>
        <w:rPr>
          <w:b/>
        </w:rPr>
      </w:pPr>
    </w:p>
    <w:p w:rsidR="001B0AAA" w:rsidRDefault="00F15956" w14:paraId="483564DE" w14:textId="187D3023">
      <w:r>
        <w:rPr>
          <w:b/>
        </w:rPr>
        <w:t>PURPOSE</w:t>
      </w:r>
      <w:r w:rsidRPr="009239AA">
        <w:rPr>
          <w:b/>
        </w:rPr>
        <w:t>:</w:t>
      </w:r>
      <w:r w:rsidRPr="009239AA" w:rsidR="00C14CC4">
        <w:rPr>
          <w:b/>
        </w:rPr>
        <w:t xml:space="preserve">  </w:t>
      </w:r>
      <w:r w:rsidRPr="00B42A53" w:rsidR="00B42A53">
        <w:rPr>
          <w:bCs/>
        </w:rPr>
        <w:t>The Veterans</w:t>
      </w:r>
      <w:r w:rsidR="00B42A53">
        <w:rPr>
          <w:bCs/>
        </w:rPr>
        <w:t xml:space="preserve"> Appeals Improvement and Modernization Act of 2017</w:t>
      </w:r>
      <w:r w:rsidR="00695AE6">
        <w:rPr>
          <w:bCs/>
        </w:rPr>
        <w:t xml:space="preserve"> (“the Act”)</w:t>
      </w:r>
      <w:r w:rsidR="00266F49">
        <w:rPr>
          <w:bCs/>
        </w:rPr>
        <w:t>, enacted in February 2019, provides</w:t>
      </w:r>
      <w:r w:rsidR="00C31057">
        <w:rPr>
          <w:bCs/>
        </w:rPr>
        <w:t xml:space="preserve"> the capability for any Veteran who received </w:t>
      </w:r>
      <w:r w:rsidR="003D466F">
        <w:rPr>
          <w:bCs/>
        </w:rPr>
        <w:t xml:space="preserve">an initial VA claim decision </w:t>
      </w:r>
      <w:r w:rsidR="0080296D">
        <w:rPr>
          <w:bCs/>
        </w:rPr>
        <w:t xml:space="preserve">after 2/19 </w:t>
      </w:r>
      <w:r w:rsidR="003D466F">
        <w:rPr>
          <w:bCs/>
        </w:rPr>
        <w:t xml:space="preserve">to choose from three, easy-to-understand appeal review options. </w:t>
      </w:r>
      <w:r w:rsidR="00E87DE6">
        <w:rPr>
          <w:bCs/>
        </w:rPr>
        <w:t xml:space="preserve"> All three options provide Veterans with faster resolution of disagreements with VA decisions. </w:t>
      </w:r>
      <w:r w:rsidRPr="005D4A5E" w:rsidR="0008664B">
        <w:rPr>
          <w:bCs/>
        </w:rPr>
        <w:t>This s</w:t>
      </w:r>
      <w:r w:rsidRPr="005D4A5E" w:rsidR="00665E3C">
        <w:rPr>
          <w:bCs/>
        </w:rPr>
        <w:t>urvey instrument will capture the voic</w:t>
      </w:r>
      <w:r w:rsidRPr="005D4A5E" w:rsidR="00F52B4C">
        <w:rPr>
          <w:bCs/>
        </w:rPr>
        <w:t>e, i</w:t>
      </w:r>
      <w:r w:rsidRPr="005D4A5E" w:rsidR="00665E3C">
        <w:rPr>
          <w:bCs/>
        </w:rPr>
        <w:t>nsights</w:t>
      </w:r>
      <w:r w:rsidRPr="005D4A5E" w:rsidR="00F52B4C">
        <w:rPr>
          <w:bCs/>
        </w:rPr>
        <w:t>, and experience</w:t>
      </w:r>
      <w:r w:rsidRPr="005D4A5E" w:rsidR="00665E3C">
        <w:rPr>
          <w:bCs/>
        </w:rPr>
        <w:t xml:space="preserve"> of Veterans and beneficiaries</w:t>
      </w:r>
      <w:r w:rsidRPr="005D4A5E" w:rsidR="00F52B4C">
        <w:rPr>
          <w:bCs/>
        </w:rPr>
        <w:t xml:space="preserve"> </w:t>
      </w:r>
      <w:r w:rsidR="002F4E27">
        <w:rPr>
          <w:bCs/>
        </w:rPr>
        <w:t xml:space="preserve">who utilize </w:t>
      </w:r>
      <w:r w:rsidR="00DC49C8">
        <w:rPr>
          <w:bCs/>
        </w:rPr>
        <w:t xml:space="preserve">two </w:t>
      </w:r>
      <w:r w:rsidR="002F4E27">
        <w:rPr>
          <w:bCs/>
        </w:rPr>
        <w:t xml:space="preserve">of the </w:t>
      </w:r>
      <w:r w:rsidR="00DC49C8">
        <w:rPr>
          <w:bCs/>
        </w:rPr>
        <w:t>three available</w:t>
      </w:r>
      <w:r w:rsidR="001060EF">
        <w:rPr>
          <w:bCs/>
        </w:rPr>
        <w:t xml:space="preserve"> </w:t>
      </w:r>
      <w:r w:rsidRPr="005D4A5E" w:rsidR="00F52B4C">
        <w:rPr>
          <w:bCs/>
        </w:rPr>
        <w:t xml:space="preserve">decision-review </w:t>
      </w:r>
      <w:r w:rsidR="00E87DE6">
        <w:rPr>
          <w:bCs/>
        </w:rPr>
        <w:t>options</w:t>
      </w:r>
      <w:r w:rsidR="001060EF">
        <w:rPr>
          <w:bCs/>
        </w:rPr>
        <w:t xml:space="preserve">; namely, </w:t>
      </w:r>
      <w:r w:rsidRPr="001060EF" w:rsidR="001060EF">
        <w:rPr>
          <w:bCs/>
        </w:rPr>
        <w:t xml:space="preserve">Higher Level Review and Supplemental Claims. </w:t>
      </w:r>
      <w:r w:rsidR="000D2DBD">
        <w:rPr>
          <w:bCs/>
        </w:rPr>
        <w:t xml:space="preserve">Data gleaned from this customer experience survey </w:t>
      </w:r>
      <w:r w:rsidRPr="005D4A5E" w:rsidR="0035517E">
        <w:rPr>
          <w:bCs/>
        </w:rPr>
        <w:t xml:space="preserve">will provide actionable information </w:t>
      </w:r>
      <w:r w:rsidR="00DC49C8">
        <w:rPr>
          <w:bCs/>
        </w:rPr>
        <w:t xml:space="preserve">for the </w:t>
      </w:r>
      <w:r w:rsidRPr="005D4A5E" w:rsidR="0035517E">
        <w:rPr>
          <w:bCs/>
        </w:rPr>
        <w:t xml:space="preserve">Appeals Management Office </w:t>
      </w:r>
      <w:r w:rsidR="00DC49C8">
        <w:rPr>
          <w:bCs/>
        </w:rPr>
        <w:t xml:space="preserve">to </w:t>
      </w:r>
      <w:r w:rsidRPr="005D4A5E" w:rsidR="0035517E">
        <w:rPr>
          <w:bCs/>
        </w:rPr>
        <w:t xml:space="preserve">use </w:t>
      </w:r>
      <w:r w:rsidRPr="005D4A5E" w:rsidR="00D111E7">
        <w:rPr>
          <w:bCs/>
        </w:rPr>
        <w:t xml:space="preserve">as </w:t>
      </w:r>
      <w:r w:rsidR="00B4753C">
        <w:rPr>
          <w:bCs/>
        </w:rPr>
        <w:t>a</w:t>
      </w:r>
      <w:r w:rsidRPr="005D4A5E" w:rsidR="00D111E7">
        <w:rPr>
          <w:bCs/>
        </w:rPr>
        <w:t xml:space="preserve"> basis for systems improvements</w:t>
      </w:r>
      <w:r w:rsidR="000D2DBD">
        <w:rPr>
          <w:bCs/>
        </w:rPr>
        <w:t xml:space="preserve"> relative to the </w:t>
      </w:r>
      <w:r w:rsidR="00B4753C">
        <w:rPr>
          <w:bCs/>
        </w:rPr>
        <w:t>efficacy of th</w:t>
      </w:r>
      <w:r w:rsidR="006A1CC4">
        <w:rPr>
          <w:bCs/>
        </w:rPr>
        <w:t xml:space="preserve">is Act from the viewpoint of Veterans who have been </w:t>
      </w:r>
      <w:r w:rsidR="00F02F97">
        <w:rPr>
          <w:bCs/>
        </w:rPr>
        <w:t xml:space="preserve">opting for and </w:t>
      </w:r>
      <w:r w:rsidR="006A1CC4">
        <w:rPr>
          <w:bCs/>
        </w:rPr>
        <w:t xml:space="preserve">utilizing its key provisions. </w:t>
      </w:r>
      <w:r w:rsidRPr="005D4A5E" w:rsidR="00D111E7">
        <w:rPr>
          <w:bCs/>
        </w:rPr>
        <w:t>Continued data collection will assess the impact/success of these process improvements efforts.</w:t>
      </w:r>
      <w:r w:rsidRPr="005D4A5E" w:rsidR="00D17A7B">
        <w:rPr>
          <w:bCs/>
        </w:rPr>
        <w:t xml:space="preserve"> </w:t>
      </w:r>
    </w:p>
    <w:p w:rsidR="00C8488C" w:rsidP="00434E33" w:rsidRDefault="00C8488C" w14:paraId="3CBD31A9" w14:textId="77777777">
      <w:pPr>
        <w:pStyle w:val="Header"/>
        <w:tabs>
          <w:tab w:val="clear" w:pos="4320"/>
          <w:tab w:val="clear" w:pos="8640"/>
        </w:tabs>
        <w:rPr>
          <w:b/>
        </w:rPr>
      </w:pPr>
    </w:p>
    <w:p w:rsidR="00C8488C" w:rsidP="00434E33" w:rsidRDefault="00C8488C" w14:paraId="412704F3" w14:textId="77777777">
      <w:pPr>
        <w:pStyle w:val="Header"/>
        <w:tabs>
          <w:tab w:val="clear" w:pos="4320"/>
          <w:tab w:val="clear" w:pos="8640"/>
        </w:tabs>
        <w:rPr>
          <w:b/>
        </w:rPr>
      </w:pPr>
    </w:p>
    <w:p w:rsidRPr="00434E33" w:rsidR="00434E33" w:rsidP="00434E33" w:rsidRDefault="00434E33" w14:paraId="10F5AEFA" w14:textId="2F701663">
      <w:pPr>
        <w:pStyle w:val="Header"/>
        <w:tabs>
          <w:tab w:val="clear" w:pos="4320"/>
          <w:tab w:val="clear" w:pos="8640"/>
        </w:tabs>
        <w:rPr>
          <w:i/>
          <w:snapToGrid/>
        </w:rPr>
      </w:pPr>
      <w:r w:rsidRPr="00434E33">
        <w:rPr>
          <w:b/>
        </w:rPr>
        <w:t>DESCRIPTION OF RESPONDENTS</w:t>
      </w:r>
      <w:r>
        <w:t xml:space="preserve">: </w:t>
      </w:r>
      <w:r w:rsidR="006804D3">
        <w:t xml:space="preserve">The target population is </w:t>
      </w:r>
      <w:r w:rsidR="009E132A">
        <w:t xml:space="preserve">a representative sample of </w:t>
      </w:r>
      <w:r w:rsidR="006804D3">
        <w:t xml:space="preserve">Veterans </w:t>
      </w:r>
      <w:r w:rsidR="006B3130">
        <w:t xml:space="preserve">who have filed a request for decision review and received a decision from either the </w:t>
      </w:r>
      <w:r w:rsidR="00C4449D">
        <w:t>Higher</w:t>
      </w:r>
      <w:r w:rsidR="00F42BF1">
        <w:t>-</w:t>
      </w:r>
      <w:r w:rsidR="00C4449D">
        <w:t xml:space="preserve">Level Review or Supplemental Claims review </w:t>
      </w:r>
      <w:r w:rsidR="000938A6">
        <w:t xml:space="preserve">processes </w:t>
      </w:r>
      <w:r w:rsidR="00C4449D">
        <w:t xml:space="preserve">offered under the provisions of the </w:t>
      </w:r>
      <w:r w:rsidR="00C75A4B">
        <w:t>Veterans Appeals Improvement and Modernization Act of 2017</w:t>
      </w:r>
      <w:r w:rsidR="000938A6">
        <w:t xml:space="preserve">. </w:t>
      </w:r>
    </w:p>
    <w:p w:rsidR="00C8488C" w:rsidRDefault="00955043" w14:paraId="3C467859" w14:textId="1AE8F858">
      <w:r>
        <w:t>The timeframe of sa</w:t>
      </w:r>
      <w:r w:rsidR="00BA75CC">
        <w:t>mpling is February 2019</w:t>
      </w:r>
      <w:r w:rsidR="00AE7A8F">
        <w:t xml:space="preserve">, </w:t>
      </w:r>
      <w:r w:rsidR="00BA75CC">
        <w:t>when these new provisions were enacted</w:t>
      </w:r>
      <w:r w:rsidR="00AE7A8F">
        <w:t xml:space="preserve">, </w:t>
      </w:r>
      <w:r w:rsidR="00BA75CC">
        <w:t>to present.</w:t>
      </w:r>
      <w:r w:rsidR="0029654F">
        <w:t xml:space="preserve"> </w:t>
      </w:r>
      <w:r w:rsidR="00BA75CC">
        <w:t xml:space="preserve"> </w:t>
      </w:r>
    </w:p>
    <w:p w:rsidR="00962B13" w:rsidRDefault="00962B13" w14:paraId="768C0016" w14:textId="73EC4E11"/>
    <w:p w:rsidRPr="00085B24" w:rsidR="00962B13" w:rsidP="00962B13" w:rsidRDefault="00962B13" w14:paraId="66CBA179" w14:textId="77777777">
      <w:pPr>
        <w:spacing w:after="240"/>
        <w:ind w:firstLine="720"/>
        <w:rPr>
          <w:kern w:val="22"/>
        </w:rPr>
      </w:pPr>
      <w:r w:rsidRPr="00085B24">
        <w:rPr>
          <w:kern w:val="22"/>
        </w:rPr>
        <w:t>There are two points in VBA’s decision review process that will trigger a survey:</w:t>
      </w:r>
    </w:p>
    <w:p w:rsidRPr="00085B24" w:rsidR="00962B13" w:rsidP="00962B13" w:rsidRDefault="00962B13" w14:paraId="2CFE7D85" w14:textId="77777777">
      <w:pPr>
        <w:numPr>
          <w:ilvl w:val="0"/>
          <w:numId w:val="20"/>
        </w:numPr>
        <w:spacing w:after="240"/>
        <w:contextualSpacing/>
        <w:rPr>
          <w:kern w:val="22"/>
        </w:rPr>
      </w:pPr>
      <w:r w:rsidRPr="00085B24">
        <w:rPr>
          <w:kern w:val="22"/>
        </w:rPr>
        <w:t xml:space="preserve">When the Veteran or beneficiary submits one of the below forms to VA and </w:t>
      </w:r>
      <w:proofErr w:type="gramStart"/>
      <w:r w:rsidRPr="00085B24">
        <w:rPr>
          <w:kern w:val="22"/>
        </w:rPr>
        <w:t>an end product</w:t>
      </w:r>
      <w:proofErr w:type="gramEnd"/>
      <w:r w:rsidRPr="00085B24">
        <w:rPr>
          <w:kern w:val="22"/>
        </w:rPr>
        <w:t xml:space="preserve"> (EP) is established.</w:t>
      </w:r>
    </w:p>
    <w:p w:rsidRPr="00085B24" w:rsidR="00962B13" w:rsidP="00962B13" w:rsidRDefault="00962B13" w14:paraId="3A2213A2" w14:textId="77777777">
      <w:pPr>
        <w:numPr>
          <w:ilvl w:val="1"/>
          <w:numId w:val="20"/>
        </w:numPr>
        <w:spacing w:after="240"/>
        <w:contextualSpacing/>
        <w:rPr>
          <w:kern w:val="22"/>
        </w:rPr>
      </w:pPr>
      <w:r w:rsidRPr="00085B24">
        <w:rPr>
          <w:kern w:val="22"/>
        </w:rPr>
        <w:t xml:space="preserve">VA Form 20-0995, </w:t>
      </w:r>
      <w:r w:rsidRPr="00085B24">
        <w:rPr>
          <w:bCs/>
          <w:i/>
          <w:kern w:val="22"/>
        </w:rPr>
        <w:t>Decision Review Request</w:t>
      </w:r>
      <w:r w:rsidRPr="00085B24">
        <w:rPr>
          <w:bCs/>
          <w:i/>
          <w:color w:val="000000"/>
          <w:kern w:val="22"/>
        </w:rPr>
        <w:t>: S</w:t>
      </w:r>
      <w:r w:rsidRPr="00085B24">
        <w:rPr>
          <w:bCs/>
          <w:i/>
          <w:kern w:val="22"/>
        </w:rPr>
        <w:t>upplemental Claim</w:t>
      </w:r>
      <w:r w:rsidRPr="00085B24">
        <w:rPr>
          <w:bCs/>
          <w:kern w:val="22"/>
        </w:rPr>
        <w:t xml:space="preserve">, </w:t>
      </w:r>
      <w:r w:rsidRPr="00085B24">
        <w:rPr>
          <w:kern w:val="22"/>
        </w:rPr>
        <w:t xml:space="preserve">or </w:t>
      </w:r>
    </w:p>
    <w:p w:rsidRPr="00085B24" w:rsidR="00962B13" w:rsidP="00962B13" w:rsidRDefault="00962B13" w14:paraId="48581028" w14:textId="77777777">
      <w:pPr>
        <w:numPr>
          <w:ilvl w:val="1"/>
          <w:numId w:val="20"/>
        </w:numPr>
        <w:spacing w:after="240"/>
        <w:contextualSpacing/>
        <w:rPr>
          <w:kern w:val="22"/>
        </w:rPr>
      </w:pPr>
      <w:r w:rsidRPr="00085B24">
        <w:rPr>
          <w:kern w:val="22"/>
        </w:rPr>
        <w:t xml:space="preserve">VA Form 20-0996, </w:t>
      </w:r>
      <w:r w:rsidRPr="00085B24">
        <w:rPr>
          <w:i/>
          <w:kern w:val="22"/>
        </w:rPr>
        <w:t>Decision Review Request: Higher-Level Review</w:t>
      </w:r>
      <w:r w:rsidRPr="00085B24">
        <w:rPr>
          <w:kern w:val="22"/>
        </w:rPr>
        <w:t>.</w:t>
      </w:r>
    </w:p>
    <w:p w:rsidRPr="00085B24" w:rsidR="00962B13" w:rsidP="00962B13" w:rsidRDefault="00962B13" w14:paraId="7570B45B" w14:textId="77777777">
      <w:pPr>
        <w:spacing w:after="240"/>
        <w:ind w:left="1800"/>
        <w:contextualSpacing/>
        <w:rPr>
          <w:kern w:val="22"/>
        </w:rPr>
      </w:pPr>
    </w:p>
    <w:p w:rsidRPr="00085B24" w:rsidR="00962B13" w:rsidP="00962B13" w:rsidRDefault="00962B13" w14:paraId="7FC4017D" w14:textId="77777777">
      <w:pPr>
        <w:numPr>
          <w:ilvl w:val="0"/>
          <w:numId w:val="20"/>
        </w:numPr>
        <w:spacing w:after="240"/>
        <w:contextualSpacing/>
        <w:rPr>
          <w:kern w:val="22"/>
        </w:rPr>
      </w:pPr>
      <w:r w:rsidRPr="00085B24">
        <w:rPr>
          <w:kern w:val="22"/>
        </w:rPr>
        <w:t>When a decision review EP is cleared:</w:t>
      </w:r>
    </w:p>
    <w:p w:rsidR="00F369EA" w:rsidP="00F369EA" w:rsidRDefault="00962B13" w14:paraId="07E48A08" w14:textId="77777777">
      <w:pPr>
        <w:numPr>
          <w:ilvl w:val="0"/>
          <w:numId w:val="21"/>
        </w:numPr>
        <w:spacing w:after="240"/>
        <w:contextualSpacing/>
        <w:rPr>
          <w:kern w:val="22"/>
        </w:rPr>
      </w:pPr>
      <w:r w:rsidRPr="00085B24">
        <w:rPr>
          <w:kern w:val="22"/>
        </w:rPr>
        <w:t xml:space="preserve">030 series – Higher-Level Review </w:t>
      </w:r>
    </w:p>
    <w:p w:rsidRPr="00F369EA" w:rsidR="00962B13" w:rsidP="00F369EA" w:rsidRDefault="00962B13" w14:paraId="6EEF9DB6" w14:textId="190FA2C8">
      <w:pPr>
        <w:numPr>
          <w:ilvl w:val="0"/>
          <w:numId w:val="21"/>
        </w:numPr>
        <w:spacing w:after="240"/>
        <w:contextualSpacing/>
        <w:rPr>
          <w:kern w:val="22"/>
        </w:rPr>
      </w:pPr>
      <w:r w:rsidRPr="00F369EA">
        <w:rPr>
          <w:kern w:val="22"/>
        </w:rPr>
        <w:t>040 series –Supplemental Claim.</w:t>
      </w:r>
      <w:r w:rsidRPr="00F369EA" w:rsidDel="00AE0995">
        <w:rPr>
          <w:kern w:val="22"/>
        </w:rPr>
        <w:t xml:space="preserve"> </w:t>
      </w:r>
    </w:p>
    <w:p w:rsidR="00962B13" w:rsidRDefault="00962B13" w14:paraId="4B7BC89A" w14:textId="77777777"/>
    <w:p w:rsidR="00E26329" w:rsidRDefault="00E26329" w14:paraId="45BB4DEF" w14:textId="77777777">
      <w:pPr>
        <w:rPr>
          <w:b/>
        </w:rPr>
      </w:pPr>
    </w:p>
    <w:p w:rsidRPr="00F06866" w:rsidR="00F06866" w:rsidRDefault="00F06866" w14:paraId="3DA9A41D" w14:textId="77777777">
      <w:pPr>
        <w:rPr>
          <w:b/>
        </w:rPr>
      </w:pPr>
      <w:r>
        <w:rPr>
          <w:b/>
        </w:rPr>
        <w:t>TYPE OF COLLECTION:</w:t>
      </w:r>
      <w:r w:rsidRPr="00F06866">
        <w:t xml:space="preserve"> (Check one)</w:t>
      </w:r>
    </w:p>
    <w:p w:rsidRPr="00434E33" w:rsidR="00441434" w:rsidP="0096108F" w:rsidRDefault="00441434" w14:paraId="3009C1A8" w14:textId="77777777">
      <w:pPr>
        <w:pStyle w:val="BodyTextIndent"/>
        <w:tabs>
          <w:tab w:val="left" w:pos="360"/>
        </w:tabs>
        <w:ind w:left="0"/>
        <w:rPr>
          <w:bCs/>
          <w:sz w:val="16"/>
          <w:szCs w:val="16"/>
        </w:rPr>
      </w:pPr>
    </w:p>
    <w:p w:rsidRPr="00F06866" w:rsidR="00F06866" w:rsidP="00CA71E5" w:rsidRDefault="0096108F" w14:paraId="01570AB3" w14:textId="76EEBE2D">
      <w:pPr>
        <w:pStyle w:val="BodyTextIndent"/>
        <w:tabs>
          <w:tab w:val="left" w:pos="450"/>
          <w:tab w:val="left" w:pos="4950"/>
          <w:tab w:val="left" w:pos="5400"/>
        </w:tabs>
        <w:ind w:left="0"/>
        <w:rPr>
          <w:bCs/>
          <w:sz w:val="24"/>
        </w:rPr>
      </w:pPr>
      <w:proofErr w:type="gramStart"/>
      <w:r w:rsidRPr="00F06866">
        <w:rPr>
          <w:bCs/>
          <w:sz w:val="24"/>
        </w:rPr>
        <w:t>[ ]</w:t>
      </w:r>
      <w:proofErr w:type="gramEnd"/>
      <w:r w:rsidRPr="00F06866">
        <w:rPr>
          <w:bCs/>
          <w:sz w:val="24"/>
        </w:rPr>
        <w:t xml:space="preserve">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w:t>
      </w:r>
      <w:r w:rsidR="003155D9">
        <w:rPr>
          <w:bCs/>
          <w:sz w:val="24"/>
        </w:rPr>
        <w:t>X</w:t>
      </w:r>
      <w:r w:rsidRPr="00F06866">
        <w:rPr>
          <w:bCs/>
          <w:sz w:val="24"/>
        </w:rPr>
        <w:t xml:space="preserve">]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CA71E5" w:rsidRDefault="0096108F" w14:paraId="03421F24" w14:textId="77777777">
      <w:pPr>
        <w:pStyle w:val="BodyTextIndent"/>
        <w:tabs>
          <w:tab w:val="left" w:pos="450"/>
          <w:tab w:val="left" w:pos="4950"/>
          <w:tab w:val="left" w:pos="5400"/>
        </w:tabs>
        <w:ind w:left="0"/>
        <w:rPr>
          <w:bCs/>
          <w:sz w:val="24"/>
        </w:rPr>
      </w:pPr>
      <w:proofErr w:type="gramStart"/>
      <w:r w:rsidRPr="00F06866">
        <w:rPr>
          <w:bCs/>
          <w:sz w:val="24"/>
        </w:rPr>
        <w:t>[ ]</w:t>
      </w:r>
      <w:proofErr w:type="gramEnd"/>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CA71E5" w:rsidRDefault="00935ADA" w14:paraId="1AB15EB4" w14:textId="77777777">
      <w:pPr>
        <w:pStyle w:val="BodyTextIndent"/>
        <w:tabs>
          <w:tab w:val="left" w:pos="450"/>
          <w:tab w:val="left" w:pos="4950"/>
          <w:tab w:val="left" w:pos="5400"/>
        </w:tabs>
        <w:ind w:left="0"/>
        <w:rPr>
          <w:bCs/>
          <w:sz w:val="24"/>
        </w:rPr>
      </w:pPr>
      <w:proofErr w:type="gramStart"/>
      <w:r>
        <w:rPr>
          <w:bCs/>
          <w:sz w:val="24"/>
        </w:rPr>
        <w:t>[</w:t>
      </w:r>
      <w:r w:rsidR="00CF6542">
        <w:rPr>
          <w:bCs/>
          <w:sz w:val="24"/>
        </w:rPr>
        <w:t xml:space="preserve"> </w:t>
      </w:r>
      <w:r w:rsidR="00CA71E5">
        <w:rPr>
          <w:bCs/>
          <w:sz w:val="24"/>
        </w:rPr>
        <w:t>]</w:t>
      </w:r>
      <w:proofErr w:type="gramEnd"/>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CA71E5" w:rsidRDefault="00434E33" w14:paraId="218AEE54" w14:textId="77777777">
      <w:pPr>
        <w:pStyle w:val="Header"/>
        <w:tabs>
          <w:tab w:val="clear" w:pos="4320"/>
          <w:tab w:val="clear" w:pos="8640"/>
          <w:tab w:val="left" w:pos="450"/>
          <w:tab w:val="left" w:pos="5400"/>
        </w:tabs>
      </w:pPr>
    </w:p>
    <w:p w:rsidR="00CA2650" w:rsidRDefault="00441434" w14:paraId="69E5C9EB" w14:textId="77777777">
      <w:pPr>
        <w:rPr>
          <w:b/>
        </w:rPr>
      </w:pPr>
      <w:r>
        <w:rPr>
          <w:b/>
        </w:rPr>
        <w:t>C</w:t>
      </w:r>
      <w:r w:rsidR="009C13B9">
        <w:rPr>
          <w:b/>
        </w:rPr>
        <w:t>ERTIFICATION:</w:t>
      </w:r>
    </w:p>
    <w:p w:rsidR="00441434" w:rsidRDefault="00441434" w14:paraId="2F8023D0" w14:textId="77777777">
      <w:pPr>
        <w:rPr>
          <w:sz w:val="16"/>
          <w:szCs w:val="16"/>
        </w:rPr>
      </w:pPr>
    </w:p>
    <w:p w:rsidRPr="009C13B9" w:rsidR="008101A5" w:rsidP="008101A5" w:rsidRDefault="008101A5" w14:paraId="61EA9FDA" w14:textId="77777777">
      <w:r>
        <w:t xml:space="preserve">I certify the following to be true: </w:t>
      </w:r>
    </w:p>
    <w:p w:rsidR="008101A5" w:rsidP="008101A5" w:rsidRDefault="008101A5" w14:paraId="01035E5E" w14:textId="77777777">
      <w:pPr>
        <w:pStyle w:val="ListParagraph"/>
        <w:numPr>
          <w:ilvl w:val="0"/>
          <w:numId w:val="14"/>
        </w:numPr>
      </w:pPr>
      <w:r>
        <w:t>The collection is voluntary.</w:t>
      </w:r>
      <w:r w:rsidRPr="00C14CC4">
        <w:t xml:space="preserve"> </w:t>
      </w:r>
    </w:p>
    <w:p w:rsidR="008101A5" w:rsidP="008101A5" w:rsidRDefault="008101A5" w14:paraId="7947EC6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FC1F83" w:rsidP="008101A5" w:rsidRDefault="008101A5" w14:paraId="5745045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B77E6B" w:rsidRDefault="00760A8D" w14:paraId="0DC513D1" w14:textId="77777777">
      <w:pPr>
        <w:pStyle w:val="ListParagraph"/>
        <w:numPr>
          <w:ilvl w:val="0"/>
          <w:numId w:val="14"/>
        </w:numPr>
      </w:pPr>
      <w:proofErr w:type="gramStart"/>
      <w:r w:rsidRPr="00FC38C8">
        <w:t>Personally</w:t>
      </w:r>
      <w:proofErr w:type="gramEnd"/>
      <w:r w:rsidRPr="00FC38C8">
        <w:t xml:space="preserve"> identifiable information (PII) is collected only to the extent necessary and is not retained</w:t>
      </w:r>
      <w:r>
        <w:t>.</w:t>
      </w:r>
    </w:p>
    <w:p w:rsidR="008101A5" w:rsidP="008101A5" w:rsidRDefault="008101A5" w14:paraId="5C95FCF6" w14:textId="77777777">
      <w:pPr>
        <w:pStyle w:val="ListParagraph"/>
        <w:numPr>
          <w:ilvl w:val="0"/>
          <w:numId w:val="14"/>
        </w:numPr>
      </w:pPr>
      <w:r>
        <w:t xml:space="preserve">Information gathered </w:t>
      </w:r>
      <w:r w:rsidRPr="00FC38C8" w:rsidR="00FC1F83">
        <w:t>is intended to be used for general service improvement and program management purposes</w:t>
      </w:r>
      <w:r w:rsidR="00FC1F83">
        <w:t>.</w:t>
      </w:r>
      <w:r>
        <w:t xml:space="preserve"> </w:t>
      </w:r>
    </w:p>
    <w:p w:rsidR="008101A5" w:rsidP="008101A5" w:rsidRDefault="008101A5" w14:paraId="0116408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FC1F83" w:rsidP="00C76572" w:rsidRDefault="00FC1F83" w14:paraId="4DB59E95" w14:textId="77777777">
      <w:pPr>
        <w:pStyle w:val="ListParagraph"/>
        <w:numPr>
          <w:ilvl w:val="0"/>
          <w:numId w:val="14"/>
        </w:numPr>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9C13B9" w:rsidRDefault="009C13B9" w14:paraId="4B918E6D" w14:textId="77777777"/>
    <w:p w:rsidR="009C13B9" w:rsidP="009C13B9" w:rsidRDefault="009C13B9" w14:paraId="2A11B7CD" w14:textId="09A78DC8">
      <w:proofErr w:type="gramStart"/>
      <w:r>
        <w:t>Name:_</w:t>
      </w:r>
      <w:proofErr w:type="gramEnd"/>
      <w:r>
        <w:t>_</w:t>
      </w:r>
      <w:r w:rsidR="003155D9">
        <w:t xml:space="preserve">Evan Albert, Director of Measurement and Data Analytics (Acting), Veterans Experience Office </w:t>
      </w:r>
      <w:r>
        <w:t>_____________</w:t>
      </w:r>
    </w:p>
    <w:p w:rsidR="009C13B9" w:rsidP="009C13B9" w:rsidRDefault="009C13B9" w14:paraId="04C502E7" w14:textId="77777777">
      <w:pPr>
        <w:pStyle w:val="ListParagraph"/>
        <w:ind w:left="360"/>
      </w:pPr>
    </w:p>
    <w:p w:rsidR="009C13B9" w:rsidP="009C13B9" w:rsidRDefault="009C13B9" w14:paraId="150CF9B7" w14:textId="77777777">
      <w:r>
        <w:t>To assist review, please provide answers to the following question:</w:t>
      </w:r>
    </w:p>
    <w:p w:rsidR="009C13B9" w:rsidP="009C13B9" w:rsidRDefault="009C13B9" w14:paraId="2DD491E3" w14:textId="77777777">
      <w:pPr>
        <w:pStyle w:val="ListParagraph"/>
        <w:ind w:left="360"/>
      </w:pPr>
    </w:p>
    <w:p w:rsidRPr="00C86E91" w:rsidR="009C13B9" w:rsidP="00C86E91" w:rsidRDefault="00C86E91" w14:paraId="4EED71FA" w14:textId="77777777">
      <w:pPr>
        <w:rPr>
          <w:b/>
        </w:rPr>
      </w:pPr>
      <w:proofErr w:type="gramStart"/>
      <w:r w:rsidRPr="00C86E91">
        <w:rPr>
          <w:b/>
        </w:rPr>
        <w:t>Personally</w:t>
      </w:r>
      <w:proofErr w:type="gramEnd"/>
      <w:r w:rsidRPr="00C86E91">
        <w:rPr>
          <w:b/>
        </w:rPr>
        <w:t xml:space="preserve"> Identifiable Information:</w:t>
      </w:r>
    </w:p>
    <w:p w:rsidR="00B918A5" w:rsidP="00C86E91" w:rsidRDefault="00B918A5" w14:paraId="063A6CB9" w14:textId="58D272EF">
      <w:pPr>
        <w:pStyle w:val="ListParagraph"/>
        <w:numPr>
          <w:ilvl w:val="0"/>
          <w:numId w:val="18"/>
        </w:numPr>
      </w:pPr>
      <w:r>
        <w:t xml:space="preserve">Will this survey use individualized links, through which VA can identify particular respondents even if they do not provide their name or other personally identifiable information on the survey? </w:t>
      </w:r>
      <w:proofErr w:type="gramStart"/>
      <w:r>
        <w:t>[  ]</w:t>
      </w:r>
      <w:proofErr w:type="gramEnd"/>
      <w:r>
        <w:t xml:space="preserve"> Yes  [</w:t>
      </w:r>
      <w:r w:rsidR="00F14D46">
        <w:t>X</w:t>
      </w:r>
      <w:r>
        <w:t>]  No</w:t>
      </w:r>
    </w:p>
    <w:p w:rsidR="00C86E91" w:rsidP="00C86E91" w:rsidRDefault="009C13B9" w14:paraId="0A69B413" w14:textId="61B44A0E">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F14D46">
        <w:t>X</w:t>
      </w:r>
      <w:r w:rsidR="009239AA">
        <w:t xml:space="preserve">]  No </w:t>
      </w:r>
    </w:p>
    <w:p w:rsidR="00C86E91" w:rsidP="00C86E91" w:rsidRDefault="009C13B9" w14:paraId="142DFF97" w14:textId="7C4E59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F14D46">
        <w:t xml:space="preserve">  [</w:t>
      </w:r>
      <w:r w:rsidRPr="00D20060" w:rsidR="00F14D46">
        <w:rPr>
          <w:b/>
          <w:bCs/>
        </w:rPr>
        <w:t>N/A</w:t>
      </w:r>
      <w:r w:rsidR="00F14D46">
        <w:t>]</w:t>
      </w:r>
      <w:r w:rsidR="00C86E91">
        <w:t xml:space="preserve">   </w:t>
      </w:r>
    </w:p>
    <w:p w:rsidR="00C86E91" w:rsidP="00C86E91" w:rsidRDefault="00C86E91" w14:paraId="43B310A8" w14:textId="78383AE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F14D46">
        <w:t xml:space="preserve">  [</w:t>
      </w:r>
      <w:r w:rsidRPr="00D20060" w:rsidR="00F14D46">
        <w:rPr>
          <w:b/>
          <w:bCs/>
        </w:rPr>
        <w:t>N/A</w:t>
      </w:r>
      <w:r w:rsidR="00F14D46">
        <w:t>]</w:t>
      </w:r>
    </w:p>
    <w:p w:rsidR="00CF6542" w:rsidP="00C86E91" w:rsidRDefault="00CF6542" w14:paraId="4792DDD7" w14:textId="77777777">
      <w:pPr>
        <w:pStyle w:val="ListParagraph"/>
        <w:ind w:left="0"/>
        <w:rPr>
          <w:b/>
        </w:rPr>
      </w:pPr>
    </w:p>
    <w:p w:rsidRPr="00C86E91" w:rsidR="00C86E91" w:rsidP="00C86E91" w:rsidRDefault="00CB1078" w14:paraId="68554EA7" w14:textId="77777777">
      <w:pPr>
        <w:pStyle w:val="ListParagraph"/>
        <w:ind w:left="0"/>
        <w:rPr>
          <w:b/>
        </w:rPr>
      </w:pPr>
      <w:r>
        <w:rPr>
          <w:b/>
        </w:rPr>
        <w:t>Gifts or Payments</w:t>
      </w:r>
      <w:r w:rsidR="00C86E91">
        <w:rPr>
          <w:b/>
        </w:rPr>
        <w:t>:</w:t>
      </w:r>
    </w:p>
    <w:p w:rsidR="00C86E91" w:rsidP="00C86E91" w:rsidRDefault="00C86E91" w14:paraId="2BB75CCC" w14:textId="1A5D773C">
      <w:r>
        <w:t xml:space="preserve">Is an incentive (e.g., money or reimbursement of expenses, token of appreciation) provided to participants?  </w:t>
      </w:r>
      <w:proofErr w:type="gramStart"/>
      <w:r>
        <w:t>[  ]</w:t>
      </w:r>
      <w:proofErr w:type="gramEnd"/>
      <w:r>
        <w:t xml:space="preserve"> Yes [ </w:t>
      </w:r>
      <w:r w:rsidR="00325E7F">
        <w:t>X</w:t>
      </w:r>
      <w:r>
        <w:t xml:space="preserve">] No  </w:t>
      </w:r>
    </w:p>
    <w:p w:rsidR="00C86E91" w:rsidRDefault="00C86E91" w14:paraId="346FC8D0" w14:textId="77777777">
      <w:pPr>
        <w:rPr>
          <w:b/>
        </w:rPr>
      </w:pPr>
    </w:p>
    <w:p w:rsidR="00C86E91" w:rsidRDefault="00C86E91" w14:paraId="3F77B113" w14:textId="77777777">
      <w:pPr>
        <w:rPr>
          <w:b/>
        </w:rPr>
      </w:pPr>
    </w:p>
    <w:p w:rsidR="005E714A" w:rsidP="00C86E91" w:rsidRDefault="005E714A" w14:paraId="6DD0F3C0" w14:textId="77777777">
      <w:pPr>
        <w:rPr>
          <w:i/>
        </w:rPr>
      </w:pPr>
      <w:r>
        <w:rPr>
          <w:b/>
        </w:rPr>
        <w:t>BURDEN HOUR</w:t>
      </w:r>
      <w:r w:rsidR="00441434">
        <w:rPr>
          <w:b/>
        </w:rPr>
        <w:t>S</w:t>
      </w:r>
      <w:r>
        <w:t xml:space="preserve"> </w:t>
      </w:r>
    </w:p>
    <w:p w:rsidRPr="006832D9" w:rsidR="006832D9" w:rsidP="00F3170F" w:rsidRDefault="006832D9" w14:paraId="0424026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620"/>
        <w:gridCol w:w="2070"/>
        <w:gridCol w:w="1723"/>
      </w:tblGrid>
      <w:tr w:rsidR="00EF2095" w:rsidTr="008B2E1F" w14:paraId="0AAD7A50" w14:textId="77777777">
        <w:trPr>
          <w:trHeight w:val="827"/>
        </w:trPr>
        <w:tc>
          <w:tcPr>
            <w:tcW w:w="4248" w:type="dxa"/>
            <w:vAlign w:val="center"/>
          </w:tcPr>
          <w:p w:rsidRPr="008B2E1F" w:rsidR="006832D9" w:rsidP="008B2E1F" w:rsidRDefault="00E40B50" w14:paraId="747C70B2" w14:textId="77777777">
            <w:pPr>
              <w:rPr>
                <w:b/>
                <w:sz w:val="22"/>
                <w:szCs w:val="22"/>
              </w:rPr>
            </w:pPr>
            <w:r w:rsidRPr="008B2E1F">
              <w:rPr>
                <w:b/>
                <w:sz w:val="22"/>
                <w:szCs w:val="22"/>
              </w:rPr>
              <w:t>Category of Respondent</w:t>
            </w:r>
          </w:p>
        </w:tc>
        <w:tc>
          <w:tcPr>
            <w:tcW w:w="1620" w:type="dxa"/>
            <w:vAlign w:val="center"/>
          </w:tcPr>
          <w:p w:rsidRPr="008B2E1F" w:rsidR="006832D9" w:rsidP="008B2E1F" w:rsidRDefault="006832D9" w14:paraId="64FC499C" w14:textId="703811B5">
            <w:pPr>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r w:rsidR="001B3FD2">
              <w:rPr>
                <w:b/>
                <w:sz w:val="22"/>
                <w:szCs w:val="22"/>
              </w:rPr>
              <w:t xml:space="preserve"> (weekly)</w:t>
            </w:r>
          </w:p>
        </w:tc>
        <w:tc>
          <w:tcPr>
            <w:tcW w:w="2070" w:type="dxa"/>
            <w:vAlign w:val="center"/>
          </w:tcPr>
          <w:p w:rsidRPr="00CA71E5" w:rsidR="006832D9" w:rsidP="002430D9" w:rsidRDefault="006832D9" w14:paraId="3DA0C3B5" w14:textId="77777777">
            <w:pPr>
              <w:spacing w:after="60"/>
              <w:rPr>
                <w:b/>
                <w:sz w:val="22"/>
                <w:szCs w:val="22"/>
              </w:rPr>
            </w:pPr>
            <w:r w:rsidRPr="00CA71E5">
              <w:rPr>
                <w:b/>
                <w:sz w:val="22"/>
                <w:szCs w:val="22"/>
              </w:rPr>
              <w:t>Participation Time</w:t>
            </w:r>
          </w:p>
          <w:p w:rsidRPr="002430D9" w:rsidR="008B2E1F" w:rsidP="002430D9" w:rsidRDefault="008B2E1F" w14:paraId="5B80CF05" w14:textId="77777777">
            <w:pPr>
              <w:spacing w:after="60"/>
              <w:jc w:val="center"/>
              <w:rPr>
                <w:rFonts w:ascii="Arial" w:hAnsi="Arial" w:cs="Arial"/>
                <w:sz w:val="20"/>
                <w:szCs w:val="20"/>
              </w:rPr>
            </w:pPr>
            <w:proofErr w:type="gramStart"/>
            <w:r w:rsidRPr="002430D9">
              <w:rPr>
                <w:rFonts w:ascii="Arial" w:hAnsi="Arial" w:cs="Arial"/>
                <w:sz w:val="20"/>
                <w:szCs w:val="20"/>
              </w:rPr>
              <w:t xml:space="preserve">( </w:t>
            </w:r>
            <w:r w:rsidRPr="002430D9" w:rsidR="002430D9">
              <w:rPr>
                <w:rFonts w:ascii="Arial" w:hAnsi="Arial" w:cs="Arial"/>
                <w:sz w:val="20"/>
                <w:szCs w:val="20"/>
              </w:rPr>
              <w:t>X</w:t>
            </w:r>
            <w:proofErr w:type="gramEnd"/>
            <w:r w:rsidRPr="002430D9">
              <w:rPr>
                <w:rFonts w:ascii="Arial" w:hAnsi="Arial" w:cs="Arial"/>
                <w:sz w:val="20"/>
                <w:szCs w:val="20"/>
              </w:rPr>
              <w:t xml:space="preserve"> minutes =)</w:t>
            </w:r>
          </w:p>
        </w:tc>
        <w:tc>
          <w:tcPr>
            <w:tcW w:w="1723" w:type="dxa"/>
            <w:vAlign w:val="center"/>
          </w:tcPr>
          <w:p w:rsidRPr="00CA71E5" w:rsidR="006832D9" w:rsidP="002430D9" w:rsidRDefault="006832D9" w14:paraId="7792CB9A" w14:textId="77777777">
            <w:pPr>
              <w:spacing w:after="60"/>
              <w:jc w:val="center"/>
              <w:rPr>
                <w:b/>
                <w:sz w:val="22"/>
                <w:szCs w:val="22"/>
              </w:rPr>
            </w:pPr>
            <w:r w:rsidRPr="00CA71E5">
              <w:rPr>
                <w:b/>
                <w:sz w:val="22"/>
                <w:szCs w:val="22"/>
              </w:rPr>
              <w:t>Burden</w:t>
            </w:r>
          </w:p>
          <w:p w:rsidRPr="002430D9" w:rsidR="008B2E1F" w:rsidP="002430D9" w:rsidRDefault="008B2E1F" w14:paraId="5599DC83" w14:textId="77777777">
            <w:pPr>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8B2E1F" w14:paraId="17475A44" w14:textId="77777777">
        <w:trPr>
          <w:trHeight w:val="274"/>
        </w:trPr>
        <w:tc>
          <w:tcPr>
            <w:tcW w:w="4248" w:type="dxa"/>
          </w:tcPr>
          <w:p w:rsidR="006832D9" w:rsidP="00843796" w:rsidRDefault="008B2E1F" w14:paraId="3C3A180B" w14:textId="77777777">
            <w:r>
              <w:t>Individuals &amp; Households</w:t>
            </w:r>
          </w:p>
        </w:tc>
        <w:tc>
          <w:tcPr>
            <w:tcW w:w="1620" w:type="dxa"/>
          </w:tcPr>
          <w:p w:rsidRPr="0055291C" w:rsidR="006832D9" w:rsidP="008B2E1F" w:rsidRDefault="004C30F4" w14:paraId="1BB934B1" w14:textId="3F852ABF">
            <w:pPr>
              <w:jc w:val="center"/>
              <w:rPr>
                <w:b/>
                <w:color w:val="002060"/>
              </w:rPr>
            </w:pPr>
            <w:r>
              <w:rPr>
                <w:b/>
                <w:color w:val="002060"/>
              </w:rPr>
              <w:t>900</w:t>
            </w:r>
          </w:p>
        </w:tc>
        <w:tc>
          <w:tcPr>
            <w:tcW w:w="2070" w:type="dxa"/>
          </w:tcPr>
          <w:p w:rsidRPr="0055291C" w:rsidR="006832D9" w:rsidP="008B2E1F" w:rsidRDefault="00401A70" w14:paraId="2B2723D9" w14:textId="7AE9DEBE">
            <w:pPr>
              <w:jc w:val="center"/>
              <w:rPr>
                <w:b/>
                <w:color w:val="002060"/>
              </w:rPr>
            </w:pPr>
            <w:r>
              <w:rPr>
                <w:b/>
                <w:color w:val="002060"/>
              </w:rPr>
              <w:t>3</w:t>
            </w:r>
          </w:p>
        </w:tc>
        <w:tc>
          <w:tcPr>
            <w:tcW w:w="1723" w:type="dxa"/>
          </w:tcPr>
          <w:p w:rsidRPr="0055291C" w:rsidR="006832D9" w:rsidP="008B2E1F" w:rsidRDefault="005D6472" w14:paraId="1797027E" w14:textId="1406830F">
            <w:pPr>
              <w:jc w:val="center"/>
              <w:rPr>
                <w:b/>
                <w:color w:val="002060"/>
              </w:rPr>
            </w:pPr>
            <w:r>
              <w:rPr>
                <w:b/>
                <w:color w:val="002060"/>
              </w:rPr>
              <w:t>45</w:t>
            </w:r>
          </w:p>
        </w:tc>
      </w:tr>
      <w:tr w:rsidR="00EF2095" w:rsidTr="008B2E1F" w14:paraId="78CE9E5E" w14:textId="77777777">
        <w:trPr>
          <w:trHeight w:val="274"/>
        </w:trPr>
        <w:tc>
          <w:tcPr>
            <w:tcW w:w="4248" w:type="dxa"/>
          </w:tcPr>
          <w:p w:rsidR="006832D9" w:rsidP="002430D9" w:rsidRDefault="008B2E1F" w14:paraId="275EA8EA" w14:textId="77777777">
            <w:r>
              <w:t>VA Form</w:t>
            </w:r>
            <w:r w:rsidR="002430D9">
              <w:t xml:space="preserve"> </w:t>
            </w:r>
            <w:r w:rsidRPr="002430D9" w:rsidR="002430D9">
              <w:rPr>
                <w:i/>
              </w:rPr>
              <w:t>(if applicable)</w:t>
            </w:r>
            <w:r w:rsidRPr="002430D9" w:rsidR="00CA71E5">
              <w:rPr>
                <w:i/>
              </w:rPr>
              <w:t xml:space="preserve"> </w:t>
            </w:r>
          </w:p>
        </w:tc>
        <w:tc>
          <w:tcPr>
            <w:tcW w:w="1620" w:type="dxa"/>
          </w:tcPr>
          <w:p w:rsidRPr="0055291C" w:rsidR="006832D9" w:rsidP="00843796" w:rsidRDefault="006832D9" w14:paraId="7582D40C" w14:textId="77777777">
            <w:pPr>
              <w:rPr>
                <w:color w:val="002060"/>
              </w:rPr>
            </w:pPr>
          </w:p>
        </w:tc>
        <w:tc>
          <w:tcPr>
            <w:tcW w:w="2070" w:type="dxa"/>
          </w:tcPr>
          <w:p w:rsidRPr="0055291C" w:rsidR="006832D9" w:rsidP="00843796" w:rsidRDefault="006832D9" w14:paraId="370DD5A8" w14:textId="77777777">
            <w:pPr>
              <w:rPr>
                <w:color w:val="002060"/>
              </w:rPr>
            </w:pPr>
          </w:p>
        </w:tc>
        <w:tc>
          <w:tcPr>
            <w:tcW w:w="1723" w:type="dxa"/>
          </w:tcPr>
          <w:p w:rsidRPr="0055291C" w:rsidR="006832D9" w:rsidP="00843796" w:rsidRDefault="006832D9" w14:paraId="28CA6D44" w14:textId="77777777">
            <w:pPr>
              <w:rPr>
                <w:color w:val="002060"/>
              </w:rPr>
            </w:pPr>
          </w:p>
        </w:tc>
      </w:tr>
      <w:tr w:rsidR="00EF2095" w:rsidTr="008B2E1F" w14:paraId="67F9B858" w14:textId="77777777">
        <w:trPr>
          <w:trHeight w:val="289"/>
        </w:trPr>
        <w:tc>
          <w:tcPr>
            <w:tcW w:w="4248" w:type="dxa"/>
          </w:tcPr>
          <w:p w:rsidRPr="0001027E" w:rsidR="006832D9" w:rsidP="00843796" w:rsidRDefault="006832D9" w14:paraId="299E8618" w14:textId="77777777">
            <w:pPr>
              <w:rPr>
                <w:b/>
              </w:rPr>
            </w:pPr>
            <w:r w:rsidRPr="0001027E">
              <w:rPr>
                <w:b/>
              </w:rPr>
              <w:t>Totals</w:t>
            </w:r>
          </w:p>
        </w:tc>
        <w:tc>
          <w:tcPr>
            <w:tcW w:w="1620" w:type="dxa"/>
          </w:tcPr>
          <w:p w:rsidRPr="0055291C" w:rsidR="006832D9" w:rsidP="00843796" w:rsidRDefault="00667AC4" w14:paraId="418B09A1" w14:textId="38615602">
            <w:pPr>
              <w:rPr>
                <w:b/>
                <w:color w:val="002060"/>
              </w:rPr>
            </w:pPr>
            <w:r>
              <w:rPr>
                <w:b/>
                <w:color w:val="002060"/>
              </w:rPr>
              <w:t xml:space="preserve">        900</w:t>
            </w:r>
          </w:p>
        </w:tc>
        <w:tc>
          <w:tcPr>
            <w:tcW w:w="2070" w:type="dxa"/>
          </w:tcPr>
          <w:p w:rsidRPr="00667AC4" w:rsidR="006832D9" w:rsidP="00843796" w:rsidRDefault="00667AC4" w14:paraId="0DFD4733" w14:textId="7561AE75">
            <w:pPr>
              <w:rPr>
                <w:b/>
                <w:bCs/>
                <w:color w:val="002060"/>
              </w:rPr>
            </w:pPr>
            <w:r>
              <w:rPr>
                <w:color w:val="002060"/>
              </w:rPr>
              <w:t xml:space="preserve">              </w:t>
            </w:r>
            <w:r w:rsidRPr="00667AC4">
              <w:rPr>
                <w:b/>
                <w:bCs/>
                <w:color w:val="002060"/>
              </w:rPr>
              <w:t>3</w:t>
            </w:r>
          </w:p>
        </w:tc>
        <w:tc>
          <w:tcPr>
            <w:tcW w:w="1723" w:type="dxa"/>
          </w:tcPr>
          <w:p w:rsidRPr="0055291C" w:rsidR="006832D9" w:rsidP="00843796" w:rsidRDefault="00667AC4" w14:paraId="48A11D9C" w14:textId="287A5392">
            <w:pPr>
              <w:rPr>
                <w:b/>
                <w:color w:val="002060"/>
              </w:rPr>
            </w:pPr>
            <w:r>
              <w:rPr>
                <w:b/>
                <w:color w:val="002060"/>
              </w:rPr>
              <w:t xml:space="preserve">          45</w:t>
            </w:r>
          </w:p>
        </w:tc>
      </w:tr>
    </w:tbl>
    <w:p w:rsidR="00F3170F" w:rsidP="00F3170F" w:rsidRDefault="00F3170F" w14:paraId="7221FD87" w14:textId="77777777"/>
    <w:p w:rsidR="004F25D2" w:rsidP="00F06866" w:rsidRDefault="004F25D2" w14:paraId="1D082406" w14:textId="77777777">
      <w:pPr>
        <w:rPr>
          <w:b/>
          <w:bCs/>
          <w:u w:val="single"/>
        </w:rPr>
      </w:pPr>
      <w:r>
        <w:rPr>
          <w:b/>
          <w:bCs/>
          <w:u w:val="single"/>
        </w:rPr>
        <w:t>Please answer the following questions.</w:t>
      </w:r>
    </w:p>
    <w:p w:rsidR="004F25D2" w:rsidP="00F06866" w:rsidRDefault="004F25D2" w14:paraId="5C5AB6F2" w14:textId="77777777">
      <w:pPr>
        <w:rPr>
          <w:b/>
          <w:bCs/>
          <w:u w:val="single"/>
        </w:rPr>
      </w:pPr>
    </w:p>
    <w:p w:rsidR="006633E0" w:rsidP="006633E0" w:rsidRDefault="004F25D2" w14:paraId="1F2947AB" w14:textId="77777777">
      <w:pPr>
        <w:pStyle w:val="ListParagraph"/>
        <w:numPr>
          <w:ilvl w:val="0"/>
          <w:numId w:val="15"/>
        </w:numPr>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B77E6B" w:rsidRDefault="006633E0" w14:paraId="0DAF383A" w14:textId="6334528A">
      <w:pPr>
        <w:pStyle w:val="ListParagraph"/>
        <w:ind w:left="4680" w:firstLine="360"/>
      </w:pPr>
      <w:proofErr w:type="gramStart"/>
      <w:r>
        <w:t>[ ]</w:t>
      </w:r>
      <w:proofErr w:type="gramEnd"/>
      <w:r>
        <w:t xml:space="preserve"> Yes</w:t>
      </w:r>
      <w:r>
        <w:tab/>
        <w:t>[</w:t>
      </w:r>
      <w:r w:rsidR="00C72F86">
        <w:t>X</w:t>
      </w:r>
      <w:r>
        <w:t>] No</w:t>
      </w:r>
    </w:p>
    <w:p w:rsidR="00BD2FDE" w:rsidP="00BD2FDE" w:rsidRDefault="00BD2FDE" w14:paraId="160CB907" w14:textId="77777777">
      <w:pPr>
        <w:pStyle w:val="ListParagraph"/>
        <w:ind w:left="360"/>
      </w:pPr>
      <w:r>
        <w:t xml:space="preserve">If </w:t>
      </w:r>
      <w:r>
        <w:rPr>
          <w:u w:val="single"/>
        </w:rPr>
        <w:t>Yes</w:t>
      </w:r>
      <w:r>
        <w:t>, please answer questions 1a-1</w:t>
      </w:r>
      <w:r w:rsidR="00C668C3">
        <w:t>c, 2</w:t>
      </w:r>
      <w:r>
        <w:t xml:space="preserve"> </w:t>
      </w:r>
      <w:r w:rsidR="00C668C3">
        <w:t>and 3</w:t>
      </w:r>
      <w:r>
        <w:t>.</w:t>
      </w:r>
    </w:p>
    <w:p w:rsidR="006633E0" w:rsidP="006633E0" w:rsidRDefault="006633E0" w14:paraId="0122FE9D" w14:textId="77777777">
      <w:pPr>
        <w:pStyle w:val="ListParagraph"/>
        <w:ind w:left="360"/>
      </w:pPr>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633E0" w:rsidRDefault="006633E0" w14:paraId="368E81EF" w14:textId="77777777">
      <w:pPr>
        <w:pStyle w:val="ListParagraph"/>
        <w:numPr>
          <w:ilvl w:val="1"/>
          <w:numId w:val="15"/>
        </w:numPr>
      </w:pPr>
      <w:r>
        <w:t>Please provide a description of how you plan to identify your potential group of respondents and how you will select them.</w:t>
      </w:r>
    </w:p>
    <w:p w:rsidR="006633E0" w:rsidP="006633E0" w:rsidRDefault="006633E0" w14:paraId="141B90CF" w14:textId="77777777"/>
    <w:p w:rsidR="006633E0" w:rsidP="006633E0" w:rsidRDefault="006633E0" w14:paraId="004533EF" w14:textId="77777777"/>
    <w:p w:rsidR="006633E0" w:rsidP="00B77E6B" w:rsidRDefault="006633E0" w14:paraId="79E61407" w14:textId="77777777">
      <w:pPr>
        <w:pStyle w:val="ListParagraph"/>
        <w:numPr>
          <w:ilvl w:val="1"/>
          <w:numId w:val="15"/>
        </w:numPr>
      </w:pPr>
      <w:r>
        <w:t>How will you collect the information? (Check all that apply)</w:t>
      </w:r>
    </w:p>
    <w:p w:rsidR="006633E0" w:rsidP="006633E0" w:rsidRDefault="006633E0" w14:paraId="0A9B3B95" w14:textId="77777777">
      <w:pPr>
        <w:ind w:left="720"/>
      </w:pPr>
      <w:proofErr w:type="gramStart"/>
      <w:r>
        <w:t>[  ]</w:t>
      </w:r>
      <w:proofErr w:type="gramEnd"/>
      <w:r>
        <w:t xml:space="preserve"> Web-based or other forms of Social Media </w:t>
      </w:r>
    </w:p>
    <w:p w:rsidR="006633E0" w:rsidP="006633E0" w:rsidRDefault="006633E0" w14:paraId="00498419" w14:textId="77777777">
      <w:pPr>
        <w:ind w:left="720"/>
      </w:pPr>
      <w:proofErr w:type="gramStart"/>
      <w:r>
        <w:t>[  ]</w:t>
      </w:r>
      <w:proofErr w:type="gramEnd"/>
      <w:r>
        <w:t xml:space="preserve"> Telephone</w:t>
      </w:r>
      <w:r>
        <w:tab/>
      </w:r>
    </w:p>
    <w:p w:rsidR="006633E0" w:rsidP="006633E0" w:rsidRDefault="006633E0" w14:paraId="1F5D52B4" w14:textId="77777777">
      <w:pPr>
        <w:ind w:left="720"/>
      </w:pPr>
      <w:proofErr w:type="gramStart"/>
      <w:r>
        <w:t>[  ]</w:t>
      </w:r>
      <w:proofErr w:type="gramEnd"/>
      <w:r>
        <w:t xml:space="preserve"> In-person</w:t>
      </w:r>
      <w:r>
        <w:tab/>
      </w:r>
    </w:p>
    <w:p w:rsidR="006633E0" w:rsidP="006633E0" w:rsidRDefault="006633E0" w14:paraId="5A3A8FE5" w14:textId="77777777">
      <w:pPr>
        <w:ind w:left="720"/>
      </w:pPr>
      <w:proofErr w:type="gramStart"/>
      <w:r>
        <w:t>[  ]</w:t>
      </w:r>
      <w:proofErr w:type="gramEnd"/>
      <w:r>
        <w:t xml:space="preserve"> Mail </w:t>
      </w:r>
    </w:p>
    <w:p w:rsidR="006633E0" w:rsidP="006633E0" w:rsidRDefault="006633E0" w14:paraId="13AF1784" w14:textId="24FF4DAF">
      <w:pPr>
        <w:ind w:left="720"/>
      </w:pPr>
      <w:r>
        <w:t>[</w:t>
      </w:r>
      <w:r w:rsidR="007645CF">
        <w:t>X</w:t>
      </w:r>
      <w:r>
        <w:t>] Other</w:t>
      </w:r>
      <w:r w:rsidR="007645CF">
        <w:t xml:space="preserve">- E-mail-based surveys </w:t>
      </w:r>
    </w:p>
    <w:p w:rsidR="006633E0" w:rsidP="006633E0" w:rsidRDefault="006633E0" w14:paraId="3F25D5D4" w14:textId="77777777">
      <w:pPr>
        <w:ind w:left="720"/>
      </w:pPr>
    </w:p>
    <w:p w:rsidRPr="00C668C3" w:rsidR="006633E0" w:rsidP="00C668C3" w:rsidRDefault="006633E0" w14:paraId="29890CAB" w14:textId="7153F46F">
      <w:pPr>
        <w:pStyle w:val="ListParagraph"/>
        <w:numPr>
          <w:ilvl w:val="1"/>
          <w:numId w:val="15"/>
        </w:numPr>
        <w:rPr>
          <w:bCs/>
        </w:rPr>
      </w:pPr>
      <w:r>
        <w:t xml:space="preserve">Will interviewers or facilitators be used?  </w:t>
      </w:r>
      <w:proofErr w:type="gramStart"/>
      <w:r>
        <w:t>[  ]</w:t>
      </w:r>
      <w:proofErr w:type="gramEnd"/>
      <w:r>
        <w:t xml:space="preserve"> Yes [ </w:t>
      </w:r>
      <w:r w:rsidR="007645CF">
        <w:t>X</w:t>
      </w:r>
      <w:r>
        <w:t xml:space="preserve"> ] No</w:t>
      </w:r>
    </w:p>
    <w:p w:rsidRPr="00AF49D0" w:rsidR="00C668C3" w:rsidP="00B77E6B" w:rsidRDefault="00C668C3" w14:paraId="09B7D01F" w14:textId="77777777">
      <w:pPr>
        <w:pStyle w:val="ListParagraph"/>
        <w:ind w:left="1080"/>
        <w:rPr>
          <w:bCs/>
        </w:rPr>
      </w:pPr>
    </w:p>
    <w:p w:rsidR="006633E0" w:rsidP="006633E0" w:rsidRDefault="00C668C3" w14:paraId="6BB7DA20" w14:textId="3C1B1A56">
      <w:pPr>
        <w:pStyle w:val="ListParagraph"/>
        <w:numPr>
          <w:ilvl w:val="0"/>
          <w:numId w:val="15"/>
        </w:numPr>
      </w:pPr>
      <w:r>
        <w:t>Please provide</w:t>
      </w:r>
      <w:r w:rsidR="00E61DF2">
        <w:t xml:space="preserve"> an</w:t>
      </w:r>
      <w:r>
        <w:t xml:space="preserve"> estimated annual cost to the Federal government</w:t>
      </w:r>
      <w:r w:rsidR="00E61DF2">
        <w:t xml:space="preserve"> to conduct this data collection: </w:t>
      </w:r>
      <w:r>
        <w:t xml:space="preserve">  __</w:t>
      </w:r>
      <w:r w:rsidR="00770CD5">
        <w:t>$1</w:t>
      </w:r>
      <w:r w:rsidR="00A6112A">
        <w:t>3</w:t>
      </w:r>
      <w:r w:rsidR="00770CD5">
        <w:t>,000</w:t>
      </w:r>
      <w:r>
        <w:t>______</w:t>
      </w:r>
    </w:p>
    <w:p w:rsidR="00C668C3" w:rsidP="00B77E6B" w:rsidRDefault="00C668C3" w14:paraId="0737E58E" w14:textId="77777777">
      <w:pPr>
        <w:pStyle w:val="ListParagraph"/>
        <w:ind w:left="360"/>
      </w:pPr>
    </w:p>
    <w:p w:rsidRPr="00E814B6" w:rsidR="006633E0" w:rsidP="006633E0" w:rsidRDefault="00C668C3" w14:paraId="066E29AB" w14:textId="36AF7D7D">
      <w:pPr>
        <w:pStyle w:val="ListParagraph"/>
        <w:numPr>
          <w:ilvl w:val="0"/>
          <w:numId w:val="15"/>
        </w:numPr>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E814B6" w:rsidP="00E814B6" w:rsidRDefault="00E814B6" w14:paraId="6452F65D" w14:textId="77777777">
      <w:pPr>
        <w:pStyle w:val="ListParagraph"/>
      </w:pPr>
    </w:p>
    <w:p w:rsidRPr="00C668C3" w:rsidR="00E814B6" w:rsidP="00E814B6" w:rsidRDefault="00E814B6" w14:paraId="056DE766" w14:textId="1037CF5A">
      <w:pPr>
        <w:ind w:left="360"/>
      </w:pPr>
      <w:r>
        <w:t>-Done</w:t>
      </w:r>
    </w:p>
    <w:p w:rsidR="00C668C3" w:rsidP="00B77E6B" w:rsidRDefault="00C668C3" w14:paraId="4B41379F" w14:textId="77777777"/>
    <w:p w:rsidRPr="00B77E6B" w:rsidR="006633E0" w:rsidP="006633E0" w:rsidRDefault="00C668C3" w14:paraId="1FFFB8F0" w14:textId="77777777">
      <w:pPr>
        <w:pStyle w:val="ListParagraph"/>
        <w:numPr>
          <w:ilvl w:val="0"/>
          <w:numId w:val="15"/>
        </w:numPr>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668C3" w:rsidP="00B77E6B" w:rsidRDefault="00C668C3" w14:paraId="3066916D" w14:textId="481A6891"/>
    <w:p w:rsidR="00E814B6" w:rsidP="006331A3" w:rsidRDefault="006331A3" w14:paraId="382A6E59" w14:textId="6BE5419D">
      <w:pPr>
        <w:ind w:left="360"/>
      </w:pPr>
      <w:r>
        <w:t>-</w:t>
      </w:r>
      <w:r w:rsidRPr="00043946" w:rsidR="00043946">
        <w:t xml:space="preserve"> Please see Statistical Sample Plan in the Appendix.</w:t>
      </w:r>
    </w:p>
    <w:p w:rsidRPr="00E61DF2" w:rsidR="00E814B6" w:rsidP="00B77E6B" w:rsidRDefault="00E814B6" w14:paraId="5557167E" w14:textId="77777777"/>
    <w:p w:rsidRPr="00B77E6B" w:rsidR="00C668C3" w:rsidP="00C668C3" w:rsidRDefault="00C668C3" w14:paraId="69E5CBF3" w14:textId="77777777">
      <w:pPr>
        <w:pStyle w:val="ListParagraph"/>
        <w:numPr>
          <w:ilvl w:val="0"/>
          <w:numId w:val="15"/>
        </w:numPr>
      </w:pPr>
      <w:bookmarkStart w:name="_Hlk36821134" w:id="0"/>
      <w:r w:rsidRPr="00B77E6B">
        <w:t>Describe the procedures for the collection of information, including:</w:t>
      </w:r>
    </w:p>
    <w:p w:rsidRPr="00B77E6B" w:rsidR="00C668C3" w:rsidP="00C668C3" w:rsidRDefault="00C668C3" w14:paraId="2FCE22D0" w14:textId="77777777">
      <w:pPr>
        <w:pStyle w:val="ListParagraph"/>
        <w:numPr>
          <w:ilvl w:val="1"/>
          <w:numId w:val="15"/>
        </w:numPr>
      </w:pPr>
      <w:r w:rsidRPr="00B77E6B">
        <w:t>Statistical methodology for stratification and sample selection.</w:t>
      </w:r>
    </w:p>
    <w:p w:rsidRPr="00B77E6B" w:rsidR="00C668C3" w:rsidP="00C668C3" w:rsidRDefault="00C668C3" w14:paraId="121A50DE" w14:textId="77777777">
      <w:pPr>
        <w:pStyle w:val="ListParagraph"/>
        <w:numPr>
          <w:ilvl w:val="1"/>
          <w:numId w:val="15"/>
        </w:numPr>
      </w:pPr>
      <w:r w:rsidRPr="00B77E6B">
        <w:t>Estimation procedure.</w:t>
      </w:r>
    </w:p>
    <w:p w:rsidRPr="00B77E6B" w:rsidR="00C668C3" w:rsidP="00C668C3" w:rsidRDefault="00C668C3" w14:paraId="169D1D2F" w14:textId="77777777">
      <w:pPr>
        <w:pStyle w:val="ListParagraph"/>
        <w:numPr>
          <w:ilvl w:val="1"/>
          <w:numId w:val="15"/>
        </w:numPr>
      </w:pPr>
      <w:r w:rsidRPr="00B77E6B">
        <w:t>Degree of accuracy needed for the purpose described in the justification.</w:t>
      </w:r>
    </w:p>
    <w:p w:rsidRPr="00B77E6B" w:rsidR="00C668C3" w:rsidP="00C668C3" w:rsidRDefault="00C668C3" w14:paraId="247540F5" w14:textId="77777777">
      <w:pPr>
        <w:pStyle w:val="ListParagraph"/>
        <w:numPr>
          <w:ilvl w:val="1"/>
          <w:numId w:val="15"/>
        </w:numPr>
      </w:pPr>
      <w:r w:rsidRPr="00B77E6B">
        <w:t>Unusual problems requiring specialized sampling procedures.</w:t>
      </w:r>
    </w:p>
    <w:p w:rsidRPr="00B77E6B" w:rsidR="006633E0" w:rsidP="00C668C3" w:rsidRDefault="00C668C3" w14:paraId="4149C947" w14:textId="77777777">
      <w:pPr>
        <w:pStyle w:val="ListParagraph"/>
        <w:numPr>
          <w:ilvl w:val="1"/>
          <w:numId w:val="15"/>
        </w:numPr>
      </w:pPr>
      <w:r w:rsidRPr="00B77E6B">
        <w:t>Any use of periodic (less frequent than annual) data collection cycles to reduce burden.</w:t>
      </w:r>
    </w:p>
    <w:bookmarkEnd w:id="0"/>
    <w:p w:rsidRPr="00E61DF2" w:rsidR="00C668C3" w:rsidP="00B77E6B" w:rsidRDefault="00C668C3" w14:paraId="46BB6D34" w14:textId="77777777"/>
    <w:p w:rsidR="00C668C3" w:rsidP="00C668C3" w:rsidRDefault="00C668C3" w14:paraId="1F593783" w14:textId="460696CC">
      <w:pPr>
        <w:pStyle w:val="ListParagraph"/>
        <w:numPr>
          <w:ilvl w:val="0"/>
          <w:numId w:val="15"/>
        </w:numPr>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354C5" w:rsidP="0007737D" w:rsidRDefault="00C354C5" w14:paraId="05D3E262" w14:textId="4181D62B">
      <w:pPr>
        <w:pStyle w:val="ListParagraph"/>
        <w:ind w:left="360"/>
      </w:pPr>
    </w:p>
    <w:p w:rsidR="0007737D" w:rsidP="0007737D" w:rsidRDefault="0007737D" w14:paraId="2D020929" w14:textId="1CB6CA36">
      <w:pPr>
        <w:pStyle w:val="ListParagraph"/>
        <w:ind w:left="360"/>
      </w:pPr>
      <w:r w:rsidRPr="0007737D">
        <w:t>Please see Statistical Sample Plan in the Appendix.</w:t>
      </w:r>
    </w:p>
    <w:p w:rsidRPr="00B77E6B" w:rsidR="0007737D" w:rsidP="0007737D" w:rsidRDefault="0007737D" w14:paraId="515A70F5" w14:textId="77777777">
      <w:pPr>
        <w:pStyle w:val="ListParagraph"/>
        <w:ind w:left="360"/>
      </w:pPr>
    </w:p>
    <w:p w:rsidR="00C668C3" w:rsidP="00B77E6B" w:rsidRDefault="00C668C3" w14:paraId="3CB36B57" w14:textId="2B784E23">
      <w:pPr>
        <w:pStyle w:val="ListParagraph"/>
        <w:numPr>
          <w:ilvl w:val="0"/>
          <w:numId w:val="15"/>
        </w:numPr>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7737D" w:rsidP="0007737D" w:rsidRDefault="0007737D" w14:paraId="415A6A5C" w14:textId="32B72B77"/>
    <w:p w:rsidRPr="00E61DF2" w:rsidR="0007737D" w:rsidP="0007737D" w:rsidRDefault="0007737D" w14:paraId="380B3D5C" w14:textId="26E659ED">
      <w:r>
        <w:t xml:space="preserve">       Please see Statistical Sample Plan in the Appendix.</w:t>
      </w:r>
    </w:p>
    <w:p w:rsidRPr="00E61DF2" w:rsidR="00C668C3" w:rsidP="00C668C3" w:rsidRDefault="00C668C3" w14:paraId="4A29BEC6" w14:textId="77777777"/>
    <w:p w:rsidRPr="00E61DF2" w:rsidR="0069403B" w:rsidP="00E61DF2" w:rsidRDefault="00C668C3" w14:paraId="3E88876C" w14:textId="77777777">
      <w:pPr>
        <w:pStyle w:val="ListParagraph"/>
        <w:numPr>
          <w:ilvl w:val="0"/>
          <w:numId w:val="15"/>
        </w:numPr>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00E61DF2" w:rsidP="00B77E6B" w:rsidRDefault="00E61DF2" w14:paraId="6341BDE4" w14:textId="5141E1FC">
      <w:pPr>
        <w:pStyle w:val="ListParagraph"/>
        <w:ind w:left="360"/>
      </w:pPr>
    </w:p>
    <w:p w:rsidR="0032245E" w:rsidP="00B77E6B" w:rsidRDefault="00143AE8" w14:paraId="67876AF1" w14:textId="18CF726F">
      <w:pPr>
        <w:pStyle w:val="ListParagraph"/>
        <w:ind w:left="360"/>
      </w:pPr>
      <w:r>
        <w:t>Statistical Aspects: Michael Jacobsen, Statistician, Veterans Experience Office, VA. (517)</w:t>
      </w:r>
      <w:r w:rsidR="001B00B5">
        <w:t xml:space="preserve"> </w:t>
      </w:r>
      <w:r w:rsidRPr="001B00B5" w:rsidR="001B00B5">
        <w:t>896-0441</w:t>
      </w:r>
    </w:p>
    <w:p w:rsidR="003C4458" w:rsidP="00B77E6B" w:rsidRDefault="003C4458" w14:paraId="6965D201" w14:textId="62BCFE64">
      <w:pPr>
        <w:pStyle w:val="ListParagraph"/>
        <w:ind w:left="360"/>
      </w:pPr>
      <w:r>
        <w:t xml:space="preserve">Collection and </w:t>
      </w:r>
      <w:r w:rsidR="00795EDB">
        <w:t>A</w:t>
      </w:r>
      <w:r>
        <w:t xml:space="preserve">nalysis: Evan Albert, </w:t>
      </w:r>
      <w:r w:rsidR="00DF616F">
        <w:t>Director of Measurement and Data Analytics</w:t>
      </w:r>
      <w:r w:rsidR="0076375B">
        <w:t xml:space="preserve">, Veterans Experience Office, VA </w:t>
      </w:r>
      <w:r w:rsidR="00DF616F">
        <w:t>(202) 461-6729</w:t>
      </w:r>
    </w:p>
    <w:p w:rsidR="00DF616F" w:rsidP="00B77E6B" w:rsidRDefault="00DF616F" w14:paraId="1B94E395" w14:textId="2DE3151D">
      <w:pPr>
        <w:pStyle w:val="ListParagraph"/>
        <w:ind w:left="360"/>
      </w:pPr>
      <w:r>
        <w:t xml:space="preserve">                                       Vesta Gueschkova, </w:t>
      </w:r>
      <w:r w:rsidR="0076375B">
        <w:t>Management Analyst (Data Scientist), Veterans Experience Office, VA (</w:t>
      </w:r>
      <w:r w:rsidRPr="007207EB" w:rsidR="007207EB">
        <w:t>813</w:t>
      </w:r>
      <w:r w:rsidR="007207EB">
        <w:t xml:space="preserve">) </w:t>
      </w:r>
      <w:r w:rsidRPr="007207EB" w:rsidR="007207EB">
        <w:t>334-4798</w:t>
      </w:r>
    </w:p>
    <w:p w:rsidR="00FD360F" w:rsidP="00B77E6B" w:rsidRDefault="00FD360F" w14:paraId="7BADCAE7" w14:textId="2C2874A6">
      <w:pPr>
        <w:pStyle w:val="ListParagraph"/>
        <w:ind w:left="360"/>
      </w:pPr>
      <w:r>
        <w:t xml:space="preserve">                                        Brianne Ogilvie, Deputy Director, Appeals Management Office, VA, </w:t>
      </w:r>
      <w:r w:rsidR="00281FCB">
        <w:t>(202) 530-9184</w:t>
      </w:r>
    </w:p>
    <w:p w:rsidR="0032245E" w:rsidP="00B77E6B" w:rsidRDefault="0032245E" w14:paraId="1E7C0571" w14:textId="2C5E52BC">
      <w:pPr>
        <w:pStyle w:val="ListParagraph"/>
        <w:ind w:left="360"/>
      </w:pPr>
    </w:p>
    <w:p w:rsidRPr="00D80208" w:rsidR="000550DA" w:rsidP="00B77E6B" w:rsidRDefault="000550DA" w14:paraId="3998BDC7" w14:textId="33B56013">
      <w:pPr>
        <w:pStyle w:val="ListParagraph"/>
        <w:ind w:left="360"/>
        <w:rPr>
          <w:b/>
          <w:bCs/>
          <w:color w:val="FF0000"/>
          <w:u w:val="single"/>
        </w:rPr>
      </w:pPr>
    </w:p>
    <w:p w:rsidR="000550DA" w:rsidP="00D80208" w:rsidRDefault="00D80208" w14:paraId="50337824" w14:textId="7BCF3409">
      <w:pPr>
        <w:pStyle w:val="ListParagraph"/>
        <w:ind w:left="6120"/>
      </w:pPr>
      <w:bookmarkStart w:name="_GoBack" w:id="1"/>
      <w:bookmarkEnd w:id="1"/>
      <w:r w:rsidRPr="00D80208">
        <w:rPr>
          <w:b/>
          <w:bCs/>
          <w:color w:val="FF0000"/>
          <w:u w:val="single"/>
        </w:rPr>
        <w:t>APPENDIX- STATISTICAL SAMPLE PLAN</w:t>
      </w:r>
    </w:p>
    <w:p w:rsidR="00D80208" w:rsidP="00B77E6B" w:rsidRDefault="00D80208" w14:paraId="570C3B00" w14:textId="77777777">
      <w:pPr>
        <w:pStyle w:val="ListParagraph"/>
        <w:ind w:left="360"/>
      </w:pPr>
    </w:p>
    <w:p w:rsidR="000550DA" w:rsidP="00B77E6B" w:rsidRDefault="000550DA" w14:paraId="27C632DF" w14:textId="799A5153">
      <w:pPr>
        <w:pStyle w:val="ListParagraph"/>
        <w:ind w:left="360"/>
      </w:pPr>
    </w:p>
    <w:p w:rsidR="000550DA" w:rsidP="00B77E6B" w:rsidRDefault="000550DA" w14:paraId="302EE5D3" w14:textId="12338F1F">
      <w:pPr>
        <w:pStyle w:val="ListParagraph"/>
        <w:ind w:left="360"/>
      </w:pPr>
    </w:p>
    <w:p w:rsidRPr="00C85DEE" w:rsidR="00A7228C" w:rsidP="00A7228C" w:rsidRDefault="00A7228C" w14:paraId="1C6D286D" w14:textId="77777777">
      <w:pPr>
        <w:pStyle w:val="Title"/>
        <w:outlineLvl w:val="9"/>
        <w:rPr>
          <w:rStyle w:val="GridTable1Light1"/>
          <w:rFonts w:ascii="Times New Roman" w:hAnsi="Times New Roman"/>
          <w:b/>
        </w:rPr>
      </w:pPr>
      <w:r>
        <w:rPr>
          <w:rStyle w:val="GridTable1Light1"/>
          <w:rFonts w:ascii="Times New Roman" w:hAnsi="Times New Roman"/>
          <w:b/>
        </w:rPr>
        <w:t xml:space="preserve">  </w:t>
      </w:r>
      <w:bookmarkStart w:name="_Toc478120906" w:id="2"/>
      <w:bookmarkStart w:name="_Toc478123129" w:id="3"/>
      <w:r w:rsidRPr="00C85DEE">
        <w:rPr>
          <w:rFonts w:ascii="Times New Roman" w:hAnsi="Times New Roman"/>
          <w:noProof/>
        </w:rPr>
        <w:drawing>
          <wp:inline distT="0" distB="0" distL="0" distR="0" wp14:anchorId="4608AB16" wp14:editId="55983565">
            <wp:extent cx="1729740" cy="1729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rsidRPr="005C3F8D" w:rsidR="00A7228C" w:rsidP="00A7228C" w:rsidRDefault="00A7228C" w14:paraId="22B49280" w14:textId="77777777">
      <w:pPr>
        <w:pStyle w:val="Title"/>
        <w:outlineLvl w:val="9"/>
        <w:rPr>
          <w:rStyle w:val="GridTable1Light1"/>
          <w:rFonts w:ascii="Times New Roman" w:hAnsi="Times New Roman"/>
          <w:i w:val="0"/>
          <w:sz w:val="52"/>
          <w:szCs w:val="56"/>
        </w:rPr>
      </w:pPr>
      <w:bookmarkStart w:name="_Toc478120907" w:id="4"/>
      <w:bookmarkStart w:name="_Toc478123130" w:id="5"/>
      <w:bookmarkEnd w:id="2"/>
      <w:bookmarkEnd w:id="3"/>
      <w:r w:rsidRPr="008D6328">
        <w:rPr>
          <w:rStyle w:val="GridTable1Light1"/>
          <w:rFonts w:ascii="Times New Roman" w:hAnsi="Times New Roman"/>
          <w:sz w:val="52"/>
        </w:rPr>
        <w:t xml:space="preserve">Appeals Management Office </w:t>
      </w:r>
    </w:p>
    <w:p w:rsidRPr="00C85DEE" w:rsidR="00A7228C" w:rsidP="00A7228C" w:rsidRDefault="00A7228C" w14:paraId="0464F51F" w14:textId="77777777">
      <w:pPr>
        <w:jc w:val="center"/>
        <w:rPr>
          <w:sz w:val="56"/>
          <w:szCs w:val="56"/>
        </w:rPr>
      </w:pPr>
      <w:r>
        <w:rPr>
          <w:rStyle w:val="GridTable1Light1"/>
          <w:spacing w:val="-10"/>
          <w:sz w:val="52"/>
        </w:rPr>
        <w:t xml:space="preserve">Longitudinal </w:t>
      </w:r>
      <w:r w:rsidRPr="008D6328">
        <w:rPr>
          <w:rStyle w:val="GridTable1Light1"/>
          <w:spacing w:val="-10"/>
          <w:sz w:val="52"/>
        </w:rPr>
        <w:t>Survey Sampling Methodology Report</w:t>
      </w:r>
      <w:bookmarkEnd w:id="4"/>
      <w:bookmarkEnd w:id="5"/>
      <w:r w:rsidRPr="00C85DEE">
        <w:rPr>
          <w:sz w:val="56"/>
          <w:szCs w:val="56"/>
        </w:rPr>
        <w:t xml:space="preserve">  </w:t>
      </w:r>
    </w:p>
    <w:p w:rsidRPr="00C85DEE" w:rsidR="00A7228C" w:rsidP="00A7228C" w:rsidRDefault="00A7228C" w14:paraId="301C57B7" w14:textId="77777777">
      <w:pPr>
        <w:spacing w:before="100" w:beforeAutospacing="1" w:after="100" w:afterAutospacing="1"/>
        <w:ind w:firstLine="720"/>
        <w:jc w:val="center"/>
        <w:rPr>
          <w:sz w:val="36"/>
          <w:szCs w:val="36"/>
        </w:rPr>
      </w:pPr>
      <w:r w:rsidRPr="00C85DEE">
        <w:rPr>
          <w:sz w:val="36"/>
          <w:szCs w:val="36"/>
        </w:rPr>
        <w:t>Prepared by</w:t>
      </w:r>
    </w:p>
    <w:p w:rsidRPr="00C85DEE" w:rsidR="00A7228C" w:rsidP="00A7228C" w:rsidRDefault="00A7228C" w14:paraId="4A5DDCD3" w14:textId="77777777">
      <w:pPr>
        <w:spacing w:before="100" w:beforeAutospacing="1" w:after="100" w:afterAutospacing="1"/>
        <w:ind w:firstLine="720"/>
        <w:jc w:val="center"/>
        <w:rPr>
          <w:sz w:val="36"/>
          <w:szCs w:val="36"/>
        </w:rPr>
      </w:pPr>
      <w:r>
        <w:rPr>
          <w:sz w:val="36"/>
          <w:szCs w:val="36"/>
        </w:rPr>
        <w:t>the</w:t>
      </w:r>
    </w:p>
    <w:p w:rsidRPr="00C85DEE" w:rsidR="00A7228C" w:rsidP="00A7228C" w:rsidRDefault="00A7228C" w14:paraId="0DED6039" w14:textId="77777777">
      <w:pPr>
        <w:spacing w:before="100" w:beforeAutospacing="1" w:after="100" w:afterAutospacing="1"/>
        <w:ind w:firstLine="720"/>
        <w:jc w:val="center"/>
        <w:rPr>
          <w:sz w:val="36"/>
          <w:szCs w:val="36"/>
        </w:rPr>
      </w:pPr>
      <w:r w:rsidRPr="00C85DEE">
        <w:rPr>
          <w:sz w:val="36"/>
          <w:szCs w:val="36"/>
        </w:rPr>
        <w:t>Veteran</w:t>
      </w:r>
      <w:r>
        <w:rPr>
          <w:sz w:val="36"/>
          <w:szCs w:val="36"/>
        </w:rPr>
        <w:t>s</w:t>
      </w:r>
      <w:r w:rsidRPr="00C85DEE">
        <w:rPr>
          <w:sz w:val="36"/>
          <w:szCs w:val="36"/>
        </w:rPr>
        <w:t xml:space="preserve"> Experience Office</w:t>
      </w:r>
    </w:p>
    <w:p w:rsidRPr="00C85DEE" w:rsidR="00A7228C" w:rsidP="00A7228C" w:rsidRDefault="00A7228C" w14:paraId="66912ED1" w14:textId="77777777">
      <w:pPr>
        <w:spacing w:before="100" w:beforeAutospacing="1" w:after="100" w:afterAutospacing="1"/>
        <w:ind w:firstLine="720"/>
        <w:jc w:val="center"/>
        <w:rPr>
          <w:sz w:val="30"/>
          <w:szCs w:val="30"/>
        </w:rPr>
      </w:pPr>
      <w:r w:rsidRPr="00C85DEE">
        <w:rPr>
          <w:sz w:val="30"/>
          <w:szCs w:val="30"/>
        </w:rPr>
        <w:t xml:space="preserve">Version </w:t>
      </w:r>
      <w:r>
        <w:rPr>
          <w:sz w:val="30"/>
          <w:szCs w:val="30"/>
        </w:rPr>
        <w:t>2.</w:t>
      </w:r>
      <w:r w:rsidRPr="00C85DEE">
        <w:rPr>
          <w:sz w:val="30"/>
          <w:szCs w:val="30"/>
        </w:rPr>
        <w:t xml:space="preserve"> </w:t>
      </w:r>
      <w:r>
        <w:rPr>
          <w:sz w:val="30"/>
          <w:szCs w:val="30"/>
        </w:rPr>
        <w:t>December 12, 2019</w:t>
      </w:r>
    </w:p>
    <w:p w:rsidRPr="00C85DEE" w:rsidR="00A7228C" w:rsidP="00A7228C" w:rsidRDefault="00A7228C" w14:paraId="6ABDE609" w14:textId="77777777">
      <w:pPr>
        <w:jc w:val="center"/>
        <w:rPr>
          <w:sz w:val="26"/>
          <w:szCs w:val="26"/>
        </w:rPr>
      </w:pPr>
    </w:p>
    <w:p w:rsidRPr="00C85DEE" w:rsidR="00A7228C" w:rsidP="00A7228C" w:rsidRDefault="00A7228C" w14:paraId="122EC682" w14:textId="77777777"/>
    <w:p w:rsidRPr="00C85DEE" w:rsidR="00A7228C" w:rsidP="00A7228C" w:rsidRDefault="00A7228C" w14:paraId="27821789"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t>Contents</w:t>
      </w:r>
    </w:p>
    <w:p w:rsidR="00A7228C" w:rsidP="00A7228C" w:rsidRDefault="00A7228C" w14:paraId="44CD9FFC" w14:textId="77777777">
      <w:pPr>
        <w:pStyle w:val="TOC1"/>
        <w:rPr>
          <w:rFonts w:asciiTheme="minorHAnsi" w:hAnsiTheme="minorHAnsi" w:eastAsiaTheme="minorEastAsia" w:cstheme="minorBidi"/>
          <w:noProof/>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17919972">
        <w:r w:rsidRPr="0065552B">
          <w:rPr>
            <w:rStyle w:val="Hyperlink"/>
            <w:rFonts w:ascii="Times New Roman" w:hAnsi="Times New Roman"/>
            <w:noProof/>
          </w:rPr>
          <w:t>Executive Summary</w:t>
        </w:r>
        <w:r>
          <w:rPr>
            <w:noProof/>
            <w:webHidden/>
          </w:rPr>
          <w:tab/>
        </w:r>
        <w:r w:rsidRPr="00B47EE6">
          <w:rPr>
            <w:rFonts w:ascii="Times New Roman" w:hAnsi="Times New Roman"/>
            <w:webHidden/>
          </w:rPr>
          <w:fldChar w:fldCharType="begin"/>
        </w:r>
        <w:r>
          <w:rPr>
            <w:noProof/>
            <w:webHidden/>
          </w:rPr>
          <w:instrText xml:space="preserve"> PAGEREF _Toc17919972 \h </w:instrText>
        </w:r>
        <w:r w:rsidRPr="00B47EE6">
          <w:rPr>
            <w:rFonts w:ascii="Times New Roman" w:hAnsi="Times New Roman"/>
            <w:webHidden/>
          </w:rPr>
        </w:r>
        <w:r w:rsidRPr="00B47EE6">
          <w:rPr>
            <w:rFonts w:ascii="Times New Roman" w:hAnsi="Times New Roman"/>
            <w:webHidden/>
          </w:rPr>
          <w:fldChar w:fldCharType="separate"/>
        </w:r>
        <w:r>
          <w:rPr>
            <w:noProof/>
            <w:webHidden/>
          </w:rPr>
          <w:t>3</w:t>
        </w:r>
        <w:r w:rsidRPr="00B47EE6">
          <w:rPr>
            <w:rFonts w:ascii="Times New Roman" w:hAnsi="Times New Roman"/>
            <w:webHidden/>
          </w:rPr>
          <w:fldChar w:fldCharType="end"/>
        </w:r>
      </w:hyperlink>
    </w:p>
    <w:p w:rsidR="00A7228C" w:rsidP="00A7228C" w:rsidRDefault="00A7228C" w14:paraId="1F7F6FC0" w14:textId="77777777">
      <w:pPr>
        <w:pStyle w:val="TOC1"/>
        <w:rPr>
          <w:rFonts w:asciiTheme="minorHAnsi" w:hAnsiTheme="minorHAnsi" w:eastAsiaTheme="minorEastAsia" w:cstheme="minorBidi"/>
          <w:noProof/>
        </w:rPr>
      </w:pPr>
      <w:hyperlink w:history="1" w:anchor="_Toc17919973">
        <w:r w:rsidRPr="0065552B">
          <w:rPr>
            <w:rStyle w:val="Hyperlink"/>
            <w:rFonts w:ascii="Times New Roman" w:hAnsi="Times New Roman"/>
            <w:noProof/>
          </w:rPr>
          <w:t>Part I – Introduction</w:t>
        </w:r>
        <w:r>
          <w:rPr>
            <w:noProof/>
            <w:webHidden/>
          </w:rPr>
          <w:tab/>
        </w:r>
        <w:r w:rsidRPr="00B47EE6">
          <w:rPr>
            <w:rFonts w:ascii="Times New Roman" w:hAnsi="Times New Roman"/>
            <w:webHidden/>
          </w:rPr>
          <w:fldChar w:fldCharType="begin"/>
        </w:r>
        <w:r>
          <w:rPr>
            <w:noProof/>
            <w:webHidden/>
          </w:rPr>
          <w:instrText xml:space="preserve"> PAGEREF _Toc17919973 \h </w:instrText>
        </w:r>
        <w:r w:rsidRPr="00B47EE6">
          <w:rPr>
            <w:rFonts w:ascii="Times New Roman" w:hAnsi="Times New Roman"/>
            <w:webHidden/>
          </w:rPr>
        </w:r>
        <w:r w:rsidRPr="00B47EE6">
          <w:rPr>
            <w:rFonts w:ascii="Times New Roman" w:hAnsi="Times New Roman"/>
            <w:webHidden/>
          </w:rPr>
          <w:fldChar w:fldCharType="separate"/>
        </w:r>
        <w:r>
          <w:rPr>
            <w:noProof/>
            <w:webHidden/>
          </w:rPr>
          <w:t>4</w:t>
        </w:r>
        <w:r w:rsidRPr="00B47EE6">
          <w:rPr>
            <w:rFonts w:ascii="Times New Roman" w:hAnsi="Times New Roman"/>
            <w:webHidden/>
          </w:rPr>
          <w:fldChar w:fldCharType="end"/>
        </w:r>
      </w:hyperlink>
    </w:p>
    <w:p w:rsidR="00A7228C" w:rsidP="00A7228C" w:rsidRDefault="00A7228C" w14:paraId="76EECD1F" w14:textId="77777777">
      <w:pPr>
        <w:pStyle w:val="TOC2"/>
        <w:rPr>
          <w:rFonts w:asciiTheme="minorHAnsi" w:hAnsiTheme="minorHAnsi" w:eastAsiaTheme="minorEastAsia" w:cstheme="minorBidi"/>
          <w:noProof/>
        </w:rPr>
      </w:pPr>
      <w:hyperlink w:history="1" w:anchor="_Toc17919974">
        <w:r w:rsidRPr="0065552B">
          <w:rPr>
            <w:rStyle w:val="Hyperlink"/>
            <w:rFonts w:ascii="Times New Roman" w:hAnsi="Times New Roman"/>
            <w:noProof/>
          </w:rPr>
          <w:t>A. Background</w:t>
        </w:r>
        <w:r>
          <w:rPr>
            <w:noProof/>
            <w:webHidden/>
          </w:rPr>
          <w:tab/>
        </w:r>
        <w:r w:rsidRPr="00B47EE6">
          <w:rPr>
            <w:rFonts w:ascii="Times New Roman" w:hAnsi="Times New Roman"/>
            <w:webHidden/>
          </w:rPr>
          <w:fldChar w:fldCharType="begin"/>
        </w:r>
        <w:r>
          <w:rPr>
            <w:noProof/>
            <w:webHidden/>
          </w:rPr>
          <w:instrText xml:space="preserve"> PAGEREF _Toc17919974 \h </w:instrText>
        </w:r>
        <w:r w:rsidRPr="00B47EE6">
          <w:rPr>
            <w:rFonts w:ascii="Times New Roman" w:hAnsi="Times New Roman"/>
            <w:webHidden/>
          </w:rPr>
        </w:r>
        <w:r w:rsidRPr="00B47EE6">
          <w:rPr>
            <w:rFonts w:ascii="Times New Roman" w:hAnsi="Times New Roman"/>
            <w:webHidden/>
          </w:rPr>
          <w:fldChar w:fldCharType="separate"/>
        </w:r>
        <w:r>
          <w:rPr>
            <w:noProof/>
            <w:webHidden/>
          </w:rPr>
          <w:t>4</w:t>
        </w:r>
        <w:r w:rsidRPr="00B47EE6">
          <w:rPr>
            <w:rFonts w:ascii="Times New Roman" w:hAnsi="Times New Roman"/>
            <w:webHidden/>
          </w:rPr>
          <w:fldChar w:fldCharType="end"/>
        </w:r>
      </w:hyperlink>
    </w:p>
    <w:p w:rsidR="00A7228C" w:rsidP="00A7228C" w:rsidRDefault="00A7228C" w14:paraId="42401D31" w14:textId="77777777">
      <w:pPr>
        <w:pStyle w:val="TOC2"/>
        <w:rPr>
          <w:rFonts w:asciiTheme="minorHAnsi" w:hAnsiTheme="minorHAnsi" w:eastAsiaTheme="minorEastAsia" w:cstheme="minorBidi"/>
          <w:noProof/>
        </w:rPr>
      </w:pPr>
      <w:hyperlink w:history="1" w:anchor="_Toc17919975">
        <w:r w:rsidRPr="0065552B">
          <w:rPr>
            <w:rStyle w:val="Hyperlink"/>
            <w:rFonts w:ascii="Times New Roman" w:hAnsi="Times New Roman"/>
            <w:noProof/>
          </w:rPr>
          <w:t>B. Basic Definitions</w:t>
        </w:r>
        <w:r>
          <w:rPr>
            <w:noProof/>
            <w:webHidden/>
          </w:rPr>
          <w:tab/>
        </w:r>
        <w:r w:rsidRPr="00B47EE6">
          <w:rPr>
            <w:rFonts w:ascii="Times New Roman" w:hAnsi="Times New Roman"/>
            <w:webHidden/>
          </w:rPr>
          <w:fldChar w:fldCharType="begin"/>
        </w:r>
        <w:r>
          <w:rPr>
            <w:noProof/>
            <w:webHidden/>
          </w:rPr>
          <w:instrText xml:space="preserve"> PAGEREF _Toc17919975 \h </w:instrText>
        </w:r>
        <w:r w:rsidRPr="00B47EE6">
          <w:rPr>
            <w:rFonts w:ascii="Times New Roman" w:hAnsi="Times New Roman"/>
            <w:webHidden/>
          </w:rPr>
        </w:r>
        <w:r w:rsidRPr="00B47EE6">
          <w:rPr>
            <w:rFonts w:ascii="Times New Roman" w:hAnsi="Times New Roman"/>
            <w:webHidden/>
          </w:rPr>
          <w:fldChar w:fldCharType="separate"/>
        </w:r>
        <w:r>
          <w:rPr>
            <w:noProof/>
            <w:webHidden/>
          </w:rPr>
          <w:t>5</w:t>
        </w:r>
        <w:r w:rsidRPr="00B47EE6">
          <w:rPr>
            <w:rFonts w:ascii="Times New Roman" w:hAnsi="Times New Roman"/>
            <w:webHidden/>
          </w:rPr>
          <w:fldChar w:fldCharType="end"/>
        </w:r>
      </w:hyperlink>
    </w:p>
    <w:p w:rsidR="00A7228C" w:rsidP="00A7228C" w:rsidRDefault="00A7228C" w14:paraId="30ACAF41" w14:textId="77777777">
      <w:pPr>
        <w:pStyle w:val="TOC2"/>
        <w:rPr>
          <w:rFonts w:asciiTheme="minorHAnsi" w:hAnsiTheme="minorHAnsi" w:eastAsiaTheme="minorEastAsia" w:cstheme="minorBidi"/>
          <w:noProof/>
        </w:rPr>
      </w:pPr>
      <w:hyperlink w:history="1" w:anchor="_Toc17919976">
        <w:r w:rsidRPr="0065552B">
          <w:rPr>
            <w:rStyle w:val="Hyperlink"/>
            <w:rFonts w:ascii="Times New Roman" w:hAnsi="Times New Roman"/>
            <w:noProof/>
          </w:rPr>
          <w:t>C. Application to Veterans Affairs</w:t>
        </w:r>
        <w:r>
          <w:rPr>
            <w:noProof/>
            <w:webHidden/>
          </w:rPr>
          <w:tab/>
        </w:r>
        <w:r w:rsidRPr="00B47EE6">
          <w:rPr>
            <w:rFonts w:ascii="Times New Roman" w:hAnsi="Times New Roman"/>
            <w:webHidden/>
          </w:rPr>
          <w:fldChar w:fldCharType="begin"/>
        </w:r>
        <w:r>
          <w:rPr>
            <w:noProof/>
            <w:webHidden/>
          </w:rPr>
          <w:instrText xml:space="preserve"> PAGEREF _Toc17919976 \h </w:instrText>
        </w:r>
        <w:r w:rsidRPr="00B47EE6">
          <w:rPr>
            <w:rFonts w:ascii="Times New Roman" w:hAnsi="Times New Roman"/>
            <w:webHidden/>
          </w:rPr>
        </w:r>
        <w:r w:rsidRPr="00B47EE6">
          <w:rPr>
            <w:rFonts w:ascii="Times New Roman" w:hAnsi="Times New Roman"/>
            <w:webHidden/>
          </w:rPr>
          <w:fldChar w:fldCharType="separate"/>
        </w:r>
        <w:r>
          <w:rPr>
            <w:noProof/>
            <w:webHidden/>
          </w:rPr>
          <w:t>5</w:t>
        </w:r>
        <w:r w:rsidRPr="00B47EE6">
          <w:rPr>
            <w:rFonts w:ascii="Times New Roman" w:hAnsi="Times New Roman"/>
            <w:webHidden/>
          </w:rPr>
          <w:fldChar w:fldCharType="end"/>
        </w:r>
      </w:hyperlink>
    </w:p>
    <w:p w:rsidR="00A7228C" w:rsidP="00A7228C" w:rsidRDefault="00A7228C" w14:paraId="6BCC0AE8" w14:textId="77777777">
      <w:pPr>
        <w:pStyle w:val="TOC1"/>
        <w:rPr>
          <w:rFonts w:asciiTheme="minorHAnsi" w:hAnsiTheme="minorHAnsi" w:eastAsiaTheme="minorEastAsia" w:cstheme="minorBidi"/>
          <w:noProof/>
        </w:rPr>
      </w:pPr>
      <w:hyperlink w:history="1" w:anchor="_Toc17919977">
        <w:r w:rsidRPr="0065552B">
          <w:rPr>
            <w:rStyle w:val="Hyperlink"/>
            <w:rFonts w:ascii="Times New Roman" w:hAnsi="Times New Roman"/>
            <w:noProof/>
          </w:rPr>
          <w:t>Part II – Methodology</w:t>
        </w:r>
        <w:r>
          <w:rPr>
            <w:noProof/>
            <w:webHidden/>
          </w:rPr>
          <w:tab/>
        </w:r>
        <w:r w:rsidRPr="00B47EE6">
          <w:rPr>
            <w:rFonts w:ascii="Times New Roman" w:hAnsi="Times New Roman"/>
            <w:webHidden/>
          </w:rPr>
          <w:fldChar w:fldCharType="begin"/>
        </w:r>
        <w:r>
          <w:rPr>
            <w:noProof/>
            <w:webHidden/>
          </w:rPr>
          <w:instrText xml:space="preserve"> PAGEREF _Toc17919977 \h </w:instrText>
        </w:r>
        <w:r w:rsidRPr="00B47EE6">
          <w:rPr>
            <w:rFonts w:ascii="Times New Roman" w:hAnsi="Times New Roman"/>
            <w:webHidden/>
          </w:rPr>
        </w:r>
        <w:r w:rsidRPr="00B47EE6">
          <w:rPr>
            <w:rFonts w:ascii="Times New Roman" w:hAnsi="Times New Roman"/>
            <w:webHidden/>
          </w:rPr>
          <w:fldChar w:fldCharType="separate"/>
        </w:r>
        <w:r>
          <w:rPr>
            <w:noProof/>
            <w:webHidden/>
          </w:rPr>
          <w:t>5</w:t>
        </w:r>
        <w:r w:rsidRPr="00B47EE6">
          <w:rPr>
            <w:rFonts w:ascii="Times New Roman" w:hAnsi="Times New Roman"/>
            <w:webHidden/>
          </w:rPr>
          <w:fldChar w:fldCharType="end"/>
        </w:r>
      </w:hyperlink>
    </w:p>
    <w:p w:rsidR="00A7228C" w:rsidP="00A7228C" w:rsidRDefault="00A7228C" w14:paraId="0DCB4C43" w14:textId="77777777">
      <w:pPr>
        <w:pStyle w:val="TOC2"/>
        <w:rPr>
          <w:rFonts w:asciiTheme="minorHAnsi" w:hAnsiTheme="minorHAnsi" w:eastAsiaTheme="minorEastAsia" w:cstheme="minorBidi"/>
          <w:noProof/>
        </w:rPr>
      </w:pPr>
      <w:hyperlink w:history="1" w:anchor="_Toc17919978">
        <w:r w:rsidRPr="0065552B">
          <w:rPr>
            <w:rStyle w:val="Hyperlink"/>
            <w:rFonts w:ascii="Times New Roman" w:hAnsi="Times New Roman"/>
            <w:noProof/>
          </w:rPr>
          <w:t>A.  Target Population and Frame</w:t>
        </w:r>
        <w:r>
          <w:rPr>
            <w:noProof/>
            <w:webHidden/>
          </w:rPr>
          <w:tab/>
        </w:r>
        <w:r w:rsidRPr="00B47EE6">
          <w:rPr>
            <w:rFonts w:ascii="Times New Roman" w:hAnsi="Times New Roman"/>
            <w:webHidden/>
          </w:rPr>
          <w:fldChar w:fldCharType="begin"/>
        </w:r>
        <w:r>
          <w:rPr>
            <w:noProof/>
            <w:webHidden/>
          </w:rPr>
          <w:instrText xml:space="preserve"> PAGEREF _Toc17919978 \h </w:instrText>
        </w:r>
        <w:r w:rsidRPr="00B47EE6">
          <w:rPr>
            <w:rFonts w:ascii="Times New Roman" w:hAnsi="Times New Roman"/>
            <w:webHidden/>
          </w:rPr>
        </w:r>
        <w:r w:rsidRPr="00B47EE6">
          <w:rPr>
            <w:rFonts w:ascii="Times New Roman" w:hAnsi="Times New Roman"/>
            <w:webHidden/>
          </w:rPr>
          <w:fldChar w:fldCharType="separate"/>
        </w:r>
        <w:r>
          <w:rPr>
            <w:noProof/>
            <w:webHidden/>
          </w:rPr>
          <w:t>5</w:t>
        </w:r>
        <w:r w:rsidRPr="00B47EE6">
          <w:rPr>
            <w:rFonts w:ascii="Times New Roman" w:hAnsi="Times New Roman"/>
            <w:webHidden/>
          </w:rPr>
          <w:fldChar w:fldCharType="end"/>
        </w:r>
      </w:hyperlink>
    </w:p>
    <w:p w:rsidR="00A7228C" w:rsidP="00A7228C" w:rsidRDefault="00A7228C" w14:paraId="4B39620F" w14:textId="77777777">
      <w:pPr>
        <w:pStyle w:val="TOC2"/>
        <w:rPr>
          <w:rFonts w:asciiTheme="minorHAnsi" w:hAnsiTheme="minorHAnsi" w:eastAsiaTheme="minorEastAsia" w:cstheme="minorBidi"/>
          <w:noProof/>
        </w:rPr>
      </w:pPr>
      <w:hyperlink w:history="1" w:anchor="_Toc17919979">
        <w:r w:rsidRPr="0065552B">
          <w:rPr>
            <w:rStyle w:val="Hyperlink"/>
            <w:rFonts w:ascii="Times New Roman" w:hAnsi="Times New Roman"/>
            <w:noProof/>
          </w:rPr>
          <w:t>B.</w:t>
        </w:r>
        <w:r>
          <w:rPr>
            <w:rFonts w:asciiTheme="minorHAnsi" w:hAnsiTheme="minorHAnsi" w:eastAsiaTheme="minorEastAsia" w:cstheme="minorBidi"/>
            <w:noProof/>
          </w:rPr>
          <w:tab/>
        </w:r>
        <w:r w:rsidRPr="0065552B">
          <w:rPr>
            <w:rStyle w:val="Hyperlink"/>
            <w:rFonts w:ascii="Times New Roman" w:hAnsi="Times New Roman"/>
            <w:noProof/>
          </w:rPr>
          <w:t>Sample Size Determination</w:t>
        </w:r>
        <w:r>
          <w:rPr>
            <w:noProof/>
            <w:webHidden/>
          </w:rPr>
          <w:tab/>
        </w:r>
        <w:r w:rsidRPr="00B47EE6">
          <w:rPr>
            <w:rFonts w:ascii="Times New Roman" w:hAnsi="Times New Roman"/>
            <w:webHidden/>
          </w:rPr>
          <w:fldChar w:fldCharType="begin"/>
        </w:r>
        <w:r>
          <w:rPr>
            <w:noProof/>
            <w:webHidden/>
          </w:rPr>
          <w:instrText xml:space="preserve"> PAGEREF _Toc17919979 \h </w:instrText>
        </w:r>
        <w:r w:rsidRPr="00B47EE6">
          <w:rPr>
            <w:rFonts w:ascii="Times New Roman" w:hAnsi="Times New Roman"/>
            <w:webHidden/>
          </w:rPr>
        </w:r>
        <w:r w:rsidRPr="00B47EE6">
          <w:rPr>
            <w:rFonts w:ascii="Times New Roman" w:hAnsi="Times New Roman"/>
            <w:webHidden/>
          </w:rPr>
          <w:fldChar w:fldCharType="separate"/>
        </w:r>
        <w:r>
          <w:rPr>
            <w:noProof/>
            <w:webHidden/>
          </w:rPr>
          <w:t>6</w:t>
        </w:r>
        <w:r w:rsidRPr="00B47EE6">
          <w:rPr>
            <w:rFonts w:ascii="Times New Roman" w:hAnsi="Times New Roman"/>
            <w:webHidden/>
          </w:rPr>
          <w:fldChar w:fldCharType="end"/>
        </w:r>
      </w:hyperlink>
    </w:p>
    <w:p w:rsidR="00A7228C" w:rsidP="00A7228C" w:rsidRDefault="00A7228C" w14:paraId="7373AA5E" w14:textId="77777777">
      <w:pPr>
        <w:pStyle w:val="TOC2"/>
        <w:rPr>
          <w:rFonts w:asciiTheme="minorHAnsi" w:hAnsiTheme="minorHAnsi" w:eastAsiaTheme="minorEastAsia" w:cstheme="minorBidi"/>
          <w:noProof/>
        </w:rPr>
      </w:pPr>
      <w:hyperlink w:history="1" w:anchor="_Toc17919980">
        <w:r w:rsidRPr="00B47EE6">
          <w:rPr>
            <w:rStyle w:val="Hyperlink"/>
            <w:b/>
          </w:rPr>
          <w:t>C.</w:t>
        </w:r>
        <w:r w:rsidRPr="00B47EE6">
          <w:rPr>
            <w:rFonts w:ascii="Times New Roman" w:hAnsi="Times New Roman"/>
          </w:rPr>
          <w:tab/>
        </w:r>
        <w:r w:rsidRPr="00B47EE6">
          <w:rPr>
            <w:rStyle w:val="Hyperlink"/>
            <w:b/>
          </w:rPr>
          <w:t>Stratification</w:t>
        </w:r>
        <w:r>
          <w:rPr>
            <w:noProof/>
            <w:webHidden/>
          </w:rPr>
          <w:tab/>
        </w:r>
        <w:r w:rsidRPr="00B47EE6">
          <w:rPr>
            <w:rFonts w:ascii="Times New Roman" w:hAnsi="Times New Roman"/>
            <w:webHidden/>
          </w:rPr>
          <w:fldChar w:fldCharType="begin"/>
        </w:r>
        <w:r>
          <w:rPr>
            <w:noProof/>
            <w:webHidden/>
          </w:rPr>
          <w:instrText xml:space="preserve"> PAGEREF _Toc17919980 \h </w:instrText>
        </w:r>
        <w:r w:rsidRPr="00B47EE6">
          <w:rPr>
            <w:rFonts w:ascii="Times New Roman" w:hAnsi="Times New Roman"/>
            <w:webHidden/>
          </w:rPr>
        </w:r>
        <w:r w:rsidRPr="00B47EE6">
          <w:rPr>
            <w:rFonts w:ascii="Times New Roman" w:hAnsi="Times New Roman"/>
            <w:webHidden/>
          </w:rPr>
          <w:fldChar w:fldCharType="separate"/>
        </w:r>
        <w:r>
          <w:rPr>
            <w:noProof/>
            <w:webHidden/>
          </w:rPr>
          <w:t>7</w:t>
        </w:r>
        <w:r w:rsidRPr="00B47EE6">
          <w:rPr>
            <w:rFonts w:ascii="Times New Roman" w:hAnsi="Times New Roman"/>
            <w:webHidden/>
          </w:rPr>
          <w:fldChar w:fldCharType="end"/>
        </w:r>
      </w:hyperlink>
    </w:p>
    <w:p w:rsidR="00A7228C" w:rsidP="00A7228C" w:rsidRDefault="00A7228C" w14:paraId="375BDEF2" w14:textId="77777777">
      <w:pPr>
        <w:pStyle w:val="TOC2"/>
        <w:rPr>
          <w:rFonts w:asciiTheme="minorHAnsi" w:hAnsiTheme="minorHAnsi" w:eastAsiaTheme="minorEastAsia" w:cstheme="minorBidi"/>
          <w:noProof/>
        </w:rPr>
      </w:pPr>
      <w:hyperlink w:history="1" w:anchor="_Toc17919981">
        <w:r w:rsidRPr="0065552B">
          <w:rPr>
            <w:rStyle w:val="Hyperlink"/>
            <w:rFonts w:ascii="Times New Roman" w:hAnsi="Times New Roman"/>
            <w:noProof/>
          </w:rPr>
          <w:t>D.</w:t>
        </w:r>
        <w:r>
          <w:rPr>
            <w:rFonts w:asciiTheme="minorHAnsi" w:hAnsiTheme="minorHAnsi" w:eastAsiaTheme="minorEastAsia" w:cstheme="minorBidi"/>
            <w:noProof/>
          </w:rPr>
          <w:tab/>
        </w:r>
        <w:r w:rsidRPr="0065552B">
          <w:rPr>
            <w:rStyle w:val="Hyperlink"/>
            <w:rFonts w:ascii="Times New Roman" w:hAnsi="Times New Roman"/>
            <w:noProof/>
          </w:rPr>
          <w:t>Data Collection Methods</w:t>
        </w:r>
        <w:r>
          <w:rPr>
            <w:noProof/>
            <w:webHidden/>
          </w:rPr>
          <w:tab/>
        </w:r>
        <w:r w:rsidRPr="00B47EE6">
          <w:rPr>
            <w:rFonts w:ascii="Times New Roman" w:hAnsi="Times New Roman"/>
            <w:webHidden/>
          </w:rPr>
          <w:fldChar w:fldCharType="begin"/>
        </w:r>
        <w:r>
          <w:rPr>
            <w:noProof/>
            <w:webHidden/>
          </w:rPr>
          <w:instrText xml:space="preserve"> PAGEREF _Toc17919981 \h </w:instrText>
        </w:r>
        <w:r w:rsidRPr="00B47EE6">
          <w:rPr>
            <w:rFonts w:ascii="Times New Roman" w:hAnsi="Times New Roman"/>
            <w:webHidden/>
          </w:rPr>
        </w:r>
        <w:r w:rsidRPr="00B47EE6">
          <w:rPr>
            <w:rFonts w:ascii="Times New Roman" w:hAnsi="Times New Roman"/>
            <w:webHidden/>
          </w:rPr>
          <w:fldChar w:fldCharType="separate"/>
        </w:r>
        <w:r>
          <w:rPr>
            <w:noProof/>
            <w:webHidden/>
          </w:rPr>
          <w:t>7</w:t>
        </w:r>
        <w:r w:rsidRPr="00B47EE6">
          <w:rPr>
            <w:rFonts w:ascii="Times New Roman" w:hAnsi="Times New Roman"/>
            <w:webHidden/>
          </w:rPr>
          <w:fldChar w:fldCharType="end"/>
        </w:r>
      </w:hyperlink>
    </w:p>
    <w:p w:rsidR="00A7228C" w:rsidP="00A7228C" w:rsidRDefault="00A7228C" w14:paraId="5A84BB0F" w14:textId="77777777">
      <w:pPr>
        <w:pStyle w:val="TOC2"/>
        <w:rPr>
          <w:rFonts w:asciiTheme="minorHAnsi" w:hAnsiTheme="minorHAnsi" w:eastAsiaTheme="minorEastAsia" w:cstheme="minorBidi"/>
          <w:noProof/>
        </w:rPr>
      </w:pPr>
      <w:hyperlink w:history="1" w:anchor="_Toc17919982">
        <w:r w:rsidRPr="0065552B">
          <w:rPr>
            <w:rStyle w:val="Hyperlink"/>
            <w:rFonts w:ascii="Times New Roman" w:hAnsi="Times New Roman"/>
            <w:noProof/>
          </w:rPr>
          <w:t>E.</w:t>
        </w:r>
        <w:r>
          <w:rPr>
            <w:rFonts w:asciiTheme="minorHAnsi" w:hAnsiTheme="minorHAnsi" w:eastAsiaTheme="minorEastAsia" w:cstheme="minorBidi"/>
            <w:noProof/>
          </w:rPr>
          <w:tab/>
        </w:r>
        <w:r w:rsidRPr="0065552B">
          <w:rPr>
            <w:rStyle w:val="Hyperlink"/>
            <w:rFonts w:ascii="Times New Roman" w:hAnsi="Times New Roman"/>
            <w:noProof/>
          </w:rPr>
          <w:t>Reporting</w:t>
        </w:r>
        <w:r>
          <w:rPr>
            <w:noProof/>
            <w:webHidden/>
          </w:rPr>
          <w:tab/>
        </w:r>
        <w:r w:rsidRPr="00B47EE6">
          <w:rPr>
            <w:rFonts w:ascii="Times New Roman" w:hAnsi="Times New Roman"/>
            <w:webHidden/>
          </w:rPr>
          <w:fldChar w:fldCharType="begin"/>
        </w:r>
        <w:r>
          <w:rPr>
            <w:noProof/>
            <w:webHidden/>
          </w:rPr>
          <w:instrText xml:space="preserve"> PAGEREF _Toc17919982 \h </w:instrText>
        </w:r>
        <w:r w:rsidRPr="00B47EE6">
          <w:rPr>
            <w:rFonts w:ascii="Times New Roman" w:hAnsi="Times New Roman"/>
            <w:webHidden/>
          </w:rPr>
        </w:r>
        <w:r w:rsidRPr="00B47EE6">
          <w:rPr>
            <w:rFonts w:ascii="Times New Roman" w:hAnsi="Times New Roman"/>
            <w:webHidden/>
          </w:rPr>
          <w:fldChar w:fldCharType="separate"/>
        </w:r>
        <w:r>
          <w:rPr>
            <w:noProof/>
            <w:webHidden/>
          </w:rPr>
          <w:t>8</w:t>
        </w:r>
        <w:r w:rsidRPr="00B47EE6">
          <w:rPr>
            <w:rFonts w:ascii="Times New Roman" w:hAnsi="Times New Roman"/>
            <w:webHidden/>
          </w:rPr>
          <w:fldChar w:fldCharType="end"/>
        </w:r>
      </w:hyperlink>
    </w:p>
    <w:p w:rsidR="00A7228C" w:rsidP="00A7228C" w:rsidRDefault="00A7228C" w14:paraId="310923CA" w14:textId="77777777">
      <w:pPr>
        <w:pStyle w:val="TOC2"/>
        <w:rPr>
          <w:rFonts w:asciiTheme="minorHAnsi" w:hAnsiTheme="minorHAnsi" w:eastAsiaTheme="minorEastAsia" w:cstheme="minorBidi"/>
          <w:noProof/>
        </w:rPr>
      </w:pPr>
      <w:hyperlink w:history="1" w:anchor="_Toc17919983">
        <w:r w:rsidRPr="0065552B">
          <w:rPr>
            <w:rStyle w:val="Hyperlink"/>
            <w:rFonts w:ascii="Times New Roman" w:hAnsi="Times New Roman"/>
            <w:noProof/>
          </w:rPr>
          <w:t>F.</w:t>
        </w:r>
        <w:r>
          <w:rPr>
            <w:rFonts w:asciiTheme="minorHAnsi" w:hAnsiTheme="minorHAnsi" w:eastAsiaTheme="minorEastAsia" w:cstheme="minorBidi"/>
            <w:noProof/>
          </w:rPr>
          <w:tab/>
        </w:r>
        <w:r w:rsidRPr="0065552B">
          <w:rPr>
            <w:rStyle w:val="Hyperlink"/>
            <w:rFonts w:ascii="Times New Roman" w:hAnsi="Times New Roman"/>
            <w:noProof/>
          </w:rPr>
          <w:t>Quality Control</w:t>
        </w:r>
        <w:r>
          <w:rPr>
            <w:noProof/>
            <w:webHidden/>
          </w:rPr>
          <w:tab/>
        </w:r>
        <w:r w:rsidRPr="00B47EE6">
          <w:rPr>
            <w:rFonts w:ascii="Times New Roman" w:hAnsi="Times New Roman"/>
            <w:webHidden/>
          </w:rPr>
          <w:fldChar w:fldCharType="begin"/>
        </w:r>
        <w:r>
          <w:rPr>
            <w:noProof/>
            <w:webHidden/>
          </w:rPr>
          <w:instrText xml:space="preserve"> PAGEREF _Toc17919983 \h </w:instrText>
        </w:r>
        <w:r w:rsidRPr="00B47EE6">
          <w:rPr>
            <w:rFonts w:ascii="Times New Roman" w:hAnsi="Times New Roman"/>
            <w:webHidden/>
          </w:rPr>
        </w:r>
        <w:r w:rsidRPr="00B47EE6">
          <w:rPr>
            <w:rFonts w:ascii="Times New Roman" w:hAnsi="Times New Roman"/>
            <w:webHidden/>
          </w:rPr>
          <w:fldChar w:fldCharType="separate"/>
        </w:r>
        <w:r>
          <w:rPr>
            <w:noProof/>
            <w:webHidden/>
          </w:rPr>
          <w:t>8</w:t>
        </w:r>
        <w:r w:rsidRPr="00B47EE6">
          <w:rPr>
            <w:rFonts w:ascii="Times New Roman" w:hAnsi="Times New Roman"/>
            <w:webHidden/>
          </w:rPr>
          <w:fldChar w:fldCharType="end"/>
        </w:r>
      </w:hyperlink>
    </w:p>
    <w:p w:rsidR="00A7228C" w:rsidP="00A7228C" w:rsidRDefault="00A7228C" w14:paraId="46AEC118" w14:textId="77777777">
      <w:pPr>
        <w:pStyle w:val="TOC2"/>
        <w:rPr>
          <w:rFonts w:asciiTheme="minorHAnsi" w:hAnsiTheme="minorHAnsi" w:eastAsiaTheme="minorEastAsia" w:cstheme="minorBidi"/>
          <w:noProof/>
        </w:rPr>
      </w:pPr>
      <w:hyperlink w:history="1" w:anchor="_Toc17919984">
        <w:r w:rsidRPr="0065552B">
          <w:rPr>
            <w:rStyle w:val="Hyperlink"/>
            <w:rFonts w:ascii="Times New Roman" w:hAnsi="Times New Roman"/>
            <w:noProof/>
          </w:rPr>
          <w:t>G.</w:t>
        </w:r>
        <w:r>
          <w:rPr>
            <w:rFonts w:asciiTheme="minorHAnsi" w:hAnsiTheme="minorHAnsi" w:eastAsiaTheme="minorEastAsia" w:cstheme="minorBidi"/>
            <w:noProof/>
          </w:rPr>
          <w:tab/>
        </w:r>
        <w:r w:rsidRPr="0065552B">
          <w:rPr>
            <w:rStyle w:val="Hyperlink"/>
            <w:rFonts w:ascii="Times New Roman" w:hAnsi="Times New Roman"/>
            <w:noProof/>
          </w:rPr>
          <w:t>Sample Weighting, Coverage Bias, and Non-Response Bias</w:t>
        </w:r>
        <w:r>
          <w:rPr>
            <w:noProof/>
            <w:webHidden/>
          </w:rPr>
          <w:tab/>
        </w:r>
        <w:r w:rsidRPr="00B47EE6">
          <w:rPr>
            <w:rFonts w:ascii="Times New Roman" w:hAnsi="Times New Roman"/>
            <w:webHidden/>
          </w:rPr>
          <w:fldChar w:fldCharType="begin"/>
        </w:r>
        <w:r>
          <w:rPr>
            <w:noProof/>
            <w:webHidden/>
          </w:rPr>
          <w:instrText xml:space="preserve"> PAGEREF _Toc17919984 \h </w:instrText>
        </w:r>
        <w:r w:rsidRPr="00B47EE6">
          <w:rPr>
            <w:rFonts w:ascii="Times New Roman" w:hAnsi="Times New Roman"/>
            <w:webHidden/>
          </w:rPr>
        </w:r>
        <w:r w:rsidRPr="00B47EE6">
          <w:rPr>
            <w:rFonts w:ascii="Times New Roman" w:hAnsi="Times New Roman"/>
            <w:webHidden/>
          </w:rPr>
          <w:fldChar w:fldCharType="separate"/>
        </w:r>
        <w:r>
          <w:rPr>
            <w:noProof/>
            <w:webHidden/>
          </w:rPr>
          <w:t>9</w:t>
        </w:r>
        <w:r w:rsidRPr="00B47EE6">
          <w:rPr>
            <w:rFonts w:ascii="Times New Roman" w:hAnsi="Times New Roman"/>
            <w:webHidden/>
          </w:rPr>
          <w:fldChar w:fldCharType="end"/>
        </w:r>
      </w:hyperlink>
    </w:p>
    <w:p w:rsidR="00A7228C" w:rsidP="00A7228C" w:rsidRDefault="00A7228C" w14:paraId="39327ED9" w14:textId="77777777">
      <w:pPr>
        <w:pStyle w:val="TOC2"/>
        <w:rPr>
          <w:rFonts w:asciiTheme="minorHAnsi" w:hAnsiTheme="minorHAnsi" w:eastAsiaTheme="minorEastAsia" w:cstheme="minorBidi"/>
          <w:noProof/>
        </w:rPr>
      </w:pPr>
      <w:hyperlink w:history="1" w:anchor="_Toc17919985">
        <w:r w:rsidRPr="0065552B">
          <w:rPr>
            <w:rStyle w:val="Hyperlink"/>
            <w:rFonts w:ascii="Times New Roman" w:hAnsi="Times New Roman"/>
            <w:noProof/>
          </w:rPr>
          <w:t>H.</w:t>
        </w:r>
        <w:r>
          <w:rPr>
            <w:rFonts w:asciiTheme="minorHAnsi" w:hAnsiTheme="minorHAnsi" w:eastAsiaTheme="minorEastAsia" w:cstheme="minorBidi"/>
            <w:noProof/>
          </w:rPr>
          <w:tab/>
        </w:r>
        <w:r w:rsidRPr="0065552B">
          <w:rPr>
            <w:rStyle w:val="Hyperlink"/>
            <w:rFonts w:ascii="Times New Roman" w:hAnsi="Times New Roman"/>
            <w:noProof/>
          </w:rPr>
          <w:t>Quarantine Rules</w:t>
        </w:r>
        <w:r>
          <w:rPr>
            <w:noProof/>
            <w:webHidden/>
          </w:rPr>
          <w:tab/>
        </w:r>
        <w:r w:rsidRPr="00B47EE6">
          <w:rPr>
            <w:rFonts w:ascii="Times New Roman" w:hAnsi="Times New Roman"/>
            <w:webHidden/>
          </w:rPr>
          <w:fldChar w:fldCharType="begin"/>
        </w:r>
        <w:r>
          <w:rPr>
            <w:noProof/>
            <w:webHidden/>
          </w:rPr>
          <w:instrText xml:space="preserve"> PAGEREF _Toc17919985 \h </w:instrText>
        </w:r>
        <w:r w:rsidRPr="00B47EE6">
          <w:rPr>
            <w:rFonts w:ascii="Times New Roman" w:hAnsi="Times New Roman"/>
            <w:webHidden/>
          </w:rPr>
        </w:r>
        <w:r w:rsidRPr="00B47EE6">
          <w:rPr>
            <w:rFonts w:ascii="Times New Roman" w:hAnsi="Times New Roman"/>
            <w:webHidden/>
          </w:rPr>
          <w:fldChar w:fldCharType="separate"/>
        </w:r>
        <w:r>
          <w:rPr>
            <w:noProof/>
            <w:webHidden/>
          </w:rPr>
          <w:t>10</w:t>
        </w:r>
        <w:r w:rsidRPr="00B47EE6">
          <w:rPr>
            <w:rFonts w:ascii="Times New Roman" w:hAnsi="Times New Roman"/>
            <w:webHidden/>
          </w:rPr>
          <w:fldChar w:fldCharType="end"/>
        </w:r>
      </w:hyperlink>
    </w:p>
    <w:p w:rsidR="00A7228C" w:rsidP="00A7228C" w:rsidRDefault="00A7228C" w14:paraId="61392F76" w14:textId="77777777">
      <w:pPr>
        <w:pStyle w:val="TOC1"/>
        <w:rPr>
          <w:rFonts w:asciiTheme="minorHAnsi" w:hAnsiTheme="minorHAnsi" w:eastAsiaTheme="minorEastAsia" w:cstheme="minorBidi"/>
          <w:noProof/>
        </w:rPr>
      </w:pPr>
      <w:hyperlink w:history="1" w:anchor="_Toc17919986">
        <w:r w:rsidRPr="0065552B">
          <w:rPr>
            <w:rStyle w:val="Hyperlink"/>
            <w:rFonts w:ascii="Times New Roman" w:hAnsi="Times New Roman"/>
            <w:noProof/>
          </w:rPr>
          <w:t>Part III – Assumptions and Limitations</w:t>
        </w:r>
        <w:r>
          <w:rPr>
            <w:noProof/>
            <w:webHidden/>
          </w:rPr>
          <w:tab/>
        </w:r>
        <w:r w:rsidRPr="00B47EE6">
          <w:rPr>
            <w:rFonts w:ascii="Times New Roman" w:hAnsi="Times New Roman"/>
            <w:webHidden/>
          </w:rPr>
          <w:fldChar w:fldCharType="begin"/>
        </w:r>
        <w:r>
          <w:rPr>
            <w:noProof/>
            <w:webHidden/>
          </w:rPr>
          <w:instrText xml:space="preserve"> PAGEREF _Toc17919986 \h </w:instrText>
        </w:r>
        <w:r w:rsidRPr="00B47EE6">
          <w:rPr>
            <w:rFonts w:ascii="Times New Roman" w:hAnsi="Times New Roman"/>
            <w:webHidden/>
          </w:rPr>
        </w:r>
        <w:r w:rsidRPr="00B47EE6">
          <w:rPr>
            <w:rFonts w:ascii="Times New Roman" w:hAnsi="Times New Roman"/>
            <w:webHidden/>
          </w:rPr>
          <w:fldChar w:fldCharType="separate"/>
        </w:r>
        <w:r>
          <w:rPr>
            <w:noProof/>
            <w:webHidden/>
          </w:rPr>
          <w:t>11</w:t>
        </w:r>
        <w:r w:rsidRPr="00B47EE6">
          <w:rPr>
            <w:rFonts w:ascii="Times New Roman" w:hAnsi="Times New Roman"/>
            <w:webHidden/>
          </w:rPr>
          <w:fldChar w:fldCharType="end"/>
        </w:r>
      </w:hyperlink>
    </w:p>
    <w:p w:rsidR="00A7228C" w:rsidP="00A7228C" w:rsidRDefault="00A7228C" w14:paraId="69DE9988" w14:textId="77777777">
      <w:pPr>
        <w:pStyle w:val="TOC2"/>
        <w:rPr>
          <w:rFonts w:asciiTheme="minorHAnsi" w:hAnsiTheme="minorHAnsi" w:eastAsiaTheme="minorEastAsia" w:cstheme="minorBidi"/>
          <w:noProof/>
        </w:rPr>
      </w:pPr>
      <w:hyperlink w:history="1" w:anchor="_Toc17919987">
        <w:r w:rsidRPr="0065552B">
          <w:rPr>
            <w:rStyle w:val="Hyperlink"/>
            <w:rFonts w:ascii="Times New Roman" w:hAnsi="Times New Roman"/>
            <w:noProof/>
          </w:rPr>
          <w:t>A. Coverage Bias</w:t>
        </w:r>
        <w:r>
          <w:rPr>
            <w:noProof/>
            <w:webHidden/>
          </w:rPr>
          <w:tab/>
        </w:r>
        <w:r w:rsidRPr="00B47EE6">
          <w:rPr>
            <w:rFonts w:ascii="Times New Roman" w:hAnsi="Times New Roman"/>
            <w:webHidden/>
          </w:rPr>
          <w:fldChar w:fldCharType="begin"/>
        </w:r>
        <w:r>
          <w:rPr>
            <w:noProof/>
            <w:webHidden/>
          </w:rPr>
          <w:instrText xml:space="preserve"> PAGEREF _Toc17919987 \h </w:instrText>
        </w:r>
        <w:r w:rsidRPr="00B47EE6">
          <w:rPr>
            <w:rFonts w:ascii="Times New Roman" w:hAnsi="Times New Roman"/>
            <w:webHidden/>
          </w:rPr>
        </w:r>
        <w:r w:rsidRPr="00B47EE6">
          <w:rPr>
            <w:rFonts w:ascii="Times New Roman" w:hAnsi="Times New Roman"/>
            <w:webHidden/>
          </w:rPr>
          <w:fldChar w:fldCharType="separate"/>
        </w:r>
        <w:r>
          <w:rPr>
            <w:noProof/>
            <w:webHidden/>
          </w:rPr>
          <w:t>11</w:t>
        </w:r>
        <w:r w:rsidRPr="00B47EE6">
          <w:rPr>
            <w:rFonts w:ascii="Times New Roman" w:hAnsi="Times New Roman"/>
            <w:webHidden/>
          </w:rPr>
          <w:fldChar w:fldCharType="end"/>
        </w:r>
      </w:hyperlink>
    </w:p>
    <w:p w:rsidR="00A7228C" w:rsidP="00A7228C" w:rsidRDefault="00A7228C" w14:paraId="1BB4E42E" w14:textId="77777777">
      <w:pPr>
        <w:pStyle w:val="TOC2"/>
        <w:rPr>
          <w:rFonts w:asciiTheme="minorHAnsi" w:hAnsiTheme="minorHAnsi" w:eastAsiaTheme="minorEastAsia" w:cstheme="minorBidi"/>
          <w:noProof/>
        </w:rPr>
      </w:pPr>
      <w:hyperlink w:history="1" w:anchor="_Toc17919988">
        <w:r w:rsidRPr="00B47EE6">
          <w:rPr>
            <w:rStyle w:val="Hyperlink"/>
            <w:rFonts w:ascii="Times New Roman" w:hAnsi="Times New Roman"/>
            <w:b/>
          </w:rPr>
          <w:t xml:space="preserve">Appendix </w:t>
        </w:r>
        <w:r>
          <w:rPr>
            <w:rStyle w:val="Hyperlink"/>
            <w:rFonts w:ascii="Times New Roman" w:hAnsi="Times New Roman"/>
            <w:b/>
          </w:rPr>
          <w:t>1</w:t>
        </w:r>
        <w:r w:rsidRPr="00B47EE6">
          <w:rPr>
            <w:rStyle w:val="Hyperlink"/>
            <w:rFonts w:ascii="Times New Roman" w:hAnsi="Times New Roman"/>
            <w:b/>
          </w:rPr>
          <w:t>. References</w:t>
        </w:r>
        <w:r>
          <w:rPr>
            <w:noProof/>
            <w:webHidden/>
          </w:rPr>
          <w:tab/>
        </w:r>
        <w:r w:rsidRPr="00B47EE6">
          <w:rPr>
            <w:rFonts w:ascii="Times New Roman" w:hAnsi="Times New Roman"/>
            <w:webHidden/>
          </w:rPr>
          <w:fldChar w:fldCharType="begin"/>
        </w:r>
        <w:r>
          <w:rPr>
            <w:noProof/>
            <w:webHidden/>
          </w:rPr>
          <w:instrText xml:space="preserve"> PAGEREF _Toc17919988 \h </w:instrText>
        </w:r>
        <w:r w:rsidRPr="00B47EE6">
          <w:rPr>
            <w:rFonts w:ascii="Times New Roman" w:hAnsi="Times New Roman"/>
            <w:webHidden/>
          </w:rPr>
        </w:r>
        <w:r w:rsidRPr="00B47EE6">
          <w:rPr>
            <w:rFonts w:ascii="Times New Roman" w:hAnsi="Times New Roman"/>
            <w:webHidden/>
          </w:rPr>
          <w:fldChar w:fldCharType="separate"/>
        </w:r>
        <w:r>
          <w:rPr>
            <w:noProof/>
            <w:webHidden/>
          </w:rPr>
          <w:t>12</w:t>
        </w:r>
        <w:r w:rsidRPr="00B47EE6">
          <w:rPr>
            <w:rFonts w:ascii="Times New Roman" w:hAnsi="Times New Roman"/>
            <w:webHidden/>
          </w:rPr>
          <w:fldChar w:fldCharType="end"/>
        </w:r>
      </w:hyperlink>
    </w:p>
    <w:p w:rsidR="00A7228C" w:rsidP="00A7228C" w:rsidRDefault="00A7228C" w14:paraId="05A27029" w14:textId="77777777">
      <w:pPr>
        <w:pStyle w:val="Heading1"/>
        <w:tabs>
          <w:tab w:val="center" w:leader="dot" w:pos="9346"/>
          <w:tab w:val="right" w:leader="dot" w:pos="11520"/>
        </w:tabs>
        <w:spacing w:after="240"/>
        <w:jc w:val="center"/>
        <w:rPr>
          <w:noProof/>
          <w:sz w:val="20"/>
          <w:szCs w:val="20"/>
        </w:rPr>
      </w:pPr>
      <w:r w:rsidRPr="00C85DEE">
        <w:rPr>
          <w:noProof/>
          <w:sz w:val="20"/>
          <w:szCs w:val="20"/>
        </w:rPr>
        <w:fldChar w:fldCharType="end"/>
      </w:r>
    </w:p>
    <w:p w:rsidR="00A7228C" w:rsidP="00A7228C" w:rsidRDefault="00A7228C" w14:paraId="43B59841" w14:textId="77777777">
      <w:pPr>
        <w:rPr>
          <w:noProof/>
          <w:color w:val="2E74B5"/>
        </w:rPr>
      </w:pPr>
      <w:r>
        <w:rPr>
          <w:noProof/>
        </w:rPr>
        <w:br w:type="page"/>
      </w:r>
    </w:p>
    <w:p w:rsidRPr="00C85DEE" w:rsidR="00A7228C" w:rsidP="00A7228C" w:rsidRDefault="00A7228C" w14:paraId="289EDAC5" w14:textId="77777777">
      <w:pPr>
        <w:pStyle w:val="Heading1"/>
        <w:tabs>
          <w:tab w:val="center" w:leader="dot" w:pos="9346"/>
          <w:tab w:val="right" w:leader="dot" w:pos="11520"/>
        </w:tabs>
        <w:spacing w:after="240"/>
        <w:jc w:val="center"/>
      </w:pPr>
      <w:bookmarkStart w:name="_Toc17919972" w:id="6"/>
      <w:r w:rsidRPr="00C85DEE">
        <w:t>Executive Summary</w:t>
      </w:r>
      <w:bookmarkEnd w:id="6"/>
    </w:p>
    <w:p w:rsidR="00A7228C" w:rsidP="00A7228C" w:rsidRDefault="00A7228C" w14:paraId="713B7348" w14:textId="77777777">
      <w:pPr>
        <w:ind w:firstLine="720"/>
        <w:rPr>
          <w:lang w:val="en-GB"/>
        </w:rPr>
      </w:pPr>
      <w:r w:rsidRPr="005C3F8D">
        <w:t>The Appeals Management Office (AMO) supports Veterans, their family members and survivors by developing policies and procedures to support the timely and accurate resolution of disagreements with Veterans Benefits Administration (VBA) decisions.</w:t>
      </w:r>
      <w:r>
        <w:t xml:space="preserve"> </w:t>
      </w:r>
      <w:r w:rsidRPr="00C16684">
        <w:rPr>
          <w:lang w:val="en-GB"/>
        </w:rPr>
        <w:t xml:space="preserve">The Veterans Appeals Improvement and Modernization Act of 2017 </w:t>
      </w:r>
      <w:r>
        <w:rPr>
          <w:lang w:val="en-GB"/>
        </w:rPr>
        <w:t>(Appeals Modernization Act), signed into law on August 23, 2017, is one of the most significant statutory changes to affect the Department of Veterans Affairs (VA) in decades. The Appeals Modernization Act (AMA)</w:t>
      </w:r>
      <w:r w:rsidRPr="00C16684">
        <w:rPr>
          <w:lang w:val="en-GB"/>
        </w:rPr>
        <w:t xml:space="preserve"> </w:t>
      </w:r>
      <w:r>
        <w:rPr>
          <w:lang w:val="en-GB"/>
        </w:rPr>
        <w:t xml:space="preserve">which </w:t>
      </w:r>
      <w:r w:rsidRPr="00C16684">
        <w:rPr>
          <w:lang w:val="en-GB"/>
        </w:rPr>
        <w:t>went into effect on February 19, 2019</w:t>
      </w:r>
      <w:r>
        <w:rPr>
          <w:lang w:val="en-GB"/>
        </w:rPr>
        <w:t>,</w:t>
      </w:r>
      <w:r w:rsidRPr="00C16684">
        <w:rPr>
          <w:lang w:val="en-GB"/>
        </w:rPr>
        <w:t xml:space="preserve"> </w:t>
      </w:r>
      <w:r>
        <w:rPr>
          <w:lang w:val="en-GB"/>
        </w:rPr>
        <w:t xml:space="preserve">transforms VA’s lengthy and complex legacy appeals process into one that is simple, timely, and fair to Veterans. The enhancements under the AMA are part of VA’s continued commitment to improve the delivery of benefits and services to Veterans and their families. The law creates a new modernized decision review process that provides greater choice for Veterans in how they resolve disagreements with VA decisions and includes three decision review options: </w:t>
      </w:r>
    </w:p>
    <w:p w:rsidRPr="007E4E6C" w:rsidR="00A7228C" w:rsidP="00A7228C" w:rsidRDefault="00A7228C" w14:paraId="10C28872" w14:textId="77777777">
      <w:pPr>
        <w:pStyle w:val="Default"/>
        <w:numPr>
          <w:ilvl w:val="0"/>
          <w:numId w:val="27"/>
        </w:numPr>
        <w:spacing w:after="140"/>
        <w:rPr>
          <w:rFonts w:ascii="Times New Roman" w:hAnsi="Times New Roman" w:cs="Times New Roman"/>
          <w:sz w:val="22"/>
          <w:szCs w:val="22"/>
        </w:rPr>
      </w:pPr>
      <w:r w:rsidRPr="007E4E6C">
        <w:rPr>
          <w:rFonts w:ascii="Times New Roman" w:hAnsi="Times New Roman" w:cs="Times New Roman"/>
          <w:sz w:val="22"/>
          <w:szCs w:val="22"/>
        </w:rPr>
        <w:t xml:space="preserve">Higher-Level Review: A senior-level claims processor at a VA regional office will conduct a new look at a previous decision based on the evidence of record. A reviewer can overturn previous decisions based on a difference of </w:t>
      </w:r>
      <w:r w:rsidRPr="00EE7CAC">
        <w:rPr>
          <w:rFonts w:ascii="Times New Roman" w:hAnsi="Times New Roman" w:cs="Times New Roman"/>
          <w:sz w:val="22"/>
          <w:szCs w:val="22"/>
        </w:rPr>
        <w:t>opinion or</w:t>
      </w:r>
      <w:r w:rsidRPr="007E4E6C">
        <w:rPr>
          <w:rFonts w:ascii="Times New Roman" w:hAnsi="Times New Roman" w:cs="Times New Roman"/>
          <w:sz w:val="22"/>
          <w:szCs w:val="22"/>
        </w:rPr>
        <w:t xml:space="preserve"> return a decision for correction. </w:t>
      </w:r>
    </w:p>
    <w:p w:rsidRPr="007E4E6C" w:rsidR="00A7228C" w:rsidP="00A7228C" w:rsidRDefault="00A7228C" w14:paraId="11F9377D" w14:textId="77777777">
      <w:pPr>
        <w:pStyle w:val="Default"/>
        <w:numPr>
          <w:ilvl w:val="0"/>
          <w:numId w:val="27"/>
        </w:numPr>
        <w:spacing w:after="140"/>
        <w:rPr>
          <w:rFonts w:ascii="Times New Roman" w:hAnsi="Times New Roman" w:cs="Times New Roman"/>
          <w:sz w:val="22"/>
          <w:szCs w:val="22"/>
        </w:rPr>
      </w:pPr>
      <w:r w:rsidRPr="007E4E6C">
        <w:rPr>
          <w:rFonts w:ascii="Times New Roman" w:hAnsi="Times New Roman" w:cs="Times New Roman"/>
          <w:sz w:val="22"/>
          <w:szCs w:val="22"/>
        </w:rPr>
        <w:t xml:space="preserve">Supplemental Claim: Veterans can submit new, relevant evidence to support their claim and claims processors at VA regional offices will assist in developing evidence. </w:t>
      </w:r>
    </w:p>
    <w:p w:rsidRPr="007E4E6C" w:rsidR="00A7228C" w:rsidP="00A7228C" w:rsidRDefault="00A7228C" w14:paraId="20D2611F" w14:textId="77777777">
      <w:pPr>
        <w:pStyle w:val="Default"/>
        <w:numPr>
          <w:ilvl w:val="0"/>
          <w:numId w:val="27"/>
        </w:numPr>
        <w:rPr>
          <w:rFonts w:ascii="Times New Roman" w:hAnsi="Times New Roman" w:cs="Times New Roman"/>
          <w:sz w:val="22"/>
          <w:szCs w:val="22"/>
        </w:rPr>
      </w:pPr>
      <w:r w:rsidRPr="007E4E6C">
        <w:rPr>
          <w:rFonts w:ascii="Times New Roman" w:hAnsi="Times New Roman" w:cs="Times New Roman"/>
          <w:sz w:val="22"/>
          <w:szCs w:val="22"/>
        </w:rPr>
        <w:t xml:space="preserve">Appeal: Veterans will have the option to appeal their decisions directly to the Board of Veterans’ Appeals (Board). </w:t>
      </w:r>
    </w:p>
    <w:p w:rsidR="00A7228C" w:rsidP="00A7228C" w:rsidRDefault="00A7228C" w14:paraId="41E4AA45" w14:textId="77777777">
      <w:pPr>
        <w:ind w:firstLine="720"/>
        <w:rPr>
          <w:lang w:val="en-GB"/>
        </w:rPr>
      </w:pPr>
    </w:p>
    <w:p w:rsidRPr="00B16A23" w:rsidR="00A7228C" w:rsidP="00A7228C" w:rsidRDefault="00A7228C" w14:paraId="7C64E1E5" w14:textId="77777777">
      <w:pPr>
        <w:ind w:firstLine="720"/>
      </w:pPr>
      <w:r>
        <w:t xml:space="preserve">AMO </w:t>
      </w:r>
      <w:r w:rsidRPr="00B16A23">
        <w:t xml:space="preserve">made a commitment to Congress and </w:t>
      </w:r>
      <w:r>
        <w:t>the Government Accountability Office (</w:t>
      </w:r>
      <w:r w:rsidRPr="00B16A23">
        <w:t>GAO</w:t>
      </w:r>
      <w:r>
        <w:t>)</w:t>
      </w:r>
      <w:r w:rsidRPr="00B16A23">
        <w:t xml:space="preserve"> to assess if </w:t>
      </w:r>
      <w:bookmarkStart w:name="_Hlk23945680" w:id="7"/>
      <w:r w:rsidRPr="00B16A23">
        <w:t xml:space="preserve">Veterans and other beneficiaries </w:t>
      </w:r>
      <w:bookmarkEnd w:id="7"/>
      <w:r w:rsidRPr="00B16A23">
        <w:t>have an improved decision review experience, how it compares to the legacy system, and how we can continue to improve the experience.</w:t>
      </w:r>
      <w:r>
        <w:t xml:space="preserve">  </w:t>
      </w:r>
      <w:r w:rsidRPr="00B16A23">
        <w:t>VBA/AMO reporting requirements include:</w:t>
      </w:r>
    </w:p>
    <w:p w:rsidRPr="007E4E6C" w:rsidR="00A7228C" w:rsidP="00A7228C" w:rsidRDefault="00A7228C" w14:paraId="453AFD4F" w14:textId="77777777">
      <w:pPr>
        <w:pStyle w:val="ListParagraph"/>
        <w:numPr>
          <w:ilvl w:val="0"/>
          <w:numId w:val="28"/>
        </w:numPr>
        <w:spacing w:before="240" w:after="160" w:line="259" w:lineRule="auto"/>
      </w:pPr>
      <w:hyperlink w:history="1" r:id="rId11">
        <w:r w:rsidRPr="007022CC">
          <w:rPr>
            <w:rStyle w:val="Hyperlink"/>
          </w:rPr>
          <w:t>GAO-18-352</w:t>
        </w:r>
      </w:hyperlink>
      <w:r>
        <w:rPr>
          <w:color w:val="1F497D"/>
        </w:rPr>
        <w:t xml:space="preserve">  </w:t>
      </w:r>
      <w:r w:rsidRPr="007E4E6C">
        <w:t>VA should clearly articulate how it will “monitor and assess the new decision review process compared to the legacy process, including specifying a balanced set of goals and measures—such as…Veteran satisfaction….”</w:t>
      </w:r>
    </w:p>
    <w:p w:rsidRPr="007E4E6C" w:rsidR="00A7228C" w:rsidP="00A7228C" w:rsidRDefault="00A7228C" w14:paraId="0314A7EE" w14:textId="77777777">
      <w:pPr>
        <w:pStyle w:val="ListParagraph"/>
        <w:numPr>
          <w:ilvl w:val="0"/>
          <w:numId w:val="28"/>
        </w:numPr>
        <w:spacing w:before="240" w:after="160" w:line="259" w:lineRule="auto"/>
      </w:pPr>
      <w:hyperlink w:history="1" r:id="rId12">
        <w:r w:rsidRPr="007022CC">
          <w:rPr>
            <w:rStyle w:val="Hyperlink"/>
          </w:rPr>
          <w:t>GAO-17-234</w:t>
        </w:r>
      </w:hyperlink>
      <w:r>
        <w:rPr>
          <w:color w:val="1F497D"/>
        </w:rPr>
        <w:t xml:space="preserve"> </w:t>
      </w:r>
      <w:r w:rsidRPr="007E4E6C">
        <w:t>VA should “develop a strategy for assessing process reform…that ensures transparency in reporting to Congress and the public on the extent to which VA is improving Veterans’ experiences with its disability appeals process.”</w:t>
      </w:r>
    </w:p>
    <w:p w:rsidRPr="00B16A23" w:rsidR="00A7228C" w:rsidP="00A7228C" w:rsidRDefault="00A7228C" w14:paraId="4A7AFBF9" w14:textId="77777777">
      <w:pPr>
        <w:ind w:firstLine="720"/>
      </w:pPr>
      <w:r w:rsidRPr="00B16A23">
        <w:t>Without this initiative, AMO will not have the necessary information to inform process improvement and will not have the data to report to Congress and GAO.</w:t>
      </w:r>
      <w:r>
        <w:t xml:space="preserve">  AMO has partnered with the Office of Strategic Initiatives and Collaboration (OSIC) and the Veterans Experience Office (VEO) to conduct human centered design research and use the research findings to develop three customer experience surveys around the request to file a decision review process and the two VBA managed options, the Higher-Level Review and Supplemental Claim. Veteran customer satisfaction with the Board Appeal option is being measured in a separate VSignals survey, sponsored by the Board of Veterans Appeals (Board).</w:t>
      </w:r>
    </w:p>
    <w:p w:rsidRPr="00A972BE" w:rsidR="00A7228C" w:rsidP="00A7228C" w:rsidRDefault="00A7228C" w14:paraId="6B21673C" w14:textId="77777777">
      <w:pPr>
        <w:tabs>
          <w:tab w:val="left" w:pos="720"/>
        </w:tabs>
      </w:pPr>
      <w:r>
        <w:tab/>
      </w:r>
      <w:r w:rsidRPr="00F81C0B">
        <w:t xml:space="preserve">The purpose of this document is to define VA’s sampling methodology for selecting potential survey respondents for this study.  The sampling design intends to obtain an appropriate sample of Veterans to perform an end-to-end analysis of the Supplemental claim and Higher-Level review processes from the time a </w:t>
      </w:r>
      <w:proofErr w:type="gramStart"/>
      <w:r w:rsidRPr="00F81C0B">
        <w:t>Veteran files</w:t>
      </w:r>
      <w:proofErr w:type="gramEnd"/>
      <w:r w:rsidRPr="00F81C0B">
        <w:t xml:space="preserve"> a decision review to the time a veteran receives the VA decision regarding their decision review.</w:t>
      </w:r>
      <w:r>
        <w:t xml:space="preserve"> </w:t>
      </w:r>
    </w:p>
    <w:p w:rsidR="00A7228C" w:rsidP="00A7228C" w:rsidRDefault="00A7228C" w14:paraId="7B82493A" w14:textId="77777777">
      <w:pPr>
        <w:rPr>
          <w:color w:val="2E74B5"/>
          <w:sz w:val="32"/>
          <w:szCs w:val="32"/>
        </w:rPr>
      </w:pPr>
      <w:r>
        <w:br w:type="page"/>
      </w:r>
    </w:p>
    <w:p w:rsidRPr="00C85DEE" w:rsidR="00A7228C" w:rsidP="00A7228C" w:rsidRDefault="00A7228C" w14:paraId="50402D95" w14:textId="77777777">
      <w:pPr>
        <w:pStyle w:val="Heading1"/>
        <w:spacing w:after="240"/>
      </w:pPr>
      <w:bookmarkStart w:name="_Toc17919973" w:id="8"/>
      <w:r w:rsidRPr="00C85DEE">
        <w:t>Part I – Introduction</w:t>
      </w:r>
      <w:bookmarkEnd w:id="8"/>
    </w:p>
    <w:p w:rsidRPr="007859C2" w:rsidR="00A7228C" w:rsidP="00A7228C" w:rsidRDefault="00A7228C" w14:paraId="49217C2E" w14:textId="77777777">
      <w:pPr>
        <w:pStyle w:val="Heading2"/>
        <w:spacing w:after="240"/>
      </w:pPr>
      <w:bookmarkStart w:name="_Toc17919974" w:id="9"/>
      <w:bookmarkStart w:name="_Hlk511300100" w:id="10"/>
      <w:r w:rsidRPr="007859C2">
        <w:t>A. Background</w:t>
      </w:r>
      <w:bookmarkEnd w:id="9"/>
      <w:r w:rsidRPr="007859C2">
        <w:t xml:space="preserve"> </w:t>
      </w:r>
    </w:p>
    <w:p w:rsidRPr="007859C2" w:rsidR="00A7228C" w:rsidP="00A7228C" w:rsidRDefault="00A7228C" w14:paraId="24A5BC64" w14:textId="77777777">
      <w:r w:rsidRPr="007859C2">
        <w:tab/>
      </w:r>
      <w:bookmarkStart w:name="_Hlk26886327" w:id="11"/>
      <w:bookmarkStart w:name="_Toc490572151" w:id="12"/>
      <w:bookmarkStart w:name="_Hlk511314360" w:id="13"/>
      <w:bookmarkEnd w:id="10"/>
      <w:r w:rsidRPr="007859C2">
        <w:t xml:space="preserve">The </w:t>
      </w:r>
      <w:r w:rsidRPr="007859C2">
        <w:rPr>
          <w:b/>
        </w:rPr>
        <w:t xml:space="preserve">Enterprise Measurement and </w:t>
      </w:r>
      <w:r>
        <w:rPr>
          <w:b/>
        </w:rPr>
        <w:t>Design</w:t>
      </w:r>
      <w:r w:rsidRPr="007859C2">
        <w:rPr>
          <w:i/>
        </w:rPr>
        <w:t xml:space="preserve"> </w:t>
      </w:r>
      <w:r w:rsidRPr="007859C2">
        <w:t>team (EM</w:t>
      </w:r>
      <w:r>
        <w:t>D</w:t>
      </w:r>
      <w:r w:rsidRPr="007859C2">
        <w:t xml:space="preserve">) </w:t>
      </w:r>
      <w:r>
        <w:t>in VEO</w:t>
      </w:r>
      <w:r w:rsidRPr="007859C2">
        <w:t xml:space="preserve"> is tasked with conducting transactional surveys of the Veteran population to measure their satisfaction with </w:t>
      </w:r>
      <w:r>
        <w:t>VA’s</w:t>
      </w:r>
      <w:r w:rsidRPr="007859C2">
        <w:t xml:space="preserve"> numerous benefit</w:t>
      </w:r>
      <w:r>
        <w:t>s and</w:t>
      </w:r>
      <w:r w:rsidRPr="007859C2">
        <w:t xml:space="preserve"> services. Thus, their mission is to empower Veterans by rapidly and discreetly collecting feedback on their interactions with such VA entities as </w:t>
      </w:r>
      <w:r>
        <w:t>the Veterans Health Administration (</w:t>
      </w:r>
      <w:r w:rsidRPr="007859C2">
        <w:t>VHA</w:t>
      </w:r>
      <w:r>
        <w:t>), VBA</w:t>
      </w:r>
      <w:r w:rsidRPr="007859C2">
        <w:t xml:space="preserve">, and </w:t>
      </w:r>
      <w:r>
        <w:t>the National Cemetery Administration (NCA)</w:t>
      </w:r>
      <w:r w:rsidRPr="007859C2">
        <w:t xml:space="preserve">. VEO surveys generally entail </w:t>
      </w:r>
      <w:r w:rsidRPr="007859C2">
        <w:rPr>
          <w:i/>
        </w:rPr>
        <w:t>probability</w:t>
      </w:r>
      <w:r w:rsidRPr="007859C2">
        <w:t xml:space="preserve"> samples</w:t>
      </w:r>
      <w:r>
        <w:t>,</w:t>
      </w:r>
      <w:r w:rsidRPr="007859C2">
        <w:t xml:space="preserve"> which only contact</w:t>
      </w:r>
      <w:r>
        <w:t xml:space="preserve"> the</w:t>
      </w:r>
      <w:r w:rsidRPr="007859C2">
        <w:t xml:space="preserve"> minimal number of Veterans necessary to obtain reliable estimates. This information is subsequently used by internal stakeholders to monitor, evaluate, and improve processes</w:t>
      </w:r>
      <w:r>
        <w:t xml:space="preserve"> and procedures</w:t>
      </w:r>
      <w:r w:rsidRPr="007859C2">
        <w:t xml:space="preserve">. Veterans are always able to decline participation and can opt out of future invitations. A </w:t>
      </w:r>
      <w:r w:rsidRPr="007859C2">
        <w:rPr>
          <w:i/>
        </w:rPr>
        <w:t>quarantine</w:t>
      </w:r>
      <w:r w:rsidRPr="007859C2">
        <w:t xml:space="preserve"> protocol is maintained to limit the number of times a Veteran may be contacted, in order to prevent survey fatigue, across all VEO surveys. </w:t>
      </w:r>
      <w:bookmarkEnd w:id="11"/>
    </w:p>
    <w:p w:rsidR="00A7228C" w:rsidP="00A7228C" w:rsidRDefault="00A7228C" w14:paraId="05390D57" w14:textId="77777777">
      <w:pPr>
        <w:ind w:firstLine="720"/>
      </w:pPr>
      <w:r w:rsidRPr="007859C2">
        <w:t xml:space="preserve">Surveys issued by </w:t>
      </w:r>
      <w:r>
        <w:t>VEO</w:t>
      </w:r>
      <w:r w:rsidRPr="007859C2">
        <w:t xml:space="preserve"> are generally brief in nature and present a low </w:t>
      </w:r>
      <w:r>
        <w:t xml:space="preserve">respondent </w:t>
      </w:r>
      <w:r w:rsidRPr="007859C2">
        <w:t xml:space="preserve">burden. </w:t>
      </w:r>
      <w:r w:rsidRPr="009A3A73">
        <w:t xml:space="preserve">Veterans </w:t>
      </w:r>
      <w:r>
        <w:t>or</w:t>
      </w:r>
      <w:r w:rsidRPr="009A3A73">
        <w:t xml:space="preserve"> beneficiaries</w:t>
      </w:r>
      <w:r w:rsidRPr="007859C2">
        <w:t xml:space="preserve"> </w:t>
      </w:r>
      <w:r>
        <w:t xml:space="preserve">who have filed a request for a decision review </w:t>
      </w:r>
      <w:r w:rsidRPr="007859C2">
        <w:t xml:space="preserve">will be contacted </w:t>
      </w:r>
      <w:r>
        <w:t xml:space="preserve">via </w:t>
      </w:r>
      <w:r w:rsidRPr="007859C2">
        <w:t>email</w:t>
      </w:r>
      <w:r>
        <w:t xml:space="preserve"> and invited to participate in a survey</w:t>
      </w:r>
      <w:r w:rsidRPr="007859C2">
        <w:t xml:space="preserve">. A link will be enclosed so the survey may be completed using an online interface with customized </w:t>
      </w:r>
      <w:r>
        <w:t>Veteran</w:t>
      </w:r>
      <w:r w:rsidRPr="007859C2">
        <w:t xml:space="preserve"> information. </w:t>
      </w:r>
    </w:p>
    <w:p w:rsidRPr="007859C2" w:rsidR="00A7228C" w:rsidP="00A7228C" w:rsidRDefault="00A7228C" w14:paraId="78C1813E" w14:textId="77777777">
      <w:pPr>
        <w:ind w:firstLine="720"/>
      </w:pPr>
      <w:r>
        <w:t xml:space="preserve">Most of the questions are based on </w:t>
      </w:r>
      <w:r w:rsidRPr="007859C2">
        <w:t xml:space="preserve">human centered design (HCD) </w:t>
      </w:r>
      <w:r>
        <w:t xml:space="preserve">research and </w:t>
      </w:r>
      <w:r w:rsidRPr="007859C2">
        <w:t xml:space="preserve">methodology and </w:t>
      </w:r>
      <w:r>
        <w:t>meets the Office</w:t>
      </w:r>
      <w:r w:rsidRPr="007859C2">
        <w:t xml:space="preserve"> of </w:t>
      </w:r>
      <w:r>
        <w:t>Management and Budget (OMB) A-11, Section 280 requirements</w:t>
      </w:r>
      <w:r w:rsidRPr="007859C2">
        <w:t xml:space="preserve"> of</w:t>
      </w:r>
      <w:r>
        <w:t xml:space="preserve">: </w:t>
      </w:r>
      <w:r w:rsidRPr="00A72C5C">
        <w:t>Effectiveness</w:t>
      </w:r>
      <w:r>
        <w:t>/</w:t>
      </w:r>
      <w:r w:rsidRPr="00A72C5C">
        <w:t>Quality</w:t>
      </w:r>
      <w:r>
        <w:t>,</w:t>
      </w:r>
      <w:r w:rsidRPr="00A72C5C">
        <w:t xml:space="preserve"> </w:t>
      </w:r>
      <w:r>
        <w:t>Confidence/</w:t>
      </w:r>
      <w:r w:rsidRPr="007859C2">
        <w:t>Trust, Ease</w:t>
      </w:r>
      <w:r>
        <w:t xml:space="preserve">/Simplicity, Satisfaction, Equity/Transparency, Efficiency/Speed and </w:t>
      </w:r>
      <w:r w:rsidRPr="00223DE0">
        <w:t>Employee Helpfulness</w:t>
      </w:r>
      <w:r>
        <w:t>. The survey</w:t>
      </w:r>
      <w:r w:rsidRPr="007859C2">
        <w:t xml:space="preserve"> </w:t>
      </w:r>
      <w:r>
        <w:t>q</w:t>
      </w:r>
      <w:r w:rsidRPr="007859C2">
        <w:t xml:space="preserve">uestions will focus on </w:t>
      </w:r>
      <w:r>
        <w:t>various</w:t>
      </w:r>
      <w:r w:rsidRPr="007859C2">
        <w:t xml:space="preserve"> aspect</w:t>
      </w:r>
      <w:r>
        <w:t>s</w:t>
      </w:r>
      <w:r w:rsidRPr="007859C2">
        <w:t xml:space="preserve"> of </w:t>
      </w:r>
      <w:r>
        <w:t>the modernized decision review</w:t>
      </w:r>
      <w:r w:rsidRPr="007859C2">
        <w:t xml:space="preserve"> process; </w:t>
      </w:r>
      <w:r>
        <w:t>to include</w:t>
      </w:r>
      <w:r w:rsidRPr="007859C2">
        <w:t xml:space="preserve"> communication, </w:t>
      </w:r>
      <w:r>
        <w:t>filing the request for a decision review</w:t>
      </w:r>
      <w:r w:rsidRPr="007859C2">
        <w:t xml:space="preserve">, deliberation, and receipt of </w:t>
      </w:r>
      <w:r>
        <w:t>the decision</w:t>
      </w:r>
      <w:r w:rsidRPr="007859C2">
        <w:t>. Modern survey theory is used to create sample designs which are representative, statistically sound, and in accordance with</w:t>
      </w:r>
      <w:r>
        <w:t xml:space="preserve"> </w:t>
      </w:r>
      <w:r w:rsidRPr="007859C2">
        <w:t xml:space="preserve">OMB guidelines </w:t>
      </w:r>
      <w:r>
        <w:t>for</w:t>
      </w:r>
      <w:r w:rsidRPr="007859C2">
        <w:t xml:space="preserve"> federal surveys. </w:t>
      </w:r>
    </w:p>
    <w:p w:rsidR="00A7228C" w:rsidP="00A7228C" w:rsidRDefault="00A7228C" w14:paraId="32882208" w14:textId="77777777">
      <w:r w:rsidRPr="007859C2">
        <w:tab/>
      </w:r>
      <w:bookmarkStart w:name="_Toc511750800" w:id="14"/>
    </w:p>
    <w:p w:rsidR="00A7228C" w:rsidP="00A7228C" w:rsidRDefault="00A7228C" w14:paraId="2B8E6626" w14:textId="77777777">
      <w:pPr>
        <w:rPr>
          <w:color w:val="2E74B5"/>
          <w:sz w:val="26"/>
          <w:szCs w:val="26"/>
        </w:rPr>
      </w:pPr>
      <w:r>
        <w:br w:type="page"/>
      </w:r>
    </w:p>
    <w:p w:rsidRPr="00F53200" w:rsidR="00A7228C" w:rsidP="00A7228C" w:rsidRDefault="00A7228C" w14:paraId="10F18019" w14:textId="77777777">
      <w:pPr>
        <w:pStyle w:val="Heading2"/>
        <w:spacing w:after="240"/>
      </w:pPr>
      <w:bookmarkStart w:name="_Toc17919975" w:id="15"/>
      <w:r>
        <w:t xml:space="preserve">B. </w:t>
      </w:r>
      <w:r w:rsidRPr="00C85DEE">
        <w:t>Basic Definitions</w:t>
      </w:r>
      <w:bookmarkEnd w:id="14"/>
      <w:bookmarkEnd w:id="15"/>
    </w:p>
    <w:tbl>
      <w:tblPr>
        <w:tblStyle w:val="TableGrid"/>
        <w:tblW w:w="0" w:type="auto"/>
        <w:tblLook w:val="04A0" w:firstRow="1" w:lastRow="0" w:firstColumn="1" w:lastColumn="0" w:noHBand="0" w:noVBand="1"/>
      </w:tblPr>
      <w:tblGrid>
        <w:gridCol w:w="2401"/>
        <w:gridCol w:w="6319"/>
      </w:tblGrid>
      <w:tr w:rsidR="00A7228C" w:rsidTr="008164A3" w14:paraId="65464EAD" w14:textId="77777777">
        <w:tc>
          <w:tcPr>
            <w:tcW w:w="3055" w:type="dxa"/>
            <w:tcBorders>
              <w:top w:val="single" w:color="auto" w:sz="4" w:space="0"/>
              <w:left w:val="single" w:color="auto" w:sz="4" w:space="0"/>
              <w:bottom w:val="single" w:color="auto" w:sz="4" w:space="0"/>
              <w:right w:val="single" w:color="auto" w:sz="4" w:space="0"/>
            </w:tcBorders>
          </w:tcPr>
          <w:p w:rsidR="00A7228C" w:rsidP="008164A3" w:rsidRDefault="00A7228C" w14:paraId="1BCBECB7" w14:textId="77777777">
            <w:r>
              <w:t>Attrition</w:t>
            </w:r>
          </w:p>
        </w:tc>
        <w:tc>
          <w:tcPr>
            <w:tcW w:w="9895" w:type="dxa"/>
            <w:tcBorders>
              <w:top w:val="single" w:color="auto" w:sz="4" w:space="0"/>
              <w:left w:val="single" w:color="auto" w:sz="4" w:space="0"/>
              <w:bottom w:val="single" w:color="auto" w:sz="4" w:space="0"/>
              <w:right w:val="single" w:color="auto" w:sz="4" w:space="0"/>
            </w:tcBorders>
          </w:tcPr>
          <w:p w:rsidR="00A7228C" w:rsidP="008164A3" w:rsidRDefault="00A7228C" w14:paraId="7944F3B5" w14:textId="77777777">
            <w:r>
              <w:t>The loss of sampled persons in a later survey period after they have responded in an earlier survey period in a longitudinal sample design.</w:t>
            </w:r>
          </w:p>
        </w:tc>
      </w:tr>
      <w:tr w:rsidR="00A7228C" w:rsidTr="008164A3" w14:paraId="6A9C8E94"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554540A7" w14:textId="77777777">
            <w:bookmarkStart w:name="_Toc511750801" w:id="16"/>
            <w:r>
              <w:t>Coverage</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5CCE1F88" w14:textId="77777777">
            <w:r>
              <w:t>The percentage of the population of interest that is included in the sampling frame.</w:t>
            </w:r>
          </w:p>
        </w:tc>
      </w:tr>
      <w:tr w:rsidR="00A7228C" w:rsidTr="008164A3" w14:paraId="7EC63708" w14:textId="77777777">
        <w:tc>
          <w:tcPr>
            <w:tcW w:w="3055" w:type="dxa"/>
            <w:tcBorders>
              <w:top w:val="single" w:color="auto" w:sz="4" w:space="0"/>
              <w:left w:val="single" w:color="auto" w:sz="4" w:space="0"/>
              <w:bottom w:val="single" w:color="auto" w:sz="4" w:space="0"/>
              <w:right w:val="single" w:color="auto" w:sz="4" w:space="0"/>
            </w:tcBorders>
          </w:tcPr>
          <w:p w:rsidR="00A7228C" w:rsidP="008164A3" w:rsidRDefault="00A7228C" w14:paraId="1316AC5E" w14:textId="77777777">
            <w:r>
              <w:t>Longitudinal Sample</w:t>
            </w:r>
          </w:p>
        </w:tc>
        <w:tc>
          <w:tcPr>
            <w:tcW w:w="9895" w:type="dxa"/>
            <w:tcBorders>
              <w:top w:val="single" w:color="auto" w:sz="4" w:space="0"/>
              <w:left w:val="single" w:color="auto" w:sz="4" w:space="0"/>
              <w:bottom w:val="single" w:color="auto" w:sz="4" w:space="0"/>
              <w:right w:val="single" w:color="auto" w:sz="4" w:space="0"/>
            </w:tcBorders>
          </w:tcPr>
          <w:p w:rsidR="00A7228C" w:rsidP="008164A3" w:rsidRDefault="00A7228C" w14:paraId="67DF5B80" w14:textId="77777777">
            <w:r>
              <w:t>A sample design used to collect repeated observations within sampled persons over time.</w:t>
            </w:r>
          </w:p>
        </w:tc>
      </w:tr>
      <w:tr w:rsidR="00A7228C" w:rsidTr="008164A3" w14:paraId="56180DF0"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153A1F93" w14:textId="77777777">
            <w: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71DA1301" w14:textId="77777777">
            <w:r>
              <w:t>The difference between the response coded and the true value of the characteristic being studied for a respondent.</w:t>
            </w:r>
          </w:p>
        </w:tc>
      </w:tr>
      <w:tr w:rsidR="00A7228C" w:rsidTr="008164A3" w14:paraId="5A3F5898"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73DBA4B3" w14:textId="77777777">
            <w:r>
              <w:t>Non-Response</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4C4A522D" w14:textId="77777777">
            <w:r>
              <w:t>Failure of some respondents in the sample to provide responses in the survey.</w:t>
            </w:r>
          </w:p>
        </w:tc>
      </w:tr>
      <w:tr w:rsidR="00A7228C" w:rsidTr="008164A3" w14:paraId="25878C96"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4B36ADAA" w14:textId="77777777">
            <w:r>
              <w:t>Transaction</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0BB1228F" w14:textId="77777777">
            <w:r>
              <w:t xml:space="preserve">A </w:t>
            </w:r>
            <w:r>
              <w:rPr>
                <w:i/>
              </w:rPr>
              <w:t>transaction</w:t>
            </w:r>
            <w:r>
              <w:t xml:space="preserve"> refers to the specific time a Veteran interacts with the VA that impacts the Veteran’s journey and their perception of VA’s effectiveness in caring for Veterans. </w:t>
            </w:r>
          </w:p>
        </w:tc>
      </w:tr>
      <w:tr w:rsidR="00A7228C" w:rsidTr="008164A3" w14:paraId="345A8B2A"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5C2918A7" w14:textId="77777777">
            <w:r>
              <w:t>Response Rate</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2FA3A76B" w14:textId="77777777">
            <w:r>
              <w:t>The ratio of participating persons to the number of contacted persons. This is one of the basic indicators of survey quality.</w:t>
            </w:r>
          </w:p>
        </w:tc>
      </w:tr>
      <w:tr w:rsidR="00A7228C" w:rsidTr="008164A3" w14:paraId="7F878942"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10999530" w14:textId="77777777">
            <w:r>
              <w:t>Sample</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6EFD1E7D" w14:textId="77777777">
            <w:r>
              <w:t>In statistics, a data sample is a set of data collected and/or selected from a statistical population by a defined procedure.</w:t>
            </w:r>
          </w:p>
        </w:tc>
      </w:tr>
      <w:tr w:rsidR="00A7228C" w:rsidTr="008164A3" w14:paraId="072AED6C"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0DA99FE4" w14:textId="77777777">
            <w:r>
              <w:t>Sampling Error</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3F67AB7F" w14:textId="77777777">
            <w:r>
              <w:t xml:space="preserve">Error due to taking a </w:t>
            </w:r>
            <w:proofErr w:type="gramStart"/>
            <w:r>
              <w:t>particular sample</w:t>
            </w:r>
            <w:proofErr w:type="gramEnd"/>
            <w:r>
              <w:t xml:space="preserve"> instead of measuring</w:t>
            </w:r>
            <w:r>
              <w:rPr>
                <w:u w:val="single"/>
              </w:rPr>
              <w:t xml:space="preserve"> </w:t>
            </w:r>
            <w:r>
              <w:t>every unit in the population.</w:t>
            </w:r>
          </w:p>
        </w:tc>
      </w:tr>
      <w:tr w:rsidR="00A7228C" w:rsidTr="008164A3" w14:paraId="3C07CB90"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14E30A40" w14:textId="77777777">
            <w:r>
              <w:t>Sampling Frame</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650CEDB3" w14:textId="77777777">
            <w:r>
              <w:t xml:space="preserve">A list of units in the population from which a sample may be selected. </w:t>
            </w:r>
          </w:p>
        </w:tc>
      </w:tr>
      <w:tr w:rsidR="00A7228C" w:rsidTr="008164A3" w14:paraId="0D8B585A" w14:textId="77777777">
        <w:tc>
          <w:tcPr>
            <w:tcW w:w="3055" w:type="dxa"/>
            <w:tcBorders>
              <w:top w:val="single" w:color="auto" w:sz="4" w:space="0"/>
              <w:left w:val="single" w:color="auto" w:sz="4" w:space="0"/>
              <w:bottom w:val="single" w:color="auto" w:sz="4" w:space="0"/>
              <w:right w:val="single" w:color="auto" w:sz="4" w:space="0"/>
            </w:tcBorders>
            <w:hideMark/>
          </w:tcPr>
          <w:p w:rsidR="00A7228C" w:rsidP="008164A3" w:rsidRDefault="00A7228C" w14:paraId="12191D7F" w14:textId="77777777">
            <w:r>
              <w:t>Reliability</w:t>
            </w:r>
          </w:p>
        </w:tc>
        <w:tc>
          <w:tcPr>
            <w:tcW w:w="9895" w:type="dxa"/>
            <w:tcBorders>
              <w:top w:val="single" w:color="auto" w:sz="4" w:space="0"/>
              <w:left w:val="single" w:color="auto" w:sz="4" w:space="0"/>
              <w:bottom w:val="single" w:color="auto" w:sz="4" w:space="0"/>
              <w:right w:val="single" w:color="auto" w:sz="4" w:space="0"/>
            </w:tcBorders>
            <w:hideMark/>
          </w:tcPr>
          <w:p w:rsidR="00A7228C" w:rsidP="008164A3" w:rsidRDefault="00A7228C" w14:paraId="688D3DDE" w14:textId="77777777">
            <w:r>
              <w:t xml:space="preserve">The consistency or dependability of a measure. Also referred to as </w:t>
            </w:r>
            <w:r>
              <w:rPr>
                <w:i/>
              </w:rPr>
              <w:t>standard error</w:t>
            </w:r>
            <w:r>
              <w:t>.</w:t>
            </w:r>
          </w:p>
        </w:tc>
      </w:tr>
    </w:tbl>
    <w:p w:rsidR="00A7228C" w:rsidP="00A7228C" w:rsidRDefault="00A7228C" w14:paraId="35C91AFC" w14:textId="77777777">
      <w:pPr>
        <w:pStyle w:val="Heading2"/>
        <w:spacing w:after="240"/>
        <w:rPr>
          <w:rFonts w:eastAsia="SimSun"/>
          <w:sz w:val="22"/>
          <w:szCs w:val="22"/>
        </w:rPr>
      </w:pPr>
    </w:p>
    <w:p w:rsidRPr="00C85DEE" w:rsidR="00A7228C" w:rsidP="00A7228C" w:rsidRDefault="00A7228C" w14:paraId="7F1D086A" w14:textId="77777777">
      <w:pPr>
        <w:pStyle w:val="Heading2"/>
        <w:spacing w:after="240"/>
      </w:pPr>
      <w:bookmarkStart w:name="_Toc17919976" w:id="17"/>
      <w:r w:rsidRPr="00C85DEE">
        <w:t>C. Application to Veterans Affairs</w:t>
      </w:r>
      <w:bookmarkEnd w:id="16"/>
      <w:bookmarkEnd w:id="17"/>
    </w:p>
    <w:p w:rsidR="00A7228C" w:rsidP="00A7228C" w:rsidRDefault="00A7228C" w14:paraId="17D8C6AB" w14:textId="77777777">
      <w:pPr>
        <w:spacing w:after="240"/>
        <w:ind w:firstLine="720"/>
      </w:pPr>
      <w:r>
        <w:t xml:space="preserve">Customer experience and satisfaction are usually measured at three levels to 1) provide lines of business with the ability to track, monitor, and incentivize service quality; 2) provide service level monitoring and insights; and 3) direct point of service feedback. </w:t>
      </w:r>
      <w:r w:rsidRPr="00C85DEE">
        <w:t>Th</w:t>
      </w:r>
      <w:r>
        <w:t xml:space="preserve">ese </w:t>
      </w:r>
      <w:r w:rsidRPr="00C85DEE">
        <w:t>measure</w:t>
      </w:r>
      <w:r>
        <w:t>s</w:t>
      </w:r>
      <w:r w:rsidRPr="00C85DEE">
        <w:t xml:space="preserve"> </w:t>
      </w:r>
      <w:r>
        <w:t>will result in actionable data and inform process improvement activities within VBA</w:t>
      </w:r>
      <w:r w:rsidRPr="00C85DEE">
        <w:t xml:space="preserve">. </w:t>
      </w:r>
    </w:p>
    <w:p w:rsidRPr="00C85DEE" w:rsidR="00A7228C" w:rsidP="00A7228C" w:rsidRDefault="00A7228C" w14:paraId="724A40D8" w14:textId="77777777">
      <w:pPr>
        <w:pStyle w:val="Heading1"/>
        <w:spacing w:after="240"/>
      </w:pPr>
      <w:bookmarkStart w:name="_Toc511750802" w:id="18"/>
      <w:bookmarkStart w:name="_Toc17919977" w:id="19"/>
      <w:r w:rsidRPr="00C85DEE">
        <w:t>Part II – Methodology</w:t>
      </w:r>
      <w:bookmarkEnd w:id="18"/>
      <w:bookmarkEnd w:id="19"/>
    </w:p>
    <w:p w:rsidRPr="00C85DEE" w:rsidR="00A7228C" w:rsidP="00A7228C" w:rsidRDefault="00A7228C" w14:paraId="25A69D8D" w14:textId="77777777">
      <w:pPr>
        <w:pStyle w:val="Heading2"/>
        <w:spacing w:after="240"/>
      </w:pPr>
      <w:bookmarkStart w:name="_Toc483228672" w:id="20"/>
      <w:bookmarkStart w:name="_Toc511750803" w:id="21"/>
      <w:bookmarkStart w:name="_Toc17919978" w:id="22"/>
      <w:r w:rsidRPr="00C85DEE">
        <w:t xml:space="preserve">A.  Target Population and </w:t>
      </w:r>
      <w:r>
        <w:t xml:space="preserve">Sampling </w:t>
      </w:r>
      <w:r w:rsidRPr="00C85DEE">
        <w:t>Frame</w:t>
      </w:r>
      <w:bookmarkEnd w:id="20"/>
      <w:bookmarkEnd w:id="21"/>
      <w:bookmarkEnd w:id="22"/>
    </w:p>
    <w:p w:rsidRPr="007219A6" w:rsidR="00A7228C" w:rsidP="00A7228C" w:rsidRDefault="00A7228C" w14:paraId="03F6E01A" w14:textId="77777777">
      <w:pPr>
        <w:spacing w:after="240"/>
        <w:ind w:firstLine="720"/>
      </w:pPr>
      <w:r>
        <w:t>The target population is all Veterans who have filed a request for decision review and received a decision from either of these reviews.  T</w:t>
      </w:r>
      <w:r w:rsidRPr="00AA4204">
        <w:t xml:space="preserve">here are </w:t>
      </w:r>
      <w:r w:rsidRPr="007219A6">
        <w:t xml:space="preserve">two points in VBA’s decision review process that </w:t>
      </w:r>
      <w:r>
        <w:t>will</w:t>
      </w:r>
      <w:r w:rsidRPr="007219A6">
        <w:t xml:space="preserve"> trigger a survey:</w:t>
      </w:r>
    </w:p>
    <w:p w:rsidRPr="007219A6" w:rsidR="00A7228C" w:rsidP="00A7228C" w:rsidRDefault="00A7228C" w14:paraId="30FFE990" w14:textId="77777777">
      <w:pPr>
        <w:pStyle w:val="ListParagraph"/>
        <w:numPr>
          <w:ilvl w:val="0"/>
          <w:numId w:val="20"/>
        </w:numPr>
        <w:spacing w:after="240"/>
      </w:pPr>
      <w:r w:rsidRPr="007219A6">
        <w:t xml:space="preserve">When the Veteran or beneficiary submits </w:t>
      </w:r>
      <w:r>
        <w:t xml:space="preserve">one of the below forms </w:t>
      </w:r>
      <w:r w:rsidRPr="007219A6">
        <w:t>to VA</w:t>
      </w:r>
      <w:r>
        <w:t xml:space="preserve"> and </w:t>
      </w:r>
      <w:proofErr w:type="gramStart"/>
      <w:r>
        <w:t>an end product</w:t>
      </w:r>
      <w:proofErr w:type="gramEnd"/>
      <w:r>
        <w:t xml:space="preserve"> (EP) is established.</w:t>
      </w:r>
    </w:p>
    <w:p w:rsidRPr="00AA4204" w:rsidR="00A7228C" w:rsidP="00A7228C" w:rsidRDefault="00A7228C" w14:paraId="64B001EB" w14:textId="77777777">
      <w:pPr>
        <w:pStyle w:val="ListParagraph"/>
        <w:numPr>
          <w:ilvl w:val="1"/>
          <w:numId w:val="20"/>
        </w:numPr>
        <w:spacing w:after="240"/>
      </w:pPr>
      <w:r w:rsidRPr="0056301D">
        <w:t>VA Form 20-0995,</w:t>
      </w:r>
      <w:r w:rsidRPr="007219A6">
        <w:t xml:space="preserve"> </w:t>
      </w:r>
      <w:r w:rsidRPr="007219A6">
        <w:rPr>
          <w:bCs/>
          <w:i/>
        </w:rPr>
        <w:t>Decision Review Request</w:t>
      </w:r>
      <w:r w:rsidRPr="007219A6">
        <w:rPr>
          <w:bCs/>
          <w:i/>
          <w:color w:val="000000"/>
        </w:rPr>
        <w:t>: S</w:t>
      </w:r>
      <w:r w:rsidRPr="007219A6">
        <w:rPr>
          <w:bCs/>
          <w:i/>
        </w:rPr>
        <w:t>upplemental Claim</w:t>
      </w:r>
      <w:r w:rsidRPr="007219A6">
        <w:rPr>
          <w:bCs/>
        </w:rPr>
        <w:t xml:space="preserve">, </w:t>
      </w:r>
      <w:r w:rsidRPr="00AA4204">
        <w:t xml:space="preserve">or </w:t>
      </w:r>
    </w:p>
    <w:p w:rsidRPr="00AA4204" w:rsidR="00A7228C" w:rsidP="00A7228C" w:rsidRDefault="00A7228C" w14:paraId="4F466E96" w14:textId="77777777">
      <w:pPr>
        <w:pStyle w:val="ListParagraph"/>
        <w:numPr>
          <w:ilvl w:val="1"/>
          <w:numId w:val="20"/>
        </w:numPr>
        <w:spacing w:after="240"/>
      </w:pPr>
      <w:r w:rsidRPr="00AA4204">
        <w:t xml:space="preserve">VA Form </w:t>
      </w:r>
      <w:r w:rsidRPr="007219A6">
        <w:t xml:space="preserve">20-0996, </w:t>
      </w:r>
      <w:r w:rsidRPr="007219A6">
        <w:rPr>
          <w:i/>
        </w:rPr>
        <w:t>Decision Review Request: Higher-Level Review</w:t>
      </w:r>
      <w:r w:rsidRPr="007219A6">
        <w:t>.</w:t>
      </w:r>
    </w:p>
    <w:p w:rsidRPr="00AA4204" w:rsidR="00A7228C" w:rsidP="00A7228C" w:rsidRDefault="00A7228C" w14:paraId="5C0D3EA4" w14:textId="77777777">
      <w:pPr>
        <w:pStyle w:val="ListParagraph"/>
        <w:spacing w:after="240"/>
        <w:ind w:left="1800"/>
      </w:pPr>
    </w:p>
    <w:p w:rsidRPr="007219A6" w:rsidR="00A7228C" w:rsidP="00A7228C" w:rsidRDefault="00A7228C" w14:paraId="032904BB" w14:textId="77777777">
      <w:pPr>
        <w:pStyle w:val="ListParagraph"/>
        <w:numPr>
          <w:ilvl w:val="0"/>
          <w:numId w:val="20"/>
        </w:numPr>
        <w:spacing w:after="240"/>
      </w:pPr>
      <w:r w:rsidRPr="007219A6">
        <w:t>When a decision review EP is cleared:</w:t>
      </w:r>
    </w:p>
    <w:p w:rsidRPr="007219A6" w:rsidR="00A7228C" w:rsidP="00A7228C" w:rsidRDefault="00A7228C" w14:paraId="57A723AB" w14:textId="77777777">
      <w:pPr>
        <w:pStyle w:val="ListParagraph"/>
        <w:numPr>
          <w:ilvl w:val="0"/>
          <w:numId w:val="21"/>
        </w:numPr>
        <w:spacing w:after="240"/>
      </w:pPr>
      <w:r w:rsidRPr="007219A6">
        <w:t>030</w:t>
      </w:r>
      <w:r w:rsidRPr="00AA4204">
        <w:t xml:space="preserve"> series –</w:t>
      </w:r>
      <w:r w:rsidRPr="007219A6">
        <w:t xml:space="preserve"> Higher-Level Review </w:t>
      </w:r>
    </w:p>
    <w:p w:rsidR="00A7228C" w:rsidP="00A7228C" w:rsidRDefault="00A7228C" w14:paraId="421037A2" w14:textId="77777777">
      <w:pPr>
        <w:pStyle w:val="ListParagraph"/>
        <w:ind w:firstLine="720"/>
        <w:rPr>
          <w:b/>
          <w:color w:val="4F81BD" w:themeColor="accent1"/>
          <w:lang w:eastAsia="zh-CN"/>
        </w:rPr>
      </w:pPr>
      <w:r w:rsidRPr="007219A6">
        <w:t>040</w:t>
      </w:r>
      <w:r w:rsidRPr="00AA4204">
        <w:t xml:space="preserve"> series –</w:t>
      </w:r>
      <w:r w:rsidRPr="007219A6">
        <w:t>Supplemental Claim.</w:t>
      </w:r>
      <w:r w:rsidRPr="007219A6" w:rsidDel="00AE0995">
        <w:t xml:space="preserve"> </w:t>
      </w:r>
    </w:p>
    <w:p w:rsidRPr="00FC3760" w:rsidR="00A7228C" w:rsidP="00A7228C" w:rsidRDefault="00A7228C" w14:paraId="03330A89" w14:textId="77777777">
      <w:pPr>
        <w:spacing w:after="240"/>
      </w:pPr>
      <w:r w:rsidRPr="00FC3760">
        <w:rPr>
          <w:bCs/>
          <w:lang w:eastAsia="zh-CN"/>
        </w:rPr>
        <w:tab/>
        <w:t>The sample frame contains all Veterans who have reported an email address to AMO and were recorded in Enterprise Data Warehouse (EDW) as having either filed for a review or obtained a decision on their review.  The frame is created every week from data in EDW prior to sampling.  For the Filing a Decision Review survey, the sampling frame includes Veterans who have filed for a Supplemental claim review or a Higher- Level review in the seven days prior to sampling.  For the Decision survey, the sampling frame includes all Veterans who were sent a Filing a Decision Review notice seven to fourteen days prior to sampling</w:t>
      </w:r>
      <w:r w:rsidRPr="00FC3760">
        <w:rPr>
          <w:rStyle w:val="FootnoteReference"/>
          <w:bCs/>
          <w:lang w:eastAsia="zh-CN"/>
        </w:rPr>
        <w:footnoteReference w:id="2"/>
      </w:r>
      <w:r w:rsidRPr="00FC3760">
        <w:rPr>
          <w:bCs/>
          <w:lang w:eastAsia="zh-CN"/>
        </w:rPr>
        <w:t xml:space="preserve">. However, only Veterans who received a Filing survey are sent a Decision survey.  </w:t>
      </w:r>
      <w:bookmarkStart w:name="_Hlk30146409" w:id="23"/>
      <w:r w:rsidRPr="00FC3760">
        <w:rPr>
          <w:bCs/>
          <w:lang w:eastAsia="zh-CN"/>
        </w:rPr>
        <w:t>Veterans who file for both a Higher-Level review and a Supplemental review in in a week will be randomly assigned to one type of review prior to sampling.</w:t>
      </w:r>
      <w:bookmarkEnd w:id="23"/>
      <w:r>
        <w:rPr>
          <w:rStyle w:val="FootnoteReference"/>
          <w:bCs/>
          <w:lang w:eastAsia="zh-CN"/>
        </w:rPr>
        <w:footnoteReference w:id="3"/>
      </w:r>
    </w:p>
    <w:p w:rsidRPr="007219A6" w:rsidR="00A7228C" w:rsidP="00A7228C" w:rsidRDefault="00A7228C" w14:paraId="5827E496" w14:textId="77777777">
      <w:pPr>
        <w:spacing w:after="240"/>
      </w:pPr>
      <w:r w:rsidRPr="0079785C">
        <w:t>Surveys will be sent seven days after each of the two points in VBA's decision review process.  Veterans will be identified through a weekly extract from operational records stored in the VBA Enterprise Data Warehouse (EDW).</w:t>
      </w:r>
    </w:p>
    <w:p w:rsidRPr="007219A6" w:rsidR="00A7228C" w:rsidP="00A7228C" w:rsidRDefault="00A7228C" w14:paraId="0D793EE4" w14:textId="77777777">
      <w:pPr>
        <w:spacing w:after="240"/>
      </w:pPr>
      <w:r>
        <w:rPr>
          <w:b/>
          <w:noProof/>
          <w:color w:val="4F81BD" w:themeColor="accent1"/>
          <w:lang w:eastAsia="zh-CN"/>
        </w:rPr>
        <mc:AlternateContent>
          <mc:Choice Requires="wpg">
            <w:drawing>
              <wp:anchor distT="0" distB="0" distL="114300" distR="114300" simplePos="0" relativeHeight="251660288" behindDoc="0" locked="0" layoutInCell="1" allowOverlap="1" wp14:editId="3C75A3A3" wp14:anchorId="4B454BB1">
                <wp:simplePos x="0" y="0"/>
                <wp:positionH relativeFrom="column">
                  <wp:posOffset>749935</wp:posOffset>
                </wp:positionH>
                <wp:positionV relativeFrom="paragraph">
                  <wp:posOffset>32067</wp:posOffset>
                </wp:positionV>
                <wp:extent cx="3733800" cy="71437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3733800" cy="714375"/>
                          <a:chOff x="0" y="0"/>
                          <a:chExt cx="3733800" cy="714375"/>
                        </a:xfrm>
                      </wpg:grpSpPr>
                      <wps:wsp>
                        <wps:cNvPr id="6" name="Text Box 6"/>
                        <wps:cNvSpPr txBox="1"/>
                        <wps:spPr>
                          <a:xfrm>
                            <a:off x="1914525" y="0"/>
                            <a:ext cx="1819275" cy="266700"/>
                          </a:xfrm>
                          <a:prstGeom prst="rect">
                            <a:avLst/>
                          </a:prstGeom>
                          <a:solidFill>
                            <a:schemeClr val="lt1"/>
                          </a:solidFill>
                          <a:ln w="6350">
                            <a:solidFill>
                              <a:prstClr val="black"/>
                            </a:solidFill>
                          </a:ln>
                        </wps:spPr>
                        <wps:txbx>
                          <w:txbxContent>
                            <w:p w:rsidRPr="00B41436" w:rsidR="00A7228C" w:rsidP="00A7228C" w:rsidRDefault="00A7228C" w14:paraId="31E68AE1" w14:textId="77777777">
                              <w:r w:rsidRPr="00B41436">
                                <w:t>Higher-Level Review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914525" y="419100"/>
                            <a:ext cx="1819275" cy="295275"/>
                          </a:xfrm>
                          <a:prstGeom prst="rect">
                            <a:avLst/>
                          </a:prstGeom>
                          <a:solidFill>
                            <a:schemeClr val="lt1"/>
                          </a:solidFill>
                          <a:ln w="6350">
                            <a:solidFill>
                              <a:prstClr val="black"/>
                            </a:solidFill>
                          </a:ln>
                        </wps:spPr>
                        <wps:txbx>
                          <w:txbxContent>
                            <w:p w:rsidRPr="00B41436" w:rsidR="00A7228C" w:rsidP="00A7228C" w:rsidRDefault="00A7228C" w14:paraId="3C1C0A94" w14:textId="77777777">
                              <w:r w:rsidRPr="00B41436">
                                <w:t>Supplemental Claim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228600"/>
                            <a:ext cx="1685925" cy="247650"/>
                          </a:xfrm>
                          <a:prstGeom prst="rect">
                            <a:avLst/>
                          </a:prstGeom>
                          <a:solidFill>
                            <a:schemeClr val="lt1"/>
                          </a:solidFill>
                          <a:ln w="6350">
                            <a:solidFill>
                              <a:prstClr val="black"/>
                            </a:solidFill>
                          </a:ln>
                        </wps:spPr>
                        <wps:txbx>
                          <w:txbxContent>
                            <w:p w:rsidRPr="0056301D" w:rsidR="00A7228C" w:rsidP="00A7228C" w:rsidRDefault="00A7228C" w14:paraId="020616BF" w14:textId="77777777">
                              <w:r w:rsidRPr="0056301D">
                                <w:t xml:space="preserve">Filing a Decision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onnector: Elbow 12"/>
                        <wps:cNvCnPr/>
                        <wps:spPr>
                          <a:xfrm>
                            <a:off x="1695450" y="342900"/>
                            <a:ext cx="2286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or: Elbow 13"/>
                        <wps:cNvCnPr/>
                        <wps:spPr>
                          <a:xfrm flipV="1">
                            <a:off x="1695450" y="114300"/>
                            <a:ext cx="2286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style="position:absolute;margin-left:59.05pt;margin-top:2.5pt;width:294pt;height:56.25pt;z-index:251660288" coordsize="37338,7143" o:spid="_x0000_s1026" w14:anchorId="4B454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">
                <v:shapetype id="_x0000_t202" coordsize="21600,21600" o:spt="202" path="m,l,21600r21600,l21600,xe">
                  <v:stroke joinstyle="miter"/>
                  <v:path gradientshapeok="t" o:connecttype="rect"/>
                </v:shapetype>
                <v:shape id="Text Box 6" style="position:absolute;left:19145;width:18193;height:2667;visibility:visible;mso-wrap-style:square;v-text-anchor:top" o:spid="_x0000_s1027"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v:textbox>
                    <w:txbxContent>
                      <w:p w:rsidRPr="00B41436" w:rsidR="00A7228C" w:rsidP="00A7228C" w:rsidRDefault="00A7228C" w14:paraId="31E68AE1" w14:textId="77777777">
                        <w:r w:rsidRPr="00B41436">
                          <w:t>Higher-Level Review option</w:t>
                        </w:r>
                      </w:p>
                    </w:txbxContent>
                  </v:textbox>
                </v:shape>
                <v:shape id="Text Box 10" style="position:absolute;left:19145;top:4191;width:18193;height:2952;visibility:visible;mso-wrap-style:square;v-text-anchor:top" o:spid="_x0000_s1028"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v:textbox>
                    <w:txbxContent>
                      <w:p w:rsidRPr="00B41436" w:rsidR="00A7228C" w:rsidP="00A7228C" w:rsidRDefault="00A7228C" w14:paraId="3C1C0A94" w14:textId="77777777">
                        <w:r w:rsidRPr="00B41436">
                          <w:t>Supplemental Claim option</w:t>
                        </w:r>
                      </w:p>
                    </w:txbxContent>
                  </v:textbox>
                </v:shape>
                <v:shape id="Text Box 11" style="position:absolute;top:2286;width:16859;height:2476;visibility:visible;mso-wrap-style:square;v-text-anchor:top" o:spid="_x0000_s1029"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v:textbox>
                    <w:txbxContent>
                      <w:p w:rsidRPr="0056301D" w:rsidR="00A7228C" w:rsidP="00A7228C" w:rsidRDefault="00A7228C" w14:paraId="020616BF" w14:textId="77777777">
                        <w:r w:rsidRPr="0056301D">
                          <w:t xml:space="preserve">Filing a Decision Review </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12" style="position:absolute;left:16954;top:3429;width:2286;height:2286;visibility:visible;mso-wrap-style:square" o:spid="_x0000_s1030" strokecolor="#4579b8 [3044]"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">
                  <v:stroke endarrow="block"/>
                </v:shape>
                <v:shape id="Connector: Elbow 13" style="position:absolute;left:16954;top:1143;width:2286;height:2286;flip:y;visibility:visible;mso-wrap-style:square" o:spid="_x0000_s1031" strokecolor="#4579b8 [3044]"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">
                  <v:stroke endarrow="block"/>
                </v:shape>
              </v:group>
            </w:pict>
          </mc:Fallback>
        </mc:AlternateContent>
      </w:r>
    </w:p>
    <w:p w:rsidR="00A7228C" w:rsidP="00A7228C" w:rsidRDefault="00A7228C" w14:paraId="7F6E66A0" w14:textId="77777777">
      <w:pPr>
        <w:spacing w:after="120"/>
        <w:ind w:firstLine="720"/>
        <w:rPr>
          <w:b/>
          <w:color w:val="4F81BD" w:themeColor="accent1"/>
          <w:lang w:eastAsia="zh-CN"/>
        </w:rPr>
      </w:pPr>
    </w:p>
    <w:p w:rsidRPr="0079785C" w:rsidR="00A7228C" w:rsidP="00A7228C" w:rsidRDefault="00A7228C" w14:paraId="4963F200" w14:textId="77777777">
      <w:pPr>
        <w:spacing w:after="120"/>
        <w:rPr>
          <w:bCs/>
          <w:color w:val="4F81BD" w:themeColor="accent1"/>
          <w:lang w:eastAsia="zh-CN"/>
        </w:rPr>
      </w:pPr>
    </w:p>
    <w:p w:rsidR="00A7228C" w:rsidP="00A7228C" w:rsidRDefault="00A7228C" w14:paraId="1A47B6CE" w14:textId="77777777">
      <w:pPr>
        <w:spacing w:after="120"/>
        <w:rPr>
          <w:b/>
          <w:color w:val="4F81BD" w:themeColor="accent1"/>
          <w:lang w:eastAsia="zh-CN"/>
        </w:rPr>
      </w:pPr>
    </w:p>
    <w:p w:rsidRPr="00C85DEE" w:rsidR="00A7228C" w:rsidP="00A7228C" w:rsidRDefault="00A7228C" w14:paraId="4C3CB748" w14:textId="77777777">
      <w:pPr>
        <w:pStyle w:val="Heading2"/>
        <w:keepLines/>
        <w:numPr>
          <w:ilvl w:val="0"/>
          <w:numId w:val="22"/>
        </w:numPr>
        <w:spacing w:after="120"/>
        <w:jc w:val="left"/>
      </w:pPr>
      <w:bookmarkStart w:name="_Toc511750804" w:id="24"/>
      <w:bookmarkStart w:name="_Toc17919979" w:id="25"/>
      <w:r w:rsidRPr="00C85DEE">
        <w:t>Sample Size Determination</w:t>
      </w:r>
      <w:bookmarkEnd w:id="24"/>
      <w:bookmarkEnd w:id="25"/>
    </w:p>
    <w:p w:rsidR="00A7228C" w:rsidP="00A7228C" w:rsidRDefault="00A7228C" w14:paraId="505012B5" w14:textId="77777777">
      <w:pPr>
        <w:spacing w:after="120"/>
        <w:ind w:firstLine="720"/>
      </w:pPr>
      <w:r>
        <w:t>The goal of the sample is to obtain end-to-end data from 300 Veterans on the Supplemental and Higher-Level review processes.  Sampled Veterans receive both the Filing survey and the Decision survey to measure their experiences at the beginning of the review and the end. This type of sample design is a longitudinal sample design because multiple observations are collected from the same veterans over time.  This design adds a layer of complexity in that not all veterans will provide both sets of measurements, a phenomenon known as attrition.  Attrition includes nonresponse (a veteran does not respond to the Decision survey) and removal from the review process (i.e., death, halting the review process, etc.), The end effect of attrition is that fewer veterans respond to the Decision survey than the Filing survey.  Consequently, the fielded sample size for the Filing survey must account for attrition in addition to the expected nonresponse for the Filed survey.</w:t>
      </w:r>
    </w:p>
    <w:p w:rsidRPr="00C85DEE" w:rsidR="00A7228C" w:rsidP="00A7228C" w:rsidRDefault="00A7228C" w14:paraId="2AEA8385" w14:textId="77777777">
      <w:pPr>
        <w:spacing w:after="120"/>
        <w:ind w:firstLine="720"/>
      </w:pPr>
      <w:r>
        <w:t>For a given margin of error and confidence level, the sample size is calculated as below (</w:t>
      </w:r>
      <w:proofErr w:type="spellStart"/>
      <w:r w:rsidRPr="00C85DEE">
        <w:t>Lohr</w:t>
      </w:r>
      <w:proofErr w:type="spellEnd"/>
      <w:r w:rsidRPr="00C85DEE">
        <w:t>, 1999</w:t>
      </w:r>
      <w:r>
        <w:t xml:space="preserve">). </w:t>
      </w:r>
      <w:r w:rsidRPr="00C85DEE">
        <w:t>For</w:t>
      </w:r>
      <w:r>
        <w:t xml:space="preserve"> a</w:t>
      </w:r>
      <w:r w:rsidRPr="00C85DEE">
        <w:t xml:space="preserve"> population that is </w:t>
      </w:r>
      <w:r w:rsidRPr="00C85DEE">
        <w:rPr>
          <w:i/>
        </w:rPr>
        <w:t>large</w:t>
      </w:r>
      <w:r w:rsidRPr="00C85DEE">
        <w:t>, the equation below is used to yield a representative sample for proportions:</w:t>
      </w:r>
    </w:p>
    <w:bookmarkStart w:name="OLE_LINK1" w:id="26"/>
    <w:p w:rsidRPr="003F24C3" w:rsidR="00A7228C" w:rsidP="00A7228C" w:rsidRDefault="00A7228C" w14:paraId="01C45006" w14:textId="77777777">
      <w:pPr>
        <w:jc w:val="center"/>
      </w:pPr>
      <m:oMathPara>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α/2</m:t>
                  </m:r>
                </m:sub>
                <m:sup>
                  <m:r>
                    <w:rPr>
                      <w:rFonts w:ascii="Cambria Math" w:hAnsi="Cambria Math"/>
                    </w:rPr>
                    <m:t>2</m:t>
                  </m:r>
                </m:sup>
              </m:sSubSup>
              <m:r>
                <w:rPr>
                  <w:rFonts w:ascii="Cambria Math" w:hAnsi="Cambria Math"/>
                </w:rPr>
                <m:t>pq</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bookmarkEnd w:id="26"/>
    <w:p w:rsidRPr="00C85DEE" w:rsidR="00A7228C" w:rsidP="00A7228C" w:rsidRDefault="00A7228C" w14:paraId="633EAD53" w14:textId="77777777">
      <w:pPr>
        <w:spacing w:after="120"/>
      </w:pPr>
      <w:r>
        <w:t>where</w:t>
      </w:r>
    </w:p>
    <w:p w:rsidRPr="00C85DEE" w:rsidR="00A7228C" w:rsidP="00A7228C" w:rsidRDefault="00A7228C" w14:paraId="768C3D5E" w14:textId="77777777">
      <w:pPr>
        <w:pStyle w:val="ListParagraph"/>
        <w:numPr>
          <w:ilvl w:val="0"/>
          <w:numId w:val="23"/>
        </w:numPr>
        <w:spacing w:after="120"/>
        <w:jc w:val="both"/>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t xml:space="preserve">= </w:t>
      </w:r>
      <w:r>
        <w:t>1.95</w:t>
      </w:r>
      <w:r w:rsidRPr="00C85DEE">
        <w:t xml:space="preserve">, which is the critical Z score value under the normal distribution when using a </w:t>
      </w:r>
      <w:r>
        <w:t>95</w:t>
      </w:r>
      <w:r w:rsidRPr="00C85DEE">
        <w:t>% confidence level (α = 0.</w:t>
      </w:r>
      <w:r>
        <w:t>05</w:t>
      </w:r>
      <w:r w:rsidRPr="00C85DEE">
        <w:t>).</w:t>
      </w:r>
    </w:p>
    <w:p w:rsidR="00A7228C" w:rsidP="00A7228C" w:rsidRDefault="00A7228C" w14:paraId="7D1B256C" w14:textId="77777777">
      <w:pPr>
        <w:pStyle w:val="ListParagraph"/>
        <w:numPr>
          <w:ilvl w:val="0"/>
          <w:numId w:val="23"/>
        </w:numPr>
        <w:spacing w:after="120"/>
        <w:jc w:val="both"/>
        <w:rPr>
          <w:lang w:eastAsia="zh-CN"/>
        </w:rPr>
      </w:pPr>
      <w:r w:rsidRPr="00C85DEE">
        <w:rPr>
          <w:b/>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 xml:space="preserve">the population, with q=1-p. </w:t>
      </w:r>
    </w:p>
    <w:p w:rsidRPr="004202EB" w:rsidR="00A7228C" w:rsidP="00A7228C" w:rsidRDefault="00A7228C" w14:paraId="15779E31" w14:textId="77777777">
      <w:pPr>
        <w:pStyle w:val="ListParagraph"/>
        <w:numPr>
          <w:ilvl w:val="0"/>
          <w:numId w:val="25"/>
        </w:numPr>
        <w:spacing w:after="120"/>
        <w:jc w:val="both"/>
        <w:rPr>
          <w:lang w:eastAsia="zh-CN"/>
        </w:rPr>
      </w:pPr>
      <w:r w:rsidRPr="004202EB">
        <w:rPr>
          <w:lang w:eastAsia="zh-CN"/>
        </w:rPr>
        <w:t xml:space="preserve">Note that </w:t>
      </w:r>
      <w:proofErr w:type="spellStart"/>
      <w:r w:rsidRPr="004202EB">
        <w:rPr>
          <w:lang w:eastAsia="zh-CN"/>
        </w:rPr>
        <w:t>pq</w:t>
      </w:r>
      <w:proofErr w:type="spellEnd"/>
      <w:r w:rsidRPr="004202EB">
        <w:rPr>
          <w:lang w:eastAsia="zh-CN"/>
        </w:rPr>
        <w:t xml:space="preserve"> attains its maximum when value p=0.5, and this is </w:t>
      </w:r>
      <w:r>
        <w:rPr>
          <w:lang w:eastAsia="zh-CN"/>
        </w:rPr>
        <w:t>often</w:t>
      </w:r>
      <w:r w:rsidRPr="004202EB">
        <w:rPr>
          <w:lang w:eastAsia="zh-CN"/>
        </w:rPr>
        <w:t xml:space="preserve"> used for a conservative sample size (i.e., large enough for any proportion).</w:t>
      </w:r>
    </w:p>
    <w:p w:rsidRPr="00001AA3" w:rsidR="00A7228C" w:rsidP="00A7228C" w:rsidRDefault="00A7228C" w14:paraId="28FC7E51" w14:textId="77777777">
      <w:pPr>
        <w:pStyle w:val="ListParagraph"/>
        <w:numPr>
          <w:ilvl w:val="0"/>
          <w:numId w:val="23"/>
        </w:numPr>
        <w:spacing w:after="160" w:line="259" w:lineRule="auto"/>
        <w:jc w:val="both"/>
      </w:pPr>
      <w:r w:rsidRPr="00C85DEE">
        <w:rPr>
          <w:b/>
        </w:rPr>
        <w:t>e</w:t>
      </w:r>
      <w:r w:rsidRPr="00C85DEE">
        <w:t xml:space="preserve"> = the level of precision</w:t>
      </w:r>
      <w:r>
        <w:t xml:space="preserve"> achieved with the sample.  </w:t>
      </w:r>
      <w:r w:rsidRPr="00C85DEE">
        <w:t xml:space="preserve">Also referred to as </w:t>
      </w:r>
      <w:r>
        <w:t>the margin of error (MOE).</w:t>
      </w:r>
    </w:p>
    <w:p w:rsidRPr="00C85DEE" w:rsidR="00A7228C" w:rsidP="00A7228C" w:rsidRDefault="00A7228C" w14:paraId="7986ABF5" w14:textId="77777777">
      <w:pPr>
        <w:ind w:firstLine="720"/>
        <w:jc w:val="both"/>
      </w:pPr>
      <w:r w:rsidRPr="00C85DEE">
        <w:t xml:space="preserve">For a population that is relatively </w:t>
      </w:r>
      <w:r w:rsidRPr="00C85DEE">
        <w:rPr>
          <w:i/>
        </w:rPr>
        <w:t>small</w:t>
      </w:r>
      <w:r w:rsidRPr="00C85DEE">
        <w:t>, the finite population correction is used to yield a representative sample for proportions:</w:t>
      </w:r>
    </w:p>
    <w:p w:rsidRPr="00001AA3" w:rsidR="00A7228C" w:rsidP="00A7228C" w:rsidRDefault="00A7228C" w14:paraId="3E7FE199" w14:textId="77777777">
      <w:pPr>
        <w:jc w:val="center"/>
      </w:pPr>
      <w:bookmarkStart w:name="OLE_LINK2" w:id="27"/>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N</m:t>
                  </m:r>
                </m:den>
              </m:f>
            </m:den>
          </m:f>
        </m:oMath>
      </m:oMathPara>
    </w:p>
    <w:bookmarkEnd w:id="27"/>
    <w:p w:rsidRPr="00C85DEE" w:rsidR="00A7228C" w:rsidP="00A7228C" w:rsidRDefault="00A7228C" w14:paraId="4AFE6D58" w14:textId="77777777">
      <w:pPr>
        <w:spacing w:after="120"/>
      </w:pPr>
      <w:r>
        <w:t>Where</w:t>
      </w:r>
    </w:p>
    <w:p w:rsidRPr="00001AA3" w:rsidR="00A7228C" w:rsidP="00A7228C" w:rsidRDefault="00A7228C" w14:paraId="1DB59CBE" w14:textId="77777777">
      <w:pPr>
        <w:pStyle w:val="ListParagraph"/>
        <w:numPr>
          <w:ilvl w:val="0"/>
          <w:numId w:val="24"/>
        </w:numPr>
        <w:spacing w:after="120"/>
        <w:ind w:left="0" w:firstLine="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oMath>
      <w:r w:rsidRPr="00001AA3">
        <w:rPr>
          <w:b/>
        </w:rPr>
        <w:t xml:space="preserve"> </w:t>
      </w:r>
      <w:r w:rsidRPr="00001AA3">
        <w:t>= Representative sample for proportions when the population is large.</w:t>
      </w:r>
    </w:p>
    <w:p w:rsidR="00A7228C" w:rsidP="00A7228C" w:rsidRDefault="00A7228C" w14:paraId="5B4ADB58" w14:textId="77777777">
      <w:pPr>
        <w:pStyle w:val="ListParagraph"/>
        <w:numPr>
          <w:ilvl w:val="0"/>
          <w:numId w:val="24"/>
        </w:numPr>
        <w:spacing w:after="120"/>
        <w:ind w:left="0" w:firstLine="0"/>
      </w:pPr>
      <w:r w:rsidRPr="00001AA3">
        <w:rPr>
          <w:b/>
        </w:rPr>
        <w:t>N</w:t>
      </w:r>
      <w:r w:rsidRPr="00001AA3">
        <w:t xml:space="preserve"> = Population size</w:t>
      </w:r>
      <w:r>
        <w:t>.</w:t>
      </w:r>
    </w:p>
    <w:p w:rsidR="00A7228C" w:rsidP="00A7228C" w:rsidRDefault="00A7228C" w14:paraId="61CDB341" w14:textId="77777777">
      <w:pPr>
        <w:pStyle w:val="ListParagraph"/>
        <w:spacing w:after="120"/>
        <w:ind w:left="0"/>
      </w:pPr>
    </w:p>
    <w:p w:rsidRPr="00001AA3" w:rsidR="00A7228C" w:rsidP="00A7228C" w:rsidRDefault="00A7228C" w14:paraId="2B62C138" w14:textId="77777777">
      <w:pPr>
        <w:pStyle w:val="ListParagraph"/>
        <w:spacing w:after="120"/>
        <w:ind w:left="0"/>
      </w:pPr>
      <w:r w:rsidRPr="00001AA3">
        <w:t xml:space="preserve">The margin of error surrounding the baseline proportion </w:t>
      </w:r>
      <w:r>
        <w:t>is</w:t>
      </w:r>
      <w:r w:rsidRPr="00001AA3">
        <w:t xml:space="preserve"> calculated as</w:t>
      </w:r>
      <w:r>
        <w:t>:</w:t>
      </w:r>
    </w:p>
    <w:p w:rsidRPr="00DF4931" w:rsidR="00A7228C" w:rsidP="00A7228C" w:rsidRDefault="00A7228C" w14:paraId="069B5DCF" w14:textId="77777777">
      <w:pPr>
        <w:pStyle w:val="ListParagraph"/>
        <w:spacing w:after="120"/>
        <w:ind w:left="0"/>
      </w:pPr>
      <m:oMathPara>
        <m:oMath>
          <m:r>
            <w:rPr>
              <w:rFonts w:ascii="Cambria Math" w:hAnsi="Cambria Math"/>
            </w:rPr>
            <m:t>Margin of error=</m:t>
          </m:r>
          <m:sSub>
            <m:sSubPr>
              <m:ctrlPr>
                <w:rPr>
                  <w:rFonts w:ascii="Cambria Math" w:hAnsi="Cambria Math"/>
                  <w:i/>
                </w:rPr>
              </m:ctrlPr>
            </m:sSubPr>
            <m:e>
              <m:r>
                <w:rPr>
                  <w:rFonts w:ascii="Cambria Math" w:hAnsi="Cambria Math"/>
                </w:rPr>
                <m:t>z</m:t>
              </m:r>
            </m:e>
            <m:sub>
              <m:r>
                <w:rPr>
                  <w:rFonts w:ascii="Cambria Math" w:hAnsi="Cambria Math"/>
                </w:rPr>
                <m:t>α/2</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N-n</m:t>
                  </m:r>
                </m:num>
                <m:den>
                  <m:r>
                    <w:rPr>
                      <w:rFonts w:ascii="Cambria Math" w:hAnsi="Cambria Math"/>
                    </w:rPr>
                    <m:t>N-1</m:t>
                  </m:r>
                </m:den>
              </m:f>
            </m:e>
          </m:rad>
          <m:rad>
            <m:radPr>
              <m:degHide m:val="1"/>
              <m:ctrlPr>
                <w:rPr>
                  <w:rFonts w:ascii="Cambria Math" w:hAnsi="Cambria Math"/>
                  <w:i/>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oMath>
      </m:oMathPara>
    </w:p>
    <w:p w:rsidRPr="00001AA3" w:rsidR="00A7228C" w:rsidP="00A7228C" w:rsidRDefault="00A7228C" w14:paraId="116A8739" w14:textId="77777777">
      <w:pPr>
        <w:pStyle w:val="ListParagraph"/>
        <w:spacing w:after="120"/>
        <w:ind w:left="0"/>
      </w:pPr>
      <w:r>
        <w:t>Where</w:t>
      </w:r>
    </w:p>
    <w:p w:rsidRPr="00001AA3" w:rsidR="00A7228C" w:rsidP="00A7228C" w:rsidRDefault="00A7228C" w14:paraId="3ED251F3" w14:textId="77777777">
      <w:pPr>
        <w:pStyle w:val="ListParagraph"/>
        <w:numPr>
          <w:ilvl w:val="0"/>
          <w:numId w:val="24"/>
        </w:numPr>
        <w:spacing w:after="120"/>
        <w:ind w:left="0" w:firstLine="0"/>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t xml:space="preserve">= </w:t>
      </w:r>
      <w:r>
        <w:t>1.95</w:t>
      </w:r>
      <w:r w:rsidRPr="00C85DEE">
        <w:t>, which is the critical Z score value under the normal distribution when using a</w:t>
      </w:r>
      <w:r>
        <w:t xml:space="preserve"> 95</w:t>
      </w:r>
      <w:r w:rsidRPr="00C85DEE">
        <w:t>% confidence level (α = 0.</w:t>
      </w:r>
      <w:r>
        <w:t>05</w:t>
      </w:r>
      <w:r w:rsidRPr="00C85DEE">
        <w:t>).</w:t>
      </w:r>
    </w:p>
    <w:p w:rsidR="00A7228C" w:rsidP="00A7228C" w:rsidRDefault="00A7228C" w14:paraId="259EB29E" w14:textId="77777777">
      <w:pPr>
        <w:pStyle w:val="ListParagraph"/>
        <w:numPr>
          <w:ilvl w:val="0"/>
          <w:numId w:val="24"/>
        </w:numPr>
        <w:spacing w:after="120"/>
        <w:ind w:left="0" w:firstLine="0"/>
      </w:pPr>
      <w:r w:rsidRPr="00001AA3">
        <w:rPr>
          <w:b/>
        </w:rPr>
        <w:t>N</w:t>
      </w:r>
      <w:r w:rsidRPr="00001AA3">
        <w:t xml:space="preserve"> = Population size</w:t>
      </w:r>
      <w:r>
        <w:t>.</w:t>
      </w:r>
    </w:p>
    <w:p w:rsidRPr="00E56D3D" w:rsidR="00A7228C" w:rsidP="00A7228C" w:rsidRDefault="00A7228C" w14:paraId="54371AFC" w14:textId="77777777">
      <w:pPr>
        <w:pStyle w:val="ListParagraph"/>
        <w:numPr>
          <w:ilvl w:val="0"/>
          <w:numId w:val="24"/>
        </w:numPr>
        <w:spacing w:after="120"/>
        <w:ind w:left="0" w:firstLine="0"/>
      </w:pPr>
      <w:r w:rsidRPr="00E56D3D">
        <w:rPr>
          <w:b/>
        </w:rPr>
        <w:t>n</w:t>
      </w:r>
      <w:r w:rsidRPr="00E56D3D">
        <w:t xml:space="preserve"> = Representative sample</w:t>
      </w:r>
      <w:r>
        <w:t>.</w:t>
      </w:r>
    </w:p>
    <w:p w:rsidRPr="00E56D3D" w:rsidR="00A7228C" w:rsidP="00A7228C" w:rsidRDefault="00A7228C" w14:paraId="6113093D" w14:textId="77777777">
      <w:pPr>
        <w:pStyle w:val="ListParagraph"/>
        <w:numPr>
          <w:ilvl w:val="0"/>
          <w:numId w:val="24"/>
        </w:numPr>
        <w:spacing w:after="120"/>
        <w:ind w:left="0" w:firstLine="0"/>
      </w:pPr>
      <w:r w:rsidRPr="00C85DEE">
        <w:rPr>
          <w:b/>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the population, with q=1-p.</w:t>
      </w:r>
    </w:p>
    <w:p w:rsidRPr="00E56D3D" w:rsidR="00A7228C" w:rsidP="00A7228C" w:rsidRDefault="00A7228C" w14:paraId="3256653E" w14:textId="77777777">
      <w:pPr>
        <w:pStyle w:val="ListParagraph"/>
        <w:spacing w:after="120"/>
        <w:ind w:left="0"/>
      </w:pPr>
    </w:p>
    <w:p w:rsidRPr="00C85DEE" w:rsidR="00A7228C" w:rsidP="00A7228C" w:rsidRDefault="00A7228C" w14:paraId="3776CD92" w14:textId="77777777">
      <w:pPr>
        <w:spacing w:after="120"/>
        <w:ind w:firstLine="720"/>
      </w:pPr>
      <w:r w:rsidRPr="00C85DEE">
        <w:t xml:space="preserve">Sample sizes </w:t>
      </w:r>
      <w:r>
        <w:t>will be targeted to achieve 300 respondents to the Decision survey.  This sample size will allow for sustainable sampling from the population of veterans who have filed for a review each week by age and gender.  The target sample size was expanded to 3,000 to account for nonresponse and attrition</w:t>
      </w:r>
      <w:r>
        <w:rPr>
          <w:rStyle w:val="FootnoteReference"/>
        </w:rPr>
        <w:footnoteReference w:id="4"/>
      </w:r>
      <w:r>
        <w:t xml:space="preserve">. This sample will be drawn as a stratified systematic sample.  </w:t>
      </w:r>
      <w:r w:rsidRPr="00C85DEE">
        <w:t xml:space="preserve">Table </w:t>
      </w:r>
      <w:r>
        <w:t>2 shows the breakout of the population eligible for sampling and the target and fielded sample sizes for each of the decision review options.  Because the surveys are based on which option is chosen and the activity within that lane, this table only shows the impact of the sample on the level of precision.  The MOEs were calculated for two different confidence intervals (CI) to determine the sample’s impact on the level of precision.</w:t>
      </w:r>
    </w:p>
    <w:p w:rsidR="00A7228C" w:rsidP="00A7228C" w:rsidRDefault="00A7228C" w14:paraId="63B92FE8" w14:textId="77777777">
      <w:pPr>
        <w:rPr>
          <w:b/>
          <w:color w:val="4F81BD" w:themeColor="accent1"/>
        </w:rPr>
      </w:pPr>
    </w:p>
    <w:p w:rsidR="00A7228C" w:rsidP="00A7228C" w:rsidRDefault="00A7228C" w14:paraId="526FB743" w14:textId="77777777">
      <w:pPr>
        <w:spacing w:after="240"/>
        <w:rPr>
          <w:b/>
          <w:color w:val="4F81BD" w:themeColor="accent1"/>
        </w:rPr>
      </w:pPr>
      <w:r w:rsidRPr="00C85DEE">
        <w:rPr>
          <w:b/>
          <w:color w:val="4F81BD" w:themeColor="accent1"/>
        </w:rPr>
        <w:t xml:space="preserve">Table </w:t>
      </w:r>
      <w:r>
        <w:rPr>
          <w:b/>
          <w:color w:val="4F81BD" w:themeColor="accent1"/>
        </w:rPr>
        <w:t>2</w:t>
      </w:r>
      <w:r w:rsidRPr="00C85DEE">
        <w:rPr>
          <w:b/>
          <w:color w:val="4F81BD" w:themeColor="accent1"/>
        </w:rPr>
        <w:t xml:space="preserve">. </w:t>
      </w:r>
      <w:r>
        <w:rPr>
          <w:b/>
          <w:color w:val="4F81BD" w:themeColor="accent1"/>
        </w:rPr>
        <w:t>Sample Targets by Activity Type</w:t>
      </w:r>
    </w:p>
    <w:tbl>
      <w:tblPr>
        <w:tblW w:w="10435" w:type="dxa"/>
        <w:tblLook w:val="04A0" w:firstRow="1" w:lastRow="0" w:firstColumn="1" w:lastColumn="0" w:noHBand="0" w:noVBand="1"/>
      </w:tblPr>
      <w:tblGrid>
        <w:gridCol w:w="2083"/>
        <w:gridCol w:w="1078"/>
        <w:gridCol w:w="1137"/>
        <w:gridCol w:w="936"/>
        <w:gridCol w:w="919"/>
        <w:gridCol w:w="1070"/>
        <w:gridCol w:w="915"/>
        <w:gridCol w:w="1070"/>
        <w:gridCol w:w="915"/>
        <w:gridCol w:w="1070"/>
      </w:tblGrid>
      <w:tr w:rsidRPr="0050444F" w:rsidR="00A7228C" w:rsidTr="008164A3" w14:paraId="27A92109" w14:textId="77777777">
        <w:trPr>
          <w:trHeight w:val="335"/>
        </w:trPr>
        <w:tc>
          <w:tcPr>
            <w:tcW w:w="1878" w:type="dxa"/>
            <w:vMerge w:val="restart"/>
            <w:tcBorders>
              <w:top w:val="single" w:color="auto" w:sz="8" w:space="0"/>
              <w:left w:val="single" w:color="auto" w:sz="8" w:space="0"/>
              <w:bottom w:val="single" w:color="000000" w:sz="8" w:space="0"/>
              <w:right w:val="single" w:color="auto" w:sz="8" w:space="0"/>
            </w:tcBorders>
            <w:shd w:val="clear" w:color="000000" w:fill="2E74B5"/>
            <w:noWrap/>
            <w:vAlign w:val="center"/>
            <w:hideMark/>
          </w:tcPr>
          <w:p w:rsidRPr="0050444F" w:rsidR="00A7228C" w:rsidP="008164A3" w:rsidRDefault="00A7228C" w14:paraId="22D67955" w14:textId="77777777">
            <w:pPr>
              <w:jc w:val="center"/>
              <w:rPr>
                <w:rFonts w:cs="Calibri"/>
                <w:color w:val="FFFFFF"/>
              </w:rPr>
            </w:pPr>
            <w:r w:rsidRPr="0050444F">
              <w:rPr>
                <w:rFonts w:cs="Calibri"/>
                <w:color w:val="FFFFFF"/>
              </w:rPr>
              <w:t>Activity Type</w:t>
            </w:r>
          </w:p>
        </w:tc>
        <w:tc>
          <w:tcPr>
            <w:tcW w:w="2100"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A7228C" w:rsidP="008164A3" w:rsidRDefault="00A7228C" w14:paraId="18F96C40" w14:textId="77777777">
            <w:pPr>
              <w:jc w:val="center"/>
              <w:rPr>
                <w:rFonts w:cs="Calibri"/>
                <w:color w:val="FFFFFF"/>
              </w:rPr>
            </w:pPr>
            <w:r w:rsidRPr="0050444F">
              <w:rPr>
                <w:rFonts w:cs="Calibri"/>
                <w:color w:val="FFFFFF"/>
              </w:rPr>
              <w:t>Weekly Population</w:t>
            </w:r>
          </w:p>
        </w:tc>
        <w:tc>
          <w:tcPr>
            <w:tcW w:w="2772" w:type="dxa"/>
            <w:gridSpan w:val="3"/>
            <w:tcBorders>
              <w:top w:val="single" w:color="auto" w:sz="8" w:space="0"/>
              <w:left w:val="nil"/>
              <w:bottom w:val="single" w:color="auto" w:sz="8" w:space="0"/>
              <w:right w:val="single" w:color="auto" w:sz="8" w:space="0"/>
            </w:tcBorders>
            <w:shd w:val="clear" w:color="000000" w:fill="2E74B5"/>
            <w:noWrap/>
            <w:vAlign w:val="center"/>
            <w:hideMark/>
          </w:tcPr>
          <w:p w:rsidRPr="0050444F" w:rsidR="00A7228C" w:rsidP="008164A3" w:rsidRDefault="00A7228C" w14:paraId="33BA99D5" w14:textId="77777777">
            <w:pPr>
              <w:jc w:val="center"/>
              <w:rPr>
                <w:rFonts w:cs="Calibri"/>
                <w:color w:val="FFFFFF"/>
              </w:rPr>
            </w:pPr>
            <w:r>
              <w:rPr>
                <w:rFonts w:cs="Calibri"/>
                <w:color w:val="FFFFFF"/>
              </w:rPr>
              <w:t xml:space="preserve">Weekly </w:t>
            </w:r>
            <w:r w:rsidRPr="0050444F">
              <w:rPr>
                <w:rFonts w:cs="Calibri"/>
                <w:color w:val="FFFFFF"/>
              </w:rPr>
              <w:t>Sample</w:t>
            </w:r>
          </w:p>
        </w:tc>
        <w:tc>
          <w:tcPr>
            <w:tcW w:w="3685" w:type="dxa"/>
            <w:gridSpan w:val="4"/>
            <w:tcBorders>
              <w:top w:val="single" w:color="auto" w:sz="8" w:space="0"/>
              <w:left w:val="nil"/>
              <w:bottom w:val="single" w:color="auto" w:sz="8" w:space="0"/>
              <w:right w:val="single" w:color="auto" w:sz="8" w:space="0"/>
            </w:tcBorders>
            <w:shd w:val="clear" w:color="000000" w:fill="2E74B5"/>
            <w:noWrap/>
            <w:vAlign w:val="center"/>
            <w:hideMark/>
          </w:tcPr>
          <w:p w:rsidRPr="0050444F" w:rsidR="00A7228C" w:rsidP="008164A3" w:rsidRDefault="00A7228C" w14:paraId="18AC5E44" w14:textId="77777777">
            <w:pPr>
              <w:jc w:val="center"/>
              <w:rPr>
                <w:rFonts w:cs="Calibri"/>
                <w:color w:val="FFFFFF"/>
              </w:rPr>
            </w:pPr>
            <w:r w:rsidRPr="0050444F">
              <w:rPr>
                <w:rFonts w:cs="Calibri"/>
                <w:color w:val="FFFFFF"/>
              </w:rPr>
              <w:t>Margin of Error</w:t>
            </w:r>
          </w:p>
        </w:tc>
      </w:tr>
      <w:tr w:rsidRPr="0050444F" w:rsidR="00A7228C" w:rsidTr="008164A3" w14:paraId="730F1A01" w14:textId="77777777">
        <w:trPr>
          <w:trHeight w:val="527"/>
        </w:trPr>
        <w:tc>
          <w:tcPr>
            <w:tcW w:w="1878" w:type="dxa"/>
            <w:vMerge/>
            <w:tcBorders>
              <w:top w:val="single" w:color="auto" w:sz="8" w:space="0"/>
              <w:left w:val="single" w:color="auto" w:sz="8" w:space="0"/>
              <w:bottom w:val="single" w:color="000000" w:sz="8" w:space="0"/>
              <w:right w:val="single" w:color="auto" w:sz="8" w:space="0"/>
            </w:tcBorders>
            <w:vAlign w:val="center"/>
            <w:hideMark/>
          </w:tcPr>
          <w:p w:rsidRPr="0050444F" w:rsidR="00A7228C" w:rsidP="008164A3" w:rsidRDefault="00A7228C" w14:paraId="1E6510F1" w14:textId="77777777">
            <w:pPr>
              <w:rPr>
                <w:rFonts w:cs="Calibri"/>
                <w:color w:val="FFFFFF"/>
              </w:rPr>
            </w:pPr>
          </w:p>
        </w:tc>
        <w:tc>
          <w:tcPr>
            <w:tcW w:w="1078" w:type="dxa"/>
            <w:vMerge w:val="restart"/>
            <w:tcBorders>
              <w:top w:val="nil"/>
              <w:left w:val="single" w:color="auto" w:sz="8" w:space="0"/>
              <w:bottom w:val="single" w:color="auto" w:sz="8" w:space="0"/>
              <w:right w:val="single" w:color="auto" w:sz="8" w:space="0"/>
            </w:tcBorders>
            <w:shd w:val="clear" w:color="000000" w:fill="2E74B5"/>
            <w:noWrap/>
            <w:vAlign w:val="center"/>
            <w:hideMark/>
          </w:tcPr>
          <w:p w:rsidRPr="0050444F" w:rsidR="00A7228C" w:rsidP="008164A3" w:rsidRDefault="00A7228C" w14:paraId="2647A9A5" w14:textId="77777777">
            <w:pPr>
              <w:jc w:val="center"/>
              <w:rPr>
                <w:rFonts w:cs="Calibri"/>
                <w:color w:val="FFFFFF"/>
              </w:rPr>
            </w:pPr>
            <w:r w:rsidRPr="0050444F">
              <w:rPr>
                <w:rFonts w:cs="Calibri"/>
                <w:color w:val="FFFFFF"/>
              </w:rPr>
              <w:t>Median</w:t>
            </w:r>
          </w:p>
        </w:tc>
        <w:tc>
          <w:tcPr>
            <w:tcW w:w="1022"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A7228C" w:rsidP="008164A3" w:rsidRDefault="00A7228C" w14:paraId="2643EC58" w14:textId="77777777">
            <w:pPr>
              <w:jc w:val="center"/>
              <w:rPr>
                <w:rFonts w:cs="Calibri"/>
                <w:color w:val="FFFFFF"/>
              </w:rPr>
            </w:pPr>
            <w:r w:rsidRPr="0050444F">
              <w:rPr>
                <w:rFonts w:cs="Calibri"/>
                <w:color w:val="FFFFFF"/>
              </w:rPr>
              <w:t>Eligible for Sampling</w:t>
            </w:r>
          </w:p>
        </w:tc>
        <w:tc>
          <w:tcPr>
            <w:tcW w:w="828" w:type="dxa"/>
            <w:vMerge w:val="restart"/>
            <w:tcBorders>
              <w:top w:val="nil"/>
              <w:left w:val="single" w:color="auto" w:sz="8" w:space="0"/>
              <w:bottom w:val="single" w:color="auto" w:sz="8" w:space="0"/>
              <w:right w:val="single" w:color="auto" w:sz="8" w:space="0"/>
            </w:tcBorders>
            <w:shd w:val="clear" w:color="000000" w:fill="2E74B5"/>
            <w:noWrap/>
            <w:vAlign w:val="center"/>
            <w:hideMark/>
          </w:tcPr>
          <w:p w:rsidRPr="0050444F" w:rsidR="00A7228C" w:rsidP="008164A3" w:rsidRDefault="00A7228C" w14:paraId="16CEB7CD" w14:textId="77777777">
            <w:pPr>
              <w:jc w:val="center"/>
              <w:rPr>
                <w:rFonts w:cs="Calibri"/>
                <w:color w:val="FFFFFF"/>
              </w:rPr>
            </w:pPr>
            <w:r w:rsidRPr="0050444F">
              <w:rPr>
                <w:rFonts w:cs="Calibri"/>
                <w:color w:val="FFFFFF"/>
              </w:rPr>
              <w:t>Fielded</w:t>
            </w:r>
          </w:p>
        </w:tc>
        <w:tc>
          <w:tcPr>
            <w:tcW w:w="919"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A7228C" w:rsidP="008164A3" w:rsidRDefault="00A7228C" w14:paraId="136DE00F" w14:textId="77777777">
            <w:pPr>
              <w:jc w:val="center"/>
              <w:rPr>
                <w:rFonts w:cs="Calibri"/>
                <w:color w:val="FFFFFF"/>
              </w:rPr>
            </w:pPr>
            <w:r w:rsidRPr="0050444F">
              <w:rPr>
                <w:rFonts w:cs="Calibri"/>
                <w:color w:val="FFFFFF"/>
              </w:rPr>
              <w:t>Target for Filed</w:t>
            </w:r>
          </w:p>
        </w:tc>
        <w:tc>
          <w:tcPr>
            <w:tcW w:w="1024"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A7228C" w:rsidP="008164A3" w:rsidRDefault="00A7228C" w14:paraId="793955D8" w14:textId="77777777">
            <w:pPr>
              <w:jc w:val="center"/>
              <w:rPr>
                <w:rFonts w:cs="Calibri"/>
                <w:color w:val="FFFFFF"/>
              </w:rPr>
            </w:pPr>
            <w:r w:rsidRPr="0050444F">
              <w:rPr>
                <w:rFonts w:cs="Calibri"/>
                <w:color w:val="FFFFFF"/>
              </w:rPr>
              <w:t>Target for Decision</w:t>
            </w:r>
          </w:p>
        </w:tc>
        <w:tc>
          <w:tcPr>
            <w:tcW w:w="1842"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A7228C" w:rsidP="008164A3" w:rsidRDefault="00A7228C" w14:paraId="279F3ABA" w14:textId="77777777">
            <w:pPr>
              <w:jc w:val="center"/>
              <w:rPr>
                <w:rFonts w:cs="Calibri"/>
                <w:color w:val="FFFFFF"/>
              </w:rPr>
            </w:pPr>
            <w:r w:rsidRPr="0050444F">
              <w:rPr>
                <w:rFonts w:cs="Calibri"/>
                <w:color w:val="FFFFFF"/>
              </w:rPr>
              <w:t>95% CI</w:t>
            </w:r>
          </w:p>
        </w:tc>
        <w:tc>
          <w:tcPr>
            <w:tcW w:w="1842"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A7228C" w:rsidP="008164A3" w:rsidRDefault="00A7228C" w14:paraId="229CC3C5" w14:textId="77777777">
            <w:pPr>
              <w:jc w:val="center"/>
              <w:rPr>
                <w:rFonts w:cs="Calibri"/>
                <w:color w:val="FFFFFF"/>
              </w:rPr>
            </w:pPr>
            <w:r w:rsidRPr="0050444F">
              <w:rPr>
                <w:rFonts w:cs="Calibri"/>
                <w:color w:val="FFFFFF"/>
              </w:rPr>
              <w:t>90% CI</w:t>
            </w:r>
          </w:p>
        </w:tc>
      </w:tr>
      <w:tr w:rsidRPr="0050444F" w:rsidR="00A7228C" w:rsidTr="008164A3" w14:paraId="3C9E1CC5" w14:textId="77777777">
        <w:trPr>
          <w:trHeight w:val="527"/>
        </w:trPr>
        <w:tc>
          <w:tcPr>
            <w:tcW w:w="1878" w:type="dxa"/>
            <w:vMerge/>
            <w:tcBorders>
              <w:top w:val="single" w:color="auto" w:sz="8" w:space="0"/>
              <w:left w:val="single" w:color="auto" w:sz="8" w:space="0"/>
              <w:bottom w:val="single" w:color="000000" w:sz="8" w:space="0"/>
              <w:right w:val="single" w:color="auto" w:sz="8" w:space="0"/>
            </w:tcBorders>
            <w:vAlign w:val="center"/>
            <w:hideMark/>
          </w:tcPr>
          <w:p w:rsidRPr="0050444F" w:rsidR="00A7228C" w:rsidP="008164A3" w:rsidRDefault="00A7228C" w14:paraId="25659678" w14:textId="77777777">
            <w:pPr>
              <w:rPr>
                <w:rFonts w:cs="Calibri"/>
                <w:color w:val="FFFFFF"/>
              </w:rPr>
            </w:pPr>
          </w:p>
        </w:tc>
        <w:tc>
          <w:tcPr>
            <w:tcW w:w="1078" w:type="dxa"/>
            <w:vMerge/>
            <w:tcBorders>
              <w:top w:val="nil"/>
              <w:left w:val="single" w:color="auto" w:sz="8" w:space="0"/>
              <w:bottom w:val="single" w:color="auto" w:sz="8" w:space="0"/>
              <w:right w:val="single" w:color="auto" w:sz="8" w:space="0"/>
            </w:tcBorders>
            <w:vAlign w:val="center"/>
            <w:hideMark/>
          </w:tcPr>
          <w:p w:rsidRPr="0050444F" w:rsidR="00A7228C" w:rsidP="008164A3" w:rsidRDefault="00A7228C" w14:paraId="454A480B" w14:textId="77777777">
            <w:pPr>
              <w:rPr>
                <w:rFonts w:cs="Calibri"/>
                <w:color w:val="FFFFFF"/>
              </w:rPr>
            </w:pPr>
          </w:p>
        </w:tc>
        <w:tc>
          <w:tcPr>
            <w:tcW w:w="1022" w:type="dxa"/>
            <w:vMerge/>
            <w:tcBorders>
              <w:top w:val="nil"/>
              <w:left w:val="single" w:color="auto" w:sz="8" w:space="0"/>
              <w:bottom w:val="single" w:color="auto" w:sz="8" w:space="0"/>
              <w:right w:val="single" w:color="auto" w:sz="8" w:space="0"/>
            </w:tcBorders>
            <w:vAlign w:val="center"/>
            <w:hideMark/>
          </w:tcPr>
          <w:p w:rsidRPr="0050444F" w:rsidR="00A7228C" w:rsidP="008164A3" w:rsidRDefault="00A7228C" w14:paraId="4DBAAEA7" w14:textId="77777777">
            <w:pPr>
              <w:rPr>
                <w:rFonts w:cs="Calibri"/>
                <w:color w:val="FFFFFF"/>
              </w:rPr>
            </w:pPr>
          </w:p>
        </w:tc>
        <w:tc>
          <w:tcPr>
            <w:tcW w:w="828" w:type="dxa"/>
            <w:vMerge/>
            <w:tcBorders>
              <w:top w:val="nil"/>
              <w:left w:val="single" w:color="auto" w:sz="8" w:space="0"/>
              <w:bottom w:val="single" w:color="auto" w:sz="8" w:space="0"/>
              <w:right w:val="single" w:color="auto" w:sz="8" w:space="0"/>
            </w:tcBorders>
            <w:vAlign w:val="center"/>
            <w:hideMark/>
          </w:tcPr>
          <w:p w:rsidRPr="0050444F" w:rsidR="00A7228C" w:rsidP="008164A3" w:rsidRDefault="00A7228C" w14:paraId="0DCB22A6" w14:textId="77777777">
            <w:pPr>
              <w:rPr>
                <w:rFonts w:cs="Calibri"/>
                <w:color w:val="FFFFFF"/>
              </w:rPr>
            </w:pPr>
          </w:p>
        </w:tc>
        <w:tc>
          <w:tcPr>
            <w:tcW w:w="919" w:type="dxa"/>
            <w:vMerge/>
            <w:tcBorders>
              <w:top w:val="nil"/>
              <w:left w:val="single" w:color="auto" w:sz="8" w:space="0"/>
              <w:bottom w:val="single" w:color="auto" w:sz="8" w:space="0"/>
              <w:right w:val="single" w:color="auto" w:sz="8" w:space="0"/>
            </w:tcBorders>
            <w:vAlign w:val="center"/>
            <w:hideMark/>
          </w:tcPr>
          <w:p w:rsidRPr="0050444F" w:rsidR="00A7228C" w:rsidP="008164A3" w:rsidRDefault="00A7228C" w14:paraId="44FCF5F3" w14:textId="77777777">
            <w:pPr>
              <w:rPr>
                <w:rFonts w:cs="Calibri"/>
                <w:color w:val="FFFFFF"/>
              </w:rPr>
            </w:pPr>
          </w:p>
        </w:tc>
        <w:tc>
          <w:tcPr>
            <w:tcW w:w="1024" w:type="dxa"/>
            <w:vMerge/>
            <w:tcBorders>
              <w:top w:val="nil"/>
              <w:left w:val="single" w:color="auto" w:sz="8" w:space="0"/>
              <w:bottom w:val="single" w:color="auto" w:sz="8" w:space="0"/>
              <w:right w:val="single" w:color="auto" w:sz="8" w:space="0"/>
            </w:tcBorders>
            <w:vAlign w:val="center"/>
            <w:hideMark/>
          </w:tcPr>
          <w:p w:rsidRPr="0050444F" w:rsidR="00A7228C" w:rsidP="008164A3" w:rsidRDefault="00A7228C" w14:paraId="3774353B" w14:textId="77777777">
            <w:pPr>
              <w:rPr>
                <w:rFonts w:cs="Calibri"/>
                <w:color w:val="FFFFFF"/>
              </w:rPr>
            </w:pPr>
          </w:p>
        </w:tc>
        <w:tc>
          <w:tcPr>
            <w:tcW w:w="915" w:type="dxa"/>
            <w:tcBorders>
              <w:top w:val="nil"/>
              <w:left w:val="nil"/>
              <w:bottom w:val="single" w:color="auto" w:sz="8" w:space="0"/>
              <w:right w:val="single" w:color="auto" w:sz="8" w:space="0"/>
            </w:tcBorders>
            <w:shd w:val="clear" w:color="000000" w:fill="2E74B5"/>
            <w:vAlign w:val="center"/>
            <w:hideMark/>
          </w:tcPr>
          <w:p w:rsidRPr="0050444F" w:rsidR="00A7228C" w:rsidP="008164A3" w:rsidRDefault="00A7228C" w14:paraId="002AFCFE" w14:textId="77777777">
            <w:pPr>
              <w:jc w:val="center"/>
              <w:rPr>
                <w:rFonts w:cs="Calibri"/>
                <w:color w:val="FFFFFF"/>
              </w:rPr>
            </w:pPr>
            <w:r w:rsidRPr="0050444F">
              <w:rPr>
                <w:rFonts w:cs="Calibri"/>
                <w:color w:val="FFFFFF"/>
              </w:rPr>
              <w:t>Filed</w:t>
            </w:r>
          </w:p>
        </w:tc>
        <w:tc>
          <w:tcPr>
            <w:tcW w:w="927" w:type="dxa"/>
            <w:tcBorders>
              <w:top w:val="nil"/>
              <w:left w:val="nil"/>
              <w:bottom w:val="single" w:color="auto" w:sz="8" w:space="0"/>
              <w:right w:val="single" w:color="auto" w:sz="8" w:space="0"/>
            </w:tcBorders>
            <w:shd w:val="clear" w:color="000000" w:fill="2E74B5"/>
            <w:vAlign w:val="center"/>
            <w:hideMark/>
          </w:tcPr>
          <w:p w:rsidRPr="0050444F" w:rsidR="00A7228C" w:rsidP="008164A3" w:rsidRDefault="00A7228C" w14:paraId="0C38469D" w14:textId="77777777">
            <w:pPr>
              <w:jc w:val="center"/>
              <w:rPr>
                <w:rFonts w:cs="Calibri"/>
                <w:color w:val="FFFFFF"/>
              </w:rPr>
            </w:pPr>
            <w:r w:rsidRPr="0050444F">
              <w:rPr>
                <w:rFonts w:cs="Calibri"/>
                <w:color w:val="FFFFFF"/>
              </w:rPr>
              <w:t>Decision</w:t>
            </w:r>
          </w:p>
        </w:tc>
        <w:tc>
          <w:tcPr>
            <w:tcW w:w="915" w:type="dxa"/>
            <w:tcBorders>
              <w:top w:val="nil"/>
              <w:left w:val="nil"/>
              <w:bottom w:val="single" w:color="auto" w:sz="8" w:space="0"/>
              <w:right w:val="single" w:color="auto" w:sz="8" w:space="0"/>
            </w:tcBorders>
            <w:shd w:val="clear" w:color="000000" w:fill="2E74B5"/>
            <w:vAlign w:val="center"/>
            <w:hideMark/>
          </w:tcPr>
          <w:p w:rsidRPr="0050444F" w:rsidR="00A7228C" w:rsidP="008164A3" w:rsidRDefault="00A7228C" w14:paraId="65F99A33" w14:textId="77777777">
            <w:pPr>
              <w:jc w:val="center"/>
              <w:rPr>
                <w:rFonts w:cs="Calibri"/>
                <w:color w:val="FFFFFF"/>
              </w:rPr>
            </w:pPr>
            <w:r w:rsidRPr="0050444F">
              <w:rPr>
                <w:rFonts w:cs="Calibri"/>
                <w:color w:val="FFFFFF"/>
              </w:rPr>
              <w:t>Filed</w:t>
            </w:r>
          </w:p>
        </w:tc>
        <w:tc>
          <w:tcPr>
            <w:tcW w:w="927" w:type="dxa"/>
            <w:tcBorders>
              <w:top w:val="nil"/>
              <w:left w:val="nil"/>
              <w:bottom w:val="single" w:color="auto" w:sz="8" w:space="0"/>
              <w:right w:val="single" w:color="auto" w:sz="8" w:space="0"/>
            </w:tcBorders>
            <w:shd w:val="clear" w:color="000000" w:fill="2E74B5"/>
            <w:vAlign w:val="center"/>
            <w:hideMark/>
          </w:tcPr>
          <w:p w:rsidRPr="0050444F" w:rsidR="00A7228C" w:rsidP="008164A3" w:rsidRDefault="00A7228C" w14:paraId="339D8257" w14:textId="77777777">
            <w:pPr>
              <w:jc w:val="center"/>
              <w:rPr>
                <w:rFonts w:cs="Calibri"/>
                <w:color w:val="FFFFFF"/>
              </w:rPr>
            </w:pPr>
            <w:r w:rsidRPr="0050444F">
              <w:rPr>
                <w:rFonts w:cs="Calibri"/>
                <w:color w:val="FFFFFF"/>
              </w:rPr>
              <w:t>Decision</w:t>
            </w:r>
          </w:p>
        </w:tc>
      </w:tr>
      <w:tr w:rsidRPr="0050444F" w:rsidR="00A7228C" w:rsidTr="008164A3" w14:paraId="5A47FE13" w14:textId="77777777">
        <w:trPr>
          <w:trHeight w:val="335"/>
        </w:trPr>
        <w:tc>
          <w:tcPr>
            <w:tcW w:w="1878" w:type="dxa"/>
            <w:tcBorders>
              <w:top w:val="nil"/>
              <w:left w:val="single" w:color="auto" w:sz="8" w:space="0"/>
              <w:bottom w:val="single" w:color="auto" w:sz="8" w:space="0"/>
              <w:right w:val="single" w:color="auto" w:sz="8" w:space="0"/>
            </w:tcBorders>
            <w:shd w:val="clear" w:color="auto" w:fill="auto"/>
            <w:noWrap/>
            <w:vAlign w:val="center"/>
            <w:hideMark/>
          </w:tcPr>
          <w:p w:rsidRPr="0050444F" w:rsidR="00A7228C" w:rsidP="008164A3" w:rsidRDefault="00A7228C" w14:paraId="18C29141" w14:textId="77777777">
            <w:pPr>
              <w:rPr>
                <w:rFonts w:cs="Calibri"/>
                <w:color w:val="000000"/>
              </w:rPr>
            </w:pPr>
            <w:r w:rsidRPr="0050444F">
              <w:rPr>
                <w:rFonts w:cs="Calibri"/>
                <w:color w:val="000000"/>
              </w:rPr>
              <w:t>HIGHER-LEVEL REVIEW</w:t>
            </w:r>
          </w:p>
        </w:tc>
        <w:tc>
          <w:tcPr>
            <w:tcW w:w="1078"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7B4B1C5D" w14:textId="77777777">
            <w:pPr>
              <w:jc w:val="center"/>
              <w:rPr>
                <w:rFonts w:cs="Calibri"/>
                <w:color w:val="000000"/>
              </w:rPr>
            </w:pPr>
            <w:r w:rsidRPr="0050444F">
              <w:rPr>
                <w:rFonts w:cs="Calibri"/>
                <w:color w:val="000000"/>
              </w:rPr>
              <w:t>1,444</w:t>
            </w:r>
          </w:p>
        </w:tc>
        <w:tc>
          <w:tcPr>
            <w:tcW w:w="1022"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0B8C0D01" w14:textId="77777777">
            <w:pPr>
              <w:jc w:val="center"/>
              <w:rPr>
                <w:rFonts w:cs="Calibri"/>
                <w:color w:val="000000"/>
              </w:rPr>
            </w:pPr>
            <w:r w:rsidRPr="0050444F">
              <w:rPr>
                <w:rFonts w:cs="Calibri"/>
                <w:color w:val="000000"/>
              </w:rPr>
              <w:t>1,367</w:t>
            </w:r>
          </w:p>
        </w:tc>
        <w:tc>
          <w:tcPr>
            <w:tcW w:w="828"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16DBA486" w14:textId="77777777">
            <w:pPr>
              <w:jc w:val="center"/>
              <w:rPr>
                <w:rFonts w:cs="Calibri"/>
                <w:color w:val="000000"/>
              </w:rPr>
            </w:pPr>
            <w:r w:rsidRPr="0050444F">
              <w:rPr>
                <w:rFonts w:cs="Calibri"/>
                <w:color w:val="000000"/>
              </w:rPr>
              <w:t>631</w:t>
            </w:r>
          </w:p>
        </w:tc>
        <w:tc>
          <w:tcPr>
            <w:tcW w:w="919"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03437543" w14:textId="77777777">
            <w:pPr>
              <w:jc w:val="center"/>
              <w:rPr>
                <w:rFonts w:cs="Calibri"/>
                <w:color w:val="000000"/>
              </w:rPr>
            </w:pPr>
            <w:r w:rsidRPr="0050444F">
              <w:rPr>
                <w:rFonts w:cs="Calibri"/>
                <w:color w:val="000000"/>
              </w:rPr>
              <w:t>126</w:t>
            </w:r>
          </w:p>
        </w:tc>
        <w:tc>
          <w:tcPr>
            <w:tcW w:w="1024"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4DF630E1" w14:textId="77777777">
            <w:pPr>
              <w:jc w:val="center"/>
              <w:rPr>
                <w:rFonts w:cs="Calibri"/>
                <w:color w:val="000000"/>
              </w:rPr>
            </w:pPr>
            <w:r w:rsidRPr="0050444F">
              <w:rPr>
                <w:rFonts w:cs="Calibri"/>
                <w:color w:val="000000"/>
              </w:rPr>
              <w:t>63</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78BE01A7" w14:textId="77777777">
            <w:pPr>
              <w:jc w:val="center"/>
              <w:rPr>
                <w:rFonts w:cs="Calibri"/>
                <w:color w:val="000000"/>
              </w:rPr>
            </w:pPr>
            <w:r w:rsidRPr="0050444F">
              <w:rPr>
                <w:rFonts w:cs="Calibri"/>
                <w:color w:val="000000"/>
              </w:rPr>
              <w:t>8.3%</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2C525350" w14:textId="77777777">
            <w:pPr>
              <w:jc w:val="center"/>
              <w:rPr>
                <w:rFonts w:cs="Calibri"/>
                <w:color w:val="000000"/>
              </w:rPr>
            </w:pPr>
            <w:r w:rsidRPr="0050444F">
              <w:rPr>
                <w:rFonts w:cs="Calibri"/>
                <w:color w:val="000000"/>
              </w:rPr>
              <w:t>12.0%</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6D52F069" w14:textId="77777777">
            <w:pPr>
              <w:jc w:val="center"/>
              <w:rPr>
                <w:rFonts w:cs="Calibri"/>
                <w:color w:val="000000"/>
              </w:rPr>
            </w:pPr>
            <w:r w:rsidRPr="0050444F">
              <w:rPr>
                <w:rFonts w:cs="Calibri"/>
                <w:color w:val="000000"/>
              </w:rPr>
              <w:t>7.0%</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21DDEFDF" w14:textId="77777777">
            <w:pPr>
              <w:jc w:val="center"/>
              <w:rPr>
                <w:rFonts w:cs="Calibri"/>
                <w:color w:val="000000"/>
              </w:rPr>
            </w:pPr>
            <w:r w:rsidRPr="0050444F">
              <w:rPr>
                <w:rFonts w:cs="Calibri"/>
                <w:color w:val="000000"/>
              </w:rPr>
              <w:t>10.1%</w:t>
            </w:r>
          </w:p>
        </w:tc>
      </w:tr>
      <w:tr w:rsidRPr="0050444F" w:rsidR="00A7228C" w:rsidTr="008164A3" w14:paraId="7A4FD87A" w14:textId="77777777">
        <w:trPr>
          <w:trHeight w:val="335"/>
        </w:trPr>
        <w:tc>
          <w:tcPr>
            <w:tcW w:w="1878" w:type="dxa"/>
            <w:tcBorders>
              <w:top w:val="nil"/>
              <w:left w:val="single" w:color="auto" w:sz="8" w:space="0"/>
              <w:bottom w:val="single" w:color="auto" w:sz="8" w:space="0"/>
              <w:right w:val="single" w:color="auto" w:sz="8" w:space="0"/>
            </w:tcBorders>
            <w:shd w:val="clear" w:color="auto" w:fill="auto"/>
            <w:noWrap/>
            <w:vAlign w:val="center"/>
            <w:hideMark/>
          </w:tcPr>
          <w:p w:rsidRPr="0050444F" w:rsidR="00A7228C" w:rsidP="008164A3" w:rsidRDefault="00A7228C" w14:paraId="16EB045C" w14:textId="77777777">
            <w:pPr>
              <w:rPr>
                <w:rFonts w:cs="Calibri"/>
                <w:color w:val="000000"/>
              </w:rPr>
            </w:pPr>
            <w:r w:rsidRPr="0050444F">
              <w:rPr>
                <w:rFonts w:cs="Calibri"/>
                <w:color w:val="000000"/>
              </w:rPr>
              <w:t>SUPPLEMENTAL CLAIM</w:t>
            </w:r>
          </w:p>
        </w:tc>
        <w:tc>
          <w:tcPr>
            <w:tcW w:w="1078"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5112EEA6" w14:textId="77777777">
            <w:pPr>
              <w:jc w:val="center"/>
              <w:rPr>
                <w:rFonts w:cs="Calibri"/>
                <w:color w:val="000000"/>
              </w:rPr>
            </w:pPr>
            <w:r w:rsidRPr="0050444F">
              <w:rPr>
                <w:rFonts w:cs="Calibri"/>
                <w:color w:val="000000"/>
              </w:rPr>
              <w:t>6,268</w:t>
            </w:r>
          </w:p>
        </w:tc>
        <w:tc>
          <w:tcPr>
            <w:tcW w:w="1022"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5E5A3D1B" w14:textId="77777777">
            <w:pPr>
              <w:jc w:val="center"/>
              <w:rPr>
                <w:rFonts w:cs="Calibri"/>
                <w:color w:val="000000"/>
              </w:rPr>
            </w:pPr>
            <w:r w:rsidRPr="0050444F">
              <w:rPr>
                <w:rFonts w:cs="Calibri"/>
                <w:color w:val="000000"/>
              </w:rPr>
              <w:t>5,131</w:t>
            </w:r>
          </w:p>
        </w:tc>
        <w:tc>
          <w:tcPr>
            <w:tcW w:w="828"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46E716BD" w14:textId="77777777">
            <w:pPr>
              <w:jc w:val="center"/>
              <w:rPr>
                <w:rFonts w:cs="Calibri"/>
                <w:color w:val="000000"/>
              </w:rPr>
            </w:pPr>
            <w:r w:rsidRPr="0050444F">
              <w:rPr>
                <w:rFonts w:cs="Calibri"/>
                <w:color w:val="000000"/>
              </w:rPr>
              <w:t>2,369</w:t>
            </w:r>
          </w:p>
        </w:tc>
        <w:tc>
          <w:tcPr>
            <w:tcW w:w="919"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2A603A03" w14:textId="77777777">
            <w:pPr>
              <w:jc w:val="center"/>
              <w:rPr>
                <w:rFonts w:cs="Calibri"/>
                <w:color w:val="000000"/>
              </w:rPr>
            </w:pPr>
            <w:r w:rsidRPr="0050444F">
              <w:rPr>
                <w:rFonts w:cs="Calibri"/>
                <w:color w:val="000000"/>
              </w:rPr>
              <w:t>474</w:t>
            </w:r>
          </w:p>
        </w:tc>
        <w:tc>
          <w:tcPr>
            <w:tcW w:w="1024"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489E4767" w14:textId="77777777">
            <w:pPr>
              <w:jc w:val="center"/>
              <w:rPr>
                <w:rFonts w:cs="Calibri"/>
                <w:color w:val="000000"/>
              </w:rPr>
            </w:pPr>
            <w:r w:rsidRPr="0050444F">
              <w:rPr>
                <w:rFonts w:cs="Calibri"/>
                <w:color w:val="000000"/>
              </w:rPr>
              <w:t>237</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7B260ABD" w14:textId="77777777">
            <w:pPr>
              <w:jc w:val="center"/>
              <w:rPr>
                <w:rFonts w:cs="Calibri"/>
                <w:color w:val="000000"/>
              </w:rPr>
            </w:pPr>
            <w:r w:rsidRPr="0050444F">
              <w:rPr>
                <w:rFonts w:cs="Calibri"/>
                <w:color w:val="000000"/>
              </w:rPr>
              <w:t>4.3%</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7D76EA12" w14:textId="77777777">
            <w:pPr>
              <w:jc w:val="center"/>
              <w:rPr>
                <w:rFonts w:cs="Calibri"/>
                <w:color w:val="000000"/>
              </w:rPr>
            </w:pPr>
            <w:r w:rsidRPr="0050444F">
              <w:rPr>
                <w:rFonts w:cs="Calibri"/>
                <w:color w:val="000000"/>
              </w:rPr>
              <w:t>6.2%</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55FEA6A7" w14:textId="77777777">
            <w:pPr>
              <w:jc w:val="center"/>
              <w:rPr>
                <w:rFonts w:cs="Calibri"/>
                <w:color w:val="000000"/>
              </w:rPr>
            </w:pPr>
            <w:r w:rsidRPr="0050444F">
              <w:rPr>
                <w:rFonts w:cs="Calibri"/>
                <w:color w:val="000000"/>
              </w:rPr>
              <w:t>3.6%</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A7228C" w:rsidP="008164A3" w:rsidRDefault="00A7228C" w14:paraId="254C4716" w14:textId="77777777">
            <w:pPr>
              <w:jc w:val="center"/>
              <w:rPr>
                <w:rFonts w:cs="Calibri"/>
                <w:color w:val="000000"/>
              </w:rPr>
            </w:pPr>
            <w:r w:rsidRPr="0050444F">
              <w:rPr>
                <w:rFonts w:cs="Calibri"/>
                <w:color w:val="000000"/>
              </w:rPr>
              <w:t>5.2%</w:t>
            </w:r>
          </w:p>
        </w:tc>
      </w:tr>
    </w:tbl>
    <w:p w:rsidRPr="00C85DEE" w:rsidR="00A7228C" w:rsidP="00A7228C" w:rsidRDefault="00A7228C" w14:paraId="6430B714" w14:textId="77777777">
      <w:pPr>
        <w:spacing w:after="240"/>
      </w:pPr>
    </w:p>
    <w:p w:rsidRPr="0079785C" w:rsidR="00A7228C" w:rsidP="00A7228C" w:rsidRDefault="00A7228C" w14:paraId="3BEC76B9" w14:textId="77777777">
      <w:pPr>
        <w:pStyle w:val="Heading2"/>
        <w:keepLines/>
        <w:numPr>
          <w:ilvl w:val="0"/>
          <w:numId w:val="22"/>
        </w:numPr>
        <w:spacing w:before="40" w:line="259" w:lineRule="auto"/>
        <w:jc w:val="left"/>
      </w:pPr>
      <w:bookmarkStart w:name="_Toc17919980" w:id="28"/>
      <w:bookmarkStart w:name="_Toc511750805" w:id="29"/>
      <w:r w:rsidRPr="0079785C">
        <w:t>Stratification</w:t>
      </w:r>
      <w:bookmarkEnd w:id="28"/>
    </w:p>
    <w:p w:rsidR="00A7228C" w:rsidP="00A7228C" w:rsidRDefault="00A7228C" w14:paraId="799365BB" w14:textId="77777777">
      <w:pPr>
        <w:ind w:firstLine="360"/>
      </w:pPr>
      <w:r>
        <w:t>Stratification is used to ensure that the sample matches the population, to the extent possible, across sub-populations. The population will be stratified by type of review prior to sampling and sampled by this stratum.  Additionally, the sample design will use veteran age and gender as implicit stratum to allow the age and gender distributions in the sample to match those of the population.</w:t>
      </w:r>
    </w:p>
    <w:p w:rsidR="00A7228C" w:rsidP="00A7228C" w:rsidRDefault="00A7228C" w14:paraId="26B29E90" w14:textId="77777777">
      <w:pPr>
        <w:ind w:firstLine="360"/>
      </w:pPr>
    </w:p>
    <w:p w:rsidRPr="00C85DEE" w:rsidR="00A7228C" w:rsidP="00A7228C" w:rsidRDefault="00A7228C" w14:paraId="2D79B5E2" w14:textId="77777777">
      <w:pPr>
        <w:pStyle w:val="Heading2"/>
        <w:keepLines/>
        <w:numPr>
          <w:ilvl w:val="0"/>
          <w:numId w:val="22"/>
        </w:numPr>
        <w:spacing w:after="240"/>
        <w:jc w:val="left"/>
      </w:pPr>
      <w:bookmarkStart w:name="_Toc17919981" w:id="30"/>
      <w:r w:rsidRPr="00C85DEE">
        <w:t>Data Collection Methods</w:t>
      </w:r>
      <w:bookmarkEnd w:id="29"/>
      <w:bookmarkEnd w:id="30"/>
    </w:p>
    <w:p w:rsidR="00A7228C" w:rsidP="00A7228C" w:rsidRDefault="00A7228C" w14:paraId="31436217" w14:textId="77777777">
      <w:pPr>
        <w:pStyle w:val="ListParagraph"/>
        <w:spacing w:after="240"/>
        <w:ind w:left="0" w:firstLine="360"/>
        <w:rPr>
          <w:b/>
          <w:color w:val="4F81BD" w:themeColor="accent1"/>
        </w:rPr>
      </w:pPr>
      <w:r>
        <w:t>The sample frame will be drawn from the EDW every Tuesday. The initial survey invites will be sent the following day. After 7 days a reminder invite will be sent, and the survey will close 14 days after the initial invitation. Veterans will receive Filing and Decision surveys for the type of appeal they were assigned to, unless they opted to use a different type of appeal to obtain a decision.</w:t>
      </w:r>
    </w:p>
    <w:p w:rsidRPr="00C85DEE" w:rsidR="00A7228C" w:rsidP="00A7228C" w:rsidRDefault="00A7228C" w14:paraId="0116CEAC" w14:textId="77777777">
      <w:pPr>
        <w:spacing w:after="240"/>
        <w:jc w:val="both"/>
        <w:rPr>
          <w:b/>
          <w:color w:val="4F81BD" w:themeColor="accent1"/>
        </w:rPr>
      </w:pPr>
      <w:r w:rsidRPr="00C85DEE">
        <w:rPr>
          <w:b/>
          <w:color w:val="4F81BD" w:themeColor="accent1"/>
        </w:rPr>
        <w:t>Table 3. Survey Mode</w:t>
      </w:r>
    </w:p>
    <w:tbl>
      <w:tblPr>
        <w:tblStyle w:val="GridTable4-Accent11"/>
        <w:tblW w:w="0" w:type="auto"/>
        <w:jc w:val="center"/>
        <w:tblLook w:val="04A0" w:firstRow="1" w:lastRow="0" w:firstColumn="1" w:lastColumn="0" w:noHBand="0" w:noVBand="1"/>
      </w:tblPr>
      <w:tblGrid>
        <w:gridCol w:w="2175"/>
        <w:gridCol w:w="1616"/>
        <w:gridCol w:w="1900"/>
        <w:gridCol w:w="1529"/>
      </w:tblGrid>
      <w:tr w:rsidRPr="00C85DEE" w:rsidR="00A7228C" w:rsidTr="008164A3" w14:paraId="533A61A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D65964" w:rsidR="00A7228C" w:rsidP="008164A3" w:rsidRDefault="00A7228C" w14:paraId="63034671" w14:textId="77777777">
            <w:pPr>
              <w:spacing w:after="120"/>
              <w:rPr>
                <w:rFonts w:ascii="Times New Roman" w:hAnsi="Times New Roman" w:cs="Times New Roman"/>
                <w:b w:val="0"/>
              </w:rPr>
            </w:pPr>
            <w:r w:rsidRPr="00D65964">
              <w:rPr>
                <w:rFonts w:ascii="Times New Roman" w:hAnsi="Times New Roman" w:cs="Times New Roman"/>
              </w:rPr>
              <w:t>Mode of Data Collection</w:t>
            </w:r>
          </w:p>
          <w:p w:rsidRPr="00D65964" w:rsidR="00A7228C" w:rsidP="008164A3" w:rsidRDefault="00A7228C" w14:paraId="0FB25278" w14:textId="77777777">
            <w:pPr>
              <w:spacing w:after="120"/>
              <w:rPr>
                <w:rFonts w:ascii="Times New Roman" w:hAnsi="Times New Roman" w:cs="Times New Roman"/>
                <w:b w:val="0"/>
              </w:rPr>
            </w:pPr>
          </w:p>
        </w:tc>
        <w:tc>
          <w:tcPr>
            <w:tcW w:w="1616" w:type="dxa"/>
          </w:tcPr>
          <w:p w:rsidRPr="00D65964" w:rsidR="00A7228C" w:rsidP="008164A3" w:rsidRDefault="00A7228C" w14:paraId="4712765F"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00" w:type="dxa"/>
          </w:tcPr>
          <w:p w:rsidRPr="00D65964" w:rsidR="00A7228C" w:rsidP="008164A3" w:rsidRDefault="00A7228C" w14:paraId="2A53FDDE"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29" w:type="dxa"/>
          </w:tcPr>
          <w:p w:rsidRPr="00D65964" w:rsidR="00A7228C" w:rsidP="008164A3" w:rsidRDefault="00A7228C" w14:paraId="733F01F1"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gramStart"/>
            <w:r w:rsidRPr="00D65964">
              <w:rPr>
                <w:rFonts w:ascii="Times New Roman" w:hAnsi="Times New Roman" w:cs="Times New Roman"/>
              </w:rPr>
              <w:t>Recruitment  Period</w:t>
            </w:r>
            <w:proofErr w:type="gramEnd"/>
          </w:p>
        </w:tc>
      </w:tr>
      <w:tr w:rsidRPr="00C85DEE" w:rsidR="00A7228C" w:rsidTr="008164A3" w14:paraId="10D45DC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C85DEE" w:rsidR="00A7228C" w:rsidP="008164A3" w:rsidRDefault="00A7228C" w14:paraId="01C11B1D" w14:textId="77777777">
            <w:pPr>
              <w:spacing w:after="120"/>
              <w:rPr>
                <w:rFonts w:ascii="Times New Roman" w:hAnsi="Times New Roman" w:cs="Times New Roman"/>
              </w:rPr>
            </w:pPr>
            <w:r w:rsidRPr="00C85DEE">
              <w:rPr>
                <w:rFonts w:ascii="Times New Roman" w:hAnsi="Times New Roman" w:cs="Times New Roman"/>
              </w:rPr>
              <w:t>Online Survey</w:t>
            </w:r>
          </w:p>
        </w:tc>
        <w:tc>
          <w:tcPr>
            <w:tcW w:w="1616" w:type="dxa"/>
          </w:tcPr>
          <w:p w:rsidRPr="00C85DEE" w:rsidR="00A7228C" w:rsidP="008164A3" w:rsidRDefault="00A7228C" w14:paraId="6839DA09"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00" w:type="dxa"/>
          </w:tcPr>
          <w:p w:rsidRPr="00C85DEE" w:rsidR="00A7228C" w:rsidP="008164A3" w:rsidRDefault="00A7228C" w14:paraId="0E6E7573"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Pr>
                <w:rFonts w:ascii="Times New Roman" w:hAnsi="Times New Roman" w:cs="Times New Roman"/>
              </w:rPr>
              <w:t>7</w:t>
            </w:r>
            <w:r w:rsidRPr="00C85DEE">
              <w:rPr>
                <w:rFonts w:ascii="Times New Roman" w:hAnsi="Times New Roman" w:cs="Times New Roman"/>
              </w:rPr>
              <w:t xml:space="preserve"> days after </w:t>
            </w:r>
            <w:r>
              <w:rPr>
                <w:rFonts w:ascii="Times New Roman" w:hAnsi="Times New Roman" w:cs="Times New Roman"/>
              </w:rPr>
              <w:t>encounter</w:t>
            </w:r>
          </w:p>
        </w:tc>
        <w:tc>
          <w:tcPr>
            <w:tcW w:w="1529" w:type="dxa"/>
          </w:tcPr>
          <w:p w:rsidRPr="00C85DEE" w:rsidR="00A7228C" w:rsidP="008164A3" w:rsidRDefault="00A7228C" w14:paraId="3E9C6FA7"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A7228C" w:rsidP="008164A3" w:rsidRDefault="00A7228C" w14:paraId="12744053"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r>
    </w:tbl>
    <w:p w:rsidRPr="00C85DEE" w:rsidR="00A7228C" w:rsidP="00A7228C" w:rsidRDefault="00A7228C" w14:paraId="3E1EB33F" w14:textId="77777777"/>
    <w:p w:rsidRPr="00C85DEE" w:rsidR="00A7228C" w:rsidP="00A7228C" w:rsidRDefault="00A7228C" w14:paraId="3ACF5FD0" w14:textId="77777777">
      <w:pPr>
        <w:pStyle w:val="Heading2"/>
        <w:keepLines/>
        <w:numPr>
          <w:ilvl w:val="0"/>
          <w:numId w:val="22"/>
        </w:numPr>
        <w:spacing w:before="40" w:after="240"/>
        <w:jc w:val="left"/>
      </w:pPr>
      <w:bookmarkStart w:name="_Toc511750806" w:id="31"/>
      <w:bookmarkStart w:name="_Toc17919982" w:id="32"/>
      <w:r w:rsidRPr="00C85DEE">
        <w:t>Reporting</w:t>
      </w:r>
      <w:bookmarkEnd w:id="31"/>
      <w:bookmarkEnd w:id="32"/>
    </w:p>
    <w:p w:rsidR="00A7228C" w:rsidP="00A7228C" w:rsidRDefault="00A7228C" w14:paraId="409B85EE" w14:textId="77777777">
      <w:pPr>
        <w:spacing w:after="240"/>
        <w:ind w:firstLine="720"/>
      </w:pPr>
      <w:r w:rsidRPr="0079785C">
        <w:t xml:space="preserve">AMO made a commitment to Congress and the Government Accountability Office (GAO) to assess if Veterans and other beneficiaries have an improved decision review experience, how it compares to the legacy system, and how we can continue to improve the experience.  Based on the qualitative research that was conducted, AMO used the research to create CX surveys that will capture the overall experience of the new decision review processes and compare it to the legacy process.  In addition, AMO will use the quantitative results to inform on future process improvements to processes and services provided to Veterans and their beneficiaries.    </w:t>
      </w:r>
    </w:p>
    <w:p w:rsidR="00A7228C" w:rsidP="00A7228C" w:rsidRDefault="00A7228C" w14:paraId="296DCD5C" w14:textId="77777777">
      <w:pPr>
        <w:spacing w:after="240"/>
        <w:ind w:left="58" w:firstLine="662"/>
      </w:pPr>
      <w:r>
        <w:t>VBA</w:t>
      </w:r>
      <w:r w:rsidRPr="00C85DEE">
        <w:t xml:space="preserve"> will be able to use </w:t>
      </w:r>
      <w:r>
        <w:t xml:space="preserve">the VSignals platform </w:t>
      </w:r>
      <w:r w:rsidRPr="00C85DEE">
        <w:t>for interactive reporting and data visualization.</w:t>
      </w:r>
      <w:r>
        <w:t xml:space="preserve"> S</w:t>
      </w:r>
      <w:r w:rsidRPr="00054028">
        <w:t xml:space="preserve">cores can be observed for each </w:t>
      </w:r>
      <w:r>
        <w:t xml:space="preserve">of OMB’s Section 280 A-11 drivers:  </w:t>
      </w:r>
      <w:r w:rsidRPr="00A72C5C">
        <w:t>Effectiveness</w:t>
      </w:r>
      <w:r>
        <w:t>/</w:t>
      </w:r>
      <w:r w:rsidRPr="00A72C5C">
        <w:t>Quality</w:t>
      </w:r>
      <w:r>
        <w:t>,</w:t>
      </w:r>
      <w:r w:rsidRPr="00A72C5C">
        <w:t xml:space="preserve"> </w:t>
      </w:r>
      <w:r>
        <w:t>Confidence/</w:t>
      </w:r>
      <w:r w:rsidRPr="007859C2">
        <w:t>Trust, Ease</w:t>
      </w:r>
      <w:r>
        <w:t>/Simplicity, Equity/Transparency, Efficiency/Speed and Satisfaction. The scores may also be viewed by age, gender, and race or ethnicity in various charts for other perspectives and are depicted within time series plots to investigate trends. Finally,</w:t>
      </w:r>
      <w:r w:rsidRPr="00C85DEE">
        <w:t xml:space="preserve"> filter </w:t>
      </w:r>
      <w:r>
        <w:t>options are available to assess scores at varying time periods and</w:t>
      </w:r>
      <w:r w:rsidRPr="00C85DEE">
        <w:t xml:space="preserve"> within the context of other collected variable information.</w:t>
      </w:r>
    </w:p>
    <w:p w:rsidRPr="00C85DEE" w:rsidR="00A7228C" w:rsidP="00A7228C" w:rsidRDefault="00A7228C" w14:paraId="746C0A5A" w14:textId="77777777">
      <w:pPr>
        <w:spacing w:after="240"/>
        <w:ind w:left="58" w:firstLine="662"/>
      </w:pPr>
      <w:r w:rsidRPr="00FF32AB">
        <w:t xml:space="preserve">Recruitment is continuous (weekly) but the results from several weeks may be combined into a </w:t>
      </w:r>
      <w:r w:rsidRPr="00FF32AB">
        <w:rPr>
          <w:i/>
        </w:rPr>
        <w:t>monthly</w:t>
      </w:r>
      <w:r>
        <w:t xml:space="preserve"> estimate for more precise estimates, which is the recommended reporting level. Weekly estimates may include minor distortions but allow analysts to review scores more quickly and within smaller time intervals. Weekly estimates are less reliable for small </w:t>
      </w:r>
      <w:proofErr w:type="gramStart"/>
      <w:r>
        <w:t>domains, and</w:t>
      </w:r>
      <w:proofErr w:type="gramEnd"/>
      <w:r>
        <w:t xml:space="preserve"> should only be considered for aggregated populations.  M</w:t>
      </w:r>
      <w:r w:rsidRPr="00FF32AB">
        <w:t>onthly estimates will have larger sample sizes, and therefore higher reliability</w:t>
      </w:r>
      <w:r>
        <w:t xml:space="preserve"> set to a 3% MOE at the 95% Confidence level. All estimates are also weighted in real time on the platform for improved representation and less bias (non-response and coverage, see section G on Sample Weighting) but the weights can introduce distortions when looking at short time windows. </w:t>
      </w:r>
      <w:r w:rsidRPr="00FF32AB">
        <w:t xml:space="preserve">Quarterly estimates are the most </w:t>
      </w:r>
      <w:proofErr w:type="gramStart"/>
      <w:r w:rsidRPr="00FF32AB">
        <w:t>precise, but</w:t>
      </w:r>
      <w:proofErr w:type="gramEnd"/>
      <w:r w:rsidRPr="00FF32AB">
        <w:t xml:space="preserve"> will take the greatest amount of time to obtain (12 weeks of collection). </w:t>
      </w:r>
      <w:r>
        <w:t>However, Quarterly estimates are the most suitable for the analysis of small populations (e.g. Female Veterans 18-29, etc.).</w:t>
      </w:r>
    </w:p>
    <w:p w:rsidRPr="00C85DEE" w:rsidR="00A7228C" w:rsidP="00A7228C" w:rsidRDefault="00A7228C" w14:paraId="6FD606EB" w14:textId="77777777">
      <w:pPr>
        <w:pStyle w:val="Heading2"/>
        <w:keepLines/>
        <w:numPr>
          <w:ilvl w:val="0"/>
          <w:numId w:val="22"/>
        </w:numPr>
        <w:spacing w:after="240"/>
        <w:jc w:val="left"/>
      </w:pPr>
      <w:bookmarkStart w:name="_Toc17919983" w:id="33"/>
      <w:bookmarkStart w:name="_Toc511750807" w:id="34"/>
      <w:r w:rsidRPr="00C85DEE">
        <w:t>Quality Control</w:t>
      </w:r>
      <w:bookmarkEnd w:id="33"/>
    </w:p>
    <w:p w:rsidR="00A7228C" w:rsidP="00A7228C" w:rsidRDefault="00A7228C" w14:paraId="00D458B1" w14:textId="77777777">
      <w:pPr>
        <w:spacing w:after="240"/>
        <w:ind w:firstLine="720"/>
      </w:pPr>
      <w:r w:rsidRPr="00C34DFE">
        <w:t>To ensure the prevention of errors and inconsistencies in the data and the analysis, quality control procedures will be instituted in several steps of the survey process</w:t>
      </w:r>
      <w:r>
        <w:t>.</w:t>
      </w:r>
      <w:r w:rsidRPr="00C34DFE">
        <w:t xml:space="preserve">  The quality control steps are as follows.</w:t>
      </w:r>
    </w:p>
    <w:p w:rsidRPr="004E4922" w:rsidR="00A7228C" w:rsidP="00A7228C" w:rsidRDefault="00A7228C" w14:paraId="6D5B2064" w14:textId="77777777">
      <w:pPr>
        <w:pStyle w:val="ListParagraph"/>
        <w:numPr>
          <w:ilvl w:val="0"/>
          <w:numId w:val="29"/>
        </w:numPr>
        <w:spacing w:after="240"/>
      </w:pPr>
      <w:r w:rsidRPr="0079785C">
        <w:t>Population file creation</w:t>
      </w:r>
      <w:r w:rsidRPr="00A20D35">
        <w:t xml:space="preserve"> </w:t>
      </w:r>
    </w:p>
    <w:p w:rsidRPr="0014589C" w:rsidR="00A7228C" w:rsidP="00A7228C" w:rsidRDefault="00A7228C" w14:paraId="5BF68EF8" w14:textId="77777777">
      <w:pPr>
        <w:pStyle w:val="ListParagraph"/>
        <w:numPr>
          <w:ilvl w:val="0"/>
          <w:numId w:val="30"/>
        </w:numPr>
        <w:spacing w:after="120"/>
      </w:pPr>
      <w:r w:rsidRPr="0014589C">
        <w:rPr>
          <w:rFonts w:eastAsia="Calibri"/>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A7228C" w:rsidP="00A7228C" w:rsidRDefault="00A7228C" w14:paraId="1CD7A207" w14:textId="77777777">
      <w:pPr>
        <w:pStyle w:val="ListParagraph"/>
        <w:numPr>
          <w:ilvl w:val="0"/>
          <w:numId w:val="30"/>
        </w:numPr>
        <w:spacing w:after="100" w:afterAutospacing="1"/>
        <w:rPr>
          <w:rFonts w:eastAsia="Calibri"/>
        </w:rPr>
      </w:pPr>
      <w:r w:rsidRPr="0014589C">
        <w:rPr>
          <w:rFonts w:eastAsia="Calibri"/>
        </w:rPr>
        <w:t xml:space="preserve">Any duplicate records will be removed from the population file to both maintain the probabilities of selection and prevent the double sampling of the same </w:t>
      </w:r>
      <w:r>
        <w:rPr>
          <w:rFonts w:eastAsia="Calibri"/>
        </w:rPr>
        <w:t>V</w:t>
      </w:r>
      <w:r w:rsidRPr="0014589C">
        <w:rPr>
          <w:rFonts w:eastAsia="Calibri"/>
        </w:rPr>
        <w:t>eteran.</w:t>
      </w:r>
    </w:p>
    <w:p w:rsidR="00A7228C" w:rsidP="00A7228C" w:rsidRDefault="00A7228C" w14:paraId="176FA988" w14:textId="77777777">
      <w:pPr>
        <w:pStyle w:val="ListParagraph"/>
        <w:numPr>
          <w:ilvl w:val="0"/>
          <w:numId w:val="30"/>
        </w:numPr>
        <w:spacing w:after="240"/>
      </w:pPr>
      <w:r w:rsidRPr="0014589C">
        <w:rPr>
          <w:rFonts w:eastAsia="Calibri"/>
        </w:rPr>
        <w:t>Invalid emails will be removed.</w:t>
      </w:r>
    </w:p>
    <w:p w:rsidR="00A7228C" w:rsidP="00A7228C" w:rsidRDefault="00A7228C" w14:paraId="31C788B8" w14:textId="77777777">
      <w:pPr>
        <w:pStyle w:val="ListParagraph"/>
        <w:numPr>
          <w:ilvl w:val="0"/>
          <w:numId w:val="29"/>
        </w:numPr>
        <w:spacing w:after="240"/>
      </w:pPr>
      <w:r>
        <w:t>Loading and administration processes</w:t>
      </w:r>
    </w:p>
    <w:p w:rsidRPr="002C62A4" w:rsidR="00A7228C" w:rsidP="00A7228C" w:rsidRDefault="00A7228C" w14:paraId="4ED4CB2B" w14:textId="77777777">
      <w:pPr>
        <w:pStyle w:val="ListParagraph"/>
        <w:numPr>
          <w:ilvl w:val="1"/>
          <w:numId w:val="29"/>
        </w:numPr>
        <w:spacing w:after="120"/>
        <w:rPr>
          <w:rFonts w:eastAsia="Calibri"/>
        </w:rPr>
      </w:pPr>
      <w:r w:rsidRPr="002C62A4">
        <w:rPr>
          <w:rFonts w:eastAsia="Calibri"/>
        </w:rPr>
        <w:t>The extracted sample will be reviewed for representativeness. A secondary review will be applied to the final respondent sample.</w:t>
      </w:r>
    </w:p>
    <w:p w:rsidRPr="002C62A4" w:rsidR="00A7228C" w:rsidP="00A7228C" w:rsidRDefault="00A7228C" w14:paraId="5482FFAB" w14:textId="77777777">
      <w:pPr>
        <w:pStyle w:val="ListParagraph"/>
        <w:numPr>
          <w:ilvl w:val="1"/>
          <w:numId w:val="29"/>
        </w:numPr>
        <w:spacing w:after="120"/>
        <w:rPr>
          <w:rFonts w:eastAsia="Calibri"/>
        </w:rPr>
      </w:pPr>
      <w:r w:rsidRPr="002C62A4">
        <w:rPr>
          <w:rFonts w:eastAsia="Calibri"/>
        </w:rPr>
        <w:t xml:space="preserve">The survey load process will be rigorously tested prior to the induction of the </w:t>
      </w:r>
      <w:r>
        <w:rPr>
          <w:rFonts w:eastAsia="Calibri"/>
        </w:rPr>
        <w:t>AMO</w:t>
      </w:r>
      <w:r w:rsidRPr="002C62A4">
        <w:rPr>
          <w:rFonts w:eastAsia="Calibri"/>
        </w:rPr>
        <w:t xml:space="preserve"> Survey</w:t>
      </w:r>
      <w:r>
        <w:rPr>
          <w:rFonts w:eastAsia="Calibri"/>
        </w:rPr>
        <w:t>s</w:t>
      </w:r>
      <w:r w:rsidRPr="002C62A4">
        <w:rPr>
          <w:rFonts w:eastAsia="Calibri"/>
        </w:rPr>
        <w:t xml:space="preserve"> to ensure that sampled customers </w:t>
      </w:r>
      <w:r>
        <w:rPr>
          <w:rFonts w:eastAsia="Calibri"/>
        </w:rPr>
        <w:t>are</w:t>
      </w:r>
      <w:r w:rsidRPr="002C62A4">
        <w:rPr>
          <w:rFonts w:eastAsia="Calibri"/>
        </w:rPr>
        <w:t xml:space="preserve"> not inadvertently dropped or sent multiple emails.</w:t>
      </w:r>
    </w:p>
    <w:p w:rsidR="00A7228C" w:rsidP="00A7228C" w:rsidRDefault="00A7228C" w14:paraId="4097352A" w14:textId="77777777">
      <w:pPr>
        <w:pStyle w:val="ListParagraph"/>
        <w:numPr>
          <w:ilvl w:val="1"/>
          <w:numId w:val="29"/>
        </w:numPr>
        <w:spacing w:after="240"/>
      </w:pPr>
      <w:r w:rsidRPr="002C62A4">
        <w:rPr>
          <w:rFonts w:eastAsia="Calibri"/>
        </w:rPr>
        <w:t xml:space="preserve">The email delivery process is monitored to ensure that bounce-back records will not </w:t>
      </w:r>
      <w:r>
        <w:rPr>
          <w:rFonts w:eastAsia="Calibri"/>
        </w:rPr>
        <w:t>delay</w:t>
      </w:r>
      <w:r w:rsidRPr="002C62A4">
        <w:rPr>
          <w:rFonts w:eastAsia="Calibri"/>
        </w:rPr>
        <w:t xml:space="preserve"> the email delivery process.</w:t>
      </w:r>
    </w:p>
    <w:p w:rsidR="00A7228C" w:rsidP="00A7228C" w:rsidRDefault="00A7228C" w14:paraId="03DF5145" w14:textId="77777777">
      <w:pPr>
        <w:pStyle w:val="ListParagraph"/>
        <w:numPr>
          <w:ilvl w:val="0"/>
          <w:numId w:val="29"/>
        </w:numPr>
        <w:spacing w:after="240"/>
      </w:pPr>
      <w:r>
        <w:t>Weighting and data management</w:t>
      </w:r>
    </w:p>
    <w:p w:rsidRPr="002C62A4" w:rsidR="00A7228C" w:rsidP="00A7228C" w:rsidRDefault="00A7228C" w14:paraId="293D82B5" w14:textId="77777777">
      <w:pPr>
        <w:pStyle w:val="ListParagraph"/>
        <w:numPr>
          <w:ilvl w:val="1"/>
          <w:numId w:val="29"/>
        </w:numPr>
        <w:spacing w:after="120"/>
        <w:rPr>
          <w:rFonts w:eastAsia="Calibri"/>
        </w:rPr>
      </w:pPr>
      <w:r w:rsidRPr="002C62A4">
        <w:rPr>
          <w:rFonts w:eastAsia="Calibri"/>
        </w:rPr>
        <w:t>The sum of the weighted respondents will be compared to the overall population count to confirm that the records are being properly weighted.  When the sum does not match the population count, weighting classes will be collapsed to correct this issue.</w:t>
      </w:r>
    </w:p>
    <w:p w:rsidR="00A7228C" w:rsidP="00A7228C" w:rsidRDefault="00A7228C" w14:paraId="37CC2DE6" w14:textId="77777777">
      <w:pPr>
        <w:pStyle w:val="ListParagraph"/>
        <w:numPr>
          <w:ilvl w:val="1"/>
          <w:numId w:val="29"/>
        </w:numPr>
        <w:spacing w:after="240"/>
      </w:pPr>
      <w:r w:rsidRPr="002C62A4">
        <w:rPr>
          <w:rFonts w:eastAsia="Calibri"/>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2C62A4" w:rsidR="00A7228C" w:rsidP="00A7228C" w:rsidRDefault="00A7228C" w14:paraId="2F09A9B9" w14:textId="77777777">
      <w:pPr>
        <w:pStyle w:val="ListParagraph"/>
        <w:numPr>
          <w:ilvl w:val="0"/>
          <w:numId w:val="26"/>
        </w:numPr>
        <w:spacing w:after="120"/>
        <w:rPr>
          <w:rFonts w:eastAsia="Calibri"/>
        </w:rPr>
      </w:pPr>
    </w:p>
    <w:p w:rsidRPr="00C85DEE" w:rsidR="00A7228C" w:rsidP="00A7228C" w:rsidRDefault="00A7228C" w14:paraId="20C0D788" w14:textId="77777777">
      <w:pPr>
        <w:pStyle w:val="Heading2"/>
        <w:keepLines/>
        <w:numPr>
          <w:ilvl w:val="0"/>
          <w:numId w:val="22"/>
        </w:numPr>
        <w:spacing w:after="240"/>
        <w:jc w:val="left"/>
      </w:pPr>
      <w:bookmarkStart w:name="_Toc17919984" w:id="35"/>
      <w:r w:rsidRPr="00C85DEE">
        <w:t>Sample Weighting, Coverage Bias, and Non-Response Bias</w:t>
      </w:r>
      <w:bookmarkEnd w:id="34"/>
      <w:bookmarkEnd w:id="35"/>
    </w:p>
    <w:p w:rsidRPr="00984AA9" w:rsidR="00A7228C" w:rsidP="00A7228C" w:rsidRDefault="00A7228C" w14:paraId="21192E29" w14:textId="77777777">
      <w:pPr>
        <w:spacing w:after="120"/>
        <w:ind w:firstLine="720"/>
      </w:pPr>
      <w:r w:rsidRPr="00984AA9">
        <w:t xml:space="preserve">A final respondent sample should closely resemble the true population, in terms of the demographic distributions (e.g. age groups). One problem that arises in the survey collection process is </w:t>
      </w:r>
      <w:r w:rsidRPr="00984AA9">
        <w:rPr>
          <w:b/>
          <w:i/>
        </w:rPr>
        <w:t>nonresponse</w:t>
      </w:r>
      <w:r w:rsidRPr="00984AA9">
        <w:t xml:space="preserve">, which is defined as failure of selected persons in the sample to provide responses. This occurs in various degrees to </w:t>
      </w:r>
      <w:r w:rsidRPr="00984AA9">
        <w:rPr>
          <w:i/>
        </w:rPr>
        <w:t>all</w:t>
      </w:r>
      <w:r w:rsidRPr="00984AA9">
        <w:t xml:space="preserve"> surveys, but the resulting estimates can be distorted when some groups are actually more or less prone to complete the survey. In many applications, younger people are less likely to participate than older persons. Another problem is </w:t>
      </w:r>
      <w:r w:rsidRPr="00984AA9">
        <w:rPr>
          <w:b/>
          <w:i/>
        </w:rPr>
        <w:t>under-coverage</w:t>
      </w:r>
      <w:r w:rsidRPr="00984AA9">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w:t>
      </w:r>
      <w:proofErr w:type="gramStart"/>
      <w:r w:rsidRPr="00984AA9">
        <w:t>reliable, and</w:t>
      </w:r>
      <w:proofErr w:type="gramEnd"/>
      <w:r w:rsidRPr="00984AA9">
        <w:t xml:space="preserve"> are said to be </w:t>
      </w:r>
      <w:r w:rsidRPr="00984AA9">
        <w:rPr>
          <w:b/>
        </w:rPr>
        <w:t>biased</w:t>
      </w:r>
      <w:r w:rsidRPr="00984AA9">
        <w:t>.</w:t>
      </w:r>
    </w:p>
    <w:p w:rsidRPr="00984AA9" w:rsidR="00A7228C" w:rsidP="00A7228C" w:rsidRDefault="00A7228C" w14:paraId="5E0CA5BF" w14:textId="77777777">
      <w:pPr>
        <w:spacing w:after="120"/>
        <w:ind w:firstLine="720"/>
      </w:pPr>
      <w:r w:rsidRPr="00984AA9">
        <w:t xml:space="preserve">Survey practitioners recommend the use of sampling weighting to improve inference on the population. This will be introduced into the survey process as a tool that helps the respondent sample more closely represent the overall population. Weighting adjustments are commonly applied in surveys to correct for nonresponse bias and coverage bias. </w:t>
      </w:r>
      <w:r>
        <w:t>If</w:t>
      </w:r>
      <w:r w:rsidRPr="00984AA9">
        <w:t xml:space="preserve"> a business rule </w:t>
      </w:r>
      <w:r>
        <w:t>is</w:t>
      </w:r>
      <w:r w:rsidRPr="00984AA9">
        <w:t xml:space="preserve"> implemented </w:t>
      </w:r>
      <w:r>
        <w:t>that</w:t>
      </w:r>
      <w:r w:rsidRPr="00984AA9">
        <w:t xml:space="preserve"> require</w:t>
      </w:r>
      <w:r>
        <w:t>s</w:t>
      </w:r>
      <w:r w:rsidRPr="00984AA9">
        <w:t xml:space="preserve"> </w:t>
      </w:r>
      <w:r>
        <w:t>applicant</w:t>
      </w:r>
      <w:r w:rsidRPr="00984AA9">
        <w:t xml:space="preserve">s to provide email address, the coverage bias for </w:t>
      </w:r>
      <w:r>
        <w:t>this survey would be</w:t>
      </w:r>
      <w:r w:rsidRPr="00984AA9">
        <w:t xml:space="preserve"> expected to </w:t>
      </w:r>
      <w:r>
        <w:t>decrease</w:t>
      </w:r>
      <w:r w:rsidRPr="00984AA9">
        <w:t xml:space="preserve">. In many surveys, however, differential response rates may be observed across age groups. </w:t>
      </w:r>
      <w:proofErr w:type="gramStart"/>
      <w:r w:rsidRPr="00984AA9">
        <w:t>In the event that</w:t>
      </w:r>
      <w:proofErr w:type="gramEnd"/>
      <w:r w:rsidRPr="00984AA9">
        <w:t xml:space="preserve">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i/>
        </w:rPr>
        <w:t>non-response bias correction</w:t>
      </w:r>
      <w:r w:rsidRPr="00984AA9">
        <w:t xml:space="preserve"> for a single variable. Strictly speaking, we can never know how non-respondents would have really answered the question, but the </w:t>
      </w:r>
      <w:proofErr w:type="gramStart"/>
      <w:r w:rsidRPr="00984AA9">
        <w:t>aforementioned adjustment</w:t>
      </w:r>
      <w:proofErr w:type="gramEnd"/>
      <w:r w:rsidRPr="00984AA9">
        <w:t xml:space="preserve">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A7228C" w:rsidP="00A7228C" w:rsidRDefault="00A7228C" w14:paraId="263F7BD6" w14:textId="77777777">
      <w:pPr>
        <w:spacing w:after="120"/>
        <w:ind w:firstLine="720"/>
      </w:pPr>
      <w:r w:rsidRPr="00984AA9">
        <w:t>Because the email population will have different demographics than the overall population, the initial sample will be selected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p w:rsidRPr="00EE11DC" w:rsidR="00A7228C" w:rsidP="00A7228C" w:rsidRDefault="00A7228C" w14:paraId="6C7E8659" w14:textId="77777777">
      <w:pPr>
        <w:spacing w:after="120"/>
        <w:ind w:firstLine="720"/>
      </w:pPr>
      <w:r w:rsidRPr="00EE11DC">
        <w:t>The stratification scheme above will result in a representative sample (</w:t>
      </w:r>
      <w:proofErr w:type="gramStart"/>
      <w:r>
        <w:t>with regard to</w:t>
      </w:r>
      <w:proofErr w:type="gramEnd"/>
      <w:r>
        <w:t xml:space="preserve"> </w:t>
      </w:r>
      <w:r w:rsidRPr="00EE11DC">
        <w:t>the full population). Weighting will then be applied so that the sample is more fully matched to the population. Sample weights will be generated for Monthly, and Quarterly estimates.</w:t>
      </w:r>
    </w:p>
    <w:p w:rsidRPr="00F14B85" w:rsidR="00A7228C" w:rsidP="00A7228C" w:rsidRDefault="00A7228C" w14:paraId="4CF4FAB8" w14:textId="77777777">
      <w:pPr>
        <w:spacing w:after="120"/>
        <w:ind w:firstLine="720"/>
      </w:pPr>
      <w:r>
        <w:t>Weighting will utilize subgroup weights in real time. To make this possible, targets will be based on the previous month’s population. With each query on the VSignals platform for each respondent by dividing the target for a subgroup by the number of respondents in the subgroup. The weighting scheme will include, where possible, all the variables used for explicit stratification, However, cells will be collapsed if the proportion of the population is insufficient to reliably achieve a minimum of 3 completes per month. As a result, weights may be more comprehensive for larger population segments. For instance, in the VA, women are a smaller proportion of the populations. Therefore, women will have more collapsed cells than men.</w:t>
      </w:r>
    </w:p>
    <w:p w:rsidRPr="00222409" w:rsidR="00A7228C" w:rsidP="00A7228C" w:rsidRDefault="00A7228C" w14:paraId="6D433E61" w14:textId="77777777">
      <w:pPr>
        <w:spacing w:after="240"/>
        <w:ind w:firstLine="720"/>
      </w:pPr>
      <w:r w:rsidRPr="00C85DEE">
        <w:t>As part of the weighting validation process, the weights of persons in</w:t>
      </w:r>
      <w:r>
        <w:t xml:space="preserve"> age and gender</w:t>
      </w:r>
      <w:r w:rsidRPr="00C85DEE">
        <w:t xml:space="preserve"> group</w:t>
      </w:r>
      <w:r>
        <w:t>s</w:t>
      </w:r>
      <w:r w:rsidRPr="00C85DEE">
        <w:t xml:space="preserve"> are summed and verified that they match the universe estimates (i.e., population totals). Additionally, we calculate the </w:t>
      </w:r>
      <w:r w:rsidRPr="00C85DEE">
        <w:rPr>
          <w:i/>
        </w:rPr>
        <w:t>unequal weighting effect</w:t>
      </w:r>
      <w:r w:rsidRPr="00C85DEE">
        <w:t xml:space="preserve">, or UWE (see Kish, 1992; Liu et al., 2002). This statistic is an indication of the amount of variation that may be expected due to the inclusion of weighting. </w:t>
      </w:r>
      <w:r w:rsidRPr="00222409">
        <w:t>The unequal weighting effect estimates the percent increase in the variance of the final estimate due to the presence of weights and is calculated as</w:t>
      </w:r>
      <w:r>
        <w:t>:</w:t>
      </w:r>
    </w:p>
    <w:p w:rsidRPr="00222409" w:rsidR="00A7228C" w:rsidP="00A7228C" w:rsidRDefault="00A7228C" w14:paraId="47BD11C3" w14:textId="77777777">
      <w:pPr>
        <w:spacing w:after="240"/>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A7228C" w:rsidP="00A7228C" w:rsidRDefault="00A7228C" w14:paraId="3B5F4FDD" w14:textId="77777777">
      <w:pPr>
        <w:spacing w:after="120"/>
      </w:pPr>
      <w:r w:rsidRPr="00222409">
        <w:t xml:space="preserve">where </w:t>
      </w:r>
    </w:p>
    <w:p w:rsidR="00A7228C" w:rsidP="00A7228C" w:rsidRDefault="00A7228C" w14:paraId="5287ABF3" w14:textId="77777777">
      <w:pPr>
        <w:pStyle w:val="ListParagraph"/>
        <w:numPr>
          <w:ilvl w:val="0"/>
          <w:numId w:val="23"/>
        </w:numPr>
        <w:spacing w:after="120"/>
        <w:jc w:val="both"/>
      </w:pPr>
      <w:r>
        <w:rPr>
          <w:b/>
        </w:rPr>
        <w:t>cv</w:t>
      </w:r>
      <w:r w:rsidRPr="00C85DEE">
        <w:t xml:space="preserve"> = </w:t>
      </w:r>
      <w:r>
        <w:t xml:space="preserve">coefficient of variation for all weights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p>
    <w:p w:rsidRPr="00A82D89" w:rsidR="00A7228C" w:rsidP="00A7228C" w:rsidRDefault="00A7228C" w14:paraId="39DC5AE0" w14:textId="77777777">
      <w:pPr>
        <w:pStyle w:val="ListParagraph"/>
        <w:numPr>
          <w:ilvl w:val="0"/>
          <w:numId w:val="23"/>
        </w:numPr>
        <w:spacing w:after="120"/>
        <w:jc w:val="both"/>
      </w:pPr>
      <w:r w:rsidRPr="00A82D89">
        <w:rPr>
          <w:b/>
        </w:rPr>
        <w:t>s</w:t>
      </w:r>
      <w:r>
        <w:rPr>
          <w:b/>
        </w:rPr>
        <w:t xml:space="preserve"> = </w:t>
      </w:r>
      <w:r w:rsidRPr="00A82D89">
        <w:t>sample standard deviation of weights.</w:t>
      </w:r>
    </w:p>
    <w:p w:rsidRPr="00936A7C" w:rsidR="00A7228C" w:rsidP="00A7228C" w:rsidRDefault="00A7228C" w14:paraId="559715CC" w14:textId="77777777">
      <w:pPr>
        <w:pStyle w:val="ListParagraph"/>
        <w:numPr>
          <w:ilvl w:val="0"/>
          <w:numId w:val="23"/>
        </w:numPr>
        <w:spacing w:after="240"/>
        <w:jc w:val="both"/>
      </w:pPr>
      <m:oMath>
        <m:acc>
          <m:accPr>
            <m:chr m:val="̅"/>
            <m:ctrlPr>
              <w:rPr>
                <w:rFonts w:ascii="Cambria Math" w:hAnsi="Cambria Math"/>
                <w:i/>
              </w:rPr>
            </m:ctrlPr>
          </m:accPr>
          <m:e>
            <m:r>
              <m:rPr>
                <m:sty m:val="bi"/>
              </m:rPr>
              <w:rPr>
                <w:rFonts w:ascii="Cambria Math" w:hAnsi="Cambria Math"/>
              </w:rPr>
              <m:t>w</m:t>
            </m:r>
          </m:e>
        </m:acc>
      </m:oMath>
      <w:r>
        <w:t xml:space="preserve"> = </w:t>
      </w:r>
      <w:r w:rsidRPr="00C85DEE">
        <w:t>sample mean of weights,</w:t>
      </w:r>
      <m:oMath>
        <m:r>
          <w:rPr>
            <w:rFonts w:ascii="Cambria Math" w:hAnsi="Cambria Math"/>
          </w:rPr>
          <m:t xml:space="preserve"> </m:t>
        </m:r>
        <m:acc>
          <m:accPr>
            <m:chr m:val="̅"/>
            <m:ctrlPr>
              <w:rPr>
                <w:rFonts w:ascii="Cambria Math" w:hAnsi="Cambria Math"/>
                <w:i/>
              </w:rPr>
            </m:ctrlPr>
          </m:accPr>
          <m:e>
            <m:r>
              <w:rPr>
                <w:rFonts w:ascii="Cambria Math" w:hAnsi="Cambria Math"/>
              </w:rPr>
              <m:t>w</m:t>
            </m:r>
          </m:e>
        </m:acc>
        <m:r>
          <w:rPr>
            <w:rFonts w:ascii="Cambria Math" w:hAnsi="Cambria Math"/>
          </w:rPr>
          <m:t>=</m:t>
        </m:r>
      </m:oMath>
      <w:r w:rsidRPr="00C85DEE">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pHide m:val="1"/>
            <m:ctrlPr>
              <w:rPr>
                <w:rFonts w:ascii="Cambria Math" w:hAnsi="Cambria Math"/>
                <w:i/>
              </w:rPr>
            </m:ctrlPr>
          </m:naryPr>
          <m:sub>
            <m:r>
              <w:rPr>
                <w:rFonts w:ascii="Cambria Math" w:hAnsi="Cambria Math"/>
              </w:rPr>
              <m:t>ij</m:t>
            </m:r>
          </m:sub>
          <m:sup/>
          <m:e>
            <m:r>
              <w:rPr>
                <w:rFonts w:ascii="Cambria Math" w:hAnsi="Cambria Math"/>
              </w:rPr>
              <m:t>w</m:t>
            </m:r>
          </m:e>
        </m:nary>
      </m:oMath>
      <w:r w:rsidRPr="00C85DEE">
        <w:rPr>
          <w:vertAlign w:val="subscript"/>
        </w:rPr>
        <w:t>ij</w:t>
      </w:r>
      <w:r w:rsidRPr="00C85DEE">
        <w:t>.</w:t>
      </w:r>
    </w:p>
    <w:p w:rsidRPr="00C85DEE" w:rsidR="00A7228C" w:rsidP="00A7228C" w:rsidRDefault="00A7228C" w14:paraId="202C0575" w14:textId="77777777">
      <w:pPr>
        <w:pStyle w:val="Heading2"/>
        <w:keepLines/>
        <w:numPr>
          <w:ilvl w:val="0"/>
          <w:numId w:val="22"/>
        </w:numPr>
        <w:spacing w:after="240"/>
        <w:jc w:val="left"/>
      </w:pPr>
      <w:bookmarkStart w:name="_Toc17919985" w:id="36"/>
      <w:r>
        <w:t>Quarantine Rules</w:t>
      </w:r>
      <w:bookmarkEnd w:id="36"/>
    </w:p>
    <w:p w:rsidRPr="00C85DEE" w:rsidR="00A7228C" w:rsidP="00A7228C" w:rsidRDefault="00A7228C" w14:paraId="53DA24E2" w14:textId="77777777">
      <w:pPr>
        <w:spacing w:after="240"/>
        <w:ind w:firstLine="720"/>
      </w:pPr>
      <w:r w:rsidRPr="00C85DEE">
        <w:t xml:space="preserve">VEO seeks to limit </w:t>
      </w:r>
      <w:r>
        <w:t xml:space="preserve">repeated </w:t>
      </w:r>
      <w:r w:rsidRPr="00C85DEE">
        <w:t xml:space="preserve">contact with Veterans and only </w:t>
      </w:r>
      <w:r>
        <w:t xml:space="preserve">survey them </w:t>
      </w:r>
      <w:r w:rsidRPr="00C85DEE">
        <w:t xml:space="preserve">as needed to achieve measurement goals. </w:t>
      </w:r>
      <w:r w:rsidRPr="00DD1D5E">
        <w:t xml:space="preserve">These rules are enacted to prevent excessive recruitment attempts upon </w:t>
      </w:r>
      <w:r>
        <w:t>Veterans</w:t>
      </w:r>
      <w:r w:rsidRPr="00DD1D5E">
        <w:t xml:space="preserve">. VEO also monitors Veteran participation within other surveys, to ensure </w:t>
      </w:r>
      <w:r>
        <w:t>they</w:t>
      </w:r>
      <w:r w:rsidRPr="00DD1D5E">
        <w:t xml:space="preserve"> do not experience survey fatigue. All VEO surveys offer options for respondents to opt out, and ensure they are no longer contacted for a specific survey.</w:t>
      </w:r>
      <w:r>
        <w:t xml:space="preserve"> </w:t>
      </w:r>
    </w:p>
    <w:p w:rsidR="00A7228C" w:rsidP="00A7228C" w:rsidRDefault="00A7228C" w14:paraId="72C5C199" w14:textId="77777777">
      <w:pPr>
        <w:rPr>
          <w:b/>
          <w:color w:val="4F81BD" w:themeColor="accent1"/>
        </w:rPr>
      </w:pPr>
    </w:p>
    <w:p w:rsidRPr="00C85DEE" w:rsidR="00A7228C" w:rsidP="00A7228C" w:rsidRDefault="00A7228C" w14:paraId="27A10012" w14:textId="77777777">
      <w:pPr>
        <w:spacing w:after="240"/>
      </w:pPr>
      <w:r w:rsidRPr="00C85DEE">
        <w:rPr>
          <w:b/>
          <w:color w:val="4F81BD"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A7228C" w:rsidTr="008164A3" w14:paraId="27ECAE0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A7228C" w:rsidP="008164A3" w:rsidRDefault="00A7228C" w14:paraId="668C852F" w14:textId="77777777">
            <w:pPr>
              <w:rPr>
                <w:rFonts w:cstheme="minorHAnsi"/>
                <w:b w:val="0"/>
              </w:rPr>
            </w:pPr>
            <w:r w:rsidRPr="005023B9">
              <w:rPr>
                <w:rFonts w:cstheme="minorHAnsi"/>
              </w:rPr>
              <w:t>Quarantine Rule</w:t>
            </w:r>
          </w:p>
        </w:tc>
        <w:tc>
          <w:tcPr>
            <w:tcW w:w="5670" w:type="dxa"/>
          </w:tcPr>
          <w:p w:rsidRPr="005023B9" w:rsidR="00A7228C" w:rsidP="008164A3" w:rsidRDefault="00A7228C" w14:paraId="37DE4354"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A7228C" w:rsidP="008164A3" w:rsidRDefault="00A7228C" w14:paraId="64C9AC87"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A7228C" w:rsidTr="008164A3" w14:paraId="3668C7B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A7228C" w:rsidP="008164A3" w:rsidRDefault="00A7228C" w14:paraId="3DDD2D77" w14:textId="77777777">
            <w:pPr>
              <w:rPr>
                <w:rFonts w:cstheme="minorHAnsi"/>
              </w:rPr>
            </w:pPr>
            <w:r>
              <w:rPr>
                <w:rFonts w:cstheme="minorHAnsi"/>
              </w:rPr>
              <w:t>Sampling for Decision Survey</w:t>
            </w:r>
          </w:p>
        </w:tc>
        <w:tc>
          <w:tcPr>
            <w:tcW w:w="5670" w:type="dxa"/>
          </w:tcPr>
          <w:p w:rsidRPr="00663B4E" w:rsidR="00A7228C" w:rsidP="008164A3" w:rsidRDefault="00A7228C" w14:paraId="69260FC9"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Number of days between receiving a Filing survey and a Decision survey</w:t>
            </w:r>
          </w:p>
        </w:tc>
        <w:tc>
          <w:tcPr>
            <w:tcW w:w="1530" w:type="dxa"/>
          </w:tcPr>
          <w:p w:rsidR="00A7228C" w:rsidP="008164A3" w:rsidRDefault="00A7228C" w14:paraId="74387EE3"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Varies but no earlier than 14 days</w:t>
            </w:r>
          </w:p>
        </w:tc>
      </w:tr>
      <w:tr w:rsidRPr="00363FE0" w:rsidR="00A7228C" w:rsidTr="008164A3" w14:paraId="65D181A7"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A7228C" w:rsidP="008164A3" w:rsidRDefault="00A7228C" w14:paraId="6CC3B8D6" w14:textId="77777777">
            <w:pPr>
              <w:rPr>
                <w:rFonts w:cstheme="minorHAnsi"/>
              </w:rPr>
            </w:pPr>
            <w:r w:rsidRPr="00491605">
              <w:rPr>
                <w:rFonts w:cstheme="minorHAnsi"/>
              </w:rPr>
              <w:t xml:space="preserve">Repeated Sampling for </w:t>
            </w:r>
            <w:r>
              <w:rPr>
                <w:rFonts w:cstheme="minorHAnsi"/>
              </w:rPr>
              <w:t>Filing</w:t>
            </w:r>
            <w:r w:rsidRPr="00491605">
              <w:rPr>
                <w:rFonts w:cstheme="minorHAnsi"/>
              </w:rPr>
              <w:t xml:space="preserve"> Survey</w:t>
            </w:r>
          </w:p>
        </w:tc>
        <w:tc>
          <w:tcPr>
            <w:tcW w:w="5670" w:type="dxa"/>
          </w:tcPr>
          <w:p w:rsidRPr="004E6DC5" w:rsidR="00A7228C" w:rsidP="008164A3" w:rsidRDefault="00A7228C" w14:paraId="2B96CA6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Number of days between receiving/completing</w:t>
            </w:r>
            <w:r>
              <w:rPr>
                <w:rFonts w:cstheme="minorHAnsi"/>
              </w:rPr>
              <w:t xml:space="preserve"> the</w:t>
            </w:r>
            <w:r w:rsidRPr="00663B4E">
              <w:rPr>
                <w:rFonts w:cstheme="minorHAnsi"/>
              </w:rPr>
              <w:t xml:space="preserve"> </w:t>
            </w:r>
            <w:r>
              <w:rPr>
                <w:rFonts w:cstheme="minorHAnsi"/>
              </w:rPr>
              <w:t>Decision</w:t>
            </w:r>
            <w:r w:rsidRPr="00663B4E">
              <w:rPr>
                <w:rFonts w:cstheme="minorHAnsi"/>
              </w:rPr>
              <w:t xml:space="preserve"> survey, prior to receiving email invitation for a separate </w:t>
            </w:r>
            <w:r>
              <w:rPr>
                <w:rFonts w:cstheme="minorHAnsi"/>
              </w:rPr>
              <w:t>AMO</w:t>
            </w:r>
            <w:r w:rsidRPr="00663B4E">
              <w:rPr>
                <w:rFonts w:cstheme="minorHAnsi"/>
              </w:rPr>
              <w:t xml:space="preserve"> </w:t>
            </w:r>
            <w:r>
              <w:rPr>
                <w:rFonts w:cstheme="minorHAnsi"/>
              </w:rPr>
              <w:t xml:space="preserve">Filing </w:t>
            </w:r>
            <w:r w:rsidRPr="00663B4E">
              <w:rPr>
                <w:rFonts w:cstheme="minorHAnsi"/>
              </w:rPr>
              <w:t>experience</w:t>
            </w:r>
          </w:p>
        </w:tc>
        <w:tc>
          <w:tcPr>
            <w:tcW w:w="1530" w:type="dxa"/>
          </w:tcPr>
          <w:p w:rsidRPr="001947E9" w:rsidR="00A7228C" w:rsidP="008164A3" w:rsidRDefault="00A7228C" w14:paraId="52DF912E"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30 </w:t>
            </w:r>
            <w:r w:rsidRPr="001947E9">
              <w:rPr>
                <w:rFonts w:cstheme="minorHAnsi"/>
              </w:rPr>
              <w:t xml:space="preserve">Days </w:t>
            </w:r>
          </w:p>
        </w:tc>
      </w:tr>
      <w:tr w:rsidRPr="00363FE0" w:rsidR="00A7228C" w:rsidTr="008164A3" w14:paraId="160B05B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A7228C" w:rsidP="008164A3" w:rsidRDefault="00A7228C" w14:paraId="3167CBBF" w14:textId="77777777">
            <w:pPr>
              <w:rPr>
                <w:rFonts w:cstheme="minorHAnsi"/>
              </w:rPr>
            </w:pPr>
            <w:r w:rsidRPr="00491605">
              <w:rPr>
                <w:rFonts w:cstheme="minorHAnsi"/>
              </w:rPr>
              <w:t>Other VEO Surveys</w:t>
            </w:r>
          </w:p>
        </w:tc>
        <w:tc>
          <w:tcPr>
            <w:tcW w:w="5670" w:type="dxa"/>
          </w:tcPr>
          <w:p w:rsidRPr="00663B4E" w:rsidR="00A7228C" w:rsidP="008164A3" w:rsidRDefault="00A7228C" w14:paraId="76001D5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A7228C" w:rsidP="008164A3" w:rsidRDefault="00A7228C" w14:paraId="7D71E92B"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Pr="00663B4E">
              <w:rPr>
                <w:rFonts w:cstheme="minorHAnsi"/>
              </w:rPr>
              <w:t>0 Days</w:t>
            </w:r>
          </w:p>
        </w:tc>
      </w:tr>
      <w:tr w:rsidRPr="00363FE0" w:rsidR="00A7228C" w:rsidTr="008164A3" w14:paraId="3D7D5608"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A7228C" w:rsidP="008164A3" w:rsidRDefault="00A7228C" w14:paraId="3FE80BE3" w14:textId="77777777">
            <w:pPr>
              <w:rPr>
                <w:rFonts w:cstheme="minorHAnsi"/>
              </w:rPr>
            </w:pPr>
            <w:r w:rsidRPr="00491605">
              <w:rPr>
                <w:rFonts w:cstheme="minorHAnsi"/>
              </w:rPr>
              <w:t>Prioritization</w:t>
            </w:r>
          </w:p>
        </w:tc>
        <w:tc>
          <w:tcPr>
            <w:tcW w:w="5670" w:type="dxa"/>
          </w:tcPr>
          <w:p w:rsidRPr="00491605" w:rsidR="00A7228C" w:rsidP="008164A3" w:rsidRDefault="00A7228C" w14:paraId="441CD057"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Prioritization is based on the observed sample sizes. </w:t>
            </w:r>
          </w:p>
        </w:tc>
        <w:tc>
          <w:tcPr>
            <w:tcW w:w="1530" w:type="dxa"/>
          </w:tcPr>
          <w:p w:rsidRPr="00663B4E" w:rsidR="00A7228C" w:rsidP="008164A3" w:rsidRDefault="00A7228C" w14:paraId="2071816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r w:rsidRPr="00363FE0" w:rsidR="00A7228C" w:rsidTr="008164A3" w14:paraId="3AF42A3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A7228C" w:rsidP="008164A3" w:rsidRDefault="00A7228C" w14:paraId="0C5A4B0C" w14:textId="77777777">
            <w:pPr>
              <w:rPr>
                <w:rFonts w:cstheme="minorHAnsi"/>
              </w:rPr>
            </w:pPr>
            <w:proofErr w:type="spellStart"/>
            <w:r w:rsidRPr="00491605">
              <w:rPr>
                <w:rFonts w:cstheme="minorHAnsi"/>
              </w:rPr>
              <w:t>Opt</w:t>
            </w:r>
            <w:proofErr w:type="spellEnd"/>
            <w:r w:rsidRPr="00491605">
              <w:rPr>
                <w:rFonts w:cstheme="minorHAnsi"/>
              </w:rPr>
              <w:t xml:space="preserve"> Outs</w:t>
            </w:r>
          </w:p>
        </w:tc>
        <w:tc>
          <w:tcPr>
            <w:tcW w:w="5670" w:type="dxa"/>
          </w:tcPr>
          <w:p w:rsidRPr="00491605" w:rsidR="00A7228C" w:rsidP="008164A3" w:rsidRDefault="00A7228C" w14:paraId="7EFDD28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A7228C" w:rsidP="008164A3" w:rsidRDefault="00A7228C" w14:paraId="6A82E76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bl>
    <w:p w:rsidRPr="00C85DEE" w:rsidR="00A7228C" w:rsidP="00A7228C" w:rsidRDefault="00A7228C" w14:paraId="44046AFA" w14:textId="77777777"/>
    <w:p w:rsidRPr="00C535DC" w:rsidR="00A7228C" w:rsidP="00A7228C" w:rsidRDefault="00A7228C" w14:paraId="7888E158" w14:textId="77777777">
      <w:pPr>
        <w:pStyle w:val="Heading1"/>
        <w:spacing w:after="240"/>
      </w:pPr>
      <w:bookmarkStart w:name="_Toc516137687" w:id="37"/>
      <w:bookmarkStart w:name="_Toc17919986" w:id="38"/>
      <w:bookmarkStart w:name="_Toc490572153" w:id="39"/>
      <w:bookmarkStart w:name="_Toc490572159" w:id="40"/>
      <w:bookmarkEnd w:id="12"/>
      <w:r w:rsidRPr="00C535DC">
        <w:t>Part III – Assumptions and Limitations</w:t>
      </w:r>
      <w:bookmarkEnd w:id="37"/>
      <w:bookmarkEnd w:id="38"/>
    </w:p>
    <w:p w:rsidRPr="00C535DC" w:rsidR="00A7228C" w:rsidP="00A7228C" w:rsidRDefault="00A7228C" w14:paraId="3639D5B8" w14:textId="77777777">
      <w:pPr>
        <w:pStyle w:val="Heading2"/>
        <w:spacing w:after="240"/>
      </w:pPr>
      <w:bookmarkStart w:name="_Toc490572154" w:id="41"/>
      <w:bookmarkStart w:name="_Toc516137689" w:id="42"/>
      <w:bookmarkStart w:name="_Toc17919987" w:id="43"/>
      <w:bookmarkEnd w:id="39"/>
      <w:r>
        <w:t>A</w:t>
      </w:r>
      <w:r w:rsidRPr="00C535DC">
        <w:t xml:space="preserve">. </w:t>
      </w:r>
      <w:bookmarkEnd w:id="41"/>
      <w:bookmarkEnd w:id="42"/>
      <w:r>
        <w:t>Coverage Bias</w:t>
      </w:r>
      <w:bookmarkEnd w:id="43"/>
    </w:p>
    <w:p w:rsidRPr="00C535DC" w:rsidR="00A7228C" w:rsidP="00A7228C" w:rsidRDefault="00A7228C" w14:paraId="63C8CB49" w14:textId="77777777">
      <w:pPr>
        <w:spacing w:after="240"/>
        <w:ind w:firstLine="720"/>
      </w:pPr>
      <w:r>
        <w:t xml:space="preserve">Since the VEO AMO Surveys are email only, there is a large portion of the Veteran population that cannot be reached by the survey. Veterans that lack access to the internet or do not use email may have different levels of trust and satisfaction with </w:t>
      </w:r>
      <w:proofErr w:type="gramStart"/>
      <w:r>
        <w:t>VA..</w:t>
      </w:r>
      <w:proofErr w:type="gramEnd"/>
      <w:r>
        <w:t xml:space="preserve"> In order to verify whether there is a difference between Veterans who share their information and Veterans who do not share their information, VEO plans to execute a coverage bias study to assess the amount of potential coverage bias and derive adjustment factors in the presence of non-negligible bias.</w:t>
      </w:r>
    </w:p>
    <w:bookmarkEnd w:id="40"/>
    <w:p w:rsidRPr="00C85DEE" w:rsidR="00A7228C" w:rsidP="00A7228C" w:rsidRDefault="00A7228C" w14:paraId="292B8863" w14:textId="77777777">
      <w:pPr>
        <w:pStyle w:val="ColorfulList-Accent11"/>
        <w:spacing w:after="240" w:line="240" w:lineRule="auto"/>
        <w:rPr>
          <w:rFonts w:ascii="Times New Roman" w:hAnsi="Times New Roman" w:cs="Times New Roman"/>
        </w:rPr>
        <w:sectPr w:rsidRPr="00C85DEE" w:rsidR="00A7228C" w:rsidSect="00E47DF9">
          <w:headerReference w:type="default" r:id="rId13"/>
          <w:footerReference w:type="default" r:id="rId14"/>
          <w:pgSz w:w="12240" w:h="15840"/>
          <w:pgMar w:top="1440" w:right="2070" w:bottom="1440" w:left="1440" w:header="720" w:footer="720" w:gutter="0"/>
          <w:cols w:space="720"/>
          <w:docGrid w:linePitch="360"/>
        </w:sectPr>
      </w:pPr>
    </w:p>
    <w:p w:rsidRPr="0079785C" w:rsidR="00A7228C" w:rsidP="00A7228C" w:rsidRDefault="00A7228C" w14:paraId="061C01C7" w14:textId="77777777">
      <w:pPr>
        <w:pStyle w:val="Heading1"/>
        <w:rPr>
          <w:rFonts w:eastAsia="Calibri"/>
        </w:rPr>
      </w:pPr>
      <w:bookmarkStart w:name="_Toc17919988" w:id="44"/>
      <w:bookmarkEnd w:id="13"/>
      <w:r>
        <w:rPr>
          <w:rFonts w:eastAsia="Calibri"/>
        </w:rPr>
        <w:t>A</w:t>
      </w:r>
      <w:r w:rsidRPr="0079785C">
        <w:rPr>
          <w:rFonts w:eastAsia="Calibri"/>
        </w:rPr>
        <w:t>ppendix 1. References</w:t>
      </w:r>
      <w:bookmarkEnd w:id="44"/>
    </w:p>
    <w:p w:rsidR="00A7228C" w:rsidP="00A7228C" w:rsidRDefault="00A7228C" w14:paraId="7B7CF187" w14:textId="77777777">
      <w:pPr>
        <w:spacing w:after="120"/>
        <w:ind w:left="720" w:hanging="720"/>
      </w:pPr>
      <w:r w:rsidRPr="00F91507">
        <w:t xml:space="preserve">Choi, N.G. &amp; </w:t>
      </w:r>
      <w:proofErr w:type="spellStart"/>
      <w:r w:rsidRPr="00F91507">
        <w:t>Dinitto</w:t>
      </w:r>
      <w:proofErr w:type="spellEnd"/>
      <w:r w:rsidRPr="00F91507">
        <w:t xml:space="preserve">, D.M. (2013). Internet Use Among Older Adults: Association </w:t>
      </w:r>
      <w:r>
        <w:t>w</w:t>
      </w:r>
      <w:r w:rsidRPr="00F91507">
        <w:t>ith Health Needs, Psychological Capital, and Social Capital</w:t>
      </w:r>
      <w:r>
        <w:t>.</w:t>
      </w:r>
      <w:r w:rsidRPr="00F91507">
        <w:t xml:space="preserve"> </w:t>
      </w:r>
      <w:r w:rsidRPr="00F91507">
        <w:rPr>
          <w:i/>
        </w:rPr>
        <w:t>J</w:t>
      </w:r>
      <w:r>
        <w:rPr>
          <w:i/>
        </w:rPr>
        <w:t>ournal of</w:t>
      </w:r>
      <w:r w:rsidRPr="00F91507">
        <w:rPr>
          <w:i/>
        </w:rPr>
        <w:t xml:space="preserve"> Medical Internet Research</w:t>
      </w:r>
      <w:r w:rsidRPr="00F91507">
        <w:t>, 15(5)</w:t>
      </w:r>
      <w:r>
        <w:t>,</w:t>
      </w:r>
      <w:r w:rsidRPr="00F91507">
        <w:t xml:space="preserve"> e97</w:t>
      </w:r>
    </w:p>
    <w:p w:rsidRPr="00F91507" w:rsidR="00A7228C" w:rsidP="00A7228C" w:rsidRDefault="00A7228C" w14:paraId="034AB7C4" w14:textId="77777777">
      <w:pPr>
        <w:spacing w:after="120"/>
        <w:ind w:left="720" w:hanging="720"/>
      </w:pPr>
      <w:proofErr w:type="spellStart"/>
      <w:r>
        <w:t>Kalton</w:t>
      </w:r>
      <w:proofErr w:type="spellEnd"/>
      <w:r>
        <w:t xml:space="preserve">, G., &amp; Flores-Cervantes, I. (2003). Weighting Methods. </w:t>
      </w:r>
      <w:r w:rsidRPr="00897458">
        <w:rPr>
          <w:i/>
        </w:rPr>
        <w:t>Journal of Official Statistics</w:t>
      </w:r>
      <w:r>
        <w:t>, 19(2), 81-97.</w:t>
      </w:r>
    </w:p>
    <w:p w:rsidR="00A7228C" w:rsidP="00A7228C" w:rsidRDefault="00A7228C" w14:paraId="64788715" w14:textId="77777777">
      <w:pPr>
        <w:spacing w:after="120"/>
        <w:ind w:left="720" w:hanging="720"/>
      </w:pPr>
      <w:r w:rsidRPr="00C85DEE">
        <w:t>Kish, L. (1992). Weighting for unequal P. </w:t>
      </w:r>
      <w:r w:rsidRPr="00C85DEE">
        <w:rPr>
          <w:i/>
        </w:rPr>
        <w:t>Journal of Ofﬁcial Statistics</w:t>
      </w:r>
      <w:r w:rsidRPr="00C85DEE">
        <w:t>, 8(2), 183-200.</w:t>
      </w:r>
    </w:p>
    <w:p w:rsidRPr="00C85DEE" w:rsidR="00A7228C" w:rsidP="00A7228C" w:rsidRDefault="00A7228C" w14:paraId="7EE32943" w14:textId="77777777">
      <w:pPr>
        <w:spacing w:after="120"/>
        <w:ind w:left="720" w:hanging="720"/>
      </w:pPr>
      <w:proofErr w:type="spellStart"/>
      <w:r w:rsidRPr="0026309F">
        <w:t>Kolenikov</w:t>
      </w:r>
      <w:proofErr w:type="spellEnd"/>
      <w:r w:rsidRPr="0026309F">
        <w:t xml:space="preserve">, S. </w:t>
      </w:r>
      <w:r>
        <w:t>(</w:t>
      </w:r>
      <w:r w:rsidRPr="0026309F">
        <w:t>2014</w:t>
      </w:r>
      <w:r>
        <w:t>)</w:t>
      </w:r>
      <w:r w:rsidRPr="0026309F">
        <w:t xml:space="preserve">. Calibrating </w:t>
      </w:r>
      <w:r>
        <w:t>S</w:t>
      </w:r>
      <w:r w:rsidRPr="0026309F">
        <w:t xml:space="preserve">urvey </w:t>
      </w:r>
      <w:r>
        <w:t>D</w:t>
      </w:r>
      <w:r w:rsidRPr="0026309F">
        <w:t xml:space="preserve">ata </w:t>
      </w:r>
      <w:r>
        <w:t>U</w:t>
      </w:r>
      <w:r w:rsidRPr="0026309F">
        <w:t xml:space="preserve">sing </w:t>
      </w:r>
      <w:r>
        <w:t>I</w:t>
      </w:r>
      <w:r w:rsidRPr="0026309F">
        <w:t xml:space="preserve">terative </w:t>
      </w:r>
      <w:r>
        <w:t>P</w:t>
      </w:r>
      <w:r w:rsidRPr="0026309F">
        <w:t xml:space="preserve">roportional </w:t>
      </w:r>
      <w:r>
        <w:t>F</w:t>
      </w:r>
      <w:r w:rsidRPr="0026309F">
        <w:t>itting</w:t>
      </w:r>
      <w:r>
        <w:t xml:space="preserve"> </w:t>
      </w:r>
      <w:r w:rsidRPr="0026309F">
        <w:t>(</w:t>
      </w:r>
      <w:r>
        <w:t>R</w:t>
      </w:r>
      <w:r w:rsidRPr="0026309F">
        <w:t xml:space="preserve">aking). </w:t>
      </w:r>
      <w:r w:rsidRPr="009B1927">
        <w:rPr>
          <w:i/>
        </w:rPr>
        <w:t>The Stata Journal</w:t>
      </w:r>
      <w:r w:rsidRPr="0026309F">
        <w:t>, 14(1): 22–59.</w:t>
      </w:r>
    </w:p>
    <w:p w:rsidRPr="00C85DEE" w:rsidR="00A7228C" w:rsidP="00A7228C" w:rsidRDefault="00A7228C" w14:paraId="6BB2F11D" w14:textId="77777777">
      <w:pPr>
        <w:spacing w:after="120"/>
        <w:ind w:left="720" w:hanging="720"/>
      </w:pPr>
      <w:proofErr w:type="spellStart"/>
      <w:r w:rsidRPr="00C85DEE">
        <w:t>Lohr</w:t>
      </w:r>
      <w:proofErr w:type="spellEnd"/>
      <w:r w:rsidRPr="00C85DEE">
        <w:t xml:space="preserve">, S. (1999). </w:t>
      </w:r>
      <w:r w:rsidRPr="00C85DEE">
        <w:rPr>
          <w:i/>
        </w:rPr>
        <w:t>Sampling: Design and Analysis</w:t>
      </w:r>
      <w:r w:rsidRPr="00C85DEE">
        <w:t xml:space="preserve"> (Ed.). Boston, MA: Cengage Learning.</w:t>
      </w:r>
    </w:p>
    <w:p w:rsidR="00A7228C" w:rsidP="00A7228C" w:rsidRDefault="00A7228C" w14:paraId="4AD8D674" w14:textId="77777777">
      <w:pPr>
        <w:spacing w:after="120"/>
        <w:ind w:left="720" w:hanging="720"/>
      </w:pPr>
      <w:r w:rsidRPr="00C85DEE">
        <w:t xml:space="preserve">Liu, J., </w:t>
      </w:r>
      <w:proofErr w:type="spellStart"/>
      <w:r w:rsidRPr="00C85DEE">
        <w:t>Iannacchione</w:t>
      </w:r>
      <w:proofErr w:type="spellEnd"/>
      <w:r w:rsidRPr="00C85DEE">
        <w:t>, V., &amp; Byron, M. (2002). Decomposing design effects for stratified sampling. </w:t>
      </w:r>
      <w:r w:rsidRPr="00C85DEE">
        <w:rPr>
          <w:i/>
        </w:rPr>
        <w:t>Proceedings of the American Statistical Association’s Section on Survey Research Methods</w:t>
      </w:r>
      <w:r w:rsidRPr="00C85DEE">
        <w:t>.</w:t>
      </w:r>
    </w:p>
    <w:p w:rsidRPr="00C85DEE" w:rsidR="00A7228C" w:rsidP="00A7228C" w:rsidRDefault="00A7228C" w14:paraId="7BA7EFC9" w14:textId="77777777">
      <w:pPr>
        <w:spacing w:after="120"/>
        <w:ind w:left="720" w:hanging="720"/>
      </w:pPr>
      <w:r w:rsidRPr="004D2A2E">
        <w:t>Wong</w:t>
      </w:r>
      <w:r>
        <w:t>,</w:t>
      </w:r>
      <w:r w:rsidRPr="004D2A2E">
        <w:t xml:space="preserve"> D</w:t>
      </w:r>
      <w:r>
        <w:t>.</w:t>
      </w:r>
      <w:r w:rsidRPr="004D2A2E">
        <w:t>W</w:t>
      </w:r>
      <w:r>
        <w:t>.</w:t>
      </w:r>
      <w:r w:rsidRPr="004D2A2E">
        <w:t>S</w:t>
      </w:r>
      <w:r>
        <w:t>.</w:t>
      </w:r>
      <w:r w:rsidRPr="004D2A2E">
        <w:t xml:space="preserve"> (1992) The Reliability of Using the Iterative Proportional Fitting Procedure</w:t>
      </w:r>
      <w:r>
        <w:t>.</w:t>
      </w:r>
      <w:r w:rsidRPr="004D2A2E">
        <w:t xml:space="preserve"> </w:t>
      </w:r>
      <w:r w:rsidRPr="004D2A2E">
        <w:rPr>
          <w:i/>
        </w:rPr>
        <w:t>The Professional Geographer</w:t>
      </w:r>
      <w:r w:rsidRPr="004D2A2E">
        <w:t>, 44 (3), 1992, pp. 340-348</w:t>
      </w:r>
    </w:p>
    <w:p w:rsidR="00A7228C" w:rsidP="00A7228C" w:rsidRDefault="00A7228C" w14:paraId="74A6F571" w14:textId="77777777">
      <w:r>
        <w:t xml:space="preserve"> </w:t>
      </w:r>
    </w:p>
    <w:p w:rsidR="00A7228C" w:rsidP="00A7228C" w:rsidRDefault="00A7228C" w14:paraId="4422E0F8" w14:textId="77777777">
      <w:r>
        <w:br w:type="page"/>
      </w:r>
    </w:p>
    <w:p w:rsidRPr="00C85DEE" w:rsidR="00A7228C" w:rsidP="00A7228C" w:rsidRDefault="00A7228C" w14:paraId="091D59BF" w14:textId="77777777">
      <w:pPr>
        <w:pStyle w:val="Heading1"/>
      </w:pPr>
      <w:r w:rsidRPr="0079785C">
        <w:t>Appendix 2.  Survey Instruments</w:t>
      </w:r>
      <w:r>
        <w:t>.</w:t>
      </w:r>
    </w:p>
    <w:p w:rsidR="000550DA" w:rsidP="00B77E6B" w:rsidRDefault="000550DA" w14:paraId="5F0645F7" w14:textId="0EB70D4B">
      <w:pPr>
        <w:pStyle w:val="ListParagraph"/>
        <w:ind w:left="360"/>
      </w:pPr>
    </w:p>
    <w:p w:rsidR="000550DA" w:rsidP="00B77E6B" w:rsidRDefault="000550DA" w14:paraId="1F85B3B1" w14:textId="674B3EAD">
      <w:pPr>
        <w:pStyle w:val="ListParagraph"/>
        <w:ind w:left="360"/>
      </w:pPr>
    </w:p>
    <w:p w:rsidR="000550DA" w:rsidP="00B77E6B" w:rsidRDefault="000550DA" w14:paraId="4CB06796" w14:textId="2682BF2F">
      <w:pPr>
        <w:pStyle w:val="ListParagraph"/>
        <w:ind w:left="360"/>
      </w:pPr>
    </w:p>
    <w:p w:rsidR="000550DA" w:rsidP="00B77E6B" w:rsidRDefault="000550DA" w14:paraId="00ED31D0" w14:textId="269CB3D5">
      <w:pPr>
        <w:pStyle w:val="ListParagraph"/>
        <w:ind w:left="360"/>
      </w:pPr>
    </w:p>
    <w:p w:rsidR="000550DA" w:rsidP="00B77E6B" w:rsidRDefault="000550DA" w14:paraId="64ABBFDB" w14:textId="2BEC12DB">
      <w:pPr>
        <w:pStyle w:val="ListParagraph"/>
        <w:ind w:left="360"/>
      </w:pPr>
    </w:p>
    <w:p w:rsidR="000550DA" w:rsidP="00B77E6B" w:rsidRDefault="000550DA" w14:paraId="1A9C3912" w14:textId="77777777">
      <w:pPr>
        <w:pStyle w:val="ListParagraph"/>
        <w:ind w:left="360"/>
      </w:pPr>
    </w:p>
    <w:sectPr w:rsidR="000550DA" w:rsidSect="00194AC6">
      <w:headerReference w:type="default" r:id="rId15"/>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D5D1E" w14:textId="77777777" w:rsidR="00262CF3" w:rsidRDefault="00262CF3">
      <w:r>
        <w:separator/>
      </w:r>
    </w:p>
  </w:endnote>
  <w:endnote w:type="continuationSeparator" w:id="0">
    <w:p w14:paraId="1F691F19" w14:textId="77777777" w:rsidR="00262CF3" w:rsidRDefault="00262CF3">
      <w:r>
        <w:continuationSeparator/>
      </w:r>
    </w:p>
  </w:endnote>
  <w:endnote w:type="continuationNotice" w:id="1">
    <w:p w14:paraId="4A25859C" w14:textId="77777777" w:rsidR="00262CF3" w:rsidRDefault="0026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DED3" w14:textId="77777777" w:rsidR="00A7228C" w:rsidRPr="00941F40" w:rsidRDefault="00A7228C" w:rsidP="00941F40">
    <w:pPr>
      <w:pStyle w:val="Footer"/>
      <w:rPr>
        <w:caps/>
        <w:noProof/>
        <w:color w:val="4F81BD" w:themeColor="accent1"/>
      </w:rPr>
    </w:pPr>
    <w:r w:rsidRPr="00572F3F">
      <w:rPr>
        <w:noProof/>
        <w:sz w:val="16"/>
        <w:szCs w:val="16"/>
      </w:rPr>
      <w:drawing>
        <wp:anchor distT="0" distB="0" distL="114300" distR="114300" simplePos="0" relativeHeight="251659264" behindDoc="1" locked="0" layoutInCell="1" allowOverlap="1" wp14:anchorId="1560BFAC" wp14:editId="3BA5E92D">
          <wp:simplePos x="0" y="0"/>
          <wp:positionH relativeFrom="column">
            <wp:posOffset>4813300</wp:posOffset>
          </wp:positionH>
          <wp:positionV relativeFrom="page">
            <wp:posOffset>9258300</wp:posOffset>
          </wp:positionV>
          <wp:extent cx="1207008" cy="44805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7008" cy="448056"/>
                  </a:xfrm>
                  <a:prstGeom prst="rect">
                    <a:avLst/>
                  </a:prstGeom>
                  <a:ln/>
                </pic:spPr>
              </pic:pic>
            </a:graphicData>
          </a:graphic>
          <wp14:sizeRelH relativeFrom="margin">
            <wp14:pctWidth>0</wp14:pctWidth>
          </wp14:sizeRelH>
          <wp14:sizeRelV relativeFrom="margin">
            <wp14:pctHeight>0</wp14:pctHeight>
          </wp14:sizeRelV>
        </wp:anchor>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13</w:t>
    </w:r>
    <w:r>
      <w:rPr>
        <w:caps/>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793A"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918A5">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DC52E" w14:textId="77777777" w:rsidR="00262CF3" w:rsidRDefault="00262CF3">
      <w:r>
        <w:separator/>
      </w:r>
    </w:p>
  </w:footnote>
  <w:footnote w:type="continuationSeparator" w:id="0">
    <w:p w14:paraId="34EFA0AA" w14:textId="77777777" w:rsidR="00262CF3" w:rsidRDefault="00262CF3">
      <w:r>
        <w:continuationSeparator/>
      </w:r>
    </w:p>
  </w:footnote>
  <w:footnote w:type="continuationNotice" w:id="1">
    <w:p w14:paraId="02F3F742" w14:textId="77777777" w:rsidR="00262CF3" w:rsidRDefault="00262CF3"/>
  </w:footnote>
  <w:footnote w:id="2">
    <w:p w14:paraId="081371FF" w14:textId="77777777" w:rsidR="00A7228C" w:rsidRDefault="00A7228C" w:rsidP="00A7228C">
      <w:pPr>
        <w:pStyle w:val="FootnoteText"/>
      </w:pPr>
      <w:r>
        <w:rPr>
          <w:rStyle w:val="FootnoteReference"/>
        </w:rPr>
        <w:footnoteRef/>
      </w:r>
      <w:r>
        <w:t xml:space="preserve"> Because the majority of decision notices are sent via mail, this timeframe was to allow Veterans time to receive their decision notice.</w:t>
      </w:r>
    </w:p>
  </w:footnote>
  <w:footnote w:id="3">
    <w:p w14:paraId="6D08E594" w14:textId="77777777" w:rsidR="00A7228C" w:rsidRPr="004B04FC" w:rsidRDefault="00A7228C" w:rsidP="00A7228C">
      <w:pPr>
        <w:autoSpaceDE w:val="0"/>
        <w:autoSpaceDN w:val="0"/>
        <w:rPr>
          <w:rFonts w:asciiTheme="minorHAnsi" w:hAnsiTheme="minorHAnsi" w:cstheme="minorHAnsi"/>
          <w:sz w:val="20"/>
          <w:szCs w:val="20"/>
        </w:rPr>
      </w:pPr>
      <w:r>
        <w:rPr>
          <w:rStyle w:val="FootnoteReference"/>
        </w:rPr>
        <w:footnoteRef/>
      </w:r>
      <w:r>
        <w:t xml:space="preserve"> </w:t>
      </w:r>
      <w:r w:rsidRPr="004B04FC">
        <w:rPr>
          <w:rFonts w:asciiTheme="minorHAnsi" w:hAnsiTheme="minorHAnsi" w:cstheme="minorHAnsi"/>
          <w:sz w:val="20"/>
          <w:szCs w:val="20"/>
        </w:rPr>
        <w:t>One exceptional situation exists in cases in Higher-Level Review cases where a duty to assist error is found. In this situation, the Higher-Level Review end product will be cleared and a system-generated Supplemental Claim case established to address the error. When this happens, quarantine rules will keep the Veteran from being selected into the “Supplemental Claim” survey, thus AMO will be unable to obtain survey findings for Supplemental Claims in this category. </w:t>
      </w:r>
    </w:p>
    <w:p w14:paraId="095C4379" w14:textId="77777777" w:rsidR="00A7228C" w:rsidRDefault="00A7228C" w:rsidP="00A7228C">
      <w:pPr>
        <w:pStyle w:val="FootnoteText"/>
      </w:pPr>
    </w:p>
  </w:footnote>
  <w:footnote w:id="4">
    <w:p w14:paraId="3395313B" w14:textId="77777777" w:rsidR="00A7228C" w:rsidRDefault="00A7228C" w:rsidP="00A7228C">
      <w:pPr>
        <w:pStyle w:val="FootnoteText"/>
      </w:pPr>
      <w:r>
        <w:rPr>
          <w:rStyle w:val="FootnoteReference"/>
        </w:rPr>
        <w:footnoteRef/>
      </w:r>
      <w:r>
        <w:t xml:space="preserve"> A response rate of 20% is used based on the usual response rates for similar VEO surveys.  An attrition rate of 50% was used based on the response rates from veterans who have provided repeated responses to VEO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67B7" w14:textId="77777777" w:rsidR="00A7228C" w:rsidRDefault="00A72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4C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176171"/>
    <w:multiLevelType w:val="hybridMultilevel"/>
    <w:tmpl w:val="A7CA9AF0"/>
    <w:lvl w:ilvl="0" w:tplc="04090001">
      <w:start w:val="1"/>
      <w:numFmt w:val="bullet"/>
      <w:lvlText w:val=""/>
      <w:lvlJc w:val="left"/>
      <w:pPr>
        <w:ind w:left="720" w:hanging="360"/>
      </w:pPr>
      <w:rPr>
        <w:rFonts w:ascii="Symbol" w:hAnsi="Symbol" w:hint="default"/>
        <w:sz w:val="20"/>
      </w:rPr>
    </w:lvl>
    <w:lvl w:ilvl="1" w:tplc="91F84492">
      <w:start w:val="3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540C"/>
    <w:multiLevelType w:val="hybridMultilevel"/>
    <w:tmpl w:val="3622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AB5DD6"/>
    <w:multiLevelType w:val="hybridMultilevel"/>
    <w:tmpl w:val="EECEF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925A95"/>
    <w:multiLevelType w:val="hybridMultilevel"/>
    <w:tmpl w:val="B28AF344"/>
    <w:lvl w:ilvl="0" w:tplc="117E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577E"/>
    <w:multiLevelType w:val="hybridMultilevel"/>
    <w:tmpl w:val="7EFE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B0425F"/>
    <w:multiLevelType w:val="hybridMultilevel"/>
    <w:tmpl w:val="7E5E6B86"/>
    <w:lvl w:ilvl="0" w:tplc="9C5A9C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0A076CB"/>
    <w:multiLevelType w:val="hybridMultilevel"/>
    <w:tmpl w:val="44226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257D6F"/>
    <w:multiLevelType w:val="hybridMultilevel"/>
    <w:tmpl w:val="5CDE2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27"/>
  </w:num>
  <w:num w:numId="4">
    <w:abstractNumId w:val="29"/>
  </w:num>
  <w:num w:numId="5">
    <w:abstractNumId w:val="5"/>
  </w:num>
  <w:num w:numId="6">
    <w:abstractNumId w:val="2"/>
  </w:num>
  <w:num w:numId="7">
    <w:abstractNumId w:val="15"/>
  </w:num>
  <w:num w:numId="8">
    <w:abstractNumId w:val="22"/>
  </w:num>
  <w:num w:numId="9">
    <w:abstractNumId w:val="16"/>
  </w:num>
  <w:num w:numId="10">
    <w:abstractNumId w:val="3"/>
  </w:num>
  <w:num w:numId="11">
    <w:abstractNumId w:val="9"/>
  </w:num>
  <w:num w:numId="12">
    <w:abstractNumId w:val="12"/>
  </w:num>
  <w:num w:numId="13">
    <w:abstractNumId w:val="1"/>
  </w:num>
  <w:num w:numId="14">
    <w:abstractNumId w:val="25"/>
  </w:num>
  <w:num w:numId="15">
    <w:abstractNumId w:val="20"/>
  </w:num>
  <w:num w:numId="16">
    <w:abstractNumId w:val="18"/>
  </w:num>
  <w:num w:numId="17">
    <w:abstractNumId w:val="6"/>
  </w:num>
  <w:num w:numId="18">
    <w:abstractNumId w:val="7"/>
  </w:num>
  <w:num w:numId="19">
    <w:abstractNumId w:val="24"/>
  </w:num>
  <w:num w:numId="20">
    <w:abstractNumId w:val="21"/>
  </w:num>
  <w:num w:numId="21">
    <w:abstractNumId w:val="13"/>
  </w:num>
  <w:num w:numId="22">
    <w:abstractNumId w:val="26"/>
  </w:num>
  <w:num w:numId="23">
    <w:abstractNumId w:val="0"/>
  </w:num>
  <w:num w:numId="24">
    <w:abstractNumId w:val="4"/>
  </w:num>
  <w:num w:numId="25">
    <w:abstractNumId w:val="10"/>
  </w:num>
  <w:num w:numId="26">
    <w:abstractNumId w:val="14"/>
  </w:num>
  <w:num w:numId="27">
    <w:abstractNumId w:val="8"/>
  </w:num>
  <w:num w:numId="28">
    <w:abstractNumId w:val="19"/>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1390"/>
    <w:rsid w:val="00023A57"/>
    <w:rsid w:val="00043946"/>
    <w:rsid w:val="00047A64"/>
    <w:rsid w:val="000550DA"/>
    <w:rsid w:val="0006483D"/>
    <w:rsid w:val="00067329"/>
    <w:rsid w:val="0007737D"/>
    <w:rsid w:val="0008664B"/>
    <w:rsid w:val="000938A6"/>
    <w:rsid w:val="000B2838"/>
    <w:rsid w:val="000D2DBD"/>
    <w:rsid w:val="000D44CA"/>
    <w:rsid w:val="000E200B"/>
    <w:rsid w:val="000F68BE"/>
    <w:rsid w:val="001060EF"/>
    <w:rsid w:val="001110E7"/>
    <w:rsid w:val="00143AE8"/>
    <w:rsid w:val="001927A4"/>
    <w:rsid w:val="00194AC6"/>
    <w:rsid w:val="001A23B0"/>
    <w:rsid w:val="001A25CC"/>
    <w:rsid w:val="001B00B5"/>
    <w:rsid w:val="001B0AAA"/>
    <w:rsid w:val="001B3FD2"/>
    <w:rsid w:val="001C39F7"/>
    <w:rsid w:val="001D0AC4"/>
    <w:rsid w:val="00237B48"/>
    <w:rsid w:val="002430D9"/>
    <w:rsid w:val="0024521E"/>
    <w:rsid w:val="0024524D"/>
    <w:rsid w:val="00262CF3"/>
    <w:rsid w:val="00263C3D"/>
    <w:rsid w:val="00266F49"/>
    <w:rsid w:val="00274D0B"/>
    <w:rsid w:val="00281FCB"/>
    <w:rsid w:val="0029654F"/>
    <w:rsid w:val="002B052D"/>
    <w:rsid w:val="002B34CD"/>
    <w:rsid w:val="002B3C95"/>
    <w:rsid w:val="002C6A3B"/>
    <w:rsid w:val="002D0B92"/>
    <w:rsid w:val="002E29D3"/>
    <w:rsid w:val="002F4E27"/>
    <w:rsid w:val="003155D9"/>
    <w:rsid w:val="0032245E"/>
    <w:rsid w:val="00325E7F"/>
    <w:rsid w:val="00353FE7"/>
    <w:rsid w:val="0035517E"/>
    <w:rsid w:val="00370E36"/>
    <w:rsid w:val="003A7FA9"/>
    <w:rsid w:val="003C4458"/>
    <w:rsid w:val="003D466F"/>
    <w:rsid w:val="003D5BBE"/>
    <w:rsid w:val="003E3C61"/>
    <w:rsid w:val="003F1C5B"/>
    <w:rsid w:val="00401A70"/>
    <w:rsid w:val="00434E33"/>
    <w:rsid w:val="00441434"/>
    <w:rsid w:val="0045264C"/>
    <w:rsid w:val="00457AA0"/>
    <w:rsid w:val="004746DC"/>
    <w:rsid w:val="004876EC"/>
    <w:rsid w:val="004C30F4"/>
    <w:rsid w:val="004C4EA4"/>
    <w:rsid w:val="004D6E14"/>
    <w:rsid w:val="004F25D2"/>
    <w:rsid w:val="005009B0"/>
    <w:rsid w:val="0055291C"/>
    <w:rsid w:val="005A1006"/>
    <w:rsid w:val="005A16A6"/>
    <w:rsid w:val="005D4A5E"/>
    <w:rsid w:val="005D6472"/>
    <w:rsid w:val="005E714A"/>
    <w:rsid w:val="005F693D"/>
    <w:rsid w:val="00601616"/>
    <w:rsid w:val="006140A0"/>
    <w:rsid w:val="006331A3"/>
    <w:rsid w:val="00636621"/>
    <w:rsid w:val="00642B49"/>
    <w:rsid w:val="006633E0"/>
    <w:rsid w:val="00665E3C"/>
    <w:rsid w:val="00667AC4"/>
    <w:rsid w:val="006804D3"/>
    <w:rsid w:val="006832D9"/>
    <w:rsid w:val="0069403B"/>
    <w:rsid w:val="00695AE6"/>
    <w:rsid w:val="006A1CC4"/>
    <w:rsid w:val="006B267A"/>
    <w:rsid w:val="006B3130"/>
    <w:rsid w:val="006F3DDE"/>
    <w:rsid w:val="00704678"/>
    <w:rsid w:val="007207EB"/>
    <w:rsid w:val="007425E7"/>
    <w:rsid w:val="00760A8D"/>
    <w:rsid w:val="0076375B"/>
    <w:rsid w:val="007645CF"/>
    <w:rsid w:val="00770CD5"/>
    <w:rsid w:val="00795EDB"/>
    <w:rsid w:val="007F7080"/>
    <w:rsid w:val="00802607"/>
    <w:rsid w:val="0080296D"/>
    <w:rsid w:val="008101A5"/>
    <w:rsid w:val="00822664"/>
    <w:rsid w:val="00843796"/>
    <w:rsid w:val="00895229"/>
    <w:rsid w:val="008B2E1F"/>
    <w:rsid w:val="008B2EB3"/>
    <w:rsid w:val="008F0203"/>
    <w:rsid w:val="008F50D4"/>
    <w:rsid w:val="009239AA"/>
    <w:rsid w:val="00935ADA"/>
    <w:rsid w:val="00946B6C"/>
    <w:rsid w:val="00955043"/>
    <w:rsid w:val="00955A71"/>
    <w:rsid w:val="0096108F"/>
    <w:rsid w:val="00962B13"/>
    <w:rsid w:val="00963FD7"/>
    <w:rsid w:val="009C13B9"/>
    <w:rsid w:val="009D01A2"/>
    <w:rsid w:val="009E132A"/>
    <w:rsid w:val="009F5923"/>
    <w:rsid w:val="009F5D26"/>
    <w:rsid w:val="00A403BB"/>
    <w:rsid w:val="00A6112A"/>
    <w:rsid w:val="00A63A4C"/>
    <w:rsid w:val="00A674DF"/>
    <w:rsid w:val="00A7228C"/>
    <w:rsid w:val="00A83AA6"/>
    <w:rsid w:val="00A934D6"/>
    <w:rsid w:val="00AA2094"/>
    <w:rsid w:val="00AB16FE"/>
    <w:rsid w:val="00AD27BA"/>
    <w:rsid w:val="00AE1809"/>
    <w:rsid w:val="00AE7A8F"/>
    <w:rsid w:val="00AF49D0"/>
    <w:rsid w:val="00B21CF2"/>
    <w:rsid w:val="00B42A53"/>
    <w:rsid w:val="00B4753C"/>
    <w:rsid w:val="00B71904"/>
    <w:rsid w:val="00B77E6B"/>
    <w:rsid w:val="00B80D76"/>
    <w:rsid w:val="00B918A5"/>
    <w:rsid w:val="00BA2105"/>
    <w:rsid w:val="00BA75CC"/>
    <w:rsid w:val="00BA7E06"/>
    <w:rsid w:val="00BB43B5"/>
    <w:rsid w:val="00BB6219"/>
    <w:rsid w:val="00BD290F"/>
    <w:rsid w:val="00BD2FDE"/>
    <w:rsid w:val="00C14CC4"/>
    <w:rsid w:val="00C31057"/>
    <w:rsid w:val="00C33C52"/>
    <w:rsid w:val="00C354C5"/>
    <w:rsid w:val="00C40D8B"/>
    <w:rsid w:val="00C4449D"/>
    <w:rsid w:val="00C668C3"/>
    <w:rsid w:val="00C72F86"/>
    <w:rsid w:val="00C75A4B"/>
    <w:rsid w:val="00C76572"/>
    <w:rsid w:val="00C8407A"/>
    <w:rsid w:val="00C8488C"/>
    <w:rsid w:val="00C86E91"/>
    <w:rsid w:val="00CA2650"/>
    <w:rsid w:val="00CA71E5"/>
    <w:rsid w:val="00CB1078"/>
    <w:rsid w:val="00CB23C9"/>
    <w:rsid w:val="00CC6FAF"/>
    <w:rsid w:val="00CD60BC"/>
    <w:rsid w:val="00CE3AD5"/>
    <w:rsid w:val="00CF6542"/>
    <w:rsid w:val="00D111E7"/>
    <w:rsid w:val="00D17A7B"/>
    <w:rsid w:val="00D20060"/>
    <w:rsid w:val="00D24698"/>
    <w:rsid w:val="00D6383F"/>
    <w:rsid w:val="00D80208"/>
    <w:rsid w:val="00DB59D0"/>
    <w:rsid w:val="00DC03CD"/>
    <w:rsid w:val="00DC33D3"/>
    <w:rsid w:val="00DC49C8"/>
    <w:rsid w:val="00DF616F"/>
    <w:rsid w:val="00E26329"/>
    <w:rsid w:val="00E40B50"/>
    <w:rsid w:val="00E45C14"/>
    <w:rsid w:val="00E50293"/>
    <w:rsid w:val="00E61DF2"/>
    <w:rsid w:val="00E65FFC"/>
    <w:rsid w:val="00E70B07"/>
    <w:rsid w:val="00E744EA"/>
    <w:rsid w:val="00E80951"/>
    <w:rsid w:val="00E814B6"/>
    <w:rsid w:val="00E86CC6"/>
    <w:rsid w:val="00E87DE6"/>
    <w:rsid w:val="00EB552E"/>
    <w:rsid w:val="00EB56B3"/>
    <w:rsid w:val="00ED6492"/>
    <w:rsid w:val="00EF2095"/>
    <w:rsid w:val="00F02F97"/>
    <w:rsid w:val="00F06866"/>
    <w:rsid w:val="00F14D46"/>
    <w:rsid w:val="00F158F5"/>
    <w:rsid w:val="00F15956"/>
    <w:rsid w:val="00F24CFC"/>
    <w:rsid w:val="00F3170F"/>
    <w:rsid w:val="00F369EA"/>
    <w:rsid w:val="00F42BF1"/>
    <w:rsid w:val="00F52B4C"/>
    <w:rsid w:val="00F6707E"/>
    <w:rsid w:val="00F976B0"/>
    <w:rsid w:val="00FA6DE7"/>
    <w:rsid w:val="00FC0A8E"/>
    <w:rsid w:val="00FC1F83"/>
    <w:rsid w:val="00FD311D"/>
    <w:rsid w:val="00FD360F"/>
    <w:rsid w:val="00FD7852"/>
    <w:rsid w:val="00FE2FA6"/>
    <w:rsid w:val="00FE3DF2"/>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78EEB93C-3C8E-441F-BBCD-49E375F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A7228C"/>
    <w:rPr>
      <w:snapToGrid w:val="0"/>
      <w:sz w:val="24"/>
      <w:szCs w:val="24"/>
    </w:rPr>
  </w:style>
  <w:style w:type="character" w:customStyle="1" w:styleId="FooterChar">
    <w:name w:val="Footer Char"/>
    <w:basedOn w:val="DefaultParagraphFont"/>
    <w:link w:val="Footer"/>
    <w:uiPriority w:val="99"/>
    <w:rsid w:val="00A7228C"/>
    <w:rPr>
      <w:sz w:val="24"/>
      <w:szCs w:val="24"/>
    </w:rPr>
  </w:style>
  <w:style w:type="paragraph" w:customStyle="1" w:styleId="ColorfulList-Accent11">
    <w:name w:val="Colorful List - Accent 11"/>
    <w:basedOn w:val="Normal"/>
    <w:link w:val="ColorfulList-Accent1Char1"/>
    <w:uiPriority w:val="34"/>
    <w:qFormat/>
    <w:rsid w:val="00A7228C"/>
    <w:pPr>
      <w:spacing w:after="160" w:line="259" w:lineRule="auto"/>
      <w:ind w:left="720"/>
      <w:contextualSpacing/>
    </w:pPr>
    <w:rPr>
      <w:rFonts w:ascii="Calibri" w:eastAsia="SimSun" w:hAnsi="Calibri" w:cs="Arial"/>
      <w:sz w:val="22"/>
      <w:szCs w:val="22"/>
    </w:rPr>
  </w:style>
  <w:style w:type="character" w:customStyle="1" w:styleId="ColorfulList-Accent1Char1">
    <w:name w:val="Colorful List - Accent 1 Char1"/>
    <w:basedOn w:val="DefaultParagraphFont"/>
    <w:link w:val="ColorfulList-Accent11"/>
    <w:uiPriority w:val="34"/>
    <w:locked/>
    <w:rsid w:val="00A7228C"/>
    <w:rPr>
      <w:rFonts w:ascii="Calibri" w:eastAsia="SimSun" w:hAnsi="Calibri" w:cs="Arial"/>
      <w:sz w:val="22"/>
      <w:szCs w:val="22"/>
    </w:rPr>
  </w:style>
  <w:style w:type="character" w:customStyle="1" w:styleId="GridTable1Light1">
    <w:name w:val="Grid Table 1 Light1"/>
    <w:uiPriority w:val="33"/>
    <w:qFormat/>
    <w:rsid w:val="00A7228C"/>
    <w:rPr>
      <w:b/>
      <w:bCs/>
      <w:i/>
      <w:iCs/>
      <w:spacing w:val="5"/>
    </w:rPr>
  </w:style>
  <w:style w:type="paragraph" w:customStyle="1" w:styleId="GridTable31">
    <w:name w:val="Grid Table 31"/>
    <w:basedOn w:val="Heading1"/>
    <w:next w:val="Normal"/>
    <w:uiPriority w:val="39"/>
    <w:unhideWhenUsed/>
    <w:qFormat/>
    <w:rsid w:val="00A7228C"/>
    <w:pPr>
      <w:keepLines/>
      <w:spacing w:before="240" w:line="259" w:lineRule="auto"/>
      <w:ind w:right="0"/>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A7228C"/>
    <w:pPr>
      <w:tabs>
        <w:tab w:val="right" w:leader="dot" w:pos="9350"/>
        <w:tab w:val="right" w:leader="dot" w:pos="11520"/>
      </w:tabs>
      <w:spacing w:after="100" w:line="259" w:lineRule="auto"/>
    </w:pPr>
    <w:rPr>
      <w:rFonts w:ascii="Calibri" w:eastAsia="SimSun" w:hAnsi="Calibri" w:cs="Arial"/>
      <w:sz w:val="22"/>
      <w:szCs w:val="22"/>
    </w:rPr>
  </w:style>
  <w:style w:type="paragraph" w:styleId="TOC2">
    <w:name w:val="toc 2"/>
    <w:basedOn w:val="Normal"/>
    <w:next w:val="Normal"/>
    <w:autoRedefine/>
    <w:uiPriority w:val="39"/>
    <w:unhideWhenUsed/>
    <w:rsid w:val="00A7228C"/>
    <w:pPr>
      <w:tabs>
        <w:tab w:val="left" w:pos="660"/>
        <w:tab w:val="right" w:leader="dot" w:pos="11520"/>
        <w:tab w:val="right" w:leader="dot" w:pos="12950"/>
      </w:tabs>
      <w:ind w:left="216"/>
      <w:outlineLvl w:val="0"/>
    </w:pPr>
    <w:rPr>
      <w:rFonts w:ascii="Calibri" w:eastAsia="SimSun" w:hAnsi="Calibri" w:cs="Arial"/>
      <w:sz w:val="22"/>
      <w:szCs w:val="22"/>
    </w:rPr>
  </w:style>
  <w:style w:type="character" w:styleId="Hyperlink">
    <w:name w:val="Hyperlink"/>
    <w:uiPriority w:val="99"/>
    <w:unhideWhenUsed/>
    <w:rsid w:val="00A7228C"/>
    <w:rPr>
      <w:color w:val="0563C1"/>
      <w:u w:val="single"/>
    </w:rPr>
  </w:style>
  <w:style w:type="paragraph" w:styleId="Title">
    <w:name w:val="Title"/>
    <w:basedOn w:val="Normal"/>
    <w:next w:val="Normal"/>
    <w:link w:val="TitleChar"/>
    <w:uiPriority w:val="10"/>
    <w:qFormat/>
    <w:rsid w:val="00A722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A7228C"/>
    <w:rPr>
      <w:rFonts w:ascii="Calibri Light" w:hAnsi="Calibri Light"/>
      <w:b/>
      <w:bCs/>
      <w:kern w:val="28"/>
      <w:sz w:val="32"/>
      <w:szCs w:val="32"/>
    </w:rPr>
  </w:style>
  <w:style w:type="paragraph" w:styleId="FootnoteText">
    <w:name w:val="footnote text"/>
    <w:basedOn w:val="Normal"/>
    <w:link w:val="FootnoteTextChar"/>
    <w:uiPriority w:val="99"/>
    <w:semiHidden/>
    <w:unhideWhenUsed/>
    <w:rsid w:val="00A7228C"/>
    <w:pPr>
      <w:spacing w:after="160" w:line="259"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A7228C"/>
    <w:rPr>
      <w:rFonts w:ascii="Calibri" w:eastAsia="SimSun" w:hAnsi="Calibri" w:cs="Arial"/>
    </w:rPr>
  </w:style>
  <w:style w:type="character" w:styleId="FootnoteReference">
    <w:name w:val="footnote reference"/>
    <w:uiPriority w:val="99"/>
    <w:semiHidden/>
    <w:unhideWhenUsed/>
    <w:rsid w:val="00A7228C"/>
    <w:rPr>
      <w:vertAlign w:val="superscript"/>
    </w:rPr>
  </w:style>
  <w:style w:type="character" w:customStyle="1" w:styleId="ListParagraphChar">
    <w:name w:val="List Paragraph Char"/>
    <w:basedOn w:val="DefaultParagraphFont"/>
    <w:link w:val="ListParagraph"/>
    <w:uiPriority w:val="34"/>
    <w:locked/>
    <w:rsid w:val="00A7228C"/>
    <w:rPr>
      <w:sz w:val="24"/>
      <w:szCs w:val="24"/>
    </w:rPr>
  </w:style>
  <w:style w:type="table" w:customStyle="1" w:styleId="GridTable4-Accent11">
    <w:name w:val="Grid Table 4 - Accent 11"/>
    <w:basedOn w:val="TableNormal"/>
    <w:uiPriority w:val="49"/>
    <w:rsid w:val="00A7228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A7228C"/>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o.gov/products/GAO-17-2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o.gov/products/GAO-18-35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18849-17AD-4507-B409-072AF2E4AABD}">
  <ds:schemaRefs>
    <ds:schemaRef ds:uri="http://schemas.microsoft.com/office/2006/metadata/properties"/>
    <ds:schemaRef ds:uri="http://schemas.microsoft.com/office/infopath/2007/PartnerControls"/>
    <ds:schemaRef ds:uri="8cfa96f4-b5f8-4a1a-9ec4-d0be118ee092"/>
  </ds:schemaRefs>
</ds:datastoreItem>
</file>

<file path=customXml/itemProps2.xml><?xml version="1.0" encoding="utf-8"?>
<ds:datastoreItem xmlns:ds="http://schemas.openxmlformats.org/officeDocument/2006/customXml" ds:itemID="{36CCB6B6-EC39-4D0B-BAD9-349BFA516E2E}">
  <ds:schemaRefs>
    <ds:schemaRef ds:uri="http://schemas.microsoft.com/sharepoint/v3/contenttype/forms"/>
  </ds:schemaRefs>
</ds:datastoreItem>
</file>

<file path=customXml/itemProps3.xml><?xml version="1.0" encoding="utf-8"?>
<ds:datastoreItem xmlns:ds="http://schemas.openxmlformats.org/officeDocument/2006/customXml" ds:itemID="{E3EEB9BE-D9BB-40FF-BA92-1D81D405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Albert, Evan</cp:lastModifiedBy>
  <cp:revision>3</cp:revision>
  <cp:lastPrinted>2010-10-04T12:59:00Z</cp:lastPrinted>
  <dcterms:created xsi:type="dcterms:W3CDTF">2020-04-03T20:00:00Z</dcterms:created>
  <dcterms:modified xsi:type="dcterms:W3CDTF">2020-04-03T20:01:00Z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0x0101002476EEE4E844B94DB30EA81E479D277F</vt:lpwstr>
  </property>
</Properties>
</file>