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2B04DE81" w14:textId="0B8FEAD9">
      <w:pPr>
        <w:pStyle w:val="Heading2"/>
        <w:tabs>
          <w:tab w:val="left" w:pos="900"/>
        </w:tabs>
        <w:ind w:right="-180"/>
      </w:pPr>
      <w:r>
        <w:rPr>
          <w:sz w:val="28"/>
        </w:rPr>
        <w:t xml:space="preserve">Request for Approval under the </w:t>
      </w:r>
      <w:r w:rsidRPr="00F06866">
        <w:rPr>
          <w:sz w:val="28"/>
        </w:rPr>
        <w:t>“</w:t>
      </w:r>
      <w:r w:rsidRPr="00FC1F83" w:rsidR="00FC1F83">
        <w:rPr>
          <w:sz w:val="28"/>
          <w:szCs w:val="28"/>
        </w:rPr>
        <w:t>Generic Clearance for Improving Customer Experience</w:t>
      </w:r>
      <w:r w:rsidRPr="00FC1F83" w:rsidR="00FC1F83">
        <w:rPr>
          <w:b w:val="0"/>
          <w:sz w:val="28"/>
          <w:szCs w:val="28"/>
        </w:rPr>
        <w:t xml:space="preserve"> </w:t>
      </w:r>
      <w:r w:rsidRPr="00FC1F83" w:rsidR="00FC1F83">
        <w:rPr>
          <w:sz w:val="28"/>
          <w:szCs w:val="28"/>
        </w:rPr>
        <w:t>(OMB Circular A-11, Section 280 Implementation)</w:t>
      </w:r>
      <w:r w:rsidRPr="00F06866">
        <w:rPr>
          <w:sz w:val="28"/>
        </w:rPr>
        <w:t>”</w:t>
      </w:r>
      <w:r>
        <w:rPr>
          <w:sz w:val="28"/>
        </w:rPr>
        <w:t xml:space="preserve"> (OMB Control Number: </w:t>
      </w:r>
      <w:r w:rsidR="00FD311D">
        <w:rPr>
          <w:sz w:val="28"/>
        </w:rPr>
        <w:t>2900</w:t>
      </w:r>
      <w:r>
        <w:rPr>
          <w:sz w:val="28"/>
        </w:rPr>
        <w:t>-</w:t>
      </w:r>
      <w:r w:rsidR="00B71904">
        <w:rPr>
          <w:sz w:val="28"/>
        </w:rPr>
        <w:t>0836</w:t>
      </w:r>
      <w:r>
        <w:rPr>
          <w:sz w:val="28"/>
        </w:rPr>
        <w:t>)</w:t>
      </w:r>
    </w:p>
    <w:p w:rsidR="008B2E1F" w:rsidP="00434E33" w:rsidRDefault="00E70B07" w14:paraId="74D8C09E" w14:textId="77777777">
      <w:pPr>
        <w:rPr>
          <w:b/>
        </w:rPr>
      </w:pPr>
      <w:r>
        <w:rPr>
          <w:b/>
          <w:noProof/>
        </w:rPr>
        <mc:AlternateContent>
          <mc:Choice Requires="wps">
            <w:drawing>
              <wp:anchor distT="0" distB="0" distL="114300" distR="114300" simplePos="0" relativeHeight="251658240" behindDoc="0" locked="0" layoutInCell="0" allowOverlap="1" wp14:editId="1D5ADC12" wp14:anchorId="7C066B9A">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65A56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434E33" w:rsidRDefault="005E714A" w14:paraId="3A6271B9" w14:textId="7011117A">
      <w:pPr>
        <w:rPr>
          <w:b/>
        </w:rPr>
      </w:pPr>
      <w:r w:rsidRPr="00434E33">
        <w:rPr>
          <w:b/>
        </w:rPr>
        <w:t>TITLE OF INFORMATION COLLECTION:</w:t>
      </w:r>
      <w:r>
        <w:t xml:space="preserve"> </w:t>
      </w:r>
      <w:bookmarkStart w:name="_GoBack" w:id="0"/>
      <w:r>
        <w:t xml:space="preserve"> </w:t>
      </w:r>
      <w:r w:rsidR="00E97386">
        <w:t xml:space="preserve">Emergency Medicine </w:t>
      </w:r>
      <w:r w:rsidR="00E1791B">
        <w:t xml:space="preserve">Customer Satisfaction </w:t>
      </w:r>
      <w:r w:rsidR="00CE3AD5">
        <w:t>Survey</w:t>
      </w:r>
    </w:p>
    <w:bookmarkEnd w:id="0"/>
    <w:p w:rsidR="005E714A" w:rsidRDefault="005E714A" w14:paraId="6DB197A7" w14:textId="77777777"/>
    <w:p w:rsidR="008B2E1F" w:rsidRDefault="008B2E1F" w14:paraId="5113CC84" w14:textId="77777777"/>
    <w:p w:rsidR="001B0AAA" w:rsidRDefault="00F15956" w14:paraId="483564DE" w14:textId="4D319FAD">
      <w:r>
        <w:rPr>
          <w:b/>
        </w:rPr>
        <w:t>PURPOSE</w:t>
      </w:r>
      <w:r w:rsidRPr="009239AA">
        <w:rPr>
          <w:b/>
        </w:rPr>
        <w:t>:</w:t>
      </w:r>
      <w:r w:rsidRPr="009239AA" w:rsidR="00C14CC4">
        <w:rPr>
          <w:b/>
        </w:rPr>
        <w:t xml:space="preserve">  </w:t>
      </w:r>
      <w:r w:rsidRPr="00B42A53" w:rsidR="00B42A53">
        <w:rPr>
          <w:bCs/>
        </w:rPr>
        <w:t>Th</w:t>
      </w:r>
      <w:r w:rsidR="00CD7689">
        <w:rPr>
          <w:bCs/>
        </w:rPr>
        <w:t xml:space="preserve">is survey will gauge respondents’ perceptions of the patient experience when visiting VHA emergency medical facilities (emergency medicine or urgent care). The data collected will be used for internal community process improvement activities and shared publicly at the discretion of designated Emergency Medicine staff in the VA Central Office or in regional VHA facilities.  </w:t>
      </w:r>
    </w:p>
    <w:p w:rsidR="00C8488C" w:rsidP="00434E33" w:rsidRDefault="00C8488C" w14:paraId="3CBD31A9" w14:textId="77777777">
      <w:pPr>
        <w:pStyle w:val="Header"/>
        <w:tabs>
          <w:tab w:val="clear" w:pos="4320"/>
          <w:tab w:val="clear" w:pos="8640"/>
        </w:tabs>
        <w:rPr>
          <w:b/>
        </w:rPr>
      </w:pPr>
    </w:p>
    <w:p w:rsidR="00C8488C" w:rsidP="00434E33" w:rsidRDefault="00C8488C" w14:paraId="412704F3" w14:textId="77777777">
      <w:pPr>
        <w:pStyle w:val="Header"/>
        <w:tabs>
          <w:tab w:val="clear" w:pos="4320"/>
          <w:tab w:val="clear" w:pos="8640"/>
        </w:tabs>
        <w:rPr>
          <w:b/>
        </w:rPr>
      </w:pPr>
    </w:p>
    <w:p w:rsidRPr="00F369EA" w:rsidR="00962B13" w:rsidP="00CD7689" w:rsidRDefault="00434E33" w14:paraId="6EEF9DB6" w14:textId="030E650F">
      <w:pPr>
        <w:pStyle w:val="Header"/>
        <w:tabs>
          <w:tab w:val="clear" w:pos="4320"/>
          <w:tab w:val="clear" w:pos="8640"/>
        </w:tabs>
        <w:rPr>
          <w:kern w:val="22"/>
        </w:rPr>
      </w:pPr>
      <w:r w:rsidRPr="00434E33">
        <w:rPr>
          <w:b/>
        </w:rPr>
        <w:t>DESCRIPTION OF RESPONDENTS</w:t>
      </w:r>
      <w:r>
        <w:t xml:space="preserve">: </w:t>
      </w:r>
      <w:r w:rsidR="006804D3">
        <w:t xml:space="preserve">The target population </w:t>
      </w:r>
      <w:r w:rsidR="00CD7689">
        <w:t xml:space="preserve">for the Emergency Medicine survey is a veteran who went to the emergency department or urgent care clinic 72 hours prior to sampling and who reported an e-mail address to VHA.  </w:t>
      </w:r>
    </w:p>
    <w:p w:rsidR="00962B13" w:rsidRDefault="00962B13" w14:paraId="4B7BC89A" w14:textId="77777777"/>
    <w:p w:rsidR="00E26329" w:rsidRDefault="00E26329" w14:paraId="45BB4DEF" w14:textId="77777777">
      <w:pPr>
        <w:rPr>
          <w:b/>
        </w:rPr>
      </w:pPr>
    </w:p>
    <w:p w:rsidRPr="00F06866" w:rsidR="00F06866" w:rsidRDefault="00F06866" w14:paraId="3DA9A41D" w14:textId="77777777">
      <w:pPr>
        <w:rPr>
          <w:b/>
        </w:rPr>
      </w:pPr>
      <w:r>
        <w:rPr>
          <w:b/>
        </w:rPr>
        <w:t>TYPE OF COLLECTION:</w:t>
      </w:r>
      <w:r w:rsidRPr="00F06866">
        <w:t xml:space="preserve"> (Check one)</w:t>
      </w:r>
    </w:p>
    <w:p w:rsidRPr="00434E33" w:rsidR="00441434" w:rsidP="0096108F" w:rsidRDefault="00441434" w14:paraId="3009C1A8" w14:textId="77777777">
      <w:pPr>
        <w:pStyle w:val="BodyTextIndent"/>
        <w:tabs>
          <w:tab w:val="left" w:pos="360"/>
        </w:tabs>
        <w:ind w:left="0"/>
        <w:rPr>
          <w:bCs/>
          <w:sz w:val="16"/>
          <w:szCs w:val="16"/>
        </w:rPr>
      </w:pPr>
    </w:p>
    <w:p w:rsidRPr="00F06866" w:rsidR="00F06866" w:rsidP="00CA71E5" w:rsidRDefault="0096108F" w14:paraId="01570AB3" w14:textId="76EEBE2D">
      <w:pPr>
        <w:pStyle w:val="BodyTextIndent"/>
        <w:tabs>
          <w:tab w:val="left" w:pos="450"/>
          <w:tab w:val="left" w:pos="4950"/>
          <w:tab w:val="left" w:pos="5400"/>
        </w:tabs>
        <w:ind w:left="0"/>
        <w:rPr>
          <w:bCs/>
          <w:sz w:val="24"/>
        </w:rPr>
      </w:pPr>
      <w:proofErr w:type="gramStart"/>
      <w:r w:rsidRPr="00F06866">
        <w:rPr>
          <w:bCs/>
          <w:sz w:val="24"/>
        </w:rPr>
        <w:t>[ ]</w:t>
      </w:r>
      <w:proofErr w:type="gramEnd"/>
      <w:r w:rsidRPr="00F06866">
        <w:rPr>
          <w:bCs/>
          <w:sz w:val="24"/>
        </w:rPr>
        <w:t xml:space="preserve"> </w:t>
      </w:r>
      <w:r w:rsidR="00CA71E5">
        <w:rPr>
          <w:bCs/>
          <w:sz w:val="24"/>
        </w:rPr>
        <w:tab/>
      </w:r>
      <w:r w:rsidRPr="00F06866" w:rsidR="00F06866">
        <w:rPr>
          <w:bCs/>
          <w:sz w:val="24"/>
        </w:rPr>
        <w:t>Customer Comment Card/Complaint Form</w:t>
      </w:r>
      <w:r w:rsidRPr="00F06866">
        <w:rPr>
          <w:bCs/>
          <w:sz w:val="24"/>
        </w:rPr>
        <w:t xml:space="preserve"> </w:t>
      </w:r>
      <w:r w:rsidRPr="00F06866">
        <w:rPr>
          <w:bCs/>
          <w:sz w:val="24"/>
        </w:rPr>
        <w:tab/>
        <w:t>[</w:t>
      </w:r>
      <w:r w:rsidR="003155D9">
        <w:rPr>
          <w:bCs/>
          <w:sz w:val="24"/>
        </w:rPr>
        <w:t>X</w:t>
      </w:r>
      <w:r w:rsidRPr="00F06866">
        <w:rPr>
          <w:bCs/>
          <w:sz w:val="24"/>
        </w:rPr>
        <w:t xml:space="preserve">] </w:t>
      </w:r>
      <w:r w:rsidR="00CA71E5">
        <w:rPr>
          <w:bCs/>
          <w:sz w:val="24"/>
        </w:rPr>
        <w:tab/>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CA71E5" w:rsidRDefault="0096108F" w14:paraId="03421F24" w14:textId="77777777">
      <w:pPr>
        <w:pStyle w:val="BodyTextIndent"/>
        <w:tabs>
          <w:tab w:val="left" w:pos="450"/>
          <w:tab w:val="left" w:pos="4950"/>
          <w:tab w:val="left" w:pos="5400"/>
        </w:tabs>
        <w:ind w:left="0"/>
        <w:rPr>
          <w:bCs/>
          <w:sz w:val="24"/>
        </w:rPr>
      </w:pPr>
      <w:proofErr w:type="gramStart"/>
      <w:r w:rsidRPr="00F06866">
        <w:rPr>
          <w:bCs/>
          <w:sz w:val="24"/>
        </w:rPr>
        <w:t>[ ]</w:t>
      </w:r>
      <w:proofErr w:type="gramEnd"/>
      <w:r w:rsidR="00CA71E5">
        <w:rPr>
          <w:bCs/>
          <w:sz w:val="24"/>
        </w:rPr>
        <w:t xml:space="preserve"> </w:t>
      </w:r>
      <w:r w:rsidR="00CA71E5">
        <w:rPr>
          <w:bCs/>
          <w:sz w:val="24"/>
        </w:rPr>
        <w:tab/>
      </w:r>
      <w:r w:rsidRPr="00F06866" w:rsid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Pr="00F06866" w:rsidR="00F06866" w:rsidP="00CA71E5" w:rsidRDefault="00935ADA" w14:paraId="1AB15EB4" w14:textId="77777777">
      <w:pPr>
        <w:pStyle w:val="BodyTextIndent"/>
        <w:tabs>
          <w:tab w:val="left" w:pos="450"/>
          <w:tab w:val="left" w:pos="4950"/>
          <w:tab w:val="left" w:pos="5400"/>
        </w:tabs>
        <w:ind w:left="0"/>
        <w:rPr>
          <w:bCs/>
          <w:sz w:val="24"/>
        </w:rPr>
      </w:pPr>
      <w:proofErr w:type="gramStart"/>
      <w:r>
        <w:rPr>
          <w:bCs/>
          <w:sz w:val="24"/>
        </w:rPr>
        <w:t>[</w:t>
      </w:r>
      <w:r w:rsidR="00CF6542">
        <w:rPr>
          <w:bCs/>
          <w:sz w:val="24"/>
        </w:rPr>
        <w:t xml:space="preserve"> </w:t>
      </w:r>
      <w:r w:rsidR="00CA71E5">
        <w:rPr>
          <w:bCs/>
          <w:sz w:val="24"/>
        </w:rPr>
        <w:t>]</w:t>
      </w:r>
      <w:proofErr w:type="gramEnd"/>
      <w:r w:rsidR="00CA71E5">
        <w:rPr>
          <w:bCs/>
          <w:sz w:val="24"/>
        </w:rPr>
        <w:tab/>
      </w:r>
      <w:r>
        <w:rPr>
          <w:bCs/>
          <w:sz w:val="24"/>
        </w:rPr>
        <w:t xml:space="preserve">Focus Group  </w:t>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w:t>
      </w:r>
      <w:r w:rsidR="00CA71E5">
        <w:rPr>
          <w:bCs/>
          <w:sz w:val="24"/>
        </w:rPr>
        <w:tab/>
      </w:r>
      <w:r w:rsidR="00F06866">
        <w:rPr>
          <w:bCs/>
          <w:sz w:val="24"/>
        </w:rPr>
        <w:t>Other:</w:t>
      </w:r>
      <w:r w:rsidRPr="00F06866" w:rsidR="00F06866">
        <w:rPr>
          <w:bCs/>
          <w:sz w:val="24"/>
          <w:u w:val="single"/>
        </w:rPr>
        <w:t xml:space="preserve"> ______________________</w:t>
      </w:r>
    </w:p>
    <w:p w:rsidR="00434E33" w:rsidP="00CA71E5" w:rsidRDefault="00434E33" w14:paraId="218AEE54" w14:textId="77777777">
      <w:pPr>
        <w:pStyle w:val="Header"/>
        <w:tabs>
          <w:tab w:val="clear" w:pos="4320"/>
          <w:tab w:val="clear" w:pos="8640"/>
          <w:tab w:val="left" w:pos="450"/>
          <w:tab w:val="left" w:pos="5400"/>
        </w:tabs>
      </w:pPr>
    </w:p>
    <w:p w:rsidR="00CA2650" w:rsidRDefault="00441434" w14:paraId="69E5C9EB" w14:textId="77777777">
      <w:pPr>
        <w:rPr>
          <w:b/>
        </w:rPr>
      </w:pPr>
      <w:r>
        <w:rPr>
          <w:b/>
        </w:rPr>
        <w:t>C</w:t>
      </w:r>
      <w:r w:rsidR="009C13B9">
        <w:rPr>
          <w:b/>
        </w:rPr>
        <w:t>ERTIFICATION:</w:t>
      </w:r>
    </w:p>
    <w:p w:rsidR="00441434" w:rsidRDefault="00441434" w14:paraId="2F8023D0" w14:textId="77777777">
      <w:pPr>
        <w:rPr>
          <w:sz w:val="16"/>
          <w:szCs w:val="16"/>
        </w:rPr>
      </w:pPr>
    </w:p>
    <w:p w:rsidRPr="009C13B9" w:rsidR="008101A5" w:rsidP="008101A5" w:rsidRDefault="008101A5" w14:paraId="61EA9FDA" w14:textId="77777777">
      <w:r>
        <w:t xml:space="preserve">I certify the following to be true: </w:t>
      </w:r>
    </w:p>
    <w:p w:rsidR="008101A5" w:rsidP="008101A5" w:rsidRDefault="008101A5" w14:paraId="01035E5E" w14:textId="77777777">
      <w:pPr>
        <w:pStyle w:val="ListParagraph"/>
        <w:numPr>
          <w:ilvl w:val="0"/>
          <w:numId w:val="14"/>
        </w:numPr>
      </w:pPr>
      <w:r>
        <w:t>The collection is voluntary.</w:t>
      </w:r>
      <w:r w:rsidRPr="00C14CC4">
        <w:t xml:space="preserve"> </w:t>
      </w:r>
    </w:p>
    <w:p w:rsidR="008101A5" w:rsidP="008101A5" w:rsidRDefault="008101A5" w14:paraId="7947EC6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FC1F83" w:rsidP="008101A5" w:rsidRDefault="008101A5" w14:paraId="574504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B77E6B" w:rsidRDefault="00760A8D" w14:paraId="0DC513D1" w14:textId="77777777">
      <w:pPr>
        <w:pStyle w:val="ListParagraph"/>
        <w:numPr>
          <w:ilvl w:val="0"/>
          <w:numId w:val="14"/>
        </w:numPr>
      </w:pPr>
      <w:proofErr w:type="gramStart"/>
      <w:r w:rsidRPr="00FC38C8">
        <w:t>Personally</w:t>
      </w:r>
      <w:proofErr w:type="gramEnd"/>
      <w:r w:rsidRPr="00FC38C8">
        <w:t xml:space="preserve"> identifiable information (PII) is collected only to the extent necessary and is not retained</w:t>
      </w:r>
      <w:r>
        <w:t>.</w:t>
      </w:r>
    </w:p>
    <w:p w:rsidR="008101A5" w:rsidP="008101A5" w:rsidRDefault="008101A5" w14:paraId="5C95FCF6" w14:textId="77777777">
      <w:pPr>
        <w:pStyle w:val="ListParagraph"/>
        <w:numPr>
          <w:ilvl w:val="0"/>
          <w:numId w:val="14"/>
        </w:numPr>
      </w:pPr>
      <w:r>
        <w:t xml:space="preserve">Information gathered </w:t>
      </w:r>
      <w:r w:rsidRPr="00FC38C8" w:rsidR="00FC1F83">
        <w:t>is intended to be used for general service improvement and program management purposes</w:t>
      </w:r>
      <w:r w:rsidR="00FC1F83">
        <w:t>.</w:t>
      </w:r>
      <w:r>
        <w:t xml:space="preserve"> </w:t>
      </w:r>
    </w:p>
    <w:p w:rsidR="008101A5" w:rsidP="008101A5" w:rsidRDefault="008101A5" w14:paraId="0116408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FC1F83" w:rsidP="00C76572" w:rsidRDefault="00FC1F83" w14:paraId="4DB59E95" w14:textId="77777777">
      <w:pPr>
        <w:pStyle w:val="ListParagraph"/>
        <w:numPr>
          <w:ilvl w:val="0"/>
          <w:numId w:val="14"/>
        </w:numPr>
      </w:pPr>
      <w:r>
        <w:t>A</w:t>
      </w:r>
      <w:r w:rsidRPr="00FC38C8">
        <w:t xml:space="preserve">ll or a subset of information may be released as part of A-11, Section 280 requirements on performance.gov. </w:t>
      </w:r>
      <w:r w:rsidRPr="00B918A5" w:rsidR="00B918A5">
        <w:rPr>
          <w:color w:val="000000"/>
          <w:szCs w:val="20"/>
        </w:rPr>
        <w:t>Additionally, summaries of the data may be released to the public in communications to Congress, the media and other releases disseminated by VEO</w:t>
      </w:r>
      <w:r w:rsidR="00B918A5">
        <w:rPr>
          <w:color w:val="000000"/>
          <w:szCs w:val="20"/>
        </w:rPr>
        <w:t xml:space="preserve">, consistent with the Information Quality Act. </w:t>
      </w:r>
    </w:p>
    <w:p w:rsidR="009C13B9" w:rsidP="009C13B9" w:rsidRDefault="009C13B9" w14:paraId="4B918E6D" w14:textId="77777777"/>
    <w:p w:rsidR="009C13B9" w:rsidP="009C13B9" w:rsidRDefault="009C13B9" w14:paraId="2A11B7CD" w14:textId="5B2F961E">
      <w:r>
        <w:t>Name:</w:t>
      </w:r>
      <w:r w:rsidR="000F5228">
        <w:t xml:space="preserve"> </w:t>
      </w:r>
      <w:r w:rsidR="003155D9">
        <w:t xml:space="preserve">Evan Albert, Director of Measurement and Data Analytics (Acting), Veterans Experience Office </w:t>
      </w:r>
    </w:p>
    <w:p w:rsidR="000F5228" w:rsidP="009C13B9" w:rsidRDefault="000F5228" w14:paraId="79D86647" w14:textId="01F38D7D">
      <w:r>
        <w:t xml:space="preserve">            </w:t>
      </w:r>
      <w:hyperlink w:history="1" r:id="rId10">
        <w:r w:rsidRPr="00F3634D">
          <w:rPr>
            <w:rStyle w:val="Hyperlink"/>
          </w:rPr>
          <w:t>Evan.Albert@va.gov</w:t>
        </w:r>
      </w:hyperlink>
    </w:p>
    <w:p w:rsidR="009C13B9" w:rsidP="009C13B9" w:rsidRDefault="009C13B9" w14:paraId="04C502E7" w14:textId="77777777">
      <w:pPr>
        <w:pStyle w:val="ListParagraph"/>
        <w:ind w:left="360"/>
      </w:pPr>
    </w:p>
    <w:p w:rsidR="009C13B9" w:rsidP="009C13B9" w:rsidRDefault="009C13B9" w14:paraId="150CF9B7" w14:textId="77777777">
      <w:r>
        <w:t>To assist review, please provide answers to the following question:</w:t>
      </w:r>
    </w:p>
    <w:p w:rsidR="009C13B9" w:rsidP="009C13B9" w:rsidRDefault="009C13B9" w14:paraId="2DD491E3" w14:textId="77777777">
      <w:pPr>
        <w:pStyle w:val="ListParagraph"/>
        <w:ind w:left="360"/>
      </w:pPr>
    </w:p>
    <w:p w:rsidRPr="00C86E91" w:rsidR="009C13B9" w:rsidP="00C86E91" w:rsidRDefault="00C86E91" w14:paraId="4EED71FA" w14:textId="77777777">
      <w:pPr>
        <w:rPr>
          <w:b/>
        </w:rPr>
      </w:pPr>
      <w:proofErr w:type="gramStart"/>
      <w:r w:rsidRPr="00C86E91">
        <w:rPr>
          <w:b/>
        </w:rPr>
        <w:t>Personally</w:t>
      </w:r>
      <w:proofErr w:type="gramEnd"/>
      <w:r w:rsidRPr="00C86E91">
        <w:rPr>
          <w:b/>
        </w:rPr>
        <w:t xml:space="preserve"> Identifiable Information:</w:t>
      </w:r>
    </w:p>
    <w:p w:rsidR="00B918A5" w:rsidP="00C86E91" w:rsidRDefault="00B918A5" w14:paraId="063A6CB9" w14:textId="58D272EF">
      <w:pPr>
        <w:pStyle w:val="ListParagraph"/>
        <w:numPr>
          <w:ilvl w:val="0"/>
          <w:numId w:val="18"/>
        </w:numPr>
      </w:pPr>
      <w:r>
        <w:t xml:space="preserve">Will this survey use individualized links, through which VA can identify particular respondents even if they do not provide their name or other personally identifiable information on the survey? </w:t>
      </w:r>
      <w:proofErr w:type="gramStart"/>
      <w:r>
        <w:t>[  ]</w:t>
      </w:r>
      <w:proofErr w:type="gramEnd"/>
      <w:r>
        <w:t xml:space="preserve"> Yes  [</w:t>
      </w:r>
      <w:r w:rsidR="00F14D46">
        <w:t>X</w:t>
      </w:r>
      <w:r>
        <w:t>]  No</w:t>
      </w:r>
    </w:p>
    <w:p w:rsidR="00C86E91" w:rsidP="00C86E91" w:rsidRDefault="009C13B9" w14:paraId="0A69B413" w14:textId="61B44A0E">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F14D46">
        <w:t>X</w:t>
      </w:r>
      <w:r w:rsidR="009239AA">
        <w:t xml:space="preserve">]  No </w:t>
      </w:r>
    </w:p>
    <w:p w:rsidR="00C86E91" w:rsidP="00C86E91" w:rsidRDefault="009C13B9" w14:paraId="142DFF97" w14:textId="7C4E59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F14D46">
        <w:t xml:space="preserve">  [</w:t>
      </w:r>
      <w:r w:rsidRPr="00D20060" w:rsidR="00F14D46">
        <w:rPr>
          <w:b/>
          <w:bCs/>
        </w:rPr>
        <w:t>N/A</w:t>
      </w:r>
      <w:r w:rsidR="00F14D46">
        <w:t>]</w:t>
      </w:r>
      <w:r w:rsidR="00C86E91">
        <w:t xml:space="preserve">   </w:t>
      </w:r>
    </w:p>
    <w:p w:rsidR="00C86E91" w:rsidP="00C86E91" w:rsidRDefault="00C86E91" w14:paraId="43B310A8" w14:textId="78383AE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r w:rsidR="00F14D46">
        <w:t xml:space="preserve">  [</w:t>
      </w:r>
      <w:r w:rsidRPr="00D20060" w:rsidR="00F14D46">
        <w:rPr>
          <w:b/>
          <w:bCs/>
        </w:rPr>
        <w:t>N/A</w:t>
      </w:r>
      <w:r w:rsidR="00F14D46">
        <w:t>]</w:t>
      </w:r>
    </w:p>
    <w:p w:rsidR="00CF6542" w:rsidP="00C86E91" w:rsidRDefault="00CF6542" w14:paraId="4792DDD7" w14:textId="77777777">
      <w:pPr>
        <w:pStyle w:val="ListParagraph"/>
        <w:ind w:left="0"/>
        <w:rPr>
          <w:b/>
        </w:rPr>
      </w:pPr>
    </w:p>
    <w:p w:rsidRPr="00C86E91" w:rsidR="00C86E91" w:rsidP="00C86E91" w:rsidRDefault="00CB1078" w14:paraId="68554EA7" w14:textId="77777777">
      <w:pPr>
        <w:pStyle w:val="ListParagraph"/>
        <w:ind w:left="0"/>
        <w:rPr>
          <w:b/>
        </w:rPr>
      </w:pPr>
      <w:r>
        <w:rPr>
          <w:b/>
        </w:rPr>
        <w:t>Gifts or Payments</w:t>
      </w:r>
      <w:r w:rsidR="00C86E91">
        <w:rPr>
          <w:b/>
        </w:rPr>
        <w:t>:</w:t>
      </w:r>
    </w:p>
    <w:p w:rsidR="00C86E91" w:rsidP="00C86E91" w:rsidRDefault="00C86E91" w14:paraId="2BB75CCC" w14:textId="1A5D773C">
      <w:r>
        <w:t xml:space="preserve">Is an incentive (e.g., money or reimbursement of expenses, token of appreciation) provided to participants?  </w:t>
      </w:r>
      <w:proofErr w:type="gramStart"/>
      <w:r>
        <w:t>[  ]</w:t>
      </w:r>
      <w:proofErr w:type="gramEnd"/>
      <w:r>
        <w:t xml:space="preserve"> Yes [ </w:t>
      </w:r>
      <w:r w:rsidR="00325E7F">
        <w:t>X</w:t>
      </w:r>
      <w:r>
        <w:t xml:space="preserve">] No  </w:t>
      </w:r>
    </w:p>
    <w:p w:rsidR="00C86E91" w:rsidRDefault="00C86E91" w14:paraId="346FC8D0" w14:textId="77777777">
      <w:pPr>
        <w:rPr>
          <w:b/>
        </w:rPr>
      </w:pPr>
    </w:p>
    <w:p w:rsidR="00C86E91" w:rsidRDefault="00C86E91" w14:paraId="3F77B113" w14:textId="77777777">
      <w:pPr>
        <w:rPr>
          <w:b/>
        </w:rPr>
      </w:pPr>
    </w:p>
    <w:p w:rsidR="005E714A" w:rsidP="00C86E91" w:rsidRDefault="005E714A" w14:paraId="6DD0F3C0" w14:textId="77777777">
      <w:pPr>
        <w:rPr>
          <w:i/>
        </w:rPr>
      </w:pPr>
      <w:r>
        <w:rPr>
          <w:b/>
        </w:rPr>
        <w:t>BURDEN HOUR</w:t>
      </w:r>
      <w:r w:rsidR="00441434">
        <w:rPr>
          <w:b/>
        </w:rPr>
        <w:t>S</w:t>
      </w:r>
      <w:r>
        <w:t xml:space="preserve"> </w:t>
      </w:r>
    </w:p>
    <w:p w:rsidRPr="006832D9" w:rsidR="006832D9" w:rsidP="00F3170F" w:rsidRDefault="006832D9" w14:paraId="0424026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48"/>
        <w:gridCol w:w="1620"/>
        <w:gridCol w:w="2070"/>
        <w:gridCol w:w="1723"/>
      </w:tblGrid>
      <w:tr w:rsidR="00EF2095" w:rsidTr="008B2E1F" w14:paraId="0AAD7A50" w14:textId="77777777">
        <w:trPr>
          <w:trHeight w:val="827"/>
        </w:trPr>
        <w:tc>
          <w:tcPr>
            <w:tcW w:w="4248" w:type="dxa"/>
            <w:vAlign w:val="center"/>
          </w:tcPr>
          <w:p w:rsidRPr="008B2E1F" w:rsidR="006832D9" w:rsidP="008B2E1F" w:rsidRDefault="00E40B50" w14:paraId="747C70B2" w14:textId="77777777">
            <w:pPr>
              <w:rPr>
                <w:b/>
                <w:sz w:val="22"/>
                <w:szCs w:val="22"/>
              </w:rPr>
            </w:pPr>
            <w:r w:rsidRPr="008B2E1F">
              <w:rPr>
                <w:b/>
                <w:sz w:val="22"/>
                <w:szCs w:val="22"/>
              </w:rPr>
              <w:t>Category of Respondent</w:t>
            </w:r>
          </w:p>
        </w:tc>
        <w:tc>
          <w:tcPr>
            <w:tcW w:w="1620" w:type="dxa"/>
            <w:vAlign w:val="center"/>
          </w:tcPr>
          <w:p w:rsidRPr="008B2E1F" w:rsidR="006832D9" w:rsidP="008B2E1F" w:rsidRDefault="006832D9" w14:paraId="64FC499C" w14:textId="21581B3F">
            <w:pPr>
              <w:jc w:val="center"/>
              <w:rPr>
                <w:b/>
                <w:sz w:val="22"/>
                <w:szCs w:val="22"/>
              </w:rPr>
            </w:pPr>
            <w:r w:rsidRPr="008B2E1F">
              <w:rPr>
                <w:b/>
                <w:sz w:val="22"/>
                <w:szCs w:val="22"/>
              </w:rPr>
              <w:t>N</w:t>
            </w:r>
            <w:r w:rsidRPr="008B2E1F" w:rsidR="009F5923">
              <w:rPr>
                <w:b/>
                <w:sz w:val="22"/>
                <w:szCs w:val="22"/>
              </w:rPr>
              <w:t>o.</w:t>
            </w:r>
            <w:r w:rsidRPr="008B2E1F">
              <w:rPr>
                <w:b/>
                <w:sz w:val="22"/>
                <w:szCs w:val="22"/>
              </w:rPr>
              <w:t xml:space="preserve"> of Respondents</w:t>
            </w:r>
            <w:r w:rsidR="001B3FD2">
              <w:rPr>
                <w:b/>
                <w:sz w:val="22"/>
                <w:szCs w:val="22"/>
              </w:rPr>
              <w:t xml:space="preserve"> </w:t>
            </w:r>
          </w:p>
        </w:tc>
        <w:tc>
          <w:tcPr>
            <w:tcW w:w="2070" w:type="dxa"/>
            <w:vAlign w:val="center"/>
          </w:tcPr>
          <w:p w:rsidRPr="00CA71E5" w:rsidR="006832D9" w:rsidP="002430D9" w:rsidRDefault="006832D9" w14:paraId="3DA0C3B5" w14:textId="77777777">
            <w:pPr>
              <w:spacing w:after="60"/>
              <w:rPr>
                <w:b/>
                <w:sz w:val="22"/>
                <w:szCs w:val="22"/>
              </w:rPr>
            </w:pPr>
            <w:r w:rsidRPr="00CA71E5">
              <w:rPr>
                <w:b/>
                <w:sz w:val="22"/>
                <w:szCs w:val="22"/>
              </w:rPr>
              <w:t>Participation Time</w:t>
            </w:r>
          </w:p>
          <w:p w:rsidRPr="002430D9" w:rsidR="008B2E1F" w:rsidP="002430D9" w:rsidRDefault="008B2E1F" w14:paraId="5B80CF05" w14:textId="77777777">
            <w:pPr>
              <w:spacing w:after="60"/>
              <w:jc w:val="center"/>
              <w:rPr>
                <w:rFonts w:ascii="Arial" w:hAnsi="Arial" w:cs="Arial"/>
                <w:sz w:val="20"/>
                <w:szCs w:val="20"/>
              </w:rPr>
            </w:pPr>
            <w:proofErr w:type="gramStart"/>
            <w:r w:rsidRPr="002430D9">
              <w:rPr>
                <w:rFonts w:ascii="Arial" w:hAnsi="Arial" w:cs="Arial"/>
                <w:sz w:val="20"/>
                <w:szCs w:val="20"/>
              </w:rPr>
              <w:t xml:space="preserve">( </w:t>
            </w:r>
            <w:r w:rsidRPr="002430D9" w:rsidR="002430D9">
              <w:rPr>
                <w:rFonts w:ascii="Arial" w:hAnsi="Arial" w:cs="Arial"/>
                <w:sz w:val="20"/>
                <w:szCs w:val="20"/>
              </w:rPr>
              <w:t>X</w:t>
            </w:r>
            <w:proofErr w:type="gramEnd"/>
            <w:r w:rsidRPr="002430D9">
              <w:rPr>
                <w:rFonts w:ascii="Arial" w:hAnsi="Arial" w:cs="Arial"/>
                <w:sz w:val="20"/>
                <w:szCs w:val="20"/>
              </w:rPr>
              <w:t xml:space="preserve"> minutes =)</w:t>
            </w:r>
          </w:p>
        </w:tc>
        <w:tc>
          <w:tcPr>
            <w:tcW w:w="1723" w:type="dxa"/>
            <w:vAlign w:val="center"/>
          </w:tcPr>
          <w:p w:rsidRPr="00CA71E5" w:rsidR="006832D9" w:rsidP="002430D9" w:rsidRDefault="006832D9" w14:paraId="7792CB9A" w14:textId="77777777">
            <w:pPr>
              <w:spacing w:after="60"/>
              <w:jc w:val="center"/>
              <w:rPr>
                <w:b/>
                <w:sz w:val="22"/>
                <w:szCs w:val="22"/>
              </w:rPr>
            </w:pPr>
            <w:r w:rsidRPr="00CA71E5">
              <w:rPr>
                <w:b/>
                <w:sz w:val="22"/>
                <w:szCs w:val="22"/>
              </w:rPr>
              <w:t>Burden</w:t>
            </w:r>
          </w:p>
          <w:p w:rsidRPr="002430D9" w:rsidR="008B2E1F" w:rsidP="002430D9" w:rsidRDefault="008B2E1F" w14:paraId="5599DC83" w14:textId="77777777">
            <w:pPr>
              <w:spacing w:after="60"/>
              <w:jc w:val="center"/>
              <w:rPr>
                <w:rFonts w:ascii="Arial" w:hAnsi="Arial" w:cs="Arial"/>
                <w:sz w:val="20"/>
                <w:szCs w:val="20"/>
              </w:rPr>
            </w:pPr>
            <w:r w:rsidRPr="002430D9">
              <w:rPr>
                <w:rFonts w:ascii="Arial" w:hAnsi="Arial" w:cs="Arial"/>
                <w:sz w:val="20"/>
                <w:szCs w:val="20"/>
              </w:rPr>
              <w:t>(</w:t>
            </w:r>
            <w:r w:rsidRPr="002430D9">
              <w:rPr>
                <w:rFonts w:ascii="Arial" w:hAnsi="Arial" w:cs="Arial"/>
                <w:sz w:val="22"/>
                <w:szCs w:val="22"/>
              </w:rPr>
              <w:t>÷</w:t>
            </w:r>
            <w:r w:rsidRPr="002430D9">
              <w:rPr>
                <w:rFonts w:ascii="Arial" w:hAnsi="Arial" w:cs="Arial"/>
                <w:sz w:val="20"/>
                <w:szCs w:val="20"/>
              </w:rPr>
              <w:t xml:space="preserve"> 60 =)</w:t>
            </w:r>
          </w:p>
        </w:tc>
      </w:tr>
      <w:tr w:rsidR="00EF2095" w:rsidTr="008B2E1F" w14:paraId="17475A44" w14:textId="77777777">
        <w:trPr>
          <w:trHeight w:val="274"/>
        </w:trPr>
        <w:tc>
          <w:tcPr>
            <w:tcW w:w="4248" w:type="dxa"/>
          </w:tcPr>
          <w:p w:rsidR="006832D9" w:rsidP="00843796" w:rsidRDefault="008B2E1F" w14:paraId="3C3A180B" w14:textId="77777777">
            <w:r>
              <w:t>Individuals &amp; Households</w:t>
            </w:r>
          </w:p>
        </w:tc>
        <w:tc>
          <w:tcPr>
            <w:tcW w:w="1620" w:type="dxa"/>
          </w:tcPr>
          <w:p w:rsidRPr="0055291C" w:rsidR="006832D9" w:rsidP="008B2E1F" w:rsidRDefault="00A92FA6" w14:paraId="1BB934B1" w14:textId="137672B9">
            <w:pPr>
              <w:jc w:val="center"/>
              <w:rPr>
                <w:b/>
                <w:color w:val="002060"/>
              </w:rPr>
            </w:pPr>
            <w:r>
              <w:rPr>
                <w:b/>
                <w:color w:val="002060"/>
              </w:rPr>
              <w:t>208,000 Annual</w:t>
            </w:r>
          </w:p>
        </w:tc>
        <w:tc>
          <w:tcPr>
            <w:tcW w:w="2070" w:type="dxa"/>
          </w:tcPr>
          <w:p w:rsidRPr="0055291C" w:rsidR="006832D9" w:rsidP="008B2E1F" w:rsidRDefault="00401A70" w14:paraId="2B2723D9" w14:textId="7AE9DEBE">
            <w:pPr>
              <w:jc w:val="center"/>
              <w:rPr>
                <w:b/>
                <w:color w:val="002060"/>
              </w:rPr>
            </w:pPr>
            <w:r>
              <w:rPr>
                <w:b/>
                <w:color w:val="002060"/>
              </w:rPr>
              <w:t>3</w:t>
            </w:r>
          </w:p>
        </w:tc>
        <w:tc>
          <w:tcPr>
            <w:tcW w:w="1723" w:type="dxa"/>
          </w:tcPr>
          <w:p w:rsidRPr="0055291C" w:rsidR="006832D9" w:rsidP="008B2E1F" w:rsidRDefault="00A92FA6" w14:paraId="1797027E" w14:textId="46D971B9">
            <w:pPr>
              <w:jc w:val="center"/>
              <w:rPr>
                <w:b/>
                <w:color w:val="002060"/>
              </w:rPr>
            </w:pPr>
            <w:r>
              <w:rPr>
                <w:b/>
                <w:color w:val="002060"/>
              </w:rPr>
              <w:t>10,400 hours</w:t>
            </w:r>
          </w:p>
        </w:tc>
      </w:tr>
      <w:tr w:rsidR="00EF2095" w:rsidTr="008B2E1F" w14:paraId="78CE9E5E" w14:textId="77777777">
        <w:trPr>
          <w:trHeight w:val="274"/>
        </w:trPr>
        <w:tc>
          <w:tcPr>
            <w:tcW w:w="4248" w:type="dxa"/>
          </w:tcPr>
          <w:p w:rsidR="006832D9" w:rsidP="002430D9" w:rsidRDefault="008B2E1F" w14:paraId="275EA8EA" w14:textId="77777777">
            <w:r>
              <w:t>VA Form</w:t>
            </w:r>
            <w:r w:rsidR="002430D9">
              <w:t xml:space="preserve"> </w:t>
            </w:r>
            <w:r w:rsidRPr="002430D9" w:rsidR="002430D9">
              <w:rPr>
                <w:i/>
              </w:rPr>
              <w:t>(if applicable)</w:t>
            </w:r>
            <w:r w:rsidRPr="002430D9" w:rsidR="00CA71E5">
              <w:rPr>
                <w:i/>
              </w:rPr>
              <w:t xml:space="preserve"> </w:t>
            </w:r>
          </w:p>
        </w:tc>
        <w:tc>
          <w:tcPr>
            <w:tcW w:w="1620" w:type="dxa"/>
          </w:tcPr>
          <w:p w:rsidRPr="0055291C" w:rsidR="006832D9" w:rsidP="00843796" w:rsidRDefault="006832D9" w14:paraId="7582D40C" w14:textId="77777777">
            <w:pPr>
              <w:rPr>
                <w:color w:val="002060"/>
              </w:rPr>
            </w:pPr>
          </w:p>
        </w:tc>
        <w:tc>
          <w:tcPr>
            <w:tcW w:w="2070" w:type="dxa"/>
          </w:tcPr>
          <w:p w:rsidRPr="0055291C" w:rsidR="006832D9" w:rsidP="00843796" w:rsidRDefault="006832D9" w14:paraId="370DD5A8" w14:textId="77777777">
            <w:pPr>
              <w:rPr>
                <w:color w:val="002060"/>
              </w:rPr>
            </w:pPr>
          </w:p>
        </w:tc>
        <w:tc>
          <w:tcPr>
            <w:tcW w:w="1723" w:type="dxa"/>
          </w:tcPr>
          <w:p w:rsidRPr="0055291C" w:rsidR="006832D9" w:rsidP="00843796" w:rsidRDefault="006832D9" w14:paraId="28CA6D44" w14:textId="77777777">
            <w:pPr>
              <w:rPr>
                <w:color w:val="002060"/>
              </w:rPr>
            </w:pPr>
          </w:p>
        </w:tc>
      </w:tr>
      <w:tr w:rsidR="00EF2095" w:rsidTr="008B2E1F" w14:paraId="67F9B858" w14:textId="77777777">
        <w:trPr>
          <w:trHeight w:val="289"/>
        </w:trPr>
        <w:tc>
          <w:tcPr>
            <w:tcW w:w="4248" w:type="dxa"/>
          </w:tcPr>
          <w:p w:rsidRPr="0001027E" w:rsidR="006832D9" w:rsidP="00843796" w:rsidRDefault="006832D9" w14:paraId="299E8618" w14:textId="77777777">
            <w:pPr>
              <w:rPr>
                <w:b/>
              </w:rPr>
            </w:pPr>
            <w:r w:rsidRPr="0001027E">
              <w:rPr>
                <w:b/>
              </w:rPr>
              <w:t>Totals</w:t>
            </w:r>
          </w:p>
        </w:tc>
        <w:tc>
          <w:tcPr>
            <w:tcW w:w="1620" w:type="dxa"/>
          </w:tcPr>
          <w:p w:rsidR="00A92FA6" w:rsidP="00843796" w:rsidRDefault="00667AC4" w14:paraId="1C994678" w14:textId="77777777">
            <w:pPr>
              <w:rPr>
                <w:b/>
                <w:color w:val="002060"/>
              </w:rPr>
            </w:pPr>
            <w:r>
              <w:rPr>
                <w:b/>
                <w:color w:val="002060"/>
              </w:rPr>
              <w:t xml:space="preserve">      </w:t>
            </w:r>
            <w:r w:rsidR="00A92FA6">
              <w:rPr>
                <w:b/>
                <w:color w:val="002060"/>
              </w:rPr>
              <w:t xml:space="preserve">208,000   </w:t>
            </w:r>
          </w:p>
          <w:p w:rsidRPr="0055291C" w:rsidR="006832D9" w:rsidP="00843796" w:rsidRDefault="00A92FA6" w14:paraId="418B09A1" w14:textId="59A34577">
            <w:pPr>
              <w:rPr>
                <w:b/>
                <w:color w:val="002060"/>
              </w:rPr>
            </w:pPr>
            <w:r>
              <w:rPr>
                <w:b/>
                <w:color w:val="002060"/>
              </w:rPr>
              <w:t xml:space="preserve">     Annual</w:t>
            </w:r>
          </w:p>
        </w:tc>
        <w:tc>
          <w:tcPr>
            <w:tcW w:w="2070" w:type="dxa"/>
          </w:tcPr>
          <w:p w:rsidRPr="00667AC4" w:rsidR="006832D9" w:rsidP="00843796" w:rsidRDefault="00667AC4" w14:paraId="0DFD4733" w14:textId="7561AE75">
            <w:pPr>
              <w:rPr>
                <w:b/>
                <w:bCs/>
                <w:color w:val="002060"/>
              </w:rPr>
            </w:pPr>
            <w:r>
              <w:rPr>
                <w:color w:val="002060"/>
              </w:rPr>
              <w:t xml:space="preserve">              </w:t>
            </w:r>
            <w:r w:rsidRPr="00667AC4">
              <w:rPr>
                <w:b/>
                <w:bCs/>
                <w:color w:val="002060"/>
              </w:rPr>
              <w:t>3</w:t>
            </w:r>
          </w:p>
        </w:tc>
        <w:tc>
          <w:tcPr>
            <w:tcW w:w="1723" w:type="dxa"/>
          </w:tcPr>
          <w:p w:rsidRPr="0055291C" w:rsidR="006832D9" w:rsidP="00843796" w:rsidRDefault="00667AC4" w14:paraId="48A11D9C" w14:textId="2F793D8E">
            <w:pPr>
              <w:rPr>
                <w:b/>
                <w:color w:val="002060"/>
              </w:rPr>
            </w:pPr>
            <w:r>
              <w:rPr>
                <w:b/>
                <w:color w:val="002060"/>
              </w:rPr>
              <w:t xml:space="preserve">  </w:t>
            </w:r>
            <w:r w:rsidR="00A92FA6">
              <w:rPr>
                <w:b/>
                <w:color w:val="002060"/>
              </w:rPr>
              <w:t>10,400 hours</w:t>
            </w:r>
          </w:p>
        </w:tc>
      </w:tr>
    </w:tbl>
    <w:p w:rsidR="00F3170F" w:rsidP="00F3170F" w:rsidRDefault="00F3170F" w14:paraId="7221FD87" w14:textId="77777777"/>
    <w:p w:rsidR="004F25D2" w:rsidP="00F06866" w:rsidRDefault="004F25D2" w14:paraId="1D082406" w14:textId="77777777">
      <w:pPr>
        <w:rPr>
          <w:b/>
          <w:bCs/>
          <w:u w:val="single"/>
        </w:rPr>
      </w:pPr>
      <w:r>
        <w:rPr>
          <w:b/>
          <w:bCs/>
          <w:u w:val="single"/>
        </w:rPr>
        <w:t>Please answer the following questions.</w:t>
      </w:r>
    </w:p>
    <w:p w:rsidR="004F25D2" w:rsidP="00F06866" w:rsidRDefault="004F25D2" w14:paraId="5C5AB6F2" w14:textId="77777777">
      <w:pPr>
        <w:rPr>
          <w:b/>
          <w:bCs/>
          <w:u w:val="single"/>
        </w:rPr>
      </w:pPr>
    </w:p>
    <w:p w:rsidR="006633E0" w:rsidP="006633E0" w:rsidRDefault="004F25D2" w14:paraId="1F2947AB" w14:textId="77777777">
      <w:pPr>
        <w:pStyle w:val="ListParagraph"/>
        <w:numPr>
          <w:ilvl w:val="0"/>
          <w:numId w:val="15"/>
        </w:numPr>
      </w:pPr>
      <w:r>
        <w:rPr>
          <w:b/>
          <w:bCs/>
          <w:u w:val="single"/>
        </w:rPr>
        <w:t xml:space="preserve">Are you </w:t>
      </w:r>
      <w:r w:rsidR="00ED6492">
        <w:rPr>
          <w:b/>
          <w:bCs/>
          <w:u w:val="single"/>
        </w:rPr>
        <w:t xml:space="preserve"> conducting a focus group, </w:t>
      </w:r>
      <w:r w:rsidR="006633E0">
        <w:rPr>
          <w:b/>
          <w:bCs/>
          <w:u w:val="single"/>
        </w:rPr>
        <w:t>a survey that does not employ random sampling, user testing or any data collection method that does not empl</w:t>
      </w:r>
      <w:r w:rsidR="00BD2FDE">
        <w:rPr>
          <w:b/>
          <w:bCs/>
          <w:u w:val="single"/>
        </w:rPr>
        <w:t>o</w:t>
      </w:r>
      <w:r w:rsidR="006633E0">
        <w:rPr>
          <w:b/>
          <w:bCs/>
          <w:u w:val="single"/>
        </w:rPr>
        <w:t>y statistical methods?</w:t>
      </w:r>
      <w:r w:rsidRPr="006633E0" w:rsidR="006633E0">
        <w:t xml:space="preserve"> </w:t>
      </w:r>
      <w:r w:rsidR="006633E0">
        <w:tab/>
      </w:r>
      <w:r w:rsidR="006633E0">
        <w:tab/>
      </w:r>
      <w:r w:rsidR="006633E0">
        <w:tab/>
      </w:r>
      <w:r w:rsidR="006633E0">
        <w:tab/>
      </w:r>
      <w:r w:rsidR="006633E0">
        <w:tab/>
      </w:r>
    </w:p>
    <w:p w:rsidR="006633E0" w:rsidP="00B77E6B" w:rsidRDefault="006633E0" w14:paraId="0DAF383A" w14:textId="6334528A">
      <w:pPr>
        <w:pStyle w:val="ListParagraph"/>
        <w:ind w:left="4680" w:firstLine="360"/>
      </w:pPr>
      <w:proofErr w:type="gramStart"/>
      <w:r>
        <w:t>[ ]</w:t>
      </w:r>
      <w:proofErr w:type="gramEnd"/>
      <w:r>
        <w:t xml:space="preserve"> Yes</w:t>
      </w:r>
      <w:r>
        <w:tab/>
        <w:t>[</w:t>
      </w:r>
      <w:r w:rsidR="00C72F86">
        <w:t>X</w:t>
      </w:r>
      <w:r>
        <w:t>] No</w:t>
      </w:r>
    </w:p>
    <w:p w:rsidR="00BD2FDE" w:rsidP="00BD2FDE" w:rsidRDefault="00BD2FDE" w14:paraId="160CB907" w14:textId="77777777">
      <w:pPr>
        <w:pStyle w:val="ListParagraph"/>
        <w:ind w:left="360"/>
      </w:pPr>
      <w:r>
        <w:t xml:space="preserve">If </w:t>
      </w:r>
      <w:r>
        <w:rPr>
          <w:u w:val="single"/>
        </w:rPr>
        <w:t>Yes</w:t>
      </w:r>
      <w:r>
        <w:t>, please answer questions 1a-1</w:t>
      </w:r>
      <w:r w:rsidR="00C668C3">
        <w:t>c, 2</w:t>
      </w:r>
      <w:r>
        <w:t xml:space="preserve"> </w:t>
      </w:r>
      <w:r w:rsidR="00C668C3">
        <w:t>and 3</w:t>
      </w:r>
      <w:r>
        <w:t>.</w:t>
      </w:r>
    </w:p>
    <w:p w:rsidR="006633E0" w:rsidP="006633E0" w:rsidRDefault="006633E0" w14:paraId="0122FE9D" w14:textId="77777777">
      <w:pPr>
        <w:pStyle w:val="ListParagraph"/>
        <w:ind w:left="360"/>
      </w:pPr>
      <w:r>
        <w:t xml:space="preserve">If </w:t>
      </w:r>
      <w:r w:rsidR="00BD2FDE">
        <w:rPr>
          <w:u w:val="single"/>
        </w:rPr>
        <w:t>No</w:t>
      </w:r>
      <w:r>
        <w:t>, please answer</w:t>
      </w:r>
      <w:r w:rsidR="00AF49D0">
        <w:t xml:space="preserve"> </w:t>
      </w:r>
      <w:r w:rsidR="00E61DF2">
        <w:t xml:space="preserve">or attach supporting documentation that answers </w:t>
      </w:r>
      <w:r w:rsidR="00AF49D0">
        <w:t>questions</w:t>
      </w:r>
      <w:r w:rsidR="00BD2FDE">
        <w:t xml:space="preserve"> 2-</w:t>
      </w:r>
      <w:r w:rsidR="00E61DF2">
        <w:t>8</w:t>
      </w:r>
      <w:r w:rsidR="00BD2FDE">
        <w:t>.</w:t>
      </w:r>
    </w:p>
    <w:p w:rsidR="006633E0" w:rsidP="006633E0" w:rsidRDefault="006633E0" w14:paraId="368E81EF" w14:textId="77777777">
      <w:pPr>
        <w:pStyle w:val="ListParagraph"/>
        <w:numPr>
          <w:ilvl w:val="1"/>
          <w:numId w:val="15"/>
        </w:numPr>
      </w:pPr>
      <w:r>
        <w:t>Please provide a description of how you plan to identify your potential group of respondents and how you will select them.</w:t>
      </w:r>
    </w:p>
    <w:p w:rsidR="006633E0" w:rsidP="006633E0" w:rsidRDefault="006633E0" w14:paraId="141B90CF" w14:textId="77777777"/>
    <w:p w:rsidR="006633E0" w:rsidP="006633E0" w:rsidRDefault="006633E0" w14:paraId="004533EF" w14:textId="77777777"/>
    <w:p w:rsidR="006633E0" w:rsidP="00B77E6B" w:rsidRDefault="006633E0" w14:paraId="79E61407" w14:textId="77777777">
      <w:pPr>
        <w:pStyle w:val="ListParagraph"/>
        <w:numPr>
          <w:ilvl w:val="1"/>
          <w:numId w:val="15"/>
        </w:numPr>
      </w:pPr>
      <w:r>
        <w:t>How will you collect the information? (Check all that apply)</w:t>
      </w:r>
    </w:p>
    <w:p w:rsidR="006633E0" w:rsidP="006633E0" w:rsidRDefault="006633E0" w14:paraId="0A9B3B95" w14:textId="77777777">
      <w:pPr>
        <w:ind w:left="720"/>
      </w:pPr>
      <w:proofErr w:type="gramStart"/>
      <w:r>
        <w:t>[  ]</w:t>
      </w:r>
      <w:proofErr w:type="gramEnd"/>
      <w:r>
        <w:t xml:space="preserve"> Web-based or other forms of Social Media </w:t>
      </w:r>
    </w:p>
    <w:p w:rsidR="006633E0" w:rsidP="006633E0" w:rsidRDefault="006633E0" w14:paraId="00498419" w14:textId="77777777">
      <w:pPr>
        <w:ind w:left="720"/>
      </w:pPr>
      <w:proofErr w:type="gramStart"/>
      <w:r>
        <w:t>[  ]</w:t>
      </w:r>
      <w:proofErr w:type="gramEnd"/>
      <w:r>
        <w:t xml:space="preserve"> Telephone</w:t>
      </w:r>
      <w:r>
        <w:tab/>
      </w:r>
    </w:p>
    <w:p w:rsidR="006633E0" w:rsidP="006633E0" w:rsidRDefault="006633E0" w14:paraId="1F5D52B4" w14:textId="77777777">
      <w:pPr>
        <w:ind w:left="720"/>
      </w:pPr>
      <w:proofErr w:type="gramStart"/>
      <w:r>
        <w:t>[  ]</w:t>
      </w:r>
      <w:proofErr w:type="gramEnd"/>
      <w:r>
        <w:t xml:space="preserve"> In-person</w:t>
      </w:r>
      <w:r>
        <w:tab/>
      </w:r>
    </w:p>
    <w:p w:rsidR="006633E0" w:rsidP="006633E0" w:rsidRDefault="006633E0" w14:paraId="5A3A8FE5" w14:textId="77777777">
      <w:pPr>
        <w:ind w:left="720"/>
      </w:pPr>
      <w:proofErr w:type="gramStart"/>
      <w:r>
        <w:t>[  ]</w:t>
      </w:r>
      <w:proofErr w:type="gramEnd"/>
      <w:r>
        <w:t xml:space="preserve"> Mail </w:t>
      </w:r>
    </w:p>
    <w:p w:rsidR="006633E0" w:rsidP="006633E0" w:rsidRDefault="006633E0" w14:paraId="13AF1784" w14:textId="24FF4DAF">
      <w:pPr>
        <w:ind w:left="720"/>
      </w:pPr>
      <w:r>
        <w:t>[</w:t>
      </w:r>
      <w:r w:rsidR="007645CF">
        <w:t>X</w:t>
      </w:r>
      <w:r>
        <w:t>] Other</w:t>
      </w:r>
      <w:r w:rsidR="007645CF">
        <w:t xml:space="preserve">- E-mail-based surveys </w:t>
      </w:r>
    </w:p>
    <w:p w:rsidR="006633E0" w:rsidP="006633E0" w:rsidRDefault="006633E0" w14:paraId="3F25D5D4" w14:textId="77777777">
      <w:pPr>
        <w:ind w:left="720"/>
      </w:pPr>
    </w:p>
    <w:p w:rsidRPr="00C668C3" w:rsidR="006633E0" w:rsidP="00C668C3" w:rsidRDefault="006633E0" w14:paraId="29890CAB" w14:textId="7153F46F">
      <w:pPr>
        <w:pStyle w:val="ListParagraph"/>
        <w:numPr>
          <w:ilvl w:val="1"/>
          <w:numId w:val="15"/>
        </w:numPr>
        <w:rPr>
          <w:bCs/>
        </w:rPr>
      </w:pPr>
      <w:r>
        <w:t xml:space="preserve">Will interviewers or facilitators be used?  </w:t>
      </w:r>
      <w:proofErr w:type="gramStart"/>
      <w:r>
        <w:t>[  ]</w:t>
      </w:r>
      <w:proofErr w:type="gramEnd"/>
      <w:r>
        <w:t xml:space="preserve"> Yes [ </w:t>
      </w:r>
      <w:r w:rsidR="007645CF">
        <w:t>X</w:t>
      </w:r>
      <w:r>
        <w:t xml:space="preserve"> ] No</w:t>
      </w:r>
    </w:p>
    <w:p w:rsidRPr="00AF49D0" w:rsidR="00C668C3" w:rsidP="00B77E6B" w:rsidRDefault="00C668C3" w14:paraId="09B7D01F" w14:textId="77777777">
      <w:pPr>
        <w:pStyle w:val="ListParagraph"/>
        <w:ind w:left="1080"/>
        <w:rPr>
          <w:bCs/>
        </w:rPr>
      </w:pPr>
    </w:p>
    <w:p w:rsidR="006633E0" w:rsidP="006633E0" w:rsidRDefault="00C668C3" w14:paraId="6BB7DA20" w14:textId="3C1B1A56">
      <w:pPr>
        <w:pStyle w:val="ListParagraph"/>
        <w:numPr>
          <w:ilvl w:val="0"/>
          <w:numId w:val="15"/>
        </w:numPr>
      </w:pPr>
      <w:r>
        <w:t>Please provide</w:t>
      </w:r>
      <w:r w:rsidR="00E61DF2">
        <w:t xml:space="preserve"> an</w:t>
      </w:r>
      <w:r>
        <w:t xml:space="preserve"> estimated annual cost to the Federal government</w:t>
      </w:r>
      <w:r w:rsidR="00E61DF2">
        <w:t xml:space="preserve"> to conduct this data collection: </w:t>
      </w:r>
      <w:r>
        <w:t xml:space="preserve">  __</w:t>
      </w:r>
      <w:r w:rsidR="00770CD5">
        <w:t>$1</w:t>
      </w:r>
      <w:r w:rsidR="00A6112A">
        <w:t>3</w:t>
      </w:r>
      <w:r w:rsidR="00770CD5">
        <w:t>,000</w:t>
      </w:r>
      <w:r>
        <w:t>______</w:t>
      </w:r>
    </w:p>
    <w:p w:rsidR="00C668C3" w:rsidP="00B77E6B" w:rsidRDefault="00C668C3" w14:paraId="0737E58E" w14:textId="77777777">
      <w:pPr>
        <w:pStyle w:val="ListParagraph"/>
        <w:ind w:left="360"/>
      </w:pPr>
    </w:p>
    <w:p w:rsidRPr="00E814B6" w:rsidR="006633E0" w:rsidP="006633E0" w:rsidRDefault="00C668C3" w14:paraId="066E29AB" w14:textId="36AF7D7D">
      <w:pPr>
        <w:pStyle w:val="ListParagraph"/>
        <w:numPr>
          <w:ilvl w:val="0"/>
          <w:numId w:val="15"/>
        </w:numPr>
      </w:pPr>
      <w:r w:rsidRPr="009166FD">
        <w:rPr>
          <w:bCs/>
        </w:rPr>
        <w:t xml:space="preserve">Please make sure that all instruments, instructions, and scripts are submitted with the request.  This includes </w:t>
      </w:r>
      <w:r>
        <w:rPr>
          <w:bCs/>
        </w:rPr>
        <w:t xml:space="preserve">questionnaires, interviewer manuals (if using interviewers or facilitators), </w:t>
      </w:r>
      <w:r w:rsidRPr="009166FD">
        <w:rPr>
          <w:bCs/>
        </w:rPr>
        <w:t>all response options for question</w:t>
      </w:r>
      <w:r>
        <w:rPr>
          <w:bCs/>
        </w:rPr>
        <w:t>s</w:t>
      </w:r>
      <w:r w:rsidRPr="009166FD">
        <w:rPr>
          <w:bCs/>
        </w:rPr>
        <w:t xml:space="preserve"> that </w:t>
      </w:r>
      <w:r>
        <w:rPr>
          <w:bCs/>
        </w:rPr>
        <w:t>require</w:t>
      </w:r>
      <w:r w:rsidRPr="009166FD">
        <w:rPr>
          <w:bCs/>
        </w:rPr>
        <w:t xml:space="preserve"> respondents to select a response from a group of options, invitations given to potential respondents, instructions for completing the data collection or additional follow-up requests for the data collection.</w:t>
      </w:r>
    </w:p>
    <w:p w:rsidR="00E814B6" w:rsidP="00E814B6" w:rsidRDefault="00E814B6" w14:paraId="6452F65D" w14:textId="77777777">
      <w:pPr>
        <w:pStyle w:val="ListParagraph"/>
      </w:pPr>
    </w:p>
    <w:p w:rsidRPr="00C668C3" w:rsidR="00E814B6" w:rsidP="00E814B6" w:rsidRDefault="00E814B6" w14:paraId="056DE766" w14:textId="1037CF5A">
      <w:pPr>
        <w:ind w:left="360"/>
      </w:pPr>
      <w:r>
        <w:t>-Done</w:t>
      </w:r>
    </w:p>
    <w:p w:rsidR="00C668C3" w:rsidP="00B77E6B" w:rsidRDefault="00C668C3" w14:paraId="4B41379F" w14:textId="77777777"/>
    <w:p w:rsidRPr="00B77E6B" w:rsidR="006633E0" w:rsidP="006633E0" w:rsidRDefault="00C668C3" w14:paraId="1FFFB8F0" w14:textId="77777777">
      <w:pPr>
        <w:pStyle w:val="ListParagraph"/>
        <w:numPr>
          <w:ilvl w:val="0"/>
          <w:numId w:val="15"/>
        </w:numPr>
      </w:pPr>
      <w:r w:rsidRPr="00B77E6B">
        <w:rPr>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668C3" w:rsidP="00B77E6B" w:rsidRDefault="00C668C3" w14:paraId="3066916D" w14:textId="481A6891"/>
    <w:p w:rsidR="00E814B6" w:rsidP="006331A3" w:rsidRDefault="006331A3" w14:paraId="382A6E59" w14:textId="6BE5419D">
      <w:pPr>
        <w:ind w:left="360"/>
      </w:pPr>
      <w:bookmarkStart w:name="_Hlk38383458" w:id="1"/>
      <w:r>
        <w:t>-</w:t>
      </w:r>
      <w:r w:rsidRPr="00043946" w:rsidR="00043946">
        <w:t xml:space="preserve"> Please see Statistical Sample Plan in the Appendix.</w:t>
      </w:r>
    </w:p>
    <w:bookmarkEnd w:id="1"/>
    <w:p w:rsidRPr="00E61DF2" w:rsidR="00E814B6" w:rsidP="00B77E6B" w:rsidRDefault="00E814B6" w14:paraId="5557167E" w14:textId="77777777"/>
    <w:p w:rsidRPr="00B77E6B" w:rsidR="00C668C3" w:rsidP="00C668C3" w:rsidRDefault="00C668C3" w14:paraId="69E5CBF3" w14:textId="77777777">
      <w:pPr>
        <w:pStyle w:val="ListParagraph"/>
        <w:numPr>
          <w:ilvl w:val="0"/>
          <w:numId w:val="15"/>
        </w:numPr>
      </w:pPr>
      <w:bookmarkStart w:name="_Hlk36821134" w:id="2"/>
      <w:r w:rsidRPr="00B77E6B">
        <w:t>Describe the procedures for the collection of information, including:</w:t>
      </w:r>
    </w:p>
    <w:p w:rsidRPr="00B77E6B" w:rsidR="00C668C3" w:rsidP="00C668C3" w:rsidRDefault="00C668C3" w14:paraId="2FCE22D0" w14:textId="77777777">
      <w:pPr>
        <w:pStyle w:val="ListParagraph"/>
        <w:numPr>
          <w:ilvl w:val="1"/>
          <w:numId w:val="15"/>
        </w:numPr>
      </w:pPr>
      <w:r w:rsidRPr="00B77E6B">
        <w:t>Statistical methodology for stratification and sample selection.</w:t>
      </w:r>
    </w:p>
    <w:p w:rsidRPr="00B77E6B" w:rsidR="00C668C3" w:rsidP="00C668C3" w:rsidRDefault="00C668C3" w14:paraId="121A50DE" w14:textId="77777777">
      <w:pPr>
        <w:pStyle w:val="ListParagraph"/>
        <w:numPr>
          <w:ilvl w:val="1"/>
          <w:numId w:val="15"/>
        </w:numPr>
      </w:pPr>
      <w:r w:rsidRPr="00B77E6B">
        <w:t>Estimation procedure.</w:t>
      </w:r>
    </w:p>
    <w:p w:rsidRPr="00B77E6B" w:rsidR="00C668C3" w:rsidP="00C668C3" w:rsidRDefault="00C668C3" w14:paraId="169D1D2F" w14:textId="77777777">
      <w:pPr>
        <w:pStyle w:val="ListParagraph"/>
        <w:numPr>
          <w:ilvl w:val="1"/>
          <w:numId w:val="15"/>
        </w:numPr>
      </w:pPr>
      <w:r w:rsidRPr="00B77E6B">
        <w:t>Degree of accuracy needed for the purpose described in the justification.</w:t>
      </w:r>
    </w:p>
    <w:p w:rsidRPr="00B77E6B" w:rsidR="00C668C3" w:rsidP="00C668C3" w:rsidRDefault="00C668C3" w14:paraId="247540F5" w14:textId="77777777">
      <w:pPr>
        <w:pStyle w:val="ListParagraph"/>
        <w:numPr>
          <w:ilvl w:val="1"/>
          <w:numId w:val="15"/>
        </w:numPr>
      </w:pPr>
      <w:r w:rsidRPr="00B77E6B">
        <w:t>Unusual problems requiring specialized sampling procedures.</w:t>
      </w:r>
    </w:p>
    <w:p w:rsidRPr="00B77E6B" w:rsidR="006633E0" w:rsidP="00C668C3" w:rsidRDefault="00C668C3" w14:paraId="4149C947" w14:textId="77777777">
      <w:pPr>
        <w:pStyle w:val="ListParagraph"/>
        <w:numPr>
          <w:ilvl w:val="1"/>
          <w:numId w:val="15"/>
        </w:numPr>
      </w:pPr>
      <w:r w:rsidRPr="00B77E6B">
        <w:t>Any use of periodic (less frequent than annual) data collection cycles to reduce burden.</w:t>
      </w:r>
    </w:p>
    <w:bookmarkEnd w:id="2"/>
    <w:p w:rsidR="00C668C3" w:rsidP="00B77E6B" w:rsidRDefault="00C668C3" w14:paraId="46BB6D34" w14:textId="4CE167AE"/>
    <w:p w:rsidR="00071EB4" w:rsidP="00071EB4" w:rsidRDefault="00071EB4" w14:paraId="40B3332D" w14:textId="77777777">
      <w:pPr>
        <w:ind w:left="360"/>
      </w:pPr>
      <w:r>
        <w:t>-</w:t>
      </w:r>
      <w:r w:rsidRPr="00043946">
        <w:t xml:space="preserve"> Please see Statistical Sample Plan in the Appendix.</w:t>
      </w:r>
    </w:p>
    <w:p w:rsidRPr="00E61DF2" w:rsidR="00071EB4" w:rsidP="00B77E6B" w:rsidRDefault="00071EB4" w14:paraId="7E318132" w14:textId="77777777"/>
    <w:p w:rsidR="00C668C3" w:rsidP="00C668C3" w:rsidRDefault="00C668C3" w14:paraId="1F593783" w14:textId="460696CC">
      <w:pPr>
        <w:pStyle w:val="ListParagraph"/>
        <w:numPr>
          <w:ilvl w:val="0"/>
          <w:numId w:val="15"/>
        </w:numPr>
      </w:pPr>
      <w:r w:rsidRPr="00B77E6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354C5" w:rsidP="0007737D" w:rsidRDefault="00C354C5" w14:paraId="05D3E262" w14:textId="4181D62B">
      <w:pPr>
        <w:pStyle w:val="ListParagraph"/>
        <w:ind w:left="360"/>
      </w:pPr>
    </w:p>
    <w:p w:rsidR="0007737D" w:rsidP="0007737D" w:rsidRDefault="0007737D" w14:paraId="2D020929" w14:textId="1CB6CA36">
      <w:pPr>
        <w:pStyle w:val="ListParagraph"/>
        <w:ind w:left="360"/>
      </w:pPr>
      <w:r w:rsidRPr="0007737D">
        <w:t>Please see Statistical Sample Plan in the Appendix.</w:t>
      </w:r>
    </w:p>
    <w:p w:rsidRPr="00B77E6B" w:rsidR="0007737D" w:rsidP="0007737D" w:rsidRDefault="0007737D" w14:paraId="515A70F5" w14:textId="77777777">
      <w:pPr>
        <w:pStyle w:val="ListParagraph"/>
        <w:ind w:left="360"/>
      </w:pPr>
    </w:p>
    <w:p w:rsidR="00C668C3" w:rsidP="00B77E6B" w:rsidRDefault="00C668C3" w14:paraId="3CB36B57" w14:textId="2B784E23">
      <w:pPr>
        <w:pStyle w:val="ListParagraph"/>
        <w:numPr>
          <w:ilvl w:val="0"/>
          <w:numId w:val="15"/>
        </w:numPr>
      </w:pPr>
      <w:r w:rsidRPr="00E61DF2">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7737D" w:rsidP="0007737D" w:rsidRDefault="0007737D" w14:paraId="415A6A5C" w14:textId="32B72B77"/>
    <w:p w:rsidRPr="00E61DF2" w:rsidR="0007737D" w:rsidP="0007737D" w:rsidRDefault="0007737D" w14:paraId="380B3D5C" w14:textId="26E659ED">
      <w:r>
        <w:t xml:space="preserve">       Please see Statistical Sample Plan in the Appendix.</w:t>
      </w:r>
    </w:p>
    <w:p w:rsidRPr="00E61DF2" w:rsidR="00C668C3" w:rsidP="00C668C3" w:rsidRDefault="00C668C3" w14:paraId="4A29BEC6" w14:textId="77777777"/>
    <w:p w:rsidRPr="00E61DF2" w:rsidR="0069403B" w:rsidP="00E61DF2" w:rsidRDefault="00C668C3" w14:paraId="3E88876C" w14:textId="77777777">
      <w:pPr>
        <w:pStyle w:val="ListParagraph"/>
        <w:numPr>
          <w:ilvl w:val="0"/>
          <w:numId w:val="15"/>
        </w:numPr>
      </w:pPr>
      <w:r w:rsidRPr="00B77E6B">
        <w:t>Provide the name and telephone number of individuals consulted on statistical aspects of the design and the name of the agency unit, contractors, grantees, or other person(s) who will actually collect or analyze the information for the agency.</w:t>
      </w:r>
    </w:p>
    <w:p w:rsidR="00E61DF2" w:rsidP="00B77E6B" w:rsidRDefault="00E61DF2" w14:paraId="6341BDE4" w14:textId="5141E1FC">
      <w:pPr>
        <w:pStyle w:val="ListParagraph"/>
        <w:ind w:left="360"/>
      </w:pPr>
    </w:p>
    <w:p w:rsidR="0032245E" w:rsidP="00B77E6B" w:rsidRDefault="00143AE8" w14:paraId="67876AF1" w14:textId="203304B9">
      <w:pPr>
        <w:pStyle w:val="ListParagraph"/>
        <w:ind w:left="360"/>
      </w:pPr>
      <w:r>
        <w:t xml:space="preserve">Statistical Aspects: </w:t>
      </w:r>
      <w:r w:rsidR="00727C63">
        <w:t xml:space="preserve">         </w:t>
      </w:r>
      <w:r>
        <w:t>Michael Jacobsen, Statistician, Veterans Experience Office, VA. (517)</w:t>
      </w:r>
      <w:r w:rsidR="001B00B5">
        <w:t xml:space="preserve"> </w:t>
      </w:r>
      <w:r w:rsidRPr="001B00B5" w:rsidR="001B00B5">
        <w:t>896-0441</w:t>
      </w:r>
    </w:p>
    <w:p w:rsidR="003C4458" w:rsidP="00B77E6B" w:rsidRDefault="003C4458" w14:paraId="6965D201" w14:textId="62BCFE64">
      <w:pPr>
        <w:pStyle w:val="ListParagraph"/>
        <w:ind w:left="360"/>
      </w:pPr>
      <w:r>
        <w:t xml:space="preserve">Collection and </w:t>
      </w:r>
      <w:r w:rsidR="00795EDB">
        <w:t>A</w:t>
      </w:r>
      <w:r>
        <w:t xml:space="preserve">nalysis: Evan Albert, </w:t>
      </w:r>
      <w:r w:rsidR="00DF616F">
        <w:t>Director of Measurement and Data Analytics</w:t>
      </w:r>
      <w:r w:rsidR="0076375B">
        <w:t xml:space="preserve">, Veterans Experience Office, VA </w:t>
      </w:r>
      <w:r w:rsidR="00DF616F">
        <w:t>(202) 461-6729</w:t>
      </w:r>
    </w:p>
    <w:p w:rsidR="00FD360F" w:rsidP="00727C63" w:rsidRDefault="00DF616F" w14:paraId="7BADCAE7" w14:textId="28E7930C">
      <w:pPr>
        <w:pStyle w:val="ListParagraph"/>
        <w:ind w:left="360"/>
      </w:pPr>
      <w:r>
        <w:t xml:space="preserve">                                       </w:t>
      </w:r>
      <w:r w:rsidR="00727C63">
        <w:t xml:space="preserve">  Mr. Joshua Geiger, Health Syst</w:t>
      </w:r>
      <w:r w:rsidR="00F52E76">
        <w:t xml:space="preserve">em </w:t>
      </w:r>
      <w:r w:rsidR="00727C63">
        <w:t xml:space="preserve">Specialist, Veterans Health Administration (VHA), </w:t>
      </w:r>
      <w:r w:rsidRPr="00F52E76" w:rsidR="00F52E76">
        <w:t>202-538-3702</w:t>
      </w:r>
    </w:p>
    <w:p w:rsidR="0032245E" w:rsidP="00B77E6B" w:rsidRDefault="0032245E" w14:paraId="1E7C0571" w14:textId="2C5E52BC">
      <w:pPr>
        <w:pStyle w:val="ListParagraph"/>
        <w:ind w:left="360"/>
      </w:pPr>
    </w:p>
    <w:p w:rsidRPr="00653288" w:rsidR="000550DA" w:rsidP="00B77E6B" w:rsidRDefault="000550DA" w14:paraId="3998BDC7" w14:textId="33B56013">
      <w:pPr>
        <w:pStyle w:val="ListParagraph"/>
        <w:ind w:left="360"/>
        <w:rPr>
          <w:b/>
          <w:bCs/>
          <w:color w:val="FF0000"/>
          <w:sz w:val="26"/>
          <w:szCs w:val="26"/>
          <w:u w:val="single"/>
        </w:rPr>
      </w:pPr>
    </w:p>
    <w:p w:rsidRPr="00653288" w:rsidR="000550DA" w:rsidP="00D80208" w:rsidRDefault="00D80208" w14:paraId="50337824" w14:textId="7BCF3409">
      <w:pPr>
        <w:pStyle w:val="ListParagraph"/>
        <w:ind w:left="6120"/>
        <w:rPr>
          <w:sz w:val="26"/>
          <w:szCs w:val="26"/>
        </w:rPr>
      </w:pPr>
      <w:r w:rsidRPr="00653288">
        <w:rPr>
          <w:b/>
          <w:bCs/>
          <w:color w:val="FF0000"/>
          <w:sz w:val="26"/>
          <w:szCs w:val="26"/>
          <w:u w:val="single"/>
        </w:rPr>
        <w:t>APPENDIX- STATISTICAL SAMPLE PLAN</w:t>
      </w:r>
    </w:p>
    <w:p w:rsidR="00D80208" w:rsidP="00B77E6B" w:rsidRDefault="00D80208" w14:paraId="570C3B00" w14:textId="77777777">
      <w:pPr>
        <w:pStyle w:val="ListParagraph"/>
        <w:ind w:left="360"/>
      </w:pPr>
    </w:p>
    <w:p w:rsidRPr="00C85DEE" w:rsidR="00B843A1" w:rsidP="00B843A1" w:rsidRDefault="00B843A1" w14:paraId="45BD41CB" w14:textId="77777777">
      <w:pPr>
        <w:pStyle w:val="Title"/>
        <w:outlineLvl w:val="9"/>
        <w:rPr>
          <w:rStyle w:val="GridTable1Light1"/>
          <w:rFonts w:ascii="Times New Roman" w:hAnsi="Times New Roman"/>
          <w:b/>
        </w:rPr>
      </w:pPr>
      <w:r>
        <w:rPr>
          <w:rStyle w:val="GridTable1Light1"/>
          <w:rFonts w:ascii="Times New Roman" w:hAnsi="Times New Roman"/>
          <w:b/>
        </w:rPr>
        <w:t xml:space="preserve">  </w:t>
      </w:r>
      <w:bookmarkStart w:name="_Toc478120906" w:id="3"/>
      <w:bookmarkStart w:name="_Toc478123129" w:id="4"/>
      <w:r w:rsidRPr="00C85DEE">
        <w:rPr>
          <w:rFonts w:ascii="Times New Roman" w:hAnsi="Times New Roman"/>
          <w:noProof/>
        </w:rPr>
        <w:drawing>
          <wp:inline distT="0" distB="0" distL="0" distR="0" wp14:anchorId="3FC036EF" wp14:editId="4C084092">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9740" cy="1729740"/>
                    </a:xfrm>
                    <a:prstGeom prst="rect">
                      <a:avLst/>
                    </a:prstGeom>
                    <a:noFill/>
                  </pic:spPr>
                </pic:pic>
              </a:graphicData>
            </a:graphic>
          </wp:inline>
        </w:drawing>
      </w:r>
    </w:p>
    <w:p w:rsidRPr="00C85DEE" w:rsidR="00B843A1" w:rsidP="00B843A1" w:rsidRDefault="00B843A1" w14:paraId="0891F459" w14:textId="77777777">
      <w:pPr>
        <w:pStyle w:val="Title"/>
        <w:outlineLvl w:val="9"/>
        <w:rPr>
          <w:rStyle w:val="GridTable1Light1"/>
          <w:rFonts w:ascii="Times New Roman" w:hAnsi="Times New Roman"/>
          <w:i w:val="0"/>
          <w:sz w:val="56"/>
          <w:szCs w:val="56"/>
        </w:rPr>
      </w:pPr>
      <w:bookmarkStart w:name="_Toc478120907" w:id="5"/>
      <w:bookmarkStart w:name="_Toc478123130" w:id="6"/>
      <w:bookmarkEnd w:id="3"/>
      <w:bookmarkEnd w:id="4"/>
      <w:r>
        <w:rPr>
          <w:rStyle w:val="GridTable1Light1"/>
          <w:rFonts w:ascii="Times New Roman" w:hAnsi="Times New Roman"/>
          <w:sz w:val="56"/>
          <w:szCs w:val="56"/>
        </w:rPr>
        <w:t>Emergency Medicine Survey</w:t>
      </w:r>
      <w:r w:rsidRPr="00C85DEE">
        <w:rPr>
          <w:rStyle w:val="GridTable1Light1"/>
          <w:rFonts w:ascii="Times New Roman" w:hAnsi="Times New Roman"/>
          <w:sz w:val="56"/>
          <w:szCs w:val="56"/>
        </w:rPr>
        <w:t xml:space="preserve"> </w:t>
      </w:r>
    </w:p>
    <w:p w:rsidRPr="00C85DEE" w:rsidR="00B843A1" w:rsidP="00B843A1" w:rsidRDefault="00B843A1" w14:paraId="6257A783"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sz w:val="56"/>
          <w:szCs w:val="56"/>
        </w:rPr>
        <w:t xml:space="preserve">Sampling Methodology </w:t>
      </w:r>
      <w:bookmarkEnd w:id="5"/>
      <w:bookmarkEnd w:id="6"/>
      <w:r w:rsidRPr="00C85DEE">
        <w:rPr>
          <w:rStyle w:val="GridTable1Light1"/>
          <w:rFonts w:ascii="Times New Roman" w:hAnsi="Times New Roman"/>
          <w:sz w:val="56"/>
          <w:szCs w:val="56"/>
        </w:rPr>
        <w:t>Report</w:t>
      </w:r>
    </w:p>
    <w:p w:rsidRPr="00C85DEE" w:rsidR="00B843A1" w:rsidP="00B843A1" w:rsidRDefault="00B843A1" w14:paraId="57C23ABC" w14:textId="77777777">
      <w:pPr>
        <w:jc w:val="center"/>
        <w:rPr>
          <w:sz w:val="56"/>
          <w:szCs w:val="56"/>
        </w:rPr>
      </w:pPr>
      <w:r w:rsidRPr="00C85DEE">
        <w:rPr>
          <w:sz w:val="56"/>
          <w:szCs w:val="56"/>
        </w:rPr>
        <w:t xml:space="preserve">  </w:t>
      </w:r>
    </w:p>
    <w:p w:rsidRPr="00C85DEE" w:rsidR="00B843A1" w:rsidP="00B843A1" w:rsidRDefault="00B843A1" w14:paraId="51541896" w14:textId="77777777">
      <w:pPr>
        <w:spacing w:before="100" w:beforeAutospacing="1" w:after="100" w:afterAutospacing="1"/>
        <w:ind w:firstLine="720"/>
        <w:jc w:val="center"/>
        <w:rPr>
          <w:sz w:val="36"/>
          <w:szCs w:val="36"/>
        </w:rPr>
      </w:pPr>
      <w:r w:rsidRPr="00C85DEE">
        <w:rPr>
          <w:sz w:val="36"/>
          <w:szCs w:val="36"/>
        </w:rPr>
        <w:t>Prepared by</w:t>
      </w:r>
    </w:p>
    <w:p w:rsidRPr="00C85DEE" w:rsidR="00B843A1" w:rsidP="00B843A1" w:rsidRDefault="00B843A1" w14:paraId="2240079D" w14:textId="77777777">
      <w:pPr>
        <w:spacing w:before="100" w:beforeAutospacing="1" w:after="100" w:afterAutospacing="1"/>
        <w:ind w:firstLine="720"/>
        <w:jc w:val="center"/>
        <w:rPr>
          <w:sz w:val="36"/>
          <w:szCs w:val="36"/>
        </w:rPr>
      </w:pPr>
      <w:r w:rsidRPr="00C85DEE">
        <w:rPr>
          <w:sz w:val="36"/>
          <w:szCs w:val="36"/>
        </w:rPr>
        <w:t>Veteran Experience Office</w:t>
      </w:r>
    </w:p>
    <w:p w:rsidRPr="00C85DEE" w:rsidR="00B843A1" w:rsidP="00B843A1" w:rsidRDefault="00B843A1" w14:paraId="0D70D2B4" w14:textId="77777777">
      <w:pPr>
        <w:spacing w:before="100" w:beforeAutospacing="1" w:after="100" w:afterAutospacing="1"/>
        <w:ind w:firstLine="720"/>
        <w:jc w:val="center"/>
        <w:rPr>
          <w:sz w:val="30"/>
          <w:szCs w:val="30"/>
        </w:rPr>
      </w:pPr>
      <w:r w:rsidRPr="00C85DEE">
        <w:rPr>
          <w:sz w:val="30"/>
          <w:szCs w:val="30"/>
        </w:rPr>
        <w:t xml:space="preserve">Version 1 </w:t>
      </w:r>
      <w:r>
        <w:rPr>
          <w:sz w:val="30"/>
          <w:szCs w:val="30"/>
        </w:rPr>
        <w:t>March 2020</w:t>
      </w:r>
    </w:p>
    <w:p w:rsidRPr="00C85DEE" w:rsidR="00B843A1" w:rsidP="00B843A1" w:rsidRDefault="00B843A1" w14:paraId="3C4FED80" w14:textId="77777777">
      <w:pPr>
        <w:jc w:val="center"/>
        <w:rPr>
          <w:sz w:val="26"/>
          <w:szCs w:val="26"/>
        </w:rPr>
      </w:pPr>
    </w:p>
    <w:p w:rsidRPr="00C85DEE" w:rsidR="00B843A1" w:rsidP="00B843A1" w:rsidRDefault="00B843A1" w14:paraId="6157247C" w14:textId="77777777"/>
    <w:p w:rsidRPr="00C85DEE" w:rsidR="00B843A1" w:rsidP="00B843A1" w:rsidRDefault="00B843A1" w14:paraId="671F92D8"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B843A1" w:rsidP="00B843A1" w:rsidRDefault="00B843A1" w14:paraId="41515497" w14:textId="77777777">
      <w:pPr>
        <w:pStyle w:val="TOC1"/>
        <w:rPr>
          <w:rFonts w:asciiTheme="minorHAnsi" w:hAnsiTheme="minorHAnsi" w:eastAsiaTheme="minorEastAsia" w:cstheme="minorBidi"/>
          <w:noProof/>
        </w:rPr>
      </w:pPr>
      <w:r w:rsidRPr="00C85DEE">
        <w:rPr>
          <w:rFonts w:ascii="Times New Roman" w:hAnsi="Times New Roman" w:eastAsia="Calibri"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hAnsi="Times New Roman" w:eastAsia="Calibri" w:cs="Times New Roman"/>
          <w:sz w:val="20"/>
          <w:szCs w:val="20"/>
        </w:rPr>
        <w:fldChar w:fldCharType="separate"/>
      </w:r>
      <w:hyperlink w:history="1" w:anchor="_Toc17919972">
        <w:r w:rsidRPr="0065552B">
          <w:rPr>
            <w:rStyle w:val="Hyperlink"/>
            <w:rFonts w:ascii="Times New Roman" w:hAnsi="Times New Roman"/>
            <w:noProof/>
          </w:rPr>
          <w:t>Executive Summary</w:t>
        </w:r>
        <w:r>
          <w:rPr>
            <w:noProof/>
            <w:webHidden/>
          </w:rPr>
          <w:tab/>
        </w:r>
        <w:r>
          <w:rPr>
            <w:noProof/>
            <w:webHidden/>
          </w:rPr>
          <w:fldChar w:fldCharType="begin"/>
        </w:r>
        <w:r>
          <w:rPr>
            <w:noProof/>
            <w:webHidden/>
          </w:rPr>
          <w:instrText xml:space="preserve"> PAGEREF _Toc17919972 \h </w:instrText>
        </w:r>
        <w:r>
          <w:rPr>
            <w:noProof/>
            <w:webHidden/>
          </w:rPr>
        </w:r>
        <w:r>
          <w:rPr>
            <w:noProof/>
            <w:webHidden/>
          </w:rPr>
          <w:fldChar w:fldCharType="separate"/>
        </w:r>
        <w:r>
          <w:rPr>
            <w:noProof/>
            <w:webHidden/>
          </w:rPr>
          <w:t>3</w:t>
        </w:r>
        <w:r>
          <w:rPr>
            <w:noProof/>
            <w:webHidden/>
          </w:rPr>
          <w:fldChar w:fldCharType="end"/>
        </w:r>
      </w:hyperlink>
    </w:p>
    <w:p w:rsidR="00B843A1" w:rsidP="00B843A1" w:rsidRDefault="004421BB" w14:paraId="682702D0" w14:textId="77777777">
      <w:pPr>
        <w:pStyle w:val="TOC1"/>
        <w:rPr>
          <w:rFonts w:asciiTheme="minorHAnsi" w:hAnsiTheme="minorHAnsi" w:eastAsiaTheme="minorEastAsia" w:cstheme="minorBidi"/>
          <w:noProof/>
        </w:rPr>
      </w:pPr>
      <w:hyperlink w:history="1" w:anchor="_Toc17919973">
        <w:r w:rsidRPr="0065552B" w:rsidR="00B843A1">
          <w:rPr>
            <w:rStyle w:val="Hyperlink"/>
            <w:rFonts w:ascii="Times New Roman" w:hAnsi="Times New Roman"/>
            <w:noProof/>
          </w:rPr>
          <w:t>Part I – Introduction</w:t>
        </w:r>
        <w:r w:rsidR="00B843A1">
          <w:rPr>
            <w:noProof/>
            <w:webHidden/>
          </w:rPr>
          <w:tab/>
        </w:r>
        <w:r w:rsidR="00B843A1">
          <w:rPr>
            <w:noProof/>
            <w:webHidden/>
          </w:rPr>
          <w:fldChar w:fldCharType="begin"/>
        </w:r>
        <w:r w:rsidR="00B843A1">
          <w:rPr>
            <w:noProof/>
            <w:webHidden/>
          </w:rPr>
          <w:instrText xml:space="preserve"> PAGEREF _Toc17919973 \h </w:instrText>
        </w:r>
        <w:r w:rsidR="00B843A1">
          <w:rPr>
            <w:noProof/>
            <w:webHidden/>
          </w:rPr>
        </w:r>
        <w:r w:rsidR="00B843A1">
          <w:rPr>
            <w:noProof/>
            <w:webHidden/>
          </w:rPr>
          <w:fldChar w:fldCharType="separate"/>
        </w:r>
        <w:r w:rsidR="00B843A1">
          <w:rPr>
            <w:noProof/>
            <w:webHidden/>
          </w:rPr>
          <w:t>4</w:t>
        </w:r>
        <w:r w:rsidR="00B843A1">
          <w:rPr>
            <w:noProof/>
            <w:webHidden/>
          </w:rPr>
          <w:fldChar w:fldCharType="end"/>
        </w:r>
      </w:hyperlink>
    </w:p>
    <w:p w:rsidR="00B843A1" w:rsidP="00B843A1" w:rsidRDefault="004421BB" w14:paraId="3BA3DD39" w14:textId="77777777">
      <w:pPr>
        <w:pStyle w:val="TOC2"/>
        <w:rPr>
          <w:rFonts w:asciiTheme="minorHAnsi" w:hAnsiTheme="minorHAnsi" w:eastAsiaTheme="minorEastAsia" w:cstheme="minorBidi"/>
          <w:noProof/>
        </w:rPr>
      </w:pPr>
      <w:hyperlink w:history="1" w:anchor="_Toc17919974">
        <w:r w:rsidRPr="0065552B" w:rsidR="00B843A1">
          <w:rPr>
            <w:rStyle w:val="Hyperlink"/>
            <w:rFonts w:ascii="Times New Roman" w:hAnsi="Times New Roman"/>
            <w:noProof/>
          </w:rPr>
          <w:t>A. Background</w:t>
        </w:r>
        <w:r w:rsidR="00B843A1">
          <w:rPr>
            <w:noProof/>
            <w:webHidden/>
          </w:rPr>
          <w:tab/>
        </w:r>
        <w:r w:rsidR="00B843A1">
          <w:rPr>
            <w:noProof/>
            <w:webHidden/>
          </w:rPr>
          <w:fldChar w:fldCharType="begin"/>
        </w:r>
        <w:r w:rsidR="00B843A1">
          <w:rPr>
            <w:noProof/>
            <w:webHidden/>
          </w:rPr>
          <w:instrText xml:space="preserve"> PAGEREF _Toc17919974 \h </w:instrText>
        </w:r>
        <w:r w:rsidR="00B843A1">
          <w:rPr>
            <w:noProof/>
            <w:webHidden/>
          </w:rPr>
        </w:r>
        <w:r w:rsidR="00B843A1">
          <w:rPr>
            <w:noProof/>
            <w:webHidden/>
          </w:rPr>
          <w:fldChar w:fldCharType="separate"/>
        </w:r>
        <w:r w:rsidR="00B843A1">
          <w:rPr>
            <w:noProof/>
            <w:webHidden/>
          </w:rPr>
          <w:t>4</w:t>
        </w:r>
        <w:r w:rsidR="00B843A1">
          <w:rPr>
            <w:noProof/>
            <w:webHidden/>
          </w:rPr>
          <w:fldChar w:fldCharType="end"/>
        </w:r>
      </w:hyperlink>
    </w:p>
    <w:p w:rsidR="00B843A1" w:rsidP="00B843A1" w:rsidRDefault="004421BB" w14:paraId="186AB09F" w14:textId="77777777">
      <w:pPr>
        <w:pStyle w:val="TOC2"/>
        <w:rPr>
          <w:rFonts w:asciiTheme="minorHAnsi" w:hAnsiTheme="minorHAnsi" w:eastAsiaTheme="minorEastAsia" w:cstheme="minorBidi"/>
          <w:noProof/>
        </w:rPr>
      </w:pPr>
      <w:hyperlink w:history="1" w:anchor="_Toc17919975">
        <w:r w:rsidRPr="0065552B" w:rsidR="00B843A1">
          <w:rPr>
            <w:rStyle w:val="Hyperlink"/>
            <w:rFonts w:ascii="Times New Roman" w:hAnsi="Times New Roman"/>
            <w:noProof/>
          </w:rPr>
          <w:t>B. Basic Definitions</w:t>
        </w:r>
        <w:r w:rsidR="00B843A1">
          <w:rPr>
            <w:noProof/>
            <w:webHidden/>
          </w:rPr>
          <w:tab/>
        </w:r>
        <w:r w:rsidR="00B843A1">
          <w:rPr>
            <w:noProof/>
            <w:webHidden/>
          </w:rPr>
          <w:fldChar w:fldCharType="begin"/>
        </w:r>
        <w:r w:rsidR="00B843A1">
          <w:rPr>
            <w:noProof/>
            <w:webHidden/>
          </w:rPr>
          <w:instrText xml:space="preserve"> PAGEREF _Toc17919975 \h </w:instrText>
        </w:r>
        <w:r w:rsidR="00B843A1">
          <w:rPr>
            <w:noProof/>
            <w:webHidden/>
          </w:rPr>
        </w:r>
        <w:r w:rsidR="00B843A1">
          <w:rPr>
            <w:noProof/>
            <w:webHidden/>
          </w:rPr>
          <w:fldChar w:fldCharType="separate"/>
        </w:r>
        <w:r w:rsidR="00B843A1">
          <w:rPr>
            <w:noProof/>
            <w:webHidden/>
          </w:rPr>
          <w:t>5</w:t>
        </w:r>
        <w:r w:rsidR="00B843A1">
          <w:rPr>
            <w:noProof/>
            <w:webHidden/>
          </w:rPr>
          <w:fldChar w:fldCharType="end"/>
        </w:r>
      </w:hyperlink>
    </w:p>
    <w:p w:rsidR="00B843A1" w:rsidP="00B843A1" w:rsidRDefault="004421BB" w14:paraId="5006803A" w14:textId="77777777">
      <w:pPr>
        <w:pStyle w:val="TOC2"/>
        <w:rPr>
          <w:rFonts w:asciiTheme="minorHAnsi" w:hAnsiTheme="minorHAnsi" w:eastAsiaTheme="minorEastAsia" w:cstheme="minorBidi"/>
          <w:noProof/>
        </w:rPr>
      </w:pPr>
      <w:hyperlink w:history="1" w:anchor="_Toc17919976">
        <w:r w:rsidRPr="0065552B" w:rsidR="00B843A1">
          <w:rPr>
            <w:rStyle w:val="Hyperlink"/>
            <w:rFonts w:ascii="Times New Roman" w:hAnsi="Times New Roman"/>
            <w:noProof/>
          </w:rPr>
          <w:t>C. Application to Veterans Affairs</w:t>
        </w:r>
        <w:r w:rsidR="00B843A1">
          <w:rPr>
            <w:noProof/>
            <w:webHidden/>
          </w:rPr>
          <w:tab/>
        </w:r>
        <w:r w:rsidR="00B843A1">
          <w:rPr>
            <w:noProof/>
            <w:webHidden/>
          </w:rPr>
          <w:fldChar w:fldCharType="begin"/>
        </w:r>
        <w:r w:rsidR="00B843A1">
          <w:rPr>
            <w:noProof/>
            <w:webHidden/>
          </w:rPr>
          <w:instrText xml:space="preserve"> PAGEREF _Toc17919976 \h </w:instrText>
        </w:r>
        <w:r w:rsidR="00B843A1">
          <w:rPr>
            <w:noProof/>
            <w:webHidden/>
          </w:rPr>
        </w:r>
        <w:r w:rsidR="00B843A1">
          <w:rPr>
            <w:noProof/>
            <w:webHidden/>
          </w:rPr>
          <w:fldChar w:fldCharType="separate"/>
        </w:r>
        <w:r w:rsidR="00B843A1">
          <w:rPr>
            <w:noProof/>
            <w:webHidden/>
          </w:rPr>
          <w:t>5</w:t>
        </w:r>
        <w:r w:rsidR="00B843A1">
          <w:rPr>
            <w:noProof/>
            <w:webHidden/>
          </w:rPr>
          <w:fldChar w:fldCharType="end"/>
        </w:r>
      </w:hyperlink>
    </w:p>
    <w:p w:rsidR="00B843A1" w:rsidP="00B843A1" w:rsidRDefault="004421BB" w14:paraId="24722151" w14:textId="77777777">
      <w:pPr>
        <w:pStyle w:val="TOC1"/>
        <w:rPr>
          <w:rFonts w:asciiTheme="minorHAnsi" w:hAnsiTheme="minorHAnsi" w:eastAsiaTheme="minorEastAsia" w:cstheme="minorBidi"/>
          <w:noProof/>
        </w:rPr>
      </w:pPr>
      <w:hyperlink w:history="1" w:anchor="_Toc17919977">
        <w:r w:rsidRPr="0065552B" w:rsidR="00B843A1">
          <w:rPr>
            <w:rStyle w:val="Hyperlink"/>
            <w:rFonts w:ascii="Times New Roman" w:hAnsi="Times New Roman"/>
            <w:noProof/>
          </w:rPr>
          <w:t>Part II – Methodology</w:t>
        </w:r>
        <w:r w:rsidR="00B843A1">
          <w:rPr>
            <w:noProof/>
            <w:webHidden/>
          </w:rPr>
          <w:tab/>
        </w:r>
        <w:r w:rsidR="00B843A1">
          <w:rPr>
            <w:noProof/>
            <w:webHidden/>
          </w:rPr>
          <w:fldChar w:fldCharType="begin"/>
        </w:r>
        <w:r w:rsidR="00B843A1">
          <w:rPr>
            <w:noProof/>
            <w:webHidden/>
          </w:rPr>
          <w:instrText xml:space="preserve"> PAGEREF _Toc17919977 \h </w:instrText>
        </w:r>
        <w:r w:rsidR="00B843A1">
          <w:rPr>
            <w:noProof/>
            <w:webHidden/>
          </w:rPr>
        </w:r>
        <w:r w:rsidR="00B843A1">
          <w:rPr>
            <w:noProof/>
            <w:webHidden/>
          </w:rPr>
          <w:fldChar w:fldCharType="separate"/>
        </w:r>
        <w:r w:rsidR="00B843A1">
          <w:rPr>
            <w:noProof/>
            <w:webHidden/>
          </w:rPr>
          <w:t>5</w:t>
        </w:r>
        <w:r w:rsidR="00B843A1">
          <w:rPr>
            <w:noProof/>
            <w:webHidden/>
          </w:rPr>
          <w:fldChar w:fldCharType="end"/>
        </w:r>
      </w:hyperlink>
    </w:p>
    <w:p w:rsidR="00B843A1" w:rsidP="00B843A1" w:rsidRDefault="004421BB" w14:paraId="4974D7A6" w14:textId="77777777">
      <w:pPr>
        <w:pStyle w:val="TOC2"/>
        <w:rPr>
          <w:rFonts w:asciiTheme="minorHAnsi" w:hAnsiTheme="minorHAnsi" w:eastAsiaTheme="minorEastAsia" w:cstheme="minorBidi"/>
          <w:noProof/>
        </w:rPr>
      </w:pPr>
      <w:hyperlink w:history="1" w:anchor="_Toc17919978">
        <w:r w:rsidRPr="0065552B" w:rsidR="00B843A1">
          <w:rPr>
            <w:rStyle w:val="Hyperlink"/>
            <w:rFonts w:ascii="Times New Roman" w:hAnsi="Times New Roman"/>
            <w:noProof/>
          </w:rPr>
          <w:t>A.  Target Population and Frame</w:t>
        </w:r>
        <w:r w:rsidR="00B843A1">
          <w:rPr>
            <w:noProof/>
            <w:webHidden/>
          </w:rPr>
          <w:tab/>
        </w:r>
        <w:r w:rsidR="00B843A1">
          <w:rPr>
            <w:noProof/>
            <w:webHidden/>
          </w:rPr>
          <w:fldChar w:fldCharType="begin"/>
        </w:r>
        <w:r w:rsidR="00B843A1">
          <w:rPr>
            <w:noProof/>
            <w:webHidden/>
          </w:rPr>
          <w:instrText xml:space="preserve"> PAGEREF _Toc17919978 \h </w:instrText>
        </w:r>
        <w:r w:rsidR="00B843A1">
          <w:rPr>
            <w:noProof/>
            <w:webHidden/>
          </w:rPr>
        </w:r>
        <w:r w:rsidR="00B843A1">
          <w:rPr>
            <w:noProof/>
            <w:webHidden/>
          </w:rPr>
          <w:fldChar w:fldCharType="separate"/>
        </w:r>
        <w:r w:rsidR="00B843A1">
          <w:rPr>
            <w:noProof/>
            <w:webHidden/>
          </w:rPr>
          <w:t>5</w:t>
        </w:r>
        <w:r w:rsidR="00B843A1">
          <w:rPr>
            <w:noProof/>
            <w:webHidden/>
          </w:rPr>
          <w:fldChar w:fldCharType="end"/>
        </w:r>
      </w:hyperlink>
    </w:p>
    <w:p w:rsidR="00B843A1" w:rsidP="00B843A1" w:rsidRDefault="004421BB" w14:paraId="2281D020" w14:textId="77777777">
      <w:pPr>
        <w:pStyle w:val="TOC2"/>
        <w:rPr>
          <w:rFonts w:asciiTheme="minorHAnsi" w:hAnsiTheme="minorHAnsi" w:eastAsiaTheme="minorEastAsia" w:cstheme="minorBidi"/>
          <w:noProof/>
        </w:rPr>
      </w:pPr>
      <w:hyperlink w:history="1" w:anchor="_Toc17919979">
        <w:r w:rsidRPr="0065552B" w:rsidR="00B843A1">
          <w:rPr>
            <w:rStyle w:val="Hyperlink"/>
            <w:rFonts w:ascii="Times New Roman" w:hAnsi="Times New Roman"/>
            <w:noProof/>
          </w:rPr>
          <w:t>B.</w:t>
        </w:r>
        <w:r w:rsidR="00B843A1">
          <w:rPr>
            <w:rFonts w:asciiTheme="minorHAnsi" w:hAnsiTheme="minorHAnsi" w:eastAsiaTheme="minorEastAsia" w:cstheme="minorBidi"/>
            <w:noProof/>
          </w:rPr>
          <w:tab/>
        </w:r>
        <w:r w:rsidRPr="0065552B" w:rsidR="00B843A1">
          <w:rPr>
            <w:rStyle w:val="Hyperlink"/>
            <w:rFonts w:ascii="Times New Roman" w:hAnsi="Times New Roman"/>
            <w:noProof/>
          </w:rPr>
          <w:t>Sample Size Determination</w:t>
        </w:r>
        <w:r w:rsidR="00B843A1">
          <w:rPr>
            <w:noProof/>
            <w:webHidden/>
          </w:rPr>
          <w:tab/>
        </w:r>
        <w:r w:rsidR="00B843A1">
          <w:rPr>
            <w:noProof/>
            <w:webHidden/>
          </w:rPr>
          <w:fldChar w:fldCharType="begin"/>
        </w:r>
        <w:r w:rsidR="00B843A1">
          <w:rPr>
            <w:noProof/>
            <w:webHidden/>
          </w:rPr>
          <w:instrText xml:space="preserve"> PAGEREF _Toc17919979 \h </w:instrText>
        </w:r>
        <w:r w:rsidR="00B843A1">
          <w:rPr>
            <w:noProof/>
            <w:webHidden/>
          </w:rPr>
        </w:r>
        <w:r w:rsidR="00B843A1">
          <w:rPr>
            <w:noProof/>
            <w:webHidden/>
          </w:rPr>
          <w:fldChar w:fldCharType="separate"/>
        </w:r>
        <w:r w:rsidR="00B843A1">
          <w:rPr>
            <w:noProof/>
            <w:webHidden/>
          </w:rPr>
          <w:t>6</w:t>
        </w:r>
        <w:r w:rsidR="00B843A1">
          <w:rPr>
            <w:noProof/>
            <w:webHidden/>
          </w:rPr>
          <w:fldChar w:fldCharType="end"/>
        </w:r>
      </w:hyperlink>
    </w:p>
    <w:p w:rsidR="00B843A1" w:rsidP="00B843A1" w:rsidRDefault="004421BB" w14:paraId="691A26C7" w14:textId="77777777">
      <w:pPr>
        <w:pStyle w:val="TOC2"/>
        <w:rPr>
          <w:rFonts w:asciiTheme="minorHAnsi" w:hAnsiTheme="minorHAnsi" w:eastAsiaTheme="minorEastAsia" w:cstheme="minorBidi"/>
          <w:noProof/>
        </w:rPr>
      </w:pPr>
      <w:hyperlink w:history="1" w:anchor="_Toc17919980">
        <w:r w:rsidRPr="0065552B" w:rsidR="00B843A1">
          <w:rPr>
            <w:rStyle w:val="Hyperlink"/>
            <w:b/>
            <w:noProof/>
          </w:rPr>
          <w:t>C.</w:t>
        </w:r>
        <w:r w:rsidR="00B843A1">
          <w:rPr>
            <w:rFonts w:asciiTheme="minorHAnsi" w:hAnsiTheme="minorHAnsi" w:eastAsiaTheme="minorEastAsia" w:cstheme="minorBidi"/>
            <w:noProof/>
          </w:rPr>
          <w:tab/>
        </w:r>
        <w:r w:rsidRPr="0065552B" w:rsidR="00B843A1">
          <w:rPr>
            <w:rStyle w:val="Hyperlink"/>
            <w:b/>
            <w:noProof/>
          </w:rPr>
          <w:t>Stratification</w:t>
        </w:r>
        <w:r w:rsidR="00B843A1">
          <w:rPr>
            <w:noProof/>
            <w:webHidden/>
          </w:rPr>
          <w:tab/>
        </w:r>
        <w:r w:rsidR="00B843A1">
          <w:rPr>
            <w:noProof/>
            <w:webHidden/>
          </w:rPr>
          <w:fldChar w:fldCharType="begin"/>
        </w:r>
        <w:r w:rsidR="00B843A1">
          <w:rPr>
            <w:noProof/>
            <w:webHidden/>
          </w:rPr>
          <w:instrText xml:space="preserve"> PAGEREF _Toc17919980 \h </w:instrText>
        </w:r>
        <w:r w:rsidR="00B843A1">
          <w:rPr>
            <w:noProof/>
            <w:webHidden/>
          </w:rPr>
        </w:r>
        <w:r w:rsidR="00B843A1">
          <w:rPr>
            <w:noProof/>
            <w:webHidden/>
          </w:rPr>
          <w:fldChar w:fldCharType="separate"/>
        </w:r>
        <w:r w:rsidR="00B843A1">
          <w:rPr>
            <w:noProof/>
            <w:webHidden/>
          </w:rPr>
          <w:t>7</w:t>
        </w:r>
        <w:r w:rsidR="00B843A1">
          <w:rPr>
            <w:noProof/>
            <w:webHidden/>
          </w:rPr>
          <w:fldChar w:fldCharType="end"/>
        </w:r>
      </w:hyperlink>
    </w:p>
    <w:p w:rsidR="00B843A1" w:rsidP="00B843A1" w:rsidRDefault="004421BB" w14:paraId="2B4E8140" w14:textId="77777777">
      <w:pPr>
        <w:pStyle w:val="TOC2"/>
        <w:rPr>
          <w:rFonts w:asciiTheme="minorHAnsi" w:hAnsiTheme="minorHAnsi" w:eastAsiaTheme="minorEastAsia" w:cstheme="minorBidi"/>
          <w:noProof/>
        </w:rPr>
      </w:pPr>
      <w:hyperlink w:history="1" w:anchor="_Toc17919981">
        <w:r w:rsidRPr="0065552B" w:rsidR="00B843A1">
          <w:rPr>
            <w:rStyle w:val="Hyperlink"/>
            <w:rFonts w:ascii="Times New Roman" w:hAnsi="Times New Roman"/>
            <w:noProof/>
          </w:rPr>
          <w:t>D.</w:t>
        </w:r>
        <w:r w:rsidR="00B843A1">
          <w:rPr>
            <w:rFonts w:asciiTheme="minorHAnsi" w:hAnsiTheme="minorHAnsi" w:eastAsiaTheme="minorEastAsia" w:cstheme="minorBidi"/>
            <w:noProof/>
          </w:rPr>
          <w:tab/>
        </w:r>
        <w:r w:rsidRPr="0065552B" w:rsidR="00B843A1">
          <w:rPr>
            <w:rStyle w:val="Hyperlink"/>
            <w:rFonts w:ascii="Times New Roman" w:hAnsi="Times New Roman"/>
            <w:noProof/>
          </w:rPr>
          <w:t>Data Collection Methods</w:t>
        </w:r>
        <w:r w:rsidR="00B843A1">
          <w:rPr>
            <w:noProof/>
            <w:webHidden/>
          </w:rPr>
          <w:tab/>
        </w:r>
        <w:r w:rsidR="00B843A1">
          <w:rPr>
            <w:noProof/>
            <w:webHidden/>
          </w:rPr>
          <w:fldChar w:fldCharType="begin"/>
        </w:r>
        <w:r w:rsidR="00B843A1">
          <w:rPr>
            <w:noProof/>
            <w:webHidden/>
          </w:rPr>
          <w:instrText xml:space="preserve"> PAGEREF _Toc17919981 \h </w:instrText>
        </w:r>
        <w:r w:rsidR="00B843A1">
          <w:rPr>
            <w:noProof/>
            <w:webHidden/>
          </w:rPr>
        </w:r>
        <w:r w:rsidR="00B843A1">
          <w:rPr>
            <w:noProof/>
            <w:webHidden/>
          </w:rPr>
          <w:fldChar w:fldCharType="separate"/>
        </w:r>
        <w:r w:rsidR="00B843A1">
          <w:rPr>
            <w:noProof/>
            <w:webHidden/>
          </w:rPr>
          <w:t>7</w:t>
        </w:r>
        <w:r w:rsidR="00B843A1">
          <w:rPr>
            <w:noProof/>
            <w:webHidden/>
          </w:rPr>
          <w:fldChar w:fldCharType="end"/>
        </w:r>
      </w:hyperlink>
    </w:p>
    <w:p w:rsidR="00B843A1" w:rsidP="00B843A1" w:rsidRDefault="004421BB" w14:paraId="7DC14FBC" w14:textId="77777777">
      <w:pPr>
        <w:pStyle w:val="TOC2"/>
        <w:rPr>
          <w:rFonts w:asciiTheme="minorHAnsi" w:hAnsiTheme="minorHAnsi" w:eastAsiaTheme="minorEastAsia" w:cstheme="minorBidi"/>
          <w:noProof/>
        </w:rPr>
      </w:pPr>
      <w:hyperlink w:history="1" w:anchor="_Toc17919982">
        <w:r w:rsidRPr="0065552B" w:rsidR="00B843A1">
          <w:rPr>
            <w:rStyle w:val="Hyperlink"/>
            <w:rFonts w:ascii="Times New Roman" w:hAnsi="Times New Roman"/>
            <w:noProof/>
          </w:rPr>
          <w:t>E.</w:t>
        </w:r>
        <w:r w:rsidR="00B843A1">
          <w:rPr>
            <w:rFonts w:asciiTheme="minorHAnsi" w:hAnsiTheme="minorHAnsi" w:eastAsiaTheme="minorEastAsia" w:cstheme="minorBidi"/>
            <w:noProof/>
          </w:rPr>
          <w:tab/>
        </w:r>
        <w:r w:rsidRPr="0065552B" w:rsidR="00B843A1">
          <w:rPr>
            <w:rStyle w:val="Hyperlink"/>
            <w:rFonts w:ascii="Times New Roman" w:hAnsi="Times New Roman"/>
            <w:noProof/>
          </w:rPr>
          <w:t>Reporting</w:t>
        </w:r>
        <w:r w:rsidR="00B843A1">
          <w:rPr>
            <w:noProof/>
            <w:webHidden/>
          </w:rPr>
          <w:tab/>
        </w:r>
        <w:r w:rsidR="00B843A1">
          <w:rPr>
            <w:noProof/>
            <w:webHidden/>
          </w:rPr>
          <w:fldChar w:fldCharType="begin"/>
        </w:r>
        <w:r w:rsidR="00B843A1">
          <w:rPr>
            <w:noProof/>
            <w:webHidden/>
          </w:rPr>
          <w:instrText xml:space="preserve"> PAGEREF _Toc17919982 \h </w:instrText>
        </w:r>
        <w:r w:rsidR="00B843A1">
          <w:rPr>
            <w:noProof/>
            <w:webHidden/>
          </w:rPr>
        </w:r>
        <w:r w:rsidR="00B843A1">
          <w:rPr>
            <w:noProof/>
            <w:webHidden/>
          </w:rPr>
          <w:fldChar w:fldCharType="separate"/>
        </w:r>
        <w:r w:rsidR="00B843A1">
          <w:rPr>
            <w:noProof/>
            <w:webHidden/>
          </w:rPr>
          <w:t>8</w:t>
        </w:r>
        <w:r w:rsidR="00B843A1">
          <w:rPr>
            <w:noProof/>
            <w:webHidden/>
          </w:rPr>
          <w:fldChar w:fldCharType="end"/>
        </w:r>
      </w:hyperlink>
    </w:p>
    <w:p w:rsidR="00B843A1" w:rsidP="00B843A1" w:rsidRDefault="004421BB" w14:paraId="7C1CD72E" w14:textId="77777777">
      <w:pPr>
        <w:pStyle w:val="TOC2"/>
        <w:rPr>
          <w:rFonts w:asciiTheme="minorHAnsi" w:hAnsiTheme="minorHAnsi" w:eastAsiaTheme="minorEastAsia" w:cstheme="minorBidi"/>
          <w:noProof/>
        </w:rPr>
      </w:pPr>
      <w:hyperlink w:history="1" w:anchor="_Toc17919983">
        <w:r w:rsidRPr="0065552B" w:rsidR="00B843A1">
          <w:rPr>
            <w:rStyle w:val="Hyperlink"/>
            <w:rFonts w:ascii="Times New Roman" w:hAnsi="Times New Roman"/>
            <w:noProof/>
          </w:rPr>
          <w:t>F.</w:t>
        </w:r>
        <w:r w:rsidR="00B843A1">
          <w:rPr>
            <w:rFonts w:asciiTheme="minorHAnsi" w:hAnsiTheme="minorHAnsi" w:eastAsiaTheme="minorEastAsia" w:cstheme="minorBidi"/>
            <w:noProof/>
          </w:rPr>
          <w:tab/>
        </w:r>
        <w:r w:rsidRPr="0065552B" w:rsidR="00B843A1">
          <w:rPr>
            <w:rStyle w:val="Hyperlink"/>
            <w:rFonts w:ascii="Times New Roman" w:hAnsi="Times New Roman"/>
            <w:noProof/>
          </w:rPr>
          <w:t>Quality Control</w:t>
        </w:r>
        <w:r w:rsidR="00B843A1">
          <w:rPr>
            <w:noProof/>
            <w:webHidden/>
          </w:rPr>
          <w:tab/>
        </w:r>
        <w:r w:rsidR="00B843A1">
          <w:rPr>
            <w:noProof/>
            <w:webHidden/>
          </w:rPr>
          <w:fldChar w:fldCharType="begin"/>
        </w:r>
        <w:r w:rsidR="00B843A1">
          <w:rPr>
            <w:noProof/>
            <w:webHidden/>
          </w:rPr>
          <w:instrText xml:space="preserve"> PAGEREF _Toc17919983 \h </w:instrText>
        </w:r>
        <w:r w:rsidR="00B843A1">
          <w:rPr>
            <w:noProof/>
            <w:webHidden/>
          </w:rPr>
        </w:r>
        <w:r w:rsidR="00B843A1">
          <w:rPr>
            <w:noProof/>
            <w:webHidden/>
          </w:rPr>
          <w:fldChar w:fldCharType="separate"/>
        </w:r>
        <w:r w:rsidR="00B843A1">
          <w:rPr>
            <w:noProof/>
            <w:webHidden/>
          </w:rPr>
          <w:t>8</w:t>
        </w:r>
        <w:r w:rsidR="00B843A1">
          <w:rPr>
            <w:noProof/>
            <w:webHidden/>
          </w:rPr>
          <w:fldChar w:fldCharType="end"/>
        </w:r>
      </w:hyperlink>
    </w:p>
    <w:p w:rsidR="00B843A1" w:rsidP="00B843A1" w:rsidRDefault="004421BB" w14:paraId="7977F186" w14:textId="77777777">
      <w:pPr>
        <w:pStyle w:val="TOC2"/>
        <w:rPr>
          <w:rFonts w:asciiTheme="minorHAnsi" w:hAnsiTheme="minorHAnsi" w:eastAsiaTheme="minorEastAsia" w:cstheme="minorBidi"/>
          <w:noProof/>
        </w:rPr>
      </w:pPr>
      <w:hyperlink w:history="1" w:anchor="_Toc17919984">
        <w:r w:rsidRPr="0065552B" w:rsidR="00B843A1">
          <w:rPr>
            <w:rStyle w:val="Hyperlink"/>
            <w:rFonts w:ascii="Times New Roman" w:hAnsi="Times New Roman"/>
            <w:noProof/>
          </w:rPr>
          <w:t>G.</w:t>
        </w:r>
        <w:r w:rsidR="00B843A1">
          <w:rPr>
            <w:rFonts w:asciiTheme="minorHAnsi" w:hAnsiTheme="minorHAnsi" w:eastAsiaTheme="minorEastAsia" w:cstheme="minorBidi"/>
            <w:noProof/>
          </w:rPr>
          <w:tab/>
        </w:r>
        <w:r w:rsidRPr="0065552B" w:rsidR="00B843A1">
          <w:rPr>
            <w:rStyle w:val="Hyperlink"/>
            <w:rFonts w:ascii="Times New Roman" w:hAnsi="Times New Roman"/>
            <w:noProof/>
          </w:rPr>
          <w:t>Sample Weighting, Coverage Bias, and Non-Response Bias</w:t>
        </w:r>
        <w:r w:rsidR="00B843A1">
          <w:rPr>
            <w:noProof/>
            <w:webHidden/>
          </w:rPr>
          <w:tab/>
        </w:r>
        <w:r w:rsidR="00B843A1">
          <w:rPr>
            <w:noProof/>
            <w:webHidden/>
          </w:rPr>
          <w:fldChar w:fldCharType="begin"/>
        </w:r>
        <w:r w:rsidR="00B843A1">
          <w:rPr>
            <w:noProof/>
            <w:webHidden/>
          </w:rPr>
          <w:instrText xml:space="preserve"> PAGEREF _Toc17919984 \h </w:instrText>
        </w:r>
        <w:r w:rsidR="00B843A1">
          <w:rPr>
            <w:noProof/>
            <w:webHidden/>
          </w:rPr>
        </w:r>
        <w:r w:rsidR="00B843A1">
          <w:rPr>
            <w:noProof/>
            <w:webHidden/>
          </w:rPr>
          <w:fldChar w:fldCharType="separate"/>
        </w:r>
        <w:r w:rsidR="00B843A1">
          <w:rPr>
            <w:noProof/>
            <w:webHidden/>
          </w:rPr>
          <w:t>9</w:t>
        </w:r>
        <w:r w:rsidR="00B843A1">
          <w:rPr>
            <w:noProof/>
            <w:webHidden/>
          </w:rPr>
          <w:fldChar w:fldCharType="end"/>
        </w:r>
      </w:hyperlink>
    </w:p>
    <w:p w:rsidR="00B843A1" w:rsidP="00B843A1" w:rsidRDefault="004421BB" w14:paraId="09799E97" w14:textId="77777777">
      <w:pPr>
        <w:pStyle w:val="TOC2"/>
        <w:rPr>
          <w:rFonts w:asciiTheme="minorHAnsi" w:hAnsiTheme="minorHAnsi" w:eastAsiaTheme="minorEastAsia" w:cstheme="minorBidi"/>
          <w:noProof/>
        </w:rPr>
      </w:pPr>
      <w:hyperlink w:history="1" w:anchor="_Toc17919985">
        <w:r w:rsidRPr="0065552B" w:rsidR="00B843A1">
          <w:rPr>
            <w:rStyle w:val="Hyperlink"/>
            <w:rFonts w:ascii="Times New Roman" w:hAnsi="Times New Roman"/>
            <w:noProof/>
          </w:rPr>
          <w:t>H.</w:t>
        </w:r>
        <w:r w:rsidR="00B843A1">
          <w:rPr>
            <w:rFonts w:asciiTheme="minorHAnsi" w:hAnsiTheme="minorHAnsi" w:eastAsiaTheme="minorEastAsia" w:cstheme="minorBidi"/>
            <w:noProof/>
          </w:rPr>
          <w:tab/>
        </w:r>
        <w:r w:rsidRPr="0065552B" w:rsidR="00B843A1">
          <w:rPr>
            <w:rStyle w:val="Hyperlink"/>
            <w:rFonts w:ascii="Times New Roman" w:hAnsi="Times New Roman"/>
            <w:noProof/>
          </w:rPr>
          <w:t>Quarantine Rules</w:t>
        </w:r>
        <w:r w:rsidR="00B843A1">
          <w:rPr>
            <w:noProof/>
            <w:webHidden/>
          </w:rPr>
          <w:tab/>
        </w:r>
        <w:r w:rsidR="00B843A1">
          <w:rPr>
            <w:noProof/>
            <w:webHidden/>
          </w:rPr>
          <w:fldChar w:fldCharType="begin"/>
        </w:r>
        <w:r w:rsidR="00B843A1">
          <w:rPr>
            <w:noProof/>
            <w:webHidden/>
          </w:rPr>
          <w:instrText xml:space="preserve"> PAGEREF _Toc17919985 \h </w:instrText>
        </w:r>
        <w:r w:rsidR="00B843A1">
          <w:rPr>
            <w:noProof/>
            <w:webHidden/>
          </w:rPr>
        </w:r>
        <w:r w:rsidR="00B843A1">
          <w:rPr>
            <w:noProof/>
            <w:webHidden/>
          </w:rPr>
          <w:fldChar w:fldCharType="separate"/>
        </w:r>
        <w:r w:rsidR="00B843A1">
          <w:rPr>
            <w:noProof/>
            <w:webHidden/>
          </w:rPr>
          <w:t>10</w:t>
        </w:r>
        <w:r w:rsidR="00B843A1">
          <w:rPr>
            <w:noProof/>
            <w:webHidden/>
          </w:rPr>
          <w:fldChar w:fldCharType="end"/>
        </w:r>
      </w:hyperlink>
    </w:p>
    <w:p w:rsidR="00B843A1" w:rsidP="00B843A1" w:rsidRDefault="004421BB" w14:paraId="19C5B28B" w14:textId="77777777">
      <w:pPr>
        <w:pStyle w:val="TOC1"/>
        <w:rPr>
          <w:rFonts w:asciiTheme="minorHAnsi" w:hAnsiTheme="minorHAnsi" w:eastAsiaTheme="minorEastAsia" w:cstheme="minorBidi"/>
          <w:noProof/>
        </w:rPr>
      </w:pPr>
      <w:hyperlink w:history="1" w:anchor="_Toc17919986">
        <w:r w:rsidRPr="0065552B" w:rsidR="00B843A1">
          <w:rPr>
            <w:rStyle w:val="Hyperlink"/>
            <w:rFonts w:ascii="Times New Roman" w:hAnsi="Times New Roman"/>
            <w:noProof/>
          </w:rPr>
          <w:t>Part III – Assumptions and Limitations</w:t>
        </w:r>
        <w:r w:rsidR="00B843A1">
          <w:rPr>
            <w:noProof/>
            <w:webHidden/>
          </w:rPr>
          <w:tab/>
        </w:r>
        <w:r w:rsidR="00B843A1">
          <w:rPr>
            <w:noProof/>
            <w:webHidden/>
          </w:rPr>
          <w:fldChar w:fldCharType="begin"/>
        </w:r>
        <w:r w:rsidR="00B843A1">
          <w:rPr>
            <w:noProof/>
            <w:webHidden/>
          </w:rPr>
          <w:instrText xml:space="preserve"> PAGEREF _Toc17919986 \h </w:instrText>
        </w:r>
        <w:r w:rsidR="00B843A1">
          <w:rPr>
            <w:noProof/>
            <w:webHidden/>
          </w:rPr>
        </w:r>
        <w:r w:rsidR="00B843A1">
          <w:rPr>
            <w:noProof/>
            <w:webHidden/>
          </w:rPr>
          <w:fldChar w:fldCharType="separate"/>
        </w:r>
        <w:r w:rsidR="00B843A1">
          <w:rPr>
            <w:noProof/>
            <w:webHidden/>
          </w:rPr>
          <w:t>11</w:t>
        </w:r>
        <w:r w:rsidR="00B843A1">
          <w:rPr>
            <w:noProof/>
            <w:webHidden/>
          </w:rPr>
          <w:fldChar w:fldCharType="end"/>
        </w:r>
      </w:hyperlink>
    </w:p>
    <w:p w:rsidR="00B843A1" w:rsidP="00B843A1" w:rsidRDefault="004421BB" w14:paraId="505F2E00" w14:textId="77777777">
      <w:pPr>
        <w:pStyle w:val="TOC2"/>
        <w:rPr>
          <w:rFonts w:asciiTheme="minorHAnsi" w:hAnsiTheme="minorHAnsi" w:eastAsiaTheme="minorEastAsia" w:cstheme="minorBidi"/>
          <w:noProof/>
        </w:rPr>
      </w:pPr>
      <w:hyperlink w:history="1" w:anchor="_Toc17919987">
        <w:r w:rsidRPr="0065552B" w:rsidR="00B843A1">
          <w:rPr>
            <w:rStyle w:val="Hyperlink"/>
            <w:rFonts w:ascii="Times New Roman" w:hAnsi="Times New Roman"/>
            <w:noProof/>
          </w:rPr>
          <w:t>A. Coverage Bias</w:t>
        </w:r>
        <w:r w:rsidR="00B843A1">
          <w:rPr>
            <w:noProof/>
            <w:webHidden/>
          </w:rPr>
          <w:tab/>
        </w:r>
        <w:r w:rsidR="00B843A1">
          <w:rPr>
            <w:noProof/>
            <w:webHidden/>
          </w:rPr>
          <w:fldChar w:fldCharType="begin"/>
        </w:r>
        <w:r w:rsidR="00B843A1">
          <w:rPr>
            <w:noProof/>
            <w:webHidden/>
          </w:rPr>
          <w:instrText xml:space="preserve"> PAGEREF _Toc17919987 \h </w:instrText>
        </w:r>
        <w:r w:rsidR="00B843A1">
          <w:rPr>
            <w:noProof/>
            <w:webHidden/>
          </w:rPr>
        </w:r>
        <w:r w:rsidR="00B843A1">
          <w:rPr>
            <w:noProof/>
            <w:webHidden/>
          </w:rPr>
          <w:fldChar w:fldCharType="separate"/>
        </w:r>
        <w:r w:rsidR="00B843A1">
          <w:rPr>
            <w:noProof/>
            <w:webHidden/>
          </w:rPr>
          <w:t>11</w:t>
        </w:r>
        <w:r w:rsidR="00B843A1">
          <w:rPr>
            <w:noProof/>
            <w:webHidden/>
          </w:rPr>
          <w:fldChar w:fldCharType="end"/>
        </w:r>
      </w:hyperlink>
    </w:p>
    <w:p w:rsidR="00B843A1" w:rsidP="00B843A1" w:rsidRDefault="004421BB" w14:paraId="6E7495FB" w14:textId="77777777">
      <w:pPr>
        <w:pStyle w:val="TOC2"/>
        <w:rPr>
          <w:rFonts w:asciiTheme="minorHAnsi" w:hAnsiTheme="minorHAnsi" w:eastAsiaTheme="minorEastAsia" w:cstheme="minorBidi"/>
          <w:noProof/>
        </w:rPr>
      </w:pPr>
      <w:hyperlink w:history="1" w:anchor="_Toc17919988">
        <w:r w:rsidRPr="0065552B" w:rsidR="00B843A1">
          <w:rPr>
            <w:rStyle w:val="Hyperlink"/>
            <w:rFonts w:ascii="Times New Roman" w:hAnsi="Times New Roman" w:eastAsia="Calibri"/>
            <w:b/>
            <w:noProof/>
          </w:rPr>
          <w:t>Appendix 3. References</w:t>
        </w:r>
        <w:r w:rsidR="00B843A1">
          <w:rPr>
            <w:noProof/>
            <w:webHidden/>
          </w:rPr>
          <w:tab/>
        </w:r>
        <w:r w:rsidR="00B843A1">
          <w:rPr>
            <w:noProof/>
            <w:webHidden/>
          </w:rPr>
          <w:fldChar w:fldCharType="begin"/>
        </w:r>
        <w:r w:rsidR="00B843A1">
          <w:rPr>
            <w:noProof/>
            <w:webHidden/>
          </w:rPr>
          <w:instrText xml:space="preserve"> PAGEREF _Toc17919988 \h </w:instrText>
        </w:r>
        <w:r w:rsidR="00B843A1">
          <w:rPr>
            <w:noProof/>
            <w:webHidden/>
          </w:rPr>
        </w:r>
        <w:r w:rsidR="00B843A1">
          <w:rPr>
            <w:noProof/>
            <w:webHidden/>
          </w:rPr>
          <w:fldChar w:fldCharType="separate"/>
        </w:r>
        <w:r w:rsidR="00B843A1">
          <w:rPr>
            <w:noProof/>
            <w:webHidden/>
          </w:rPr>
          <w:t>12</w:t>
        </w:r>
        <w:r w:rsidR="00B843A1">
          <w:rPr>
            <w:noProof/>
            <w:webHidden/>
          </w:rPr>
          <w:fldChar w:fldCharType="end"/>
        </w:r>
      </w:hyperlink>
    </w:p>
    <w:p w:rsidR="00B843A1" w:rsidP="00B843A1" w:rsidRDefault="00B843A1" w14:paraId="09AAB22D" w14:textId="77777777">
      <w:pPr>
        <w:pStyle w:val="Heading1"/>
        <w:tabs>
          <w:tab w:val="center" w:leader="dot" w:pos="9346"/>
          <w:tab w:val="right" w:leader="dot" w:pos="11520"/>
        </w:tabs>
        <w:spacing w:after="240"/>
        <w:jc w:val="center"/>
        <w:rPr>
          <w:noProof/>
          <w:sz w:val="20"/>
          <w:szCs w:val="20"/>
        </w:rPr>
      </w:pPr>
      <w:r w:rsidRPr="00C85DEE">
        <w:rPr>
          <w:noProof/>
          <w:sz w:val="20"/>
          <w:szCs w:val="20"/>
        </w:rPr>
        <w:fldChar w:fldCharType="end"/>
      </w:r>
    </w:p>
    <w:p w:rsidR="00B843A1" w:rsidP="00B843A1" w:rsidRDefault="00B843A1" w14:paraId="748222B7" w14:textId="77777777">
      <w:pPr>
        <w:rPr>
          <w:noProof/>
          <w:color w:val="2E74B5"/>
        </w:rPr>
      </w:pPr>
      <w:r>
        <w:rPr>
          <w:noProof/>
        </w:rPr>
        <w:br w:type="page"/>
      </w:r>
    </w:p>
    <w:p w:rsidRPr="00C85DEE" w:rsidR="00B843A1" w:rsidP="00B843A1" w:rsidRDefault="00B843A1" w14:paraId="3F7AB36D" w14:textId="77777777">
      <w:pPr>
        <w:pStyle w:val="Heading1"/>
        <w:tabs>
          <w:tab w:val="center" w:leader="dot" w:pos="9346"/>
          <w:tab w:val="right" w:leader="dot" w:pos="11520"/>
        </w:tabs>
        <w:spacing w:after="240"/>
        <w:jc w:val="center"/>
      </w:pPr>
      <w:bookmarkStart w:name="_Toc17919972" w:id="7"/>
      <w:r w:rsidRPr="00C85DEE">
        <w:t>Executive Summary</w:t>
      </w:r>
      <w:bookmarkEnd w:id="7"/>
    </w:p>
    <w:p w:rsidRPr="00C602DD" w:rsidR="00B843A1" w:rsidP="00B843A1" w:rsidRDefault="00B843A1" w14:paraId="61423AA2" w14:textId="77777777">
      <w:pPr>
        <w:ind w:firstLine="720"/>
      </w:pPr>
      <w:r w:rsidRPr="00C602DD">
        <w:t>The Emergency Medicine survey is designed to measure customer satisfaction after using either</w:t>
      </w:r>
      <w:r>
        <w:t xml:space="preserve"> </w:t>
      </w:r>
      <w:r w:rsidRPr="00C602DD">
        <w:t>the Emergency Department or an Urgent Care department at a VHA facility. Any Veterans who recently</w:t>
      </w:r>
      <w:r>
        <w:t xml:space="preserve"> </w:t>
      </w:r>
      <w:r w:rsidRPr="00C602DD">
        <w:t>obtained these services will be invited to participate in a brief online survey. The purpose of this report is</w:t>
      </w:r>
      <w:r>
        <w:t xml:space="preserve"> </w:t>
      </w:r>
      <w:r w:rsidRPr="00C602DD">
        <w:t>to document the survey methodology and sampling plan of the Emergency Medicine survey.</w:t>
      </w:r>
    </w:p>
    <w:p w:rsidRPr="00C602DD" w:rsidR="00B843A1" w:rsidP="00B843A1" w:rsidRDefault="00B843A1" w14:paraId="44D0311E" w14:textId="77777777">
      <w:pPr>
        <w:ind w:firstLine="720"/>
      </w:pPr>
      <w:r w:rsidRPr="00C602DD">
        <w:t>Veterans experience data is collected by using an online transactional survey disseminated via an</w:t>
      </w:r>
      <w:r>
        <w:t xml:space="preserve"> </w:t>
      </w:r>
      <w:r w:rsidRPr="00C602DD">
        <w:t>invitation email sent to randomly selected Veterans. The data collection occurs once a week within 7 days</w:t>
      </w:r>
      <w:r>
        <w:t xml:space="preserve"> </w:t>
      </w:r>
      <w:r w:rsidRPr="00C602DD">
        <w:t xml:space="preserve">after </w:t>
      </w:r>
      <w:r>
        <w:t>Veterans</w:t>
      </w:r>
      <w:r w:rsidRPr="00C602DD">
        <w:t xml:space="preserve"> have obtained emergency medicine services. The questionnaire is brief and contains general</w:t>
      </w:r>
      <w:r>
        <w:t xml:space="preserve"> </w:t>
      </w:r>
      <w:r w:rsidRPr="00C602DD">
        <w:t>Likert-scale (a scale of 1-5 from Strongly Disagree to Strongly Agree) questions to assess customer</w:t>
      </w:r>
      <w:r>
        <w:t xml:space="preserve"> </w:t>
      </w:r>
      <w:r w:rsidRPr="00C602DD">
        <w:t>satisfaction, as well as questions assessing the knowledge, speed, and manner of the interaction. After the</w:t>
      </w:r>
      <w:r>
        <w:t xml:space="preserve"> </w:t>
      </w:r>
      <w:r w:rsidRPr="00C602DD">
        <w:t>survey has been distributed, recipients have two weeks to complete the survey and will receive a reminder</w:t>
      </w:r>
      <w:r>
        <w:t xml:space="preserve"> </w:t>
      </w:r>
      <w:r w:rsidRPr="00C602DD">
        <w:t>email after one week.</w:t>
      </w:r>
    </w:p>
    <w:p w:rsidRPr="00C602DD" w:rsidR="00B843A1" w:rsidP="00B843A1" w:rsidRDefault="00B843A1" w14:paraId="01F924B1" w14:textId="77777777">
      <w:pPr>
        <w:ind w:firstLine="720"/>
      </w:pPr>
      <w:r w:rsidRPr="00C602DD">
        <w:t>The overall sample size for the Emergency Medicine population is determined so that the</w:t>
      </w:r>
      <w:r>
        <w:t xml:space="preserve"> </w:t>
      </w:r>
      <w:r w:rsidRPr="00C602DD">
        <w:t>reliability of monthly survey estimate is at 3% Margin of Error at the 95% Confidence Level. Once data</w:t>
      </w:r>
      <w:r>
        <w:t xml:space="preserve"> </w:t>
      </w:r>
      <w:r w:rsidRPr="00C602DD">
        <w:t>collection is completed, the participant responses in the online survey will be weighted so that the</w:t>
      </w:r>
      <w:r>
        <w:t xml:space="preserve"> </w:t>
      </w:r>
      <w:r w:rsidRPr="00C602DD">
        <w:t>samples more closely represent the overall population. Weighting models will rely on the following: age,</w:t>
      </w:r>
      <w:r>
        <w:t xml:space="preserve"> </w:t>
      </w:r>
      <w:r w:rsidRPr="00C602DD">
        <w:t>gender, facility complexity and urban/non-urban status.</w:t>
      </w:r>
    </w:p>
    <w:p w:rsidR="00B843A1" w:rsidP="00B843A1" w:rsidRDefault="00B843A1" w14:paraId="4E015724" w14:textId="77777777">
      <w:pPr>
        <w:ind w:firstLine="720"/>
      </w:pPr>
      <w:r w:rsidRPr="00C602DD">
        <w:t xml:space="preserve"> This report describes the methodology used to conduct the Emergency Medicine survey.</w:t>
      </w:r>
      <w:r>
        <w:t xml:space="preserve"> </w:t>
      </w:r>
      <w:r w:rsidRPr="00C602DD">
        <w:t>Information about quality assurance protocols, as well as limitations of the survey methodology, is also</w:t>
      </w:r>
      <w:r>
        <w:t xml:space="preserve"> </w:t>
      </w:r>
      <w:r w:rsidRPr="00C602DD">
        <w:t>included in this report.</w:t>
      </w:r>
    </w:p>
    <w:p w:rsidRPr="00F53200" w:rsidR="00B843A1" w:rsidP="00B843A1" w:rsidRDefault="00B843A1" w14:paraId="2478ECCE" w14:textId="77777777">
      <w:pPr>
        <w:ind w:firstLine="720"/>
      </w:pPr>
      <w:r w:rsidRPr="00F53200">
        <w:t xml:space="preserve">  </w:t>
      </w:r>
    </w:p>
    <w:p w:rsidR="00B843A1" w:rsidP="00B843A1" w:rsidRDefault="00B843A1" w14:paraId="4E215475" w14:textId="77777777">
      <w:pPr>
        <w:rPr>
          <w:color w:val="2E74B5"/>
          <w:sz w:val="32"/>
          <w:szCs w:val="32"/>
        </w:rPr>
      </w:pPr>
      <w:r>
        <w:br w:type="page"/>
      </w:r>
    </w:p>
    <w:p w:rsidRPr="00C85DEE" w:rsidR="00B843A1" w:rsidP="00B843A1" w:rsidRDefault="00B843A1" w14:paraId="6FB1DA21" w14:textId="77777777">
      <w:pPr>
        <w:pStyle w:val="Heading1"/>
        <w:spacing w:after="240"/>
      </w:pPr>
      <w:bookmarkStart w:name="_Toc17919973" w:id="8"/>
      <w:r w:rsidRPr="00C85DEE">
        <w:t>Part I – Introduction</w:t>
      </w:r>
      <w:bookmarkEnd w:id="8"/>
    </w:p>
    <w:p w:rsidRPr="007859C2" w:rsidR="00B843A1" w:rsidP="00B843A1" w:rsidRDefault="00B843A1" w14:paraId="150A04B9" w14:textId="77777777">
      <w:pPr>
        <w:pStyle w:val="Heading2"/>
        <w:spacing w:after="240"/>
      </w:pPr>
      <w:bookmarkStart w:name="_Toc17919974" w:id="9"/>
      <w:bookmarkStart w:name="_Hlk511300100" w:id="10"/>
      <w:r w:rsidRPr="007859C2">
        <w:t>A. Background</w:t>
      </w:r>
      <w:bookmarkEnd w:id="9"/>
      <w:r w:rsidRPr="007859C2">
        <w:t xml:space="preserve"> </w:t>
      </w:r>
    </w:p>
    <w:p w:rsidRPr="007859C2" w:rsidR="00B843A1" w:rsidP="00B843A1" w:rsidRDefault="00B843A1" w14:paraId="3C63F3DD" w14:textId="77777777">
      <w:r w:rsidRPr="007859C2">
        <w:tab/>
      </w:r>
      <w:bookmarkStart w:name="_Toc490572151" w:id="11"/>
      <w:bookmarkStart w:name="_Hlk511314360" w:id="12"/>
      <w:bookmarkEnd w:id="10"/>
      <w:r w:rsidRPr="007859C2">
        <w:t xml:space="preserve">The </w:t>
      </w:r>
      <w:r w:rsidRPr="007859C2">
        <w:rPr>
          <w:b/>
        </w:rPr>
        <w:t xml:space="preserve">Enterprise Measurement and </w:t>
      </w:r>
      <w:r>
        <w:rPr>
          <w:b/>
        </w:rPr>
        <w:t>Design</w:t>
      </w:r>
      <w:r w:rsidRPr="007859C2">
        <w:rPr>
          <w:i/>
        </w:rPr>
        <w:t xml:space="preserve"> </w:t>
      </w:r>
      <w:r w:rsidRPr="007859C2">
        <w:t>team (EM</w:t>
      </w:r>
      <w:r>
        <w:t>D</w:t>
      </w:r>
      <w:r w:rsidRPr="007859C2">
        <w:t xml:space="preserve">) is part of the </w:t>
      </w:r>
      <w:r w:rsidRPr="007859C2">
        <w:rPr>
          <w:b/>
        </w:rPr>
        <w:t xml:space="preserve">Insights and Analytics </w:t>
      </w:r>
      <w:r w:rsidRPr="007859C2">
        <w:t xml:space="preserve">(I&amp;A) division within the </w:t>
      </w:r>
      <w:r w:rsidRPr="007859C2">
        <w:rPr>
          <w:b/>
        </w:rPr>
        <w:t xml:space="preserve">Veterans Experience Office </w:t>
      </w:r>
      <w:r w:rsidRPr="007859C2">
        <w:t>(VEO). The</w:t>
      </w:r>
      <w:r w:rsidRPr="007859C2">
        <w:rPr>
          <w:b/>
        </w:rPr>
        <w:t xml:space="preserve"> </w:t>
      </w:r>
      <w:r w:rsidRPr="007859C2">
        <w:t>EM</w:t>
      </w:r>
      <w:r>
        <w:t>D</w:t>
      </w:r>
      <w:r w:rsidRPr="007859C2">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7859C2">
        <w:rPr>
          <w:i/>
        </w:rPr>
        <w:t>probability</w:t>
      </w:r>
      <w:r w:rsidRPr="007859C2">
        <w:t xml:space="preserve"> samples which only contact minimal numbers of Veterans necessary to obtain reliable estimates. This information is subsequently used by internal stakeholders to monitor, evaluate, and improve beneficiary processes. Veterans are always able to decline </w:t>
      </w:r>
      <w:proofErr w:type="gramStart"/>
      <w:r w:rsidRPr="007859C2">
        <w:t>participation, and</w:t>
      </w:r>
      <w:proofErr w:type="gramEnd"/>
      <w:r w:rsidRPr="007859C2">
        <w:t xml:space="preserve"> have the ability to opt out of future invitations. A </w:t>
      </w:r>
      <w:r w:rsidRPr="007859C2">
        <w:rPr>
          <w:i/>
        </w:rPr>
        <w:t>quarantine</w:t>
      </w:r>
      <w:r w:rsidRPr="007859C2">
        <w:t xml:space="preserve"> protocol is maintained to limit the number of times a Veteran may be contacted, in order to prevent survey fatigue, across all VEO surveys. </w:t>
      </w:r>
    </w:p>
    <w:p w:rsidR="00B843A1" w:rsidP="00B843A1" w:rsidRDefault="00B843A1" w14:paraId="618F4A23" w14:textId="77777777">
      <w:pPr>
        <w:ind w:firstLine="720"/>
      </w:pPr>
      <w:r w:rsidRPr="007859C2">
        <w:t xml:space="preserve">Surveys issued by </w:t>
      </w:r>
      <w:r>
        <w:t>VEO</w:t>
      </w:r>
      <w:r w:rsidRPr="007859C2">
        <w:t xml:space="preserve"> are generally brief in </w:t>
      </w:r>
      <w:proofErr w:type="gramStart"/>
      <w:r w:rsidRPr="007859C2">
        <w:t>nature, and</w:t>
      </w:r>
      <w:proofErr w:type="gramEnd"/>
      <w:r w:rsidRPr="007859C2">
        <w:t xml:space="preserve"> present a low amount of burden to Veterans. A few targeted questions will utilize a human centered design (HCD) methodology, revolving </w:t>
      </w:r>
      <w:proofErr w:type="spellStart"/>
      <w:r w:rsidRPr="007859C2">
        <w:t>around</w:t>
      </w:r>
      <w:r>
        <w:t>seven</w:t>
      </w:r>
      <w:proofErr w:type="spellEnd"/>
      <w:r>
        <w:t>:</w:t>
      </w:r>
    </w:p>
    <w:p w:rsidRPr="00A57565" w:rsidR="00B843A1" w:rsidP="00B843A1" w:rsidRDefault="00B843A1" w14:paraId="511C0D49" w14:textId="77777777">
      <w:pPr>
        <w:pStyle w:val="ListParagraph"/>
        <w:numPr>
          <w:ilvl w:val="0"/>
          <w:numId w:val="34"/>
        </w:numPr>
        <w:spacing w:after="160" w:line="259" w:lineRule="auto"/>
      </w:pPr>
      <w:r w:rsidRPr="00A57565">
        <w:t>Overall: (1) Satisfaction, (2) Confidence/Trust</w:t>
      </w:r>
    </w:p>
    <w:p w:rsidRPr="00A57565" w:rsidR="00B843A1" w:rsidP="00B843A1" w:rsidRDefault="00B843A1" w14:paraId="3C368AED" w14:textId="77777777">
      <w:pPr>
        <w:pStyle w:val="ListParagraph"/>
        <w:numPr>
          <w:ilvl w:val="0"/>
          <w:numId w:val="34"/>
        </w:numPr>
        <w:spacing w:after="160" w:line="259" w:lineRule="auto"/>
      </w:pPr>
      <w:r w:rsidRPr="00A57565">
        <w:t>Service: (3) Effectiveness/Quality</w:t>
      </w:r>
    </w:p>
    <w:p w:rsidRPr="00A57565" w:rsidR="00B843A1" w:rsidP="00B843A1" w:rsidRDefault="00B843A1" w14:paraId="137C8509" w14:textId="77777777">
      <w:pPr>
        <w:pStyle w:val="ListParagraph"/>
        <w:numPr>
          <w:ilvl w:val="0"/>
          <w:numId w:val="34"/>
        </w:numPr>
        <w:spacing w:after="160" w:line="259" w:lineRule="auto"/>
      </w:pPr>
      <w:r w:rsidRPr="00A57565">
        <w:t>Process: (4) Ease/Simplicity, (5) Efficiency/Speed, (6) Equity/Transparency</w:t>
      </w:r>
    </w:p>
    <w:p w:rsidRPr="00A57565" w:rsidR="00B843A1" w:rsidP="00B843A1" w:rsidRDefault="00B843A1" w14:paraId="2B086311" w14:textId="77777777">
      <w:pPr>
        <w:pStyle w:val="ListParagraph"/>
        <w:numPr>
          <w:ilvl w:val="0"/>
          <w:numId w:val="34"/>
        </w:numPr>
        <w:spacing w:after="160" w:line="259" w:lineRule="auto"/>
      </w:pPr>
      <w:r w:rsidRPr="00A57565">
        <w:t>People: (7) Employee Helpfulness</w:t>
      </w:r>
    </w:p>
    <w:p w:rsidRPr="007859C2" w:rsidR="00B843A1" w:rsidP="00B843A1" w:rsidRDefault="00B843A1" w14:paraId="7BCD50E0" w14:textId="77777777">
      <w:pPr>
        <w:ind w:firstLine="720"/>
      </w:pPr>
      <w:r w:rsidRPr="007859C2">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provided within most surveys. This open text has been demonstrated to yield enormous information. Machine learning tools are used for text classification, ranking by sentiment scores, and screening for homelessness, depression, etc. Modern survey theory is used to create sample designs which are representative, statistically sound, and in accordance with OMB guidelines on federal surveys. </w:t>
      </w:r>
    </w:p>
    <w:p w:rsidR="00B843A1" w:rsidP="00B843A1" w:rsidRDefault="00B843A1" w14:paraId="0EA48914" w14:textId="77777777">
      <w:r w:rsidRPr="007859C2">
        <w:tab/>
        <w:t xml:space="preserve">The Veteran Experience Office (VEO) has been commissioned by </w:t>
      </w:r>
      <w:r>
        <w:t>VHA</w:t>
      </w:r>
      <w:r w:rsidRPr="007859C2">
        <w:t xml:space="preserve"> to measure the satisfaction and experience of veterans that have recently </w:t>
      </w:r>
      <w:r>
        <w:t>obtained emergency medical services at a VHA facility</w:t>
      </w:r>
      <w:r w:rsidRPr="007859C2">
        <w:t>. Sampled patients 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name="_Toc511750800" w:id="13"/>
    </w:p>
    <w:p w:rsidR="00B843A1" w:rsidP="00B843A1" w:rsidRDefault="00B843A1" w14:paraId="592B86BA" w14:textId="77777777">
      <w:pPr>
        <w:rPr>
          <w:color w:val="2E74B5"/>
          <w:sz w:val="26"/>
          <w:szCs w:val="26"/>
        </w:rPr>
      </w:pPr>
      <w:r>
        <w:br w:type="page"/>
      </w:r>
    </w:p>
    <w:p w:rsidRPr="00F53200" w:rsidR="00B843A1" w:rsidP="00B843A1" w:rsidRDefault="00B843A1" w14:paraId="75DC6BD4" w14:textId="77777777">
      <w:pPr>
        <w:pStyle w:val="Heading2"/>
        <w:spacing w:after="240"/>
      </w:pPr>
      <w:bookmarkStart w:name="_Toc17919975" w:id="14"/>
      <w:r>
        <w:t xml:space="preserve">B. </w:t>
      </w:r>
      <w:r w:rsidRPr="00C85DEE">
        <w:t>Basic Definitions</w:t>
      </w:r>
      <w:bookmarkEnd w:id="13"/>
      <w:bookmarkEnd w:id="14"/>
    </w:p>
    <w:tbl>
      <w:tblPr>
        <w:tblStyle w:val="TableGrid"/>
        <w:tblW w:w="0" w:type="auto"/>
        <w:tblLook w:val="04A0" w:firstRow="1" w:lastRow="0" w:firstColumn="1" w:lastColumn="0" w:noHBand="0" w:noVBand="1"/>
      </w:tblPr>
      <w:tblGrid>
        <w:gridCol w:w="2401"/>
        <w:gridCol w:w="6319"/>
      </w:tblGrid>
      <w:tr w:rsidR="00B843A1" w:rsidTr="00057644" w14:paraId="3E69A47C"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24219130" w14:textId="77777777">
            <w:bookmarkStart w:name="_Toc511750801" w:id="15"/>
            <w:r>
              <w:t>Coverage</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36CBAAF1" w14:textId="77777777">
            <w:r>
              <w:t>The percentage of the population of interest that is included in the sampling frame.</w:t>
            </w:r>
          </w:p>
        </w:tc>
      </w:tr>
      <w:tr w:rsidR="00B843A1" w:rsidTr="00057644" w14:paraId="0C549223"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75D80714" w14:textId="77777777">
            <w:r>
              <w:t>Measurement Error</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7B9488E4" w14:textId="77777777">
            <w:r>
              <w:t>The difference between the response coded and the true value of the characteristic being studied for a respondent.</w:t>
            </w:r>
          </w:p>
        </w:tc>
      </w:tr>
      <w:tr w:rsidR="00B843A1" w:rsidTr="00057644" w14:paraId="7CFD0236"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2376ED35" w14:textId="77777777">
            <w:r>
              <w:t>Non-Response</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2476CF57" w14:textId="77777777">
            <w:r>
              <w:t>Failure of some respondents in the sample to provide responses in the survey.</w:t>
            </w:r>
          </w:p>
        </w:tc>
      </w:tr>
      <w:tr w:rsidR="00B843A1" w:rsidTr="00057644" w14:paraId="5E212514"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114AC802" w14:textId="77777777">
            <w:r>
              <w:t>Transaction</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7CE7A7E6" w14:textId="77777777">
            <w:r>
              <w:t xml:space="preserve">A </w:t>
            </w:r>
            <w:r>
              <w:rPr>
                <w:i/>
              </w:rPr>
              <w:t>transaction</w:t>
            </w:r>
            <w:r>
              <w:t xml:space="preserve"> refers to the specific time a Veteran interacts with the VA that impacts the Veteran’s journey and their perception of VA’s effectiveness in caring for Veterans. </w:t>
            </w:r>
          </w:p>
        </w:tc>
      </w:tr>
      <w:tr w:rsidR="00B843A1" w:rsidTr="00057644" w14:paraId="10AB0376"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38985A4A" w14:textId="77777777">
            <w:r>
              <w:t>Response Rate</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47CCA38C" w14:textId="77777777">
            <w:r>
              <w:t>The ratio of participating persons to the number of contacted persons. This is one of the basic indicators of survey quality.</w:t>
            </w:r>
          </w:p>
        </w:tc>
      </w:tr>
      <w:tr w:rsidR="00B843A1" w:rsidTr="00057644" w14:paraId="6866D7CA"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0BB071EE" w14:textId="77777777">
            <w:r>
              <w:t>Sample</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0B0F6373" w14:textId="77777777">
            <w:r>
              <w:t>In statistics, a data sample is a set of data collected and/or selected from a statistical population by a defined procedure.</w:t>
            </w:r>
          </w:p>
        </w:tc>
      </w:tr>
      <w:tr w:rsidR="00B843A1" w:rsidTr="00057644" w14:paraId="1B1D0BBD"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4C71563F" w14:textId="77777777">
            <w:r>
              <w:t>Sampling Error</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33067E03" w14:textId="77777777">
            <w:r>
              <w:t xml:space="preserve">Error due to taking a </w:t>
            </w:r>
            <w:proofErr w:type="gramStart"/>
            <w:r>
              <w:t>particular sample</w:t>
            </w:r>
            <w:proofErr w:type="gramEnd"/>
            <w:r>
              <w:t xml:space="preserve"> instead of measuring</w:t>
            </w:r>
            <w:r>
              <w:rPr>
                <w:u w:val="single"/>
              </w:rPr>
              <w:t xml:space="preserve"> </w:t>
            </w:r>
            <w:r>
              <w:t>every unit in the population.</w:t>
            </w:r>
          </w:p>
        </w:tc>
      </w:tr>
      <w:tr w:rsidR="00B843A1" w:rsidTr="00057644" w14:paraId="1A1476C9"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4458128C" w14:textId="77777777">
            <w:r>
              <w:t>Sampling Frame</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01CC6A3E" w14:textId="77777777">
            <w:r>
              <w:t xml:space="preserve">A list of units in the population from which a sample may be selected. </w:t>
            </w:r>
          </w:p>
        </w:tc>
      </w:tr>
      <w:tr w:rsidR="00B843A1" w:rsidTr="00057644" w14:paraId="4A5BAAF5" w14:textId="77777777">
        <w:tc>
          <w:tcPr>
            <w:tcW w:w="3055" w:type="dxa"/>
            <w:tcBorders>
              <w:top w:val="single" w:color="auto" w:sz="4" w:space="0"/>
              <w:left w:val="single" w:color="auto" w:sz="4" w:space="0"/>
              <w:bottom w:val="single" w:color="auto" w:sz="4" w:space="0"/>
              <w:right w:val="single" w:color="auto" w:sz="4" w:space="0"/>
            </w:tcBorders>
            <w:hideMark/>
          </w:tcPr>
          <w:p w:rsidR="00B843A1" w:rsidP="00057644" w:rsidRDefault="00B843A1" w14:paraId="1E1DC195" w14:textId="77777777">
            <w:r>
              <w:t>Reliability</w:t>
            </w:r>
          </w:p>
        </w:tc>
        <w:tc>
          <w:tcPr>
            <w:tcW w:w="9895" w:type="dxa"/>
            <w:tcBorders>
              <w:top w:val="single" w:color="auto" w:sz="4" w:space="0"/>
              <w:left w:val="single" w:color="auto" w:sz="4" w:space="0"/>
              <w:bottom w:val="single" w:color="auto" w:sz="4" w:space="0"/>
              <w:right w:val="single" w:color="auto" w:sz="4" w:space="0"/>
            </w:tcBorders>
            <w:hideMark/>
          </w:tcPr>
          <w:p w:rsidR="00B843A1" w:rsidP="00057644" w:rsidRDefault="00B843A1" w14:paraId="76984352" w14:textId="77777777">
            <w:r>
              <w:t xml:space="preserve">The consistency or dependability of a measure. Also referred to as </w:t>
            </w:r>
            <w:r>
              <w:rPr>
                <w:i/>
              </w:rPr>
              <w:t>standard error</w:t>
            </w:r>
            <w:r>
              <w:t>.</w:t>
            </w:r>
          </w:p>
        </w:tc>
      </w:tr>
    </w:tbl>
    <w:p w:rsidR="00B843A1" w:rsidP="00B843A1" w:rsidRDefault="00B843A1" w14:paraId="39BA50BF" w14:textId="77777777">
      <w:pPr>
        <w:pStyle w:val="Heading2"/>
        <w:spacing w:after="240"/>
        <w:rPr>
          <w:rFonts w:eastAsia="SimSun"/>
          <w:sz w:val="22"/>
          <w:szCs w:val="22"/>
        </w:rPr>
      </w:pPr>
    </w:p>
    <w:p w:rsidRPr="00C85DEE" w:rsidR="00B843A1" w:rsidP="00B843A1" w:rsidRDefault="00B843A1" w14:paraId="3BB87DC3" w14:textId="77777777">
      <w:pPr>
        <w:pStyle w:val="Heading2"/>
        <w:spacing w:after="240"/>
      </w:pPr>
      <w:bookmarkStart w:name="_Toc17919976" w:id="16"/>
      <w:r w:rsidRPr="00C85DEE">
        <w:t>C. Application to Veterans Affairs</w:t>
      </w:r>
      <w:bookmarkEnd w:id="15"/>
      <w:bookmarkEnd w:id="16"/>
    </w:p>
    <w:p w:rsidRPr="00C85DEE" w:rsidR="00B843A1" w:rsidP="00B843A1" w:rsidRDefault="00B843A1" w14:paraId="2FBD7B88" w14:textId="77777777">
      <w:pPr>
        <w:spacing w:after="240"/>
        <w:ind w:firstLine="720"/>
      </w:pPr>
      <w:r w:rsidRPr="00C85DEE">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E47DF9" w:rsidR="00B843A1" w:rsidP="00B843A1" w:rsidRDefault="00B843A1" w14:paraId="1338D425" w14:textId="77777777">
      <w:pPr>
        <w:pStyle w:val="ListParagraph"/>
        <w:numPr>
          <w:ilvl w:val="0"/>
          <w:numId w:val="33"/>
        </w:numPr>
        <w:tabs>
          <w:tab w:val="left" w:pos="720"/>
        </w:tabs>
        <w:spacing w:after="160" w:line="259" w:lineRule="auto"/>
        <w:ind w:left="720" w:hanging="720"/>
      </w:pPr>
      <w:bookmarkStart w:name="_Toc511750802" w:id="17"/>
      <w:bookmarkStart w:name="_Toc17919977" w:id="18"/>
      <w:r w:rsidRPr="00E47DF9">
        <w:t xml:space="preserve">To collect continuous customer experience data from </w:t>
      </w:r>
      <w:r>
        <w:t>Veterans obtaining medical services from a VHA emergency department.</w:t>
      </w:r>
    </w:p>
    <w:p w:rsidRPr="00E47DF9" w:rsidR="00B843A1" w:rsidP="00B843A1" w:rsidRDefault="00B843A1" w14:paraId="062F4AB7" w14:textId="77777777">
      <w:pPr>
        <w:pStyle w:val="ListParagraph"/>
        <w:numPr>
          <w:ilvl w:val="0"/>
          <w:numId w:val="33"/>
        </w:numPr>
        <w:tabs>
          <w:tab w:val="left" w:pos="720"/>
        </w:tabs>
        <w:spacing w:after="160" w:line="259" w:lineRule="auto"/>
        <w:ind w:left="720" w:hanging="720"/>
      </w:pPr>
      <w:r w:rsidRPr="00E47DF9">
        <w:t xml:space="preserve">To help field staff and the national office identify </w:t>
      </w:r>
      <w:r>
        <w:t>opportunities</w:t>
      </w:r>
      <w:r w:rsidRPr="00E47DF9">
        <w:t xml:space="preserve"> that may </w:t>
      </w:r>
      <w:r>
        <w:t>improve the experience of Veterans</w:t>
      </w:r>
    </w:p>
    <w:p w:rsidR="00B843A1" w:rsidP="00B843A1" w:rsidRDefault="00B843A1" w14:paraId="5F51F597" w14:textId="77777777">
      <w:pPr>
        <w:pStyle w:val="ListParagraph"/>
        <w:numPr>
          <w:ilvl w:val="0"/>
          <w:numId w:val="33"/>
        </w:numPr>
        <w:tabs>
          <w:tab w:val="left" w:pos="720"/>
        </w:tabs>
        <w:spacing w:after="160" w:line="259" w:lineRule="auto"/>
        <w:ind w:left="720" w:hanging="720"/>
      </w:pPr>
      <w:r w:rsidRPr="00A972BE">
        <w:t xml:space="preserve">To better understand the reason that Veterans navigating the </w:t>
      </w:r>
      <w:r>
        <w:t>VHA emergency medicine department</w:t>
      </w:r>
      <w:r w:rsidRPr="00A972BE">
        <w:t xml:space="preserve"> have a positive or negative experience</w:t>
      </w:r>
      <w:r>
        <w:t>.</w:t>
      </w:r>
    </w:p>
    <w:p w:rsidRPr="00C85DEE" w:rsidR="00B843A1" w:rsidP="00B843A1" w:rsidRDefault="00B843A1" w14:paraId="66479B03" w14:textId="77777777">
      <w:pPr>
        <w:pStyle w:val="Heading1"/>
        <w:spacing w:after="240"/>
      </w:pPr>
      <w:r w:rsidRPr="00C85DEE">
        <w:t>Part II – Methodology</w:t>
      </w:r>
      <w:bookmarkEnd w:id="17"/>
      <w:bookmarkEnd w:id="18"/>
    </w:p>
    <w:p w:rsidRPr="00C85DEE" w:rsidR="00B843A1" w:rsidP="00B843A1" w:rsidRDefault="00B843A1" w14:paraId="6412B747" w14:textId="77777777">
      <w:pPr>
        <w:pStyle w:val="Heading2"/>
        <w:spacing w:after="240"/>
      </w:pPr>
      <w:bookmarkStart w:name="_Toc483228672" w:id="19"/>
      <w:bookmarkStart w:name="_Toc511750803" w:id="20"/>
      <w:bookmarkStart w:name="_Toc17919978" w:id="21"/>
      <w:r w:rsidRPr="00C85DEE">
        <w:t>A.  Target Population and Frame</w:t>
      </w:r>
      <w:bookmarkEnd w:id="19"/>
      <w:bookmarkEnd w:id="20"/>
      <w:bookmarkEnd w:id="21"/>
    </w:p>
    <w:p w:rsidR="00B843A1" w:rsidP="00B843A1" w:rsidRDefault="00B843A1" w14:paraId="3D0DFBEE" w14:textId="77777777">
      <w:pPr>
        <w:spacing w:after="240"/>
        <w:ind w:firstLine="720"/>
        <w:rPr>
          <w:lang w:eastAsia="zh-CN"/>
        </w:rPr>
      </w:pPr>
      <w:r w:rsidRPr="003D1FB8">
        <w:t xml:space="preserve">The target population of the </w:t>
      </w:r>
      <w:r>
        <w:t>AMO</w:t>
      </w:r>
      <w:r w:rsidRPr="003D1FB8">
        <w:t xml:space="preserve"> survey</w:t>
      </w:r>
      <w:r>
        <w:t>s</w:t>
      </w:r>
      <w:r w:rsidRPr="003D1FB8">
        <w:t xml:space="preserve"> is all Veterans who have </w:t>
      </w:r>
      <w:proofErr w:type="spellStart"/>
      <w:r>
        <w:t>obtaing</w:t>
      </w:r>
      <w:proofErr w:type="spellEnd"/>
      <w:r>
        <w:t xml:space="preserve"> medical services at a VHA emergency medicine department in the seven days prior to sampling</w:t>
      </w:r>
      <w:r w:rsidRPr="00C85DEE">
        <w:t xml:space="preserve">. </w:t>
      </w:r>
      <w:r>
        <w:t xml:space="preserve">Identification of these Veterans will occur via weekly data extracts from the VHA Corporate Data Warehouse (CDW), which houses the operational records of VHA. </w:t>
      </w:r>
    </w:p>
    <w:p w:rsidR="00B843A1" w:rsidP="00B843A1" w:rsidRDefault="00B843A1" w14:paraId="5C86AAD5" w14:textId="77777777">
      <w:pPr>
        <w:spacing w:after="120"/>
        <w:ind w:firstLine="720"/>
        <w:rPr>
          <w:b/>
          <w:color w:val="4F81BD" w:themeColor="accent1"/>
          <w:lang w:eastAsia="zh-CN"/>
        </w:rPr>
      </w:pPr>
    </w:p>
    <w:p w:rsidRPr="00C85DEE" w:rsidR="00B843A1" w:rsidP="00B843A1" w:rsidRDefault="00B843A1" w14:paraId="35549142" w14:textId="77777777">
      <w:pPr>
        <w:pStyle w:val="Heading2"/>
        <w:keepLines/>
        <w:numPr>
          <w:ilvl w:val="0"/>
          <w:numId w:val="22"/>
        </w:numPr>
        <w:spacing w:after="120"/>
        <w:jc w:val="left"/>
      </w:pPr>
      <w:bookmarkStart w:name="_Toc511750804" w:id="22"/>
      <w:bookmarkStart w:name="_Toc17919979" w:id="23"/>
      <w:r w:rsidRPr="00C85DEE">
        <w:t>Sample Size Determination</w:t>
      </w:r>
      <w:bookmarkEnd w:id="22"/>
      <w:bookmarkEnd w:id="23"/>
    </w:p>
    <w:p w:rsidRPr="00C85DEE" w:rsidR="00B843A1" w:rsidP="00B843A1" w:rsidRDefault="00B843A1" w14:paraId="08556FB1" w14:textId="77777777">
      <w:pPr>
        <w:spacing w:after="120"/>
        <w:ind w:firstLine="720"/>
      </w:pPr>
      <w:r>
        <w:t>For a given margin of error and confidence level, the sample size is calculated as below (</w:t>
      </w:r>
      <w:proofErr w:type="spellStart"/>
      <w:r w:rsidRPr="00C85DEE">
        <w:t>Lohr</w:t>
      </w:r>
      <w:proofErr w:type="spellEnd"/>
      <w:r w:rsidRPr="00C85DEE">
        <w:t>, 1999</w:t>
      </w:r>
      <w:r>
        <w:t xml:space="preserve">). </w:t>
      </w:r>
      <w:r w:rsidRPr="00C85DEE">
        <w:t xml:space="preserve">For population that is </w:t>
      </w:r>
      <w:r w:rsidRPr="00C85DEE">
        <w:rPr>
          <w:i/>
        </w:rPr>
        <w:t>large</w:t>
      </w:r>
      <w:r w:rsidRPr="00C85DEE">
        <w:t>, the equation below is used to yield a representative sample for proportions:</w:t>
      </w:r>
    </w:p>
    <w:bookmarkStart w:name="OLE_LINK1" w:id="24"/>
    <w:p w:rsidRPr="003F24C3" w:rsidR="00B843A1" w:rsidP="00B843A1" w:rsidRDefault="004421BB" w14:paraId="50AA7D31" w14:textId="77777777">
      <w:pPr>
        <w:jc w:val="center"/>
      </w:pPr>
      <m:oMathPara>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α/2</m:t>
                  </m:r>
                </m:sub>
                <m:sup>
                  <m:r>
                    <w:rPr>
                      <w:rFonts w:ascii="Cambria Math" w:hAnsi="Cambria Math"/>
                    </w:rPr>
                    <m:t>2</m:t>
                  </m:r>
                </m:sup>
              </m:sSubSup>
              <m:r>
                <w:rPr>
                  <w:rFonts w:ascii="Cambria Math" w:hAnsi="Cambria Math"/>
                </w:rPr>
                <m:t>pq</m:t>
              </m:r>
            </m:num>
            <m:den>
              <m:sSup>
                <m:sSupPr>
                  <m:ctrlPr>
                    <w:rPr>
                      <w:rFonts w:ascii="Cambria Math" w:hAnsi="Cambria Math"/>
                      <w:i/>
                    </w:rPr>
                  </m:ctrlPr>
                </m:sSupPr>
                <m:e>
                  <m:r>
                    <w:rPr>
                      <w:rFonts w:ascii="Cambria Math" w:hAnsi="Cambria Math"/>
                    </w:rPr>
                    <m:t>e</m:t>
                  </m:r>
                </m:e>
                <m:sup>
                  <m:r>
                    <w:rPr>
                      <w:rFonts w:ascii="Cambria Math" w:hAnsi="Cambria Math"/>
                    </w:rPr>
                    <m:t>2</m:t>
                  </m:r>
                </m:sup>
              </m:sSup>
            </m:den>
          </m:f>
        </m:oMath>
      </m:oMathPara>
    </w:p>
    <w:bookmarkEnd w:id="24"/>
    <w:p w:rsidRPr="00C85DEE" w:rsidR="00B843A1" w:rsidP="00B843A1" w:rsidRDefault="00B843A1" w14:paraId="37919ADE" w14:textId="77777777">
      <w:pPr>
        <w:spacing w:after="120"/>
      </w:pPr>
      <w:r>
        <w:t>where</w:t>
      </w:r>
    </w:p>
    <w:p w:rsidRPr="00C85DEE" w:rsidR="00B843A1" w:rsidP="00B843A1" w:rsidRDefault="004421BB" w14:paraId="67EEF6DC" w14:textId="77777777">
      <w:pPr>
        <w:pStyle w:val="ListParagraph"/>
        <w:numPr>
          <w:ilvl w:val="0"/>
          <w:numId w:val="23"/>
        </w:numPr>
        <w:spacing w:after="120"/>
        <w:jc w:val="both"/>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B843A1">
        <w:t xml:space="preserve">= </w:t>
      </w:r>
      <w:r w:rsidR="00B843A1">
        <w:t>1.95</w:t>
      </w:r>
      <w:r w:rsidRPr="00C85DEE" w:rsidR="00B843A1">
        <w:t xml:space="preserve">, which is the critical Z score value under the normal distribution when using a </w:t>
      </w:r>
      <w:r w:rsidR="00B843A1">
        <w:t>95</w:t>
      </w:r>
      <w:r w:rsidRPr="00C85DEE" w:rsidR="00B843A1">
        <w:t>% confidence level (α = 0.</w:t>
      </w:r>
      <w:r w:rsidR="00B843A1">
        <w:t>05</w:t>
      </w:r>
      <w:r w:rsidRPr="00C85DEE" w:rsidR="00B843A1">
        <w:t>).</w:t>
      </w:r>
    </w:p>
    <w:p w:rsidR="00B843A1" w:rsidP="00B843A1" w:rsidRDefault="00B843A1" w14:paraId="5581494F" w14:textId="77777777">
      <w:pPr>
        <w:pStyle w:val="ListParagraph"/>
        <w:numPr>
          <w:ilvl w:val="0"/>
          <w:numId w:val="23"/>
        </w:numPr>
        <w:spacing w:after="120"/>
        <w:jc w:val="both"/>
        <w:rPr>
          <w:lang w:eastAsia="zh-CN"/>
        </w:rPr>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 xml:space="preserve">the population, with q=1-p. </w:t>
      </w:r>
    </w:p>
    <w:p w:rsidRPr="004202EB" w:rsidR="00B843A1" w:rsidP="00B843A1" w:rsidRDefault="00B843A1" w14:paraId="5BE65169" w14:textId="77777777">
      <w:pPr>
        <w:pStyle w:val="ListParagraph"/>
        <w:numPr>
          <w:ilvl w:val="0"/>
          <w:numId w:val="25"/>
        </w:numPr>
        <w:spacing w:after="120"/>
        <w:jc w:val="both"/>
        <w:rPr>
          <w:lang w:eastAsia="zh-CN"/>
        </w:rPr>
      </w:pPr>
      <w:r w:rsidRPr="004202EB">
        <w:rPr>
          <w:lang w:eastAsia="zh-CN"/>
        </w:rPr>
        <w:t xml:space="preserve">Note that </w:t>
      </w:r>
      <w:proofErr w:type="spellStart"/>
      <w:r w:rsidRPr="004202EB">
        <w:rPr>
          <w:lang w:eastAsia="zh-CN"/>
        </w:rPr>
        <w:t>pq</w:t>
      </w:r>
      <w:proofErr w:type="spellEnd"/>
      <w:r w:rsidRPr="004202EB">
        <w:rPr>
          <w:lang w:eastAsia="zh-CN"/>
        </w:rPr>
        <w:t xml:space="preserve"> attains its maximum when value p=0.5, and this is </w:t>
      </w:r>
      <w:r>
        <w:rPr>
          <w:lang w:eastAsia="zh-CN"/>
        </w:rPr>
        <w:t>often</w:t>
      </w:r>
      <w:r w:rsidRPr="004202EB">
        <w:rPr>
          <w:lang w:eastAsia="zh-CN"/>
        </w:rPr>
        <w:t xml:space="preserve"> used for a conservative sample size (i.e., large enough for any proportion).</w:t>
      </w:r>
    </w:p>
    <w:p w:rsidRPr="00001AA3" w:rsidR="00B843A1" w:rsidP="00B843A1" w:rsidRDefault="00B843A1" w14:paraId="2DCE10B2" w14:textId="77777777">
      <w:pPr>
        <w:pStyle w:val="ListParagraph"/>
        <w:numPr>
          <w:ilvl w:val="0"/>
          <w:numId w:val="23"/>
        </w:numPr>
        <w:spacing w:after="160" w:line="259" w:lineRule="auto"/>
        <w:jc w:val="both"/>
      </w:pPr>
      <w:r w:rsidRPr="00C85DEE">
        <w:rPr>
          <w:b/>
        </w:rPr>
        <w:t>e</w:t>
      </w:r>
      <w:r w:rsidRPr="00C85DEE">
        <w:t xml:space="preserve"> = the level of precision</w:t>
      </w:r>
      <w:r>
        <w:t xml:space="preserve"> achieved with the sample.  </w:t>
      </w:r>
      <w:r w:rsidRPr="00C85DEE">
        <w:t xml:space="preserve">Also referred to as </w:t>
      </w:r>
      <w:r>
        <w:t>the margin of error (MOE).</w:t>
      </w:r>
    </w:p>
    <w:p w:rsidRPr="00C85DEE" w:rsidR="00B843A1" w:rsidP="00B843A1" w:rsidRDefault="00B843A1" w14:paraId="5563578D" w14:textId="77777777">
      <w:pPr>
        <w:ind w:firstLine="720"/>
        <w:jc w:val="both"/>
      </w:pPr>
      <w:r w:rsidRPr="00C85DEE">
        <w:t xml:space="preserve">For a population that is relatively </w:t>
      </w:r>
      <w:r w:rsidRPr="00C85DEE">
        <w:rPr>
          <w:i/>
        </w:rPr>
        <w:t>small</w:t>
      </w:r>
      <w:r w:rsidRPr="00C85DEE">
        <w:t>, the finite population correction is used to yield a representative sample for proportions:</w:t>
      </w:r>
    </w:p>
    <w:p w:rsidRPr="00001AA3" w:rsidR="00B843A1" w:rsidP="00B843A1" w:rsidRDefault="00B843A1" w14:paraId="5F22A2B9" w14:textId="77777777">
      <w:pPr>
        <w:jc w:val="center"/>
      </w:pPr>
      <w:bookmarkStart w:name="OLE_LINK2" w:id="25"/>
      <m:oMathPara>
        <m:oMath>
          <m:r>
            <w:rPr>
              <w:rFonts w:ascii="Cambria Math" w:hAnsi="Cambria Math"/>
            </w:rPr>
            <m:t>n=</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0</m:t>
                      </m:r>
                    </m:sub>
                  </m:sSub>
                </m:num>
                <m:den>
                  <m:r>
                    <w:rPr>
                      <w:rFonts w:ascii="Cambria Math" w:hAnsi="Cambria Math"/>
                    </w:rPr>
                    <m:t>N</m:t>
                  </m:r>
                </m:den>
              </m:f>
            </m:den>
          </m:f>
        </m:oMath>
      </m:oMathPara>
    </w:p>
    <w:bookmarkEnd w:id="25"/>
    <w:p w:rsidRPr="00C85DEE" w:rsidR="00B843A1" w:rsidP="00B843A1" w:rsidRDefault="00B843A1" w14:paraId="4EC97FA1" w14:textId="77777777">
      <w:pPr>
        <w:spacing w:after="120"/>
      </w:pPr>
      <w:r>
        <w:t>Where</w:t>
      </w:r>
    </w:p>
    <w:p w:rsidRPr="00001AA3" w:rsidR="00B843A1" w:rsidP="00B843A1" w:rsidRDefault="004421BB" w14:paraId="233216F6"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0</m:t>
            </m:r>
          </m:sub>
        </m:sSub>
      </m:oMath>
      <w:r w:rsidRPr="00001AA3" w:rsidR="00B843A1">
        <w:rPr>
          <w:b/>
        </w:rPr>
        <w:t xml:space="preserve"> </w:t>
      </w:r>
      <w:r w:rsidRPr="00001AA3" w:rsidR="00B843A1">
        <w:t>= Representative sample for proportions when the population is large.</w:t>
      </w:r>
    </w:p>
    <w:p w:rsidR="00B843A1" w:rsidP="00B843A1" w:rsidRDefault="00B843A1" w14:paraId="53A79C2E" w14:textId="77777777">
      <w:pPr>
        <w:pStyle w:val="ListParagraph"/>
        <w:numPr>
          <w:ilvl w:val="0"/>
          <w:numId w:val="24"/>
        </w:numPr>
        <w:spacing w:after="120"/>
        <w:ind w:left="0" w:firstLine="0"/>
      </w:pPr>
      <w:r w:rsidRPr="00001AA3">
        <w:rPr>
          <w:b/>
        </w:rPr>
        <w:t>N</w:t>
      </w:r>
      <w:r w:rsidRPr="00001AA3">
        <w:t xml:space="preserve"> = Population size</w:t>
      </w:r>
      <w:r>
        <w:t>.</w:t>
      </w:r>
    </w:p>
    <w:p w:rsidR="00B843A1" w:rsidP="00B843A1" w:rsidRDefault="00B843A1" w14:paraId="601F6F1E" w14:textId="77777777">
      <w:pPr>
        <w:pStyle w:val="ListParagraph"/>
        <w:spacing w:after="120"/>
        <w:ind w:left="0"/>
      </w:pPr>
    </w:p>
    <w:p w:rsidRPr="00001AA3" w:rsidR="00B843A1" w:rsidP="00B843A1" w:rsidRDefault="00B843A1" w14:paraId="30F6CD02" w14:textId="77777777">
      <w:pPr>
        <w:pStyle w:val="ListParagraph"/>
        <w:spacing w:after="120"/>
        <w:ind w:left="0"/>
      </w:pPr>
      <w:r w:rsidRPr="00001AA3">
        <w:t xml:space="preserve">The margin of error surrounding the baseline proportion </w:t>
      </w:r>
      <w:r>
        <w:t>is</w:t>
      </w:r>
      <w:r w:rsidRPr="00001AA3">
        <w:t xml:space="preserve"> calculated as</w:t>
      </w:r>
      <w:r>
        <w:t>:</w:t>
      </w:r>
    </w:p>
    <w:p w:rsidRPr="00DF4931" w:rsidR="00B843A1" w:rsidP="00B843A1" w:rsidRDefault="00B843A1" w14:paraId="072389EA" w14:textId="77777777">
      <w:pPr>
        <w:pStyle w:val="ListParagraph"/>
        <w:spacing w:after="120"/>
        <w:ind w:left="0"/>
      </w:pPr>
      <m:oMathPara>
        <m:oMath>
          <m:r>
            <w:rPr>
              <w:rFonts w:ascii="Cambria Math" w:hAnsi="Cambria Math"/>
            </w:rPr>
            <m:t>Margin of error=</m:t>
          </m:r>
          <m:sSub>
            <m:sSubPr>
              <m:ctrlPr>
                <w:rPr>
                  <w:rFonts w:ascii="Cambria Math" w:hAnsi="Cambria Math"/>
                  <w:i/>
                </w:rPr>
              </m:ctrlPr>
            </m:sSubPr>
            <m:e>
              <m:r>
                <w:rPr>
                  <w:rFonts w:ascii="Cambria Math" w:hAnsi="Cambria Math"/>
                </w:rPr>
                <m:t>z</m:t>
              </m:r>
            </m:e>
            <m:sub>
              <m:r>
                <w:rPr>
                  <w:rFonts w:ascii="Cambria Math" w:hAnsi="Cambria Math"/>
                </w:rPr>
                <m:t>α/2</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N-n</m:t>
                  </m:r>
                </m:num>
                <m:den>
                  <m:r>
                    <w:rPr>
                      <w:rFonts w:ascii="Cambria Math" w:hAnsi="Cambria Math"/>
                    </w:rPr>
                    <m:t>N-1</m:t>
                  </m:r>
                </m:den>
              </m:f>
            </m:e>
          </m:rad>
          <m:rad>
            <m:radPr>
              <m:degHide m:val="1"/>
              <m:ctrlPr>
                <w:rPr>
                  <w:rFonts w:ascii="Cambria Math" w:hAnsi="Cambria Math"/>
                  <w:i/>
                </w:rPr>
              </m:ctrlPr>
            </m:radPr>
            <m:deg/>
            <m:e>
              <m:f>
                <m:fPr>
                  <m:ctrlPr>
                    <w:rPr>
                      <w:rFonts w:ascii="Cambria Math" w:hAnsi="Cambria Math"/>
                      <w:i/>
                    </w:rPr>
                  </m:ctrlPr>
                </m:fPr>
                <m:num>
                  <m:r>
                    <w:rPr>
                      <w:rFonts w:ascii="Cambria Math" w:hAnsi="Cambria Math"/>
                    </w:rPr>
                    <m:t>p(1-p)</m:t>
                  </m:r>
                </m:num>
                <m:den>
                  <m:r>
                    <w:rPr>
                      <w:rFonts w:ascii="Cambria Math" w:hAnsi="Cambria Math"/>
                    </w:rPr>
                    <m:t>n</m:t>
                  </m:r>
                </m:den>
              </m:f>
            </m:e>
          </m:rad>
        </m:oMath>
      </m:oMathPara>
    </w:p>
    <w:p w:rsidRPr="00001AA3" w:rsidR="00B843A1" w:rsidP="00B843A1" w:rsidRDefault="00B843A1" w14:paraId="796E94B8" w14:textId="77777777">
      <w:pPr>
        <w:pStyle w:val="ListParagraph"/>
        <w:spacing w:after="120"/>
        <w:ind w:left="0"/>
      </w:pPr>
      <w:r>
        <w:t>Where</w:t>
      </w:r>
    </w:p>
    <w:p w:rsidRPr="00001AA3" w:rsidR="00B843A1" w:rsidP="00B843A1" w:rsidRDefault="004421BB" w14:paraId="224C5852" w14:textId="77777777">
      <w:pPr>
        <w:pStyle w:val="ListParagraph"/>
        <w:numPr>
          <w:ilvl w:val="0"/>
          <w:numId w:val="24"/>
        </w:numPr>
        <w:spacing w:after="120"/>
        <w:ind w:left="0" w:firstLine="0"/>
      </w:pP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 xml:space="preserve">α/2 </m:t>
            </m:r>
          </m:sub>
        </m:sSub>
      </m:oMath>
      <w:r w:rsidRPr="00C85DEE" w:rsidR="00B843A1">
        <w:t xml:space="preserve">= </w:t>
      </w:r>
      <w:r w:rsidR="00B843A1">
        <w:t>1.95</w:t>
      </w:r>
      <w:r w:rsidRPr="00C85DEE" w:rsidR="00B843A1">
        <w:t>, which is the critical Z score value under the normal distribution when using a</w:t>
      </w:r>
      <w:r w:rsidR="00B843A1">
        <w:t xml:space="preserve"> 95</w:t>
      </w:r>
      <w:r w:rsidRPr="00C85DEE" w:rsidR="00B843A1">
        <w:t>% confidence level (α = 0.</w:t>
      </w:r>
      <w:r w:rsidR="00B843A1">
        <w:t>05</w:t>
      </w:r>
      <w:r w:rsidRPr="00C85DEE" w:rsidR="00B843A1">
        <w:t>).</w:t>
      </w:r>
    </w:p>
    <w:p w:rsidR="00B843A1" w:rsidP="00B843A1" w:rsidRDefault="00B843A1" w14:paraId="65E516D5" w14:textId="77777777">
      <w:pPr>
        <w:pStyle w:val="ListParagraph"/>
        <w:numPr>
          <w:ilvl w:val="0"/>
          <w:numId w:val="24"/>
        </w:numPr>
        <w:spacing w:after="120"/>
        <w:ind w:left="0" w:firstLine="0"/>
      </w:pPr>
      <w:r w:rsidRPr="00001AA3">
        <w:rPr>
          <w:b/>
        </w:rPr>
        <w:t>N</w:t>
      </w:r>
      <w:r w:rsidRPr="00001AA3">
        <w:t xml:space="preserve"> = Population size</w:t>
      </w:r>
      <w:r>
        <w:t>.</w:t>
      </w:r>
    </w:p>
    <w:p w:rsidRPr="00E56D3D" w:rsidR="00B843A1" w:rsidP="00B843A1" w:rsidRDefault="00B843A1" w14:paraId="20A9C970" w14:textId="77777777">
      <w:pPr>
        <w:pStyle w:val="ListParagraph"/>
        <w:numPr>
          <w:ilvl w:val="0"/>
          <w:numId w:val="24"/>
        </w:numPr>
        <w:spacing w:after="120"/>
        <w:ind w:left="0" w:firstLine="0"/>
      </w:pPr>
      <w:r w:rsidRPr="00E56D3D">
        <w:rPr>
          <w:b/>
        </w:rPr>
        <w:t>n</w:t>
      </w:r>
      <w:r w:rsidRPr="00E56D3D">
        <w:t xml:space="preserve"> = Representative sample</w:t>
      </w:r>
      <w:r>
        <w:t>.</w:t>
      </w:r>
    </w:p>
    <w:p w:rsidRPr="00E56D3D" w:rsidR="00B843A1" w:rsidP="00B843A1" w:rsidRDefault="00B843A1" w14:paraId="2CA1A248" w14:textId="77777777">
      <w:pPr>
        <w:pStyle w:val="ListParagraph"/>
        <w:numPr>
          <w:ilvl w:val="0"/>
          <w:numId w:val="24"/>
        </w:numPr>
        <w:spacing w:after="120"/>
        <w:ind w:left="0" w:firstLine="0"/>
      </w:pPr>
      <w:r w:rsidRPr="00C85DEE">
        <w:rPr>
          <w:b/>
        </w:rPr>
        <w:t>p</w:t>
      </w:r>
      <w:r w:rsidRPr="00C85DEE">
        <w:t xml:space="preserve"> = </w:t>
      </w:r>
      <w:r w:rsidRPr="00C85DEE">
        <w:rPr>
          <w:lang w:eastAsia="zh-CN"/>
        </w:rPr>
        <w:t>the</w:t>
      </w:r>
      <w:r w:rsidRPr="00C85DEE">
        <w:t xml:space="preserve"> </w:t>
      </w:r>
      <w:r w:rsidRPr="00C85DEE">
        <w:rPr>
          <w:lang w:eastAsia="zh-CN"/>
        </w:rPr>
        <w:t>estimated proportion of an attribute that is present in</w:t>
      </w:r>
      <w:r w:rsidRPr="00C85DEE">
        <w:t xml:space="preserve"> </w:t>
      </w:r>
      <w:r w:rsidRPr="00C85DEE">
        <w:rPr>
          <w:lang w:eastAsia="zh-CN"/>
        </w:rPr>
        <w:t>the population, with q=1-p.</w:t>
      </w:r>
    </w:p>
    <w:p w:rsidRPr="00E56D3D" w:rsidR="00B843A1" w:rsidP="00B843A1" w:rsidRDefault="00B843A1" w14:paraId="4FDB80C4" w14:textId="77777777">
      <w:pPr>
        <w:pStyle w:val="ListParagraph"/>
        <w:spacing w:after="120"/>
        <w:ind w:left="0"/>
      </w:pPr>
    </w:p>
    <w:p w:rsidRPr="00C85DEE" w:rsidR="00B843A1" w:rsidP="00B843A1" w:rsidRDefault="00B843A1" w14:paraId="32E7CC86" w14:textId="77777777">
      <w:pPr>
        <w:spacing w:after="120"/>
        <w:ind w:firstLine="720"/>
      </w:pPr>
      <w:r w:rsidRPr="00C85DEE">
        <w:t xml:space="preserve">Sample sizes </w:t>
      </w:r>
      <w:r>
        <w:t xml:space="preserve">will be targeted to achieve 950 respondents overall each week.  This sample size will allow for sustained sampling of the population over time and prevent oversampling of the same veteran in consecutive weeks. </w:t>
      </w:r>
      <w:r w:rsidRPr="00C85DEE">
        <w:t xml:space="preserve">Table </w:t>
      </w:r>
      <w:r>
        <w:t>2 shows the breakout of the population eligible for sampling and the target and fielded sample sizes for by geographic region and facility complexity level.  The MOEs were calculated for two different confidence intervals (CI) to determine the sample’s impact on the level of precision within each stratum.</w:t>
      </w:r>
    </w:p>
    <w:p w:rsidR="00B843A1" w:rsidP="00B843A1" w:rsidRDefault="00B843A1" w14:paraId="019E0B0C" w14:textId="77777777">
      <w:pPr>
        <w:rPr>
          <w:b/>
          <w:color w:val="4F81BD" w:themeColor="accent1"/>
        </w:rPr>
      </w:pPr>
    </w:p>
    <w:p w:rsidR="00B843A1" w:rsidP="00B843A1" w:rsidRDefault="00B843A1" w14:paraId="271A8116" w14:textId="77777777">
      <w:pPr>
        <w:spacing w:after="240"/>
        <w:rPr>
          <w:b/>
          <w:color w:val="4F81BD" w:themeColor="accent1"/>
        </w:rPr>
      </w:pPr>
      <w:r w:rsidRPr="00C85DEE">
        <w:rPr>
          <w:b/>
          <w:color w:val="4F81BD" w:themeColor="accent1"/>
        </w:rPr>
        <w:t xml:space="preserve">Table </w:t>
      </w:r>
      <w:r>
        <w:rPr>
          <w:b/>
          <w:color w:val="4F81BD" w:themeColor="accent1"/>
        </w:rPr>
        <w:t>2</w:t>
      </w:r>
      <w:r w:rsidRPr="00C85DEE">
        <w:rPr>
          <w:b/>
          <w:color w:val="4F81BD" w:themeColor="accent1"/>
        </w:rPr>
        <w:t xml:space="preserve">. </w:t>
      </w:r>
      <w:r>
        <w:rPr>
          <w:b/>
          <w:color w:val="4F81BD" w:themeColor="accent1"/>
        </w:rPr>
        <w:t>Sample Targets by Geography and Facility Complexity</w:t>
      </w:r>
    </w:p>
    <w:tbl>
      <w:tblPr>
        <w:tblW w:w="9140" w:type="dxa"/>
        <w:tblLook w:val="04A0" w:firstRow="1" w:lastRow="0" w:firstColumn="1" w:lastColumn="0" w:noHBand="0" w:noVBand="1"/>
      </w:tblPr>
      <w:tblGrid>
        <w:gridCol w:w="1640"/>
        <w:gridCol w:w="1097"/>
        <w:gridCol w:w="1383"/>
        <w:gridCol w:w="980"/>
        <w:gridCol w:w="1000"/>
        <w:gridCol w:w="1137"/>
        <w:gridCol w:w="960"/>
        <w:gridCol w:w="960"/>
      </w:tblGrid>
      <w:tr w:rsidRPr="00E7564C" w:rsidR="00B843A1" w:rsidTr="00057644" w14:paraId="192B1B06" w14:textId="77777777">
        <w:trPr>
          <w:trHeight w:val="300"/>
        </w:trPr>
        <w:tc>
          <w:tcPr>
            <w:tcW w:w="1640" w:type="dxa"/>
            <w:vMerge w:val="restart"/>
            <w:tcBorders>
              <w:top w:val="single" w:color="auto" w:sz="4" w:space="0"/>
              <w:left w:val="single" w:color="auto" w:sz="4" w:space="0"/>
              <w:bottom w:val="single" w:color="auto" w:sz="4" w:space="0"/>
              <w:right w:val="single" w:color="auto" w:sz="4" w:space="0"/>
            </w:tcBorders>
            <w:shd w:val="clear" w:color="000000" w:fill="305496"/>
            <w:noWrap/>
            <w:vAlign w:val="bottom"/>
            <w:hideMark/>
          </w:tcPr>
          <w:p w:rsidRPr="00E7564C" w:rsidR="00B843A1" w:rsidP="00057644" w:rsidRDefault="00B843A1" w14:paraId="3ED6E589" w14:textId="77777777">
            <w:pPr>
              <w:jc w:val="center"/>
              <w:rPr>
                <w:rFonts w:cs="Calibri"/>
                <w:color w:val="FFFFFF"/>
              </w:rPr>
            </w:pPr>
            <w:r w:rsidRPr="00E7564C">
              <w:rPr>
                <w:rFonts w:cs="Calibri"/>
                <w:color w:val="FFFFFF"/>
              </w:rPr>
              <w:t> </w:t>
            </w:r>
          </w:p>
        </w:tc>
        <w:tc>
          <w:tcPr>
            <w:tcW w:w="248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B843A1" w:rsidP="00057644" w:rsidRDefault="00B843A1" w14:paraId="5530951E" w14:textId="77777777">
            <w:pPr>
              <w:jc w:val="center"/>
              <w:rPr>
                <w:rFonts w:cs="Calibri"/>
                <w:color w:val="FFFFFF"/>
              </w:rPr>
            </w:pPr>
            <w:r w:rsidRPr="00E7564C">
              <w:rPr>
                <w:rFonts w:cs="Calibri"/>
                <w:color w:val="FFFFFF"/>
              </w:rPr>
              <w:t>Email Population</w:t>
            </w:r>
          </w:p>
        </w:tc>
        <w:tc>
          <w:tcPr>
            <w:tcW w:w="198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B843A1" w:rsidP="00057644" w:rsidRDefault="00B843A1" w14:paraId="43D5880D" w14:textId="77777777">
            <w:pPr>
              <w:jc w:val="center"/>
              <w:rPr>
                <w:rFonts w:cs="Calibri"/>
                <w:color w:val="FFFFFF"/>
              </w:rPr>
            </w:pPr>
            <w:r w:rsidRPr="00E7564C">
              <w:rPr>
                <w:rFonts w:cs="Calibri"/>
                <w:color w:val="FFFFFF"/>
              </w:rPr>
              <w:t>Sample Size</w:t>
            </w:r>
          </w:p>
        </w:tc>
        <w:tc>
          <w:tcPr>
            <w:tcW w:w="1120" w:type="dxa"/>
            <w:vMerge w:val="restart"/>
            <w:tcBorders>
              <w:top w:val="single" w:color="auto" w:sz="4" w:space="0"/>
              <w:left w:val="single" w:color="auto" w:sz="4" w:space="0"/>
              <w:bottom w:val="single" w:color="auto" w:sz="4" w:space="0"/>
              <w:right w:val="single" w:color="auto" w:sz="4" w:space="0"/>
            </w:tcBorders>
            <w:shd w:val="clear" w:color="000000" w:fill="305496"/>
            <w:vAlign w:val="bottom"/>
            <w:hideMark/>
          </w:tcPr>
          <w:p w:rsidRPr="00E7564C" w:rsidR="00B843A1" w:rsidP="00057644" w:rsidRDefault="00B843A1" w14:paraId="71D120A1" w14:textId="77777777">
            <w:pPr>
              <w:jc w:val="center"/>
              <w:rPr>
                <w:rFonts w:cs="Calibri"/>
                <w:color w:val="FFFFFF"/>
              </w:rPr>
            </w:pPr>
            <w:r w:rsidRPr="00E7564C">
              <w:rPr>
                <w:rFonts w:cs="Calibri"/>
                <w:color w:val="FFFFFF"/>
              </w:rPr>
              <w:t>Sampling Fraction</w:t>
            </w:r>
          </w:p>
        </w:tc>
        <w:tc>
          <w:tcPr>
            <w:tcW w:w="1920" w:type="dxa"/>
            <w:gridSpan w:val="2"/>
            <w:tcBorders>
              <w:top w:val="single" w:color="auto" w:sz="4" w:space="0"/>
              <w:left w:val="nil"/>
              <w:bottom w:val="single" w:color="auto" w:sz="4" w:space="0"/>
              <w:right w:val="single" w:color="auto" w:sz="4" w:space="0"/>
            </w:tcBorders>
            <w:shd w:val="clear" w:color="000000" w:fill="305496"/>
            <w:noWrap/>
            <w:vAlign w:val="bottom"/>
            <w:hideMark/>
          </w:tcPr>
          <w:p w:rsidRPr="00E7564C" w:rsidR="00B843A1" w:rsidP="00057644" w:rsidRDefault="00B843A1" w14:paraId="7EDDAC62" w14:textId="77777777">
            <w:pPr>
              <w:jc w:val="center"/>
              <w:rPr>
                <w:rFonts w:cs="Calibri"/>
                <w:color w:val="FFFFFF"/>
              </w:rPr>
            </w:pPr>
            <w:r w:rsidRPr="00E7564C">
              <w:rPr>
                <w:rFonts w:cs="Calibri"/>
                <w:color w:val="FFFFFF"/>
              </w:rPr>
              <w:t>Margin of Error</w:t>
            </w:r>
          </w:p>
        </w:tc>
      </w:tr>
      <w:tr w:rsidRPr="00E7564C" w:rsidR="00B843A1" w:rsidTr="00057644" w14:paraId="6FE553D8" w14:textId="77777777">
        <w:trPr>
          <w:trHeight w:val="600"/>
        </w:trPr>
        <w:tc>
          <w:tcPr>
            <w:tcW w:w="1640" w:type="dxa"/>
            <w:vMerge/>
            <w:tcBorders>
              <w:top w:val="single" w:color="auto" w:sz="4" w:space="0"/>
              <w:left w:val="single" w:color="auto" w:sz="4" w:space="0"/>
              <w:bottom w:val="single" w:color="auto" w:sz="4" w:space="0"/>
              <w:right w:val="single" w:color="auto" w:sz="4" w:space="0"/>
            </w:tcBorders>
            <w:vAlign w:val="center"/>
            <w:hideMark/>
          </w:tcPr>
          <w:p w:rsidRPr="00E7564C" w:rsidR="00B843A1" w:rsidP="00057644" w:rsidRDefault="00B843A1" w14:paraId="25B86C8E" w14:textId="77777777">
            <w:pPr>
              <w:rPr>
                <w:rFonts w:cs="Calibri"/>
                <w:color w:val="FFFFFF"/>
              </w:rPr>
            </w:pPr>
          </w:p>
        </w:tc>
        <w:tc>
          <w:tcPr>
            <w:tcW w:w="1097" w:type="dxa"/>
            <w:tcBorders>
              <w:top w:val="nil"/>
              <w:left w:val="nil"/>
              <w:bottom w:val="single" w:color="auto" w:sz="4" w:space="0"/>
              <w:right w:val="single" w:color="auto" w:sz="4" w:space="0"/>
            </w:tcBorders>
            <w:shd w:val="clear" w:color="000000" w:fill="305496"/>
            <w:noWrap/>
            <w:vAlign w:val="bottom"/>
            <w:hideMark/>
          </w:tcPr>
          <w:p w:rsidRPr="00E7564C" w:rsidR="00B843A1" w:rsidP="00057644" w:rsidRDefault="00B843A1" w14:paraId="2F293FFB" w14:textId="77777777">
            <w:pPr>
              <w:jc w:val="center"/>
              <w:rPr>
                <w:rFonts w:cs="Calibri"/>
                <w:color w:val="FFFFFF"/>
              </w:rPr>
            </w:pPr>
            <w:r w:rsidRPr="00E7564C">
              <w:rPr>
                <w:rFonts w:cs="Calibri"/>
                <w:color w:val="FFFFFF"/>
              </w:rPr>
              <w:t>Total</w:t>
            </w:r>
          </w:p>
        </w:tc>
        <w:tc>
          <w:tcPr>
            <w:tcW w:w="1383" w:type="dxa"/>
            <w:tcBorders>
              <w:top w:val="nil"/>
              <w:left w:val="nil"/>
              <w:bottom w:val="single" w:color="auto" w:sz="4" w:space="0"/>
              <w:right w:val="single" w:color="auto" w:sz="4" w:space="0"/>
            </w:tcBorders>
            <w:shd w:val="clear" w:color="000000" w:fill="305496"/>
            <w:vAlign w:val="bottom"/>
            <w:hideMark/>
          </w:tcPr>
          <w:p w:rsidRPr="00E7564C" w:rsidR="00B843A1" w:rsidP="00057644" w:rsidRDefault="00B843A1" w14:paraId="5C884318" w14:textId="77777777">
            <w:pPr>
              <w:jc w:val="center"/>
              <w:rPr>
                <w:rFonts w:cs="Calibri"/>
                <w:color w:val="FFFFFF"/>
              </w:rPr>
            </w:pPr>
            <w:r w:rsidRPr="00E7564C">
              <w:rPr>
                <w:rFonts w:cs="Calibri"/>
                <w:color w:val="FFFFFF"/>
              </w:rPr>
              <w:t>Eligible for Sampling</w:t>
            </w:r>
          </w:p>
        </w:tc>
        <w:tc>
          <w:tcPr>
            <w:tcW w:w="980" w:type="dxa"/>
            <w:tcBorders>
              <w:top w:val="nil"/>
              <w:left w:val="nil"/>
              <w:bottom w:val="single" w:color="auto" w:sz="4" w:space="0"/>
              <w:right w:val="single" w:color="auto" w:sz="4" w:space="0"/>
            </w:tcBorders>
            <w:shd w:val="clear" w:color="000000" w:fill="305496"/>
            <w:noWrap/>
            <w:vAlign w:val="bottom"/>
            <w:hideMark/>
          </w:tcPr>
          <w:p w:rsidRPr="00E7564C" w:rsidR="00B843A1" w:rsidP="00057644" w:rsidRDefault="00B843A1" w14:paraId="7282D16C" w14:textId="77777777">
            <w:pPr>
              <w:jc w:val="center"/>
              <w:rPr>
                <w:rFonts w:cs="Calibri"/>
                <w:color w:val="FFFFFF"/>
              </w:rPr>
            </w:pPr>
            <w:r w:rsidRPr="00E7564C">
              <w:rPr>
                <w:rFonts w:cs="Calibri"/>
                <w:color w:val="FFFFFF"/>
              </w:rPr>
              <w:t>Target</w:t>
            </w:r>
          </w:p>
        </w:tc>
        <w:tc>
          <w:tcPr>
            <w:tcW w:w="1000" w:type="dxa"/>
            <w:tcBorders>
              <w:top w:val="nil"/>
              <w:left w:val="nil"/>
              <w:bottom w:val="single" w:color="auto" w:sz="4" w:space="0"/>
              <w:right w:val="single" w:color="auto" w:sz="4" w:space="0"/>
            </w:tcBorders>
            <w:shd w:val="clear" w:color="000000" w:fill="305496"/>
            <w:noWrap/>
            <w:vAlign w:val="bottom"/>
            <w:hideMark/>
          </w:tcPr>
          <w:p w:rsidRPr="00E7564C" w:rsidR="00B843A1" w:rsidP="00057644" w:rsidRDefault="00B843A1" w14:paraId="1FA9170B" w14:textId="77777777">
            <w:pPr>
              <w:jc w:val="center"/>
              <w:rPr>
                <w:rFonts w:cs="Calibri"/>
                <w:color w:val="FFFFFF"/>
              </w:rPr>
            </w:pPr>
            <w:r w:rsidRPr="00E7564C">
              <w:rPr>
                <w:rFonts w:cs="Calibri"/>
                <w:color w:val="FFFFFF"/>
              </w:rPr>
              <w:t>Fielded</w:t>
            </w:r>
          </w:p>
        </w:tc>
        <w:tc>
          <w:tcPr>
            <w:tcW w:w="1120" w:type="dxa"/>
            <w:vMerge/>
            <w:tcBorders>
              <w:top w:val="single" w:color="auto" w:sz="4" w:space="0"/>
              <w:left w:val="single" w:color="auto" w:sz="4" w:space="0"/>
              <w:bottom w:val="single" w:color="auto" w:sz="4" w:space="0"/>
              <w:right w:val="single" w:color="auto" w:sz="4" w:space="0"/>
            </w:tcBorders>
            <w:vAlign w:val="center"/>
            <w:hideMark/>
          </w:tcPr>
          <w:p w:rsidRPr="00E7564C" w:rsidR="00B843A1" w:rsidP="00057644" w:rsidRDefault="00B843A1" w14:paraId="34E5CFBF" w14:textId="77777777">
            <w:pPr>
              <w:rPr>
                <w:rFonts w:cs="Calibri"/>
                <w:color w:val="FFFFFF"/>
              </w:rPr>
            </w:pPr>
          </w:p>
        </w:tc>
        <w:tc>
          <w:tcPr>
            <w:tcW w:w="960" w:type="dxa"/>
            <w:tcBorders>
              <w:top w:val="nil"/>
              <w:left w:val="nil"/>
              <w:bottom w:val="single" w:color="auto" w:sz="4" w:space="0"/>
              <w:right w:val="single" w:color="auto" w:sz="4" w:space="0"/>
            </w:tcBorders>
            <w:shd w:val="clear" w:color="000000" w:fill="305496"/>
            <w:noWrap/>
            <w:vAlign w:val="bottom"/>
            <w:hideMark/>
          </w:tcPr>
          <w:p w:rsidRPr="00E7564C" w:rsidR="00B843A1" w:rsidP="00057644" w:rsidRDefault="00B843A1" w14:paraId="6F5FA88D" w14:textId="77777777">
            <w:pPr>
              <w:jc w:val="center"/>
              <w:rPr>
                <w:rFonts w:cs="Calibri"/>
                <w:color w:val="FFFFFF"/>
              </w:rPr>
            </w:pPr>
            <w:r w:rsidRPr="00E7564C">
              <w:rPr>
                <w:rFonts w:cs="Calibri"/>
                <w:color w:val="FFFFFF"/>
              </w:rPr>
              <w:t>95% CI</w:t>
            </w:r>
          </w:p>
        </w:tc>
        <w:tc>
          <w:tcPr>
            <w:tcW w:w="960" w:type="dxa"/>
            <w:tcBorders>
              <w:top w:val="nil"/>
              <w:left w:val="nil"/>
              <w:bottom w:val="single" w:color="auto" w:sz="4" w:space="0"/>
              <w:right w:val="single" w:color="auto" w:sz="4" w:space="0"/>
            </w:tcBorders>
            <w:shd w:val="clear" w:color="000000" w:fill="305496"/>
            <w:noWrap/>
            <w:vAlign w:val="bottom"/>
            <w:hideMark/>
          </w:tcPr>
          <w:p w:rsidRPr="00E7564C" w:rsidR="00B843A1" w:rsidP="00057644" w:rsidRDefault="00B843A1" w14:paraId="43D22514" w14:textId="77777777">
            <w:pPr>
              <w:jc w:val="center"/>
              <w:rPr>
                <w:rFonts w:cs="Calibri"/>
                <w:color w:val="FFFFFF"/>
              </w:rPr>
            </w:pPr>
            <w:r w:rsidRPr="00E7564C">
              <w:rPr>
                <w:rFonts w:cs="Calibri"/>
                <w:color w:val="FFFFFF"/>
              </w:rPr>
              <w:t>90% CI</w:t>
            </w:r>
          </w:p>
        </w:tc>
      </w:tr>
      <w:tr w:rsidRPr="00E7564C" w:rsidR="00B843A1" w:rsidTr="00057644" w14:paraId="711A61A9"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4BCE6EAB" w14:textId="77777777">
            <w:pPr>
              <w:rPr>
                <w:rFonts w:cs="Calibri"/>
                <w:b/>
                <w:bCs/>
                <w:color w:val="000000"/>
              </w:rPr>
            </w:pPr>
            <w:r w:rsidRPr="00E7564C">
              <w:rPr>
                <w:rFonts w:cs="Calibri"/>
                <w:b/>
                <w:bCs/>
                <w:color w:val="000000"/>
              </w:rPr>
              <w:t>Total</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97870DC" w14:textId="77777777">
            <w:pPr>
              <w:jc w:val="center"/>
              <w:rPr>
                <w:rFonts w:cs="Calibri"/>
                <w:b/>
                <w:bCs/>
                <w:color w:val="000000"/>
              </w:rPr>
            </w:pPr>
            <w:r w:rsidRPr="00E7564C">
              <w:rPr>
                <w:rFonts w:cs="Calibri"/>
                <w:b/>
                <w:bCs/>
                <w:color w:val="000000"/>
              </w:rPr>
              <w:t xml:space="preserve">         18,431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C8E807D" w14:textId="77777777">
            <w:pPr>
              <w:jc w:val="center"/>
              <w:rPr>
                <w:rFonts w:cs="Calibri"/>
                <w:b/>
                <w:bCs/>
                <w:color w:val="000000"/>
              </w:rPr>
            </w:pPr>
            <w:r w:rsidRPr="00E7564C">
              <w:rPr>
                <w:rFonts w:cs="Calibri"/>
                <w:b/>
                <w:bCs/>
                <w:color w:val="000000"/>
              </w:rPr>
              <w:t xml:space="preserve">              18,100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1E409B5" w14:textId="77777777">
            <w:pPr>
              <w:jc w:val="center"/>
              <w:rPr>
                <w:rFonts w:cs="Calibri"/>
                <w:b/>
                <w:bCs/>
                <w:color w:val="000000"/>
              </w:rPr>
            </w:pPr>
            <w:r w:rsidRPr="00E7564C">
              <w:rPr>
                <w:rFonts w:cs="Calibri"/>
                <w:b/>
                <w:bCs/>
                <w:color w:val="000000"/>
              </w:rPr>
              <w:t xml:space="preserve">            950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4555DD6" w14:textId="77777777">
            <w:pPr>
              <w:jc w:val="center"/>
              <w:rPr>
                <w:rFonts w:cs="Calibri"/>
                <w:b/>
                <w:bCs/>
                <w:color w:val="000000"/>
              </w:rPr>
            </w:pPr>
            <w:r w:rsidRPr="00E7564C">
              <w:rPr>
                <w:rFonts w:cs="Calibri"/>
                <w:b/>
                <w:bCs/>
                <w:color w:val="000000"/>
              </w:rPr>
              <w:t xml:space="preserve">         4,750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9FDC8F6" w14:textId="77777777">
            <w:pPr>
              <w:jc w:val="center"/>
              <w:rPr>
                <w:rFonts w:cs="Calibri"/>
                <w:color w:val="000000"/>
              </w:rPr>
            </w:pPr>
            <w:r w:rsidRPr="00E7564C">
              <w:rPr>
                <w:rFonts w:cs="Calibri"/>
                <w:color w:val="000000"/>
              </w:rPr>
              <w:t>26%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81366A0" w14:textId="77777777">
            <w:pPr>
              <w:jc w:val="center"/>
              <w:rPr>
                <w:rFonts w:cs="Calibri"/>
                <w:color w:val="000000"/>
              </w:rPr>
            </w:pPr>
            <w:r w:rsidRPr="00E7564C">
              <w:rPr>
                <w:rFonts w:cs="Calibri"/>
                <w:color w:val="000000"/>
              </w:rPr>
              <w:t>3.1%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B54D920" w14:textId="77777777">
            <w:pPr>
              <w:jc w:val="center"/>
              <w:rPr>
                <w:rFonts w:cs="Calibri"/>
                <w:color w:val="000000"/>
              </w:rPr>
            </w:pPr>
            <w:r w:rsidRPr="00E7564C">
              <w:rPr>
                <w:rFonts w:cs="Calibri"/>
                <w:color w:val="000000"/>
              </w:rPr>
              <w:t>2.6%</w:t>
            </w:r>
          </w:p>
        </w:tc>
      </w:tr>
      <w:tr w:rsidRPr="00E7564C" w:rsidR="00B843A1" w:rsidTr="00057644" w14:paraId="4CC6A593" w14:textId="77777777">
        <w:trPr>
          <w:trHeight w:val="300"/>
        </w:trPr>
        <w:tc>
          <w:tcPr>
            <w:tcW w:w="9140" w:type="dxa"/>
            <w:gridSpan w:val="8"/>
            <w:tcBorders>
              <w:top w:val="single" w:color="auto" w:sz="4" w:space="0"/>
              <w:left w:val="single" w:color="auto" w:sz="4" w:space="0"/>
              <w:bottom w:val="single" w:color="auto" w:sz="4" w:space="0"/>
              <w:right w:val="single" w:color="auto" w:sz="4" w:space="0"/>
            </w:tcBorders>
            <w:shd w:val="clear" w:color="000000" w:fill="B4C6E7"/>
            <w:noWrap/>
            <w:vAlign w:val="bottom"/>
            <w:hideMark/>
          </w:tcPr>
          <w:p w:rsidRPr="00E7564C" w:rsidR="00B843A1" w:rsidP="00057644" w:rsidRDefault="00B843A1" w14:paraId="1C2183B6" w14:textId="77777777">
            <w:pPr>
              <w:rPr>
                <w:rFonts w:cs="Calibri"/>
                <w:color w:val="000000"/>
              </w:rPr>
            </w:pPr>
            <w:r w:rsidRPr="00E7564C">
              <w:rPr>
                <w:rFonts w:cs="Calibri"/>
                <w:color w:val="000000"/>
              </w:rPr>
              <w:t>Geographic Location</w:t>
            </w:r>
          </w:p>
        </w:tc>
      </w:tr>
      <w:tr w:rsidRPr="00E7564C" w:rsidR="00B843A1" w:rsidTr="00057644" w14:paraId="44F1942A"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7BCAC4AD" w14:textId="77777777">
            <w:pPr>
              <w:rPr>
                <w:rFonts w:cs="Calibri"/>
                <w:color w:val="000000"/>
              </w:rPr>
            </w:pPr>
            <w:r w:rsidRPr="00E7564C">
              <w:rPr>
                <w:rFonts w:cs="Calibri"/>
                <w:color w:val="000000"/>
              </w:rPr>
              <w:t>Rural</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CE81D9B" w14:textId="77777777">
            <w:pPr>
              <w:jc w:val="center"/>
              <w:rPr>
                <w:rFonts w:cs="Calibri"/>
                <w:color w:val="000000"/>
              </w:rPr>
            </w:pPr>
            <w:r w:rsidRPr="00E7564C">
              <w:rPr>
                <w:rFonts w:cs="Calibri"/>
                <w:color w:val="000000"/>
              </w:rPr>
              <w:t xml:space="preserve">           4,025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FC4876B" w14:textId="77777777">
            <w:pPr>
              <w:jc w:val="center"/>
              <w:rPr>
                <w:rFonts w:cs="Calibri"/>
                <w:color w:val="000000"/>
              </w:rPr>
            </w:pPr>
            <w:r w:rsidRPr="00E7564C">
              <w:rPr>
                <w:rFonts w:cs="Calibri"/>
                <w:color w:val="000000"/>
              </w:rPr>
              <w:t xml:space="preserve">                 3,953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118BF1FC" w14:textId="77777777">
            <w:pPr>
              <w:jc w:val="center"/>
              <w:rPr>
                <w:rFonts w:cs="Calibri"/>
                <w:color w:val="000000"/>
              </w:rPr>
            </w:pPr>
            <w:r w:rsidRPr="00E7564C">
              <w:rPr>
                <w:rFonts w:cs="Calibri"/>
                <w:color w:val="000000"/>
              </w:rPr>
              <w:t xml:space="preserve">            250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0CF096B" w14:textId="77777777">
            <w:pPr>
              <w:jc w:val="center"/>
              <w:rPr>
                <w:rFonts w:cs="Calibri"/>
                <w:color w:val="000000"/>
              </w:rPr>
            </w:pPr>
            <w:r w:rsidRPr="00E7564C">
              <w:rPr>
                <w:rFonts w:cs="Calibri"/>
                <w:color w:val="000000"/>
              </w:rPr>
              <w:t xml:space="preserve">         1,250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1A9228A" w14:textId="77777777">
            <w:pPr>
              <w:jc w:val="center"/>
              <w:rPr>
                <w:rFonts w:cs="Calibri"/>
                <w:color w:val="000000"/>
              </w:rPr>
            </w:pPr>
            <w:r w:rsidRPr="00E7564C">
              <w:rPr>
                <w:rFonts w:cs="Calibri"/>
                <w:color w:val="000000"/>
              </w:rPr>
              <w:t>32%</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309EEBB7" w14:textId="77777777">
            <w:pPr>
              <w:jc w:val="center"/>
              <w:rPr>
                <w:rFonts w:cs="Calibri"/>
                <w:color w:val="000000"/>
              </w:rPr>
            </w:pPr>
            <w:r w:rsidRPr="00E7564C">
              <w:rPr>
                <w:rFonts w:cs="Calibri"/>
                <w:color w:val="000000"/>
              </w:rPr>
              <w:t>6.0%</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BC58E51" w14:textId="77777777">
            <w:pPr>
              <w:jc w:val="center"/>
              <w:rPr>
                <w:rFonts w:cs="Calibri"/>
                <w:color w:val="000000"/>
              </w:rPr>
            </w:pPr>
            <w:r w:rsidRPr="00E7564C">
              <w:rPr>
                <w:rFonts w:cs="Calibri"/>
                <w:color w:val="000000"/>
              </w:rPr>
              <w:t>5.0%</w:t>
            </w:r>
          </w:p>
        </w:tc>
      </w:tr>
      <w:tr w:rsidRPr="00E7564C" w:rsidR="00B843A1" w:rsidTr="00057644" w14:paraId="335F6EDD"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02CDE7D4" w14:textId="77777777">
            <w:pPr>
              <w:rPr>
                <w:rFonts w:cs="Calibri"/>
                <w:color w:val="000000"/>
              </w:rPr>
            </w:pPr>
            <w:r w:rsidRPr="00E7564C">
              <w:rPr>
                <w:rFonts w:cs="Calibri"/>
                <w:color w:val="000000"/>
              </w:rPr>
              <w:t>Urban/Other</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304357F4" w14:textId="77777777">
            <w:pPr>
              <w:jc w:val="center"/>
              <w:rPr>
                <w:rFonts w:cs="Calibri"/>
                <w:color w:val="000000"/>
              </w:rPr>
            </w:pPr>
            <w:r w:rsidRPr="00E7564C">
              <w:rPr>
                <w:rFonts w:cs="Calibri"/>
                <w:color w:val="000000"/>
              </w:rPr>
              <w:t xml:space="preserve">         14,406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291FE5E" w14:textId="77777777">
            <w:pPr>
              <w:jc w:val="center"/>
              <w:rPr>
                <w:rFonts w:cs="Calibri"/>
                <w:color w:val="000000"/>
              </w:rPr>
            </w:pPr>
            <w:r w:rsidRPr="00E7564C">
              <w:rPr>
                <w:rFonts w:cs="Calibri"/>
                <w:color w:val="000000"/>
              </w:rPr>
              <w:t xml:space="preserve">              14,147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5D814A5" w14:textId="77777777">
            <w:pPr>
              <w:jc w:val="center"/>
              <w:rPr>
                <w:rFonts w:cs="Calibri"/>
                <w:color w:val="000000"/>
              </w:rPr>
            </w:pPr>
            <w:r w:rsidRPr="00E7564C">
              <w:rPr>
                <w:rFonts w:cs="Calibri"/>
                <w:color w:val="000000"/>
              </w:rPr>
              <w:t xml:space="preserve">            700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D9CD621" w14:textId="77777777">
            <w:pPr>
              <w:jc w:val="center"/>
              <w:rPr>
                <w:rFonts w:cs="Calibri"/>
                <w:color w:val="000000"/>
              </w:rPr>
            </w:pPr>
            <w:r w:rsidRPr="00E7564C">
              <w:rPr>
                <w:rFonts w:cs="Calibri"/>
                <w:color w:val="000000"/>
              </w:rPr>
              <w:t xml:space="preserve">         3,500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4CFA82C" w14:textId="77777777">
            <w:pPr>
              <w:jc w:val="center"/>
              <w:rPr>
                <w:rFonts w:cs="Calibri"/>
                <w:color w:val="000000"/>
              </w:rPr>
            </w:pPr>
            <w:r w:rsidRPr="00E7564C">
              <w:rPr>
                <w:rFonts w:cs="Calibri"/>
                <w:color w:val="000000"/>
              </w:rPr>
              <w:t>25%</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D738750" w14:textId="77777777">
            <w:pPr>
              <w:jc w:val="center"/>
              <w:rPr>
                <w:rFonts w:cs="Calibri"/>
                <w:color w:val="000000"/>
              </w:rPr>
            </w:pPr>
            <w:r w:rsidRPr="00E7564C">
              <w:rPr>
                <w:rFonts w:cs="Calibri"/>
                <w:color w:val="000000"/>
              </w:rPr>
              <w:t>3.6%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41ACE0C" w14:textId="77777777">
            <w:pPr>
              <w:jc w:val="center"/>
              <w:rPr>
                <w:rFonts w:cs="Calibri"/>
                <w:color w:val="000000"/>
              </w:rPr>
            </w:pPr>
            <w:r w:rsidRPr="00E7564C">
              <w:rPr>
                <w:rFonts w:cs="Calibri"/>
                <w:color w:val="000000"/>
              </w:rPr>
              <w:t>3.0%</w:t>
            </w:r>
          </w:p>
        </w:tc>
      </w:tr>
      <w:tr w:rsidRPr="00E7564C" w:rsidR="00B843A1" w:rsidTr="00057644" w14:paraId="26961761" w14:textId="77777777">
        <w:trPr>
          <w:trHeight w:val="300"/>
        </w:trPr>
        <w:tc>
          <w:tcPr>
            <w:tcW w:w="9140" w:type="dxa"/>
            <w:gridSpan w:val="8"/>
            <w:tcBorders>
              <w:top w:val="single" w:color="auto" w:sz="4" w:space="0"/>
              <w:left w:val="single" w:color="auto" w:sz="4" w:space="0"/>
              <w:bottom w:val="single" w:color="auto" w:sz="4" w:space="0"/>
              <w:right w:val="single" w:color="auto" w:sz="4" w:space="0"/>
            </w:tcBorders>
            <w:shd w:val="clear" w:color="000000" w:fill="B4C6E7"/>
            <w:noWrap/>
            <w:vAlign w:val="bottom"/>
            <w:hideMark/>
          </w:tcPr>
          <w:p w:rsidRPr="00E7564C" w:rsidR="00B843A1" w:rsidP="00057644" w:rsidRDefault="00B843A1" w14:paraId="6F2CD937" w14:textId="77777777">
            <w:pPr>
              <w:rPr>
                <w:rFonts w:cs="Calibri"/>
                <w:color w:val="000000"/>
              </w:rPr>
            </w:pPr>
            <w:r w:rsidRPr="00E7564C">
              <w:rPr>
                <w:rFonts w:cs="Calibri"/>
                <w:color w:val="000000"/>
              </w:rPr>
              <w:t>Facility Complexity Level</w:t>
            </w:r>
          </w:p>
        </w:tc>
      </w:tr>
      <w:tr w:rsidRPr="00E7564C" w:rsidR="00B843A1" w:rsidTr="00057644" w14:paraId="371C3589"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670BBC94" w14:textId="77777777">
            <w:pPr>
              <w:rPr>
                <w:rFonts w:cs="Calibri"/>
                <w:color w:val="000000"/>
              </w:rPr>
            </w:pPr>
            <w:r w:rsidRPr="00E7564C">
              <w:rPr>
                <w:rFonts w:cs="Calibri"/>
                <w:color w:val="000000"/>
              </w:rPr>
              <w:t>1a</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84E5986" w14:textId="77777777">
            <w:pPr>
              <w:jc w:val="center"/>
              <w:rPr>
                <w:rFonts w:cs="Calibri"/>
                <w:color w:val="000000"/>
              </w:rPr>
            </w:pPr>
            <w:r w:rsidRPr="00E7564C">
              <w:rPr>
                <w:rFonts w:cs="Calibri"/>
                <w:color w:val="000000"/>
              </w:rPr>
              <w:t xml:space="preserve">           8,354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0CD48C5" w14:textId="77777777">
            <w:pPr>
              <w:jc w:val="center"/>
              <w:rPr>
                <w:rFonts w:cs="Calibri"/>
                <w:color w:val="000000"/>
              </w:rPr>
            </w:pPr>
            <w:r w:rsidRPr="00E7564C">
              <w:rPr>
                <w:rFonts w:cs="Calibri"/>
                <w:color w:val="000000"/>
              </w:rPr>
              <w:t xml:space="preserve">                 8,204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E6D4DEF" w14:textId="77777777">
            <w:pPr>
              <w:jc w:val="center"/>
              <w:rPr>
                <w:rFonts w:cs="Calibri"/>
                <w:color w:val="000000"/>
              </w:rPr>
            </w:pPr>
            <w:r w:rsidRPr="00E7564C">
              <w:rPr>
                <w:rFonts w:cs="Calibri"/>
                <w:color w:val="000000"/>
              </w:rPr>
              <w:t xml:space="preserve">            350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253B5A6" w14:textId="77777777">
            <w:pPr>
              <w:jc w:val="center"/>
              <w:rPr>
                <w:rFonts w:cs="Calibri"/>
                <w:color w:val="000000"/>
              </w:rPr>
            </w:pPr>
            <w:r w:rsidRPr="00E7564C">
              <w:rPr>
                <w:rFonts w:cs="Calibri"/>
                <w:color w:val="000000"/>
              </w:rPr>
              <w:t xml:space="preserve">         1,750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06C6EDC" w14:textId="77777777">
            <w:pPr>
              <w:jc w:val="center"/>
              <w:rPr>
                <w:rFonts w:cs="Calibri"/>
                <w:color w:val="000000"/>
              </w:rPr>
            </w:pPr>
            <w:r w:rsidRPr="00E7564C">
              <w:rPr>
                <w:rFonts w:cs="Calibri"/>
                <w:color w:val="000000"/>
              </w:rPr>
              <w:t>21%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AE5A152" w14:textId="77777777">
            <w:pPr>
              <w:jc w:val="center"/>
              <w:rPr>
                <w:rFonts w:cs="Calibri"/>
                <w:color w:val="000000"/>
              </w:rPr>
            </w:pPr>
            <w:r w:rsidRPr="00E7564C">
              <w:rPr>
                <w:rFonts w:cs="Calibri"/>
                <w:color w:val="000000"/>
              </w:rPr>
              <w:t>5.1%</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366AB7DC" w14:textId="77777777">
            <w:pPr>
              <w:jc w:val="center"/>
              <w:rPr>
                <w:rFonts w:cs="Calibri"/>
                <w:color w:val="000000"/>
              </w:rPr>
            </w:pPr>
            <w:r w:rsidRPr="00E7564C">
              <w:rPr>
                <w:rFonts w:cs="Calibri"/>
                <w:color w:val="000000"/>
              </w:rPr>
              <w:t>4.3%</w:t>
            </w:r>
          </w:p>
        </w:tc>
      </w:tr>
      <w:tr w:rsidRPr="00E7564C" w:rsidR="00B843A1" w:rsidTr="00057644" w14:paraId="489BD3E2"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503E8E9A" w14:textId="77777777">
            <w:pPr>
              <w:rPr>
                <w:rFonts w:cs="Calibri"/>
                <w:color w:val="000000"/>
              </w:rPr>
            </w:pPr>
            <w:r w:rsidRPr="00E7564C">
              <w:rPr>
                <w:rFonts w:cs="Calibri"/>
                <w:color w:val="000000"/>
              </w:rPr>
              <w:t>1b</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AF18EE1" w14:textId="77777777">
            <w:pPr>
              <w:jc w:val="center"/>
              <w:rPr>
                <w:rFonts w:cs="Calibri"/>
                <w:color w:val="000000"/>
              </w:rPr>
            </w:pPr>
            <w:r w:rsidRPr="00E7564C">
              <w:rPr>
                <w:rFonts w:cs="Calibri"/>
                <w:color w:val="000000"/>
              </w:rPr>
              <w:t xml:space="preserve">           4,145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002F48C" w14:textId="77777777">
            <w:pPr>
              <w:jc w:val="center"/>
              <w:rPr>
                <w:rFonts w:cs="Calibri"/>
                <w:color w:val="000000"/>
              </w:rPr>
            </w:pPr>
            <w:r w:rsidRPr="00E7564C">
              <w:rPr>
                <w:rFonts w:cs="Calibri"/>
                <w:color w:val="000000"/>
              </w:rPr>
              <w:t xml:space="preserve">                 4,070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3C6CA282" w14:textId="77777777">
            <w:pPr>
              <w:jc w:val="center"/>
              <w:rPr>
                <w:rFonts w:cs="Calibri"/>
                <w:color w:val="000000"/>
              </w:rPr>
            </w:pPr>
            <w:r w:rsidRPr="00E7564C">
              <w:rPr>
                <w:rFonts w:cs="Calibri"/>
                <w:color w:val="000000"/>
              </w:rPr>
              <w:t xml:space="preserve">            210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EA3349D" w14:textId="77777777">
            <w:pPr>
              <w:jc w:val="center"/>
              <w:rPr>
                <w:rFonts w:cs="Calibri"/>
                <w:color w:val="000000"/>
              </w:rPr>
            </w:pPr>
            <w:r w:rsidRPr="00E7564C">
              <w:rPr>
                <w:rFonts w:cs="Calibri"/>
                <w:color w:val="000000"/>
              </w:rPr>
              <w:t xml:space="preserve">         1,050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6262747" w14:textId="77777777">
            <w:pPr>
              <w:jc w:val="center"/>
              <w:rPr>
                <w:rFonts w:cs="Calibri"/>
                <w:color w:val="000000"/>
              </w:rPr>
            </w:pPr>
            <w:r w:rsidRPr="00E7564C">
              <w:rPr>
                <w:rFonts w:cs="Calibri"/>
                <w:color w:val="000000"/>
              </w:rPr>
              <w:t>26%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0BDAA21" w14:textId="77777777">
            <w:pPr>
              <w:jc w:val="center"/>
              <w:rPr>
                <w:rFonts w:cs="Calibri"/>
                <w:color w:val="000000"/>
              </w:rPr>
            </w:pPr>
            <w:r w:rsidRPr="00E7564C">
              <w:rPr>
                <w:rFonts w:cs="Calibri"/>
                <w:color w:val="000000"/>
              </w:rPr>
              <w:t>6.6%</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7349DF0" w14:textId="77777777">
            <w:pPr>
              <w:jc w:val="center"/>
              <w:rPr>
                <w:rFonts w:cs="Calibri"/>
                <w:color w:val="000000"/>
              </w:rPr>
            </w:pPr>
            <w:r w:rsidRPr="00E7564C">
              <w:rPr>
                <w:rFonts w:cs="Calibri"/>
                <w:color w:val="000000"/>
              </w:rPr>
              <w:t>5.5%</w:t>
            </w:r>
          </w:p>
        </w:tc>
      </w:tr>
      <w:tr w:rsidRPr="00E7564C" w:rsidR="00B843A1" w:rsidTr="00057644" w14:paraId="28724AA1"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1D1C5AD2" w14:textId="77777777">
            <w:pPr>
              <w:rPr>
                <w:rFonts w:cs="Calibri"/>
                <w:color w:val="000000"/>
              </w:rPr>
            </w:pPr>
            <w:r w:rsidRPr="00E7564C">
              <w:rPr>
                <w:rFonts w:cs="Calibri"/>
                <w:color w:val="000000"/>
              </w:rPr>
              <w:t>1c</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3D4FC55" w14:textId="77777777">
            <w:pPr>
              <w:jc w:val="center"/>
              <w:rPr>
                <w:rFonts w:cs="Calibri"/>
                <w:color w:val="000000"/>
              </w:rPr>
            </w:pPr>
            <w:r w:rsidRPr="00E7564C">
              <w:rPr>
                <w:rFonts w:cs="Calibri"/>
                <w:color w:val="000000"/>
              </w:rPr>
              <w:t xml:space="preserve">           3,667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CE1451B" w14:textId="77777777">
            <w:pPr>
              <w:jc w:val="center"/>
              <w:rPr>
                <w:rFonts w:cs="Calibri"/>
                <w:color w:val="000000"/>
              </w:rPr>
            </w:pPr>
            <w:r w:rsidRPr="00E7564C">
              <w:rPr>
                <w:rFonts w:cs="Calibri"/>
                <w:color w:val="000000"/>
              </w:rPr>
              <w:t xml:space="preserve">                 3,601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9252327" w14:textId="77777777">
            <w:pPr>
              <w:jc w:val="center"/>
              <w:rPr>
                <w:rFonts w:cs="Calibri"/>
                <w:color w:val="000000"/>
              </w:rPr>
            </w:pPr>
            <w:r w:rsidRPr="00E7564C">
              <w:rPr>
                <w:rFonts w:cs="Calibri"/>
                <w:color w:val="000000"/>
              </w:rPr>
              <w:t xml:space="preserve">            200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0C2833B" w14:textId="77777777">
            <w:pPr>
              <w:jc w:val="center"/>
              <w:rPr>
                <w:rFonts w:cs="Calibri"/>
                <w:color w:val="000000"/>
              </w:rPr>
            </w:pPr>
            <w:r w:rsidRPr="00E7564C">
              <w:rPr>
                <w:rFonts w:cs="Calibri"/>
                <w:color w:val="000000"/>
              </w:rPr>
              <w:t xml:space="preserve">         1,000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1315622" w14:textId="77777777">
            <w:pPr>
              <w:jc w:val="center"/>
              <w:rPr>
                <w:rFonts w:cs="Calibri"/>
                <w:color w:val="000000"/>
              </w:rPr>
            </w:pPr>
            <w:r w:rsidRPr="00E7564C">
              <w:rPr>
                <w:rFonts w:cs="Calibri"/>
                <w:color w:val="000000"/>
              </w:rPr>
              <w:t>28%</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CC23F2D" w14:textId="77777777">
            <w:pPr>
              <w:jc w:val="center"/>
              <w:rPr>
                <w:rFonts w:cs="Calibri"/>
                <w:color w:val="000000"/>
              </w:rPr>
            </w:pPr>
            <w:r w:rsidRPr="00E7564C">
              <w:rPr>
                <w:rFonts w:cs="Calibri"/>
                <w:color w:val="000000"/>
              </w:rPr>
              <w:t>6.7%</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2FE7F9B" w14:textId="77777777">
            <w:pPr>
              <w:jc w:val="center"/>
              <w:rPr>
                <w:rFonts w:cs="Calibri"/>
                <w:color w:val="000000"/>
              </w:rPr>
            </w:pPr>
            <w:r w:rsidRPr="00E7564C">
              <w:rPr>
                <w:rFonts w:cs="Calibri"/>
                <w:color w:val="000000"/>
              </w:rPr>
              <w:t>5.6%</w:t>
            </w:r>
          </w:p>
        </w:tc>
      </w:tr>
      <w:tr w:rsidRPr="00E7564C" w:rsidR="00B843A1" w:rsidTr="00057644" w14:paraId="735C63A2"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43A5DCED" w14:textId="77777777">
            <w:pPr>
              <w:rPr>
                <w:rFonts w:cs="Calibri"/>
                <w:color w:val="000000"/>
              </w:rPr>
            </w:pPr>
            <w:r w:rsidRPr="00E7564C">
              <w:rPr>
                <w:rFonts w:cs="Calibri"/>
                <w:color w:val="000000"/>
              </w:rPr>
              <w:t>2</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D195327" w14:textId="77777777">
            <w:pPr>
              <w:jc w:val="center"/>
              <w:rPr>
                <w:rFonts w:cs="Calibri"/>
                <w:color w:val="000000"/>
              </w:rPr>
            </w:pPr>
            <w:r w:rsidRPr="00E7564C">
              <w:rPr>
                <w:rFonts w:cs="Calibri"/>
                <w:color w:val="000000"/>
              </w:rPr>
              <w:t xml:space="preserve">           1,182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F97DDF3" w14:textId="77777777">
            <w:pPr>
              <w:jc w:val="center"/>
              <w:rPr>
                <w:rFonts w:cs="Calibri"/>
                <w:color w:val="000000"/>
              </w:rPr>
            </w:pPr>
            <w:r w:rsidRPr="00E7564C">
              <w:rPr>
                <w:rFonts w:cs="Calibri"/>
                <w:color w:val="000000"/>
              </w:rPr>
              <w:t xml:space="preserve">                 1,161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02AAADC" w14:textId="77777777">
            <w:pPr>
              <w:jc w:val="center"/>
              <w:rPr>
                <w:rFonts w:cs="Calibri"/>
                <w:color w:val="000000"/>
              </w:rPr>
            </w:pPr>
            <w:r w:rsidRPr="00E7564C">
              <w:rPr>
                <w:rFonts w:cs="Calibri"/>
                <w:color w:val="000000"/>
              </w:rPr>
              <w:t xml:space="preserve">            100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5FE9B63A" w14:textId="77777777">
            <w:pPr>
              <w:jc w:val="center"/>
              <w:rPr>
                <w:rFonts w:cs="Calibri"/>
                <w:color w:val="000000"/>
              </w:rPr>
            </w:pPr>
            <w:r w:rsidRPr="00E7564C">
              <w:rPr>
                <w:rFonts w:cs="Calibri"/>
                <w:color w:val="000000"/>
              </w:rPr>
              <w:t xml:space="preserve">            500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400B606" w14:textId="77777777">
            <w:pPr>
              <w:jc w:val="center"/>
              <w:rPr>
                <w:rFonts w:cs="Calibri"/>
                <w:color w:val="000000"/>
              </w:rPr>
            </w:pPr>
            <w:r w:rsidRPr="00E7564C">
              <w:rPr>
                <w:rFonts w:cs="Calibri"/>
                <w:color w:val="000000"/>
              </w:rPr>
              <w:t>43%</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A53CDAF" w14:textId="77777777">
            <w:pPr>
              <w:jc w:val="center"/>
              <w:rPr>
                <w:rFonts w:cs="Calibri"/>
                <w:color w:val="000000"/>
              </w:rPr>
            </w:pPr>
            <w:r w:rsidRPr="00E7564C">
              <w:rPr>
                <w:rFonts w:cs="Calibri"/>
                <w:color w:val="000000"/>
              </w:rPr>
              <w:t>9.3%</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C0693AF" w14:textId="77777777">
            <w:pPr>
              <w:jc w:val="center"/>
              <w:rPr>
                <w:rFonts w:cs="Calibri"/>
                <w:color w:val="000000"/>
              </w:rPr>
            </w:pPr>
            <w:r w:rsidRPr="00E7564C">
              <w:rPr>
                <w:rFonts w:cs="Calibri"/>
                <w:color w:val="000000"/>
              </w:rPr>
              <w:t>7.8%</w:t>
            </w:r>
          </w:p>
        </w:tc>
      </w:tr>
      <w:tr w:rsidRPr="00E7564C" w:rsidR="00B843A1" w:rsidTr="00057644" w14:paraId="181F93D5" w14:textId="77777777">
        <w:trPr>
          <w:trHeight w:val="300"/>
        </w:trPr>
        <w:tc>
          <w:tcPr>
            <w:tcW w:w="1640" w:type="dxa"/>
            <w:tcBorders>
              <w:top w:val="nil"/>
              <w:left w:val="single" w:color="auto" w:sz="4" w:space="0"/>
              <w:bottom w:val="single" w:color="auto" w:sz="4" w:space="0"/>
              <w:right w:val="single" w:color="auto" w:sz="4" w:space="0"/>
            </w:tcBorders>
            <w:shd w:val="clear" w:color="auto" w:fill="auto"/>
            <w:noWrap/>
            <w:vAlign w:val="bottom"/>
            <w:hideMark/>
          </w:tcPr>
          <w:p w:rsidRPr="00E7564C" w:rsidR="00B843A1" w:rsidP="00057644" w:rsidRDefault="00B843A1" w14:paraId="3A672D7F" w14:textId="77777777">
            <w:pPr>
              <w:rPr>
                <w:rFonts w:cs="Calibri"/>
                <w:color w:val="000000"/>
              </w:rPr>
            </w:pPr>
            <w:r w:rsidRPr="00E7564C">
              <w:rPr>
                <w:rFonts w:cs="Calibri"/>
                <w:color w:val="000000"/>
              </w:rPr>
              <w:t>3</w:t>
            </w:r>
          </w:p>
        </w:tc>
        <w:tc>
          <w:tcPr>
            <w:tcW w:w="1097"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23492D7E" w14:textId="77777777">
            <w:pPr>
              <w:jc w:val="center"/>
              <w:rPr>
                <w:rFonts w:cs="Calibri"/>
                <w:color w:val="000000"/>
              </w:rPr>
            </w:pPr>
            <w:r w:rsidRPr="00E7564C">
              <w:rPr>
                <w:rFonts w:cs="Calibri"/>
                <w:color w:val="000000"/>
              </w:rPr>
              <w:t xml:space="preserve">           1,083 </w:t>
            </w:r>
          </w:p>
        </w:tc>
        <w:tc>
          <w:tcPr>
            <w:tcW w:w="1383"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4962F1C5" w14:textId="77777777">
            <w:pPr>
              <w:jc w:val="center"/>
              <w:rPr>
                <w:rFonts w:cs="Calibri"/>
                <w:color w:val="000000"/>
              </w:rPr>
            </w:pPr>
            <w:r w:rsidRPr="00E7564C">
              <w:rPr>
                <w:rFonts w:cs="Calibri"/>
                <w:color w:val="000000"/>
              </w:rPr>
              <w:t xml:space="preserve">                 1,064 </w:t>
            </w:r>
          </w:p>
        </w:tc>
        <w:tc>
          <w:tcPr>
            <w:tcW w:w="98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3E1F8D7" w14:textId="77777777">
            <w:pPr>
              <w:jc w:val="center"/>
              <w:rPr>
                <w:rFonts w:cs="Calibri"/>
                <w:color w:val="000000"/>
              </w:rPr>
            </w:pPr>
            <w:r w:rsidRPr="00E7564C">
              <w:rPr>
                <w:rFonts w:cs="Calibri"/>
                <w:color w:val="000000"/>
              </w:rPr>
              <w:t xml:space="preserve">              90 </w:t>
            </w:r>
          </w:p>
        </w:tc>
        <w:tc>
          <w:tcPr>
            <w:tcW w:w="100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3F144DFC" w14:textId="77777777">
            <w:pPr>
              <w:jc w:val="center"/>
              <w:rPr>
                <w:rFonts w:cs="Calibri"/>
                <w:color w:val="000000"/>
              </w:rPr>
            </w:pPr>
            <w:r w:rsidRPr="00E7564C">
              <w:rPr>
                <w:rFonts w:cs="Calibri"/>
                <w:color w:val="000000"/>
              </w:rPr>
              <w:t xml:space="preserve">            450 </w:t>
            </w:r>
          </w:p>
        </w:tc>
        <w:tc>
          <w:tcPr>
            <w:tcW w:w="112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09009C62" w14:textId="77777777">
            <w:pPr>
              <w:jc w:val="center"/>
              <w:rPr>
                <w:rFonts w:cs="Calibri"/>
                <w:color w:val="000000"/>
              </w:rPr>
            </w:pPr>
            <w:r w:rsidRPr="00E7564C">
              <w:rPr>
                <w:rFonts w:cs="Calibri"/>
                <w:color w:val="000000"/>
              </w:rPr>
              <w:t>42%</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777C1B4A" w14:textId="77777777">
            <w:pPr>
              <w:jc w:val="center"/>
              <w:rPr>
                <w:rFonts w:cs="Calibri"/>
                <w:color w:val="000000"/>
              </w:rPr>
            </w:pPr>
            <w:r w:rsidRPr="00E7564C">
              <w:rPr>
                <w:rFonts w:cs="Calibri"/>
                <w:color w:val="000000"/>
              </w:rPr>
              <w:t>9.8%</w:t>
            </w:r>
          </w:p>
        </w:tc>
        <w:tc>
          <w:tcPr>
            <w:tcW w:w="960" w:type="dxa"/>
            <w:tcBorders>
              <w:top w:val="nil"/>
              <w:left w:val="nil"/>
              <w:bottom w:val="single" w:color="auto" w:sz="4" w:space="0"/>
              <w:right w:val="single" w:color="auto" w:sz="4" w:space="0"/>
            </w:tcBorders>
            <w:shd w:val="clear" w:color="auto" w:fill="auto"/>
            <w:noWrap/>
            <w:vAlign w:val="bottom"/>
            <w:hideMark/>
          </w:tcPr>
          <w:p w:rsidRPr="00E7564C" w:rsidR="00B843A1" w:rsidP="00057644" w:rsidRDefault="00B843A1" w14:paraId="6F2FCEDB" w14:textId="77777777">
            <w:pPr>
              <w:jc w:val="center"/>
              <w:rPr>
                <w:rFonts w:cs="Calibri"/>
                <w:color w:val="000000"/>
              </w:rPr>
            </w:pPr>
            <w:r w:rsidRPr="00E7564C">
              <w:rPr>
                <w:rFonts w:cs="Calibri"/>
                <w:color w:val="000000"/>
              </w:rPr>
              <w:t>8.3%</w:t>
            </w:r>
          </w:p>
        </w:tc>
      </w:tr>
    </w:tbl>
    <w:p w:rsidRPr="00C85DEE" w:rsidR="00B843A1" w:rsidP="00B843A1" w:rsidRDefault="00B843A1" w14:paraId="0E7717FE" w14:textId="77777777">
      <w:pPr>
        <w:spacing w:after="240"/>
      </w:pPr>
    </w:p>
    <w:p w:rsidR="00B843A1" w:rsidP="00B843A1" w:rsidRDefault="00B843A1" w14:paraId="09E014F0" w14:textId="77777777">
      <w:pPr>
        <w:pStyle w:val="Heading2"/>
        <w:keepLines/>
        <w:numPr>
          <w:ilvl w:val="0"/>
          <w:numId w:val="22"/>
        </w:numPr>
        <w:spacing w:before="40" w:line="259" w:lineRule="auto"/>
        <w:jc w:val="left"/>
        <w:rPr>
          <w:b w:val="0"/>
        </w:rPr>
      </w:pPr>
      <w:bookmarkStart w:name="_Toc17919980" w:id="26"/>
      <w:bookmarkStart w:name="_Toc511750805" w:id="27"/>
      <w:r w:rsidRPr="00DD30D6">
        <w:t>Stratification</w:t>
      </w:r>
      <w:bookmarkEnd w:id="26"/>
    </w:p>
    <w:p w:rsidR="00B843A1" w:rsidP="00B843A1" w:rsidRDefault="00B843A1" w14:paraId="748FEE5C" w14:textId="77777777">
      <w:pPr>
        <w:ind w:firstLine="360"/>
      </w:pPr>
      <w:r>
        <w:t xml:space="preserve">Stratification is used to ensure that the sample matches the population, to the extent possible, across sub-populations. The sample is stratified by geographic location of the veteran (rural/urban or other) and facility complexity level (1a, 1b, 1c, 2, or 3).    The sample will also use implicit sampling to assure that the sample reflects the demographic breakdown by veteran gender and age group (&lt;30 years, 30-39 years, 40-49 years, 50-59 years, 60-69 years, 70+ years) within each explicit </w:t>
      </w:r>
      <w:proofErr w:type="gramStart"/>
      <w:r>
        <w:t>strata</w:t>
      </w:r>
      <w:proofErr w:type="gramEnd"/>
      <w:r>
        <w:t>.</w:t>
      </w:r>
    </w:p>
    <w:p w:rsidR="00B843A1" w:rsidP="00B843A1" w:rsidRDefault="00B843A1" w14:paraId="50B841F2" w14:textId="77777777">
      <w:pPr>
        <w:ind w:firstLine="360"/>
      </w:pPr>
    </w:p>
    <w:p w:rsidRPr="00C85DEE" w:rsidR="00B843A1" w:rsidP="00B843A1" w:rsidRDefault="00B843A1" w14:paraId="47C6CAF0" w14:textId="77777777">
      <w:pPr>
        <w:pStyle w:val="Heading2"/>
        <w:keepLines/>
        <w:numPr>
          <w:ilvl w:val="0"/>
          <w:numId w:val="22"/>
        </w:numPr>
        <w:spacing w:after="240"/>
        <w:jc w:val="left"/>
      </w:pPr>
      <w:bookmarkStart w:name="_Toc17919981" w:id="28"/>
      <w:r w:rsidRPr="00C85DEE">
        <w:t>Data Collection Methods</w:t>
      </w:r>
      <w:bookmarkEnd w:id="27"/>
      <w:bookmarkEnd w:id="28"/>
    </w:p>
    <w:p w:rsidR="00B843A1" w:rsidP="00B843A1" w:rsidRDefault="00B843A1" w14:paraId="306433DA" w14:textId="77777777">
      <w:pPr>
        <w:pStyle w:val="ListParagraph"/>
        <w:spacing w:after="240"/>
        <w:ind w:left="0" w:firstLine="360"/>
        <w:rPr>
          <w:b/>
          <w:color w:val="4F81BD" w:themeColor="accent1"/>
        </w:rPr>
      </w:pPr>
      <w:r>
        <w:t xml:space="preserve">The Emergency Medicine Surveys will be sample and conducted in tandem with the VEO outpatient survey. The sample frame will be drawn from the CDW every Tuesday. The initial survey invites will be sent the following day. After 7 days a reminder invite will be </w:t>
      </w:r>
      <w:proofErr w:type="gramStart"/>
      <w:r>
        <w:t>sent</w:t>
      </w:r>
      <w:proofErr w:type="gramEnd"/>
      <w:r>
        <w:t xml:space="preserve"> and the survey will close 14 days after the initial invitation. </w:t>
      </w:r>
    </w:p>
    <w:p w:rsidRPr="00C85DEE" w:rsidR="00B843A1" w:rsidP="00B843A1" w:rsidRDefault="00B843A1" w14:paraId="0F2603CC" w14:textId="77777777">
      <w:pPr>
        <w:spacing w:after="240"/>
        <w:jc w:val="both"/>
        <w:rPr>
          <w:b/>
          <w:color w:val="4F81BD" w:themeColor="accent1"/>
        </w:rPr>
      </w:pPr>
      <w:r w:rsidRPr="00C85DEE">
        <w:rPr>
          <w:b/>
          <w:color w:val="4F81BD" w:themeColor="accent1"/>
        </w:rPr>
        <w:t>Table 3. Survey Mode</w:t>
      </w:r>
    </w:p>
    <w:tbl>
      <w:tblPr>
        <w:tblStyle w:val="GridTable4-Accent11"/>
        <w:tblW w:w="0" w:type="auto"/>
        <w:jc w:val="center"/>
        <w:tblLook w:val="04A0" w:firstRow="1" w:lastRow="0" w:firstColumn="1" w:lastColumn="0" w:noHBand="0" w:noVBand="1"/>
      </w:tblPr>
      <w:tblGrid>
        <w:gridCol w:w="2175"/>
        <w:gridCol w:w="1616"/>
        <w:gridCol w:w="1900"/>
        <w:gridCol w:w="1529"/>
      </w:tblGrid>
      <w:tr w:rsidRPr="00C85DEE" w:rsidR="00B843A1" w:rsidTr="00057644" w14:paraId="1A13F423"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D65964" w:rsidR="00B843A1" w:rsidP="00057644" w:rsidRDefault="00B843A1" w14:paraId="406C552B" w14:textId="77777777">
            <w:pPr>
              <w:spacing w:after="120"/>
              <w:rPr>
                <w:rFonts w:ascii="Times New Roman" w:hAnsi="Times New Roman" w:cs="Times New Roman"/>
                <w:b w:val="0"/>
              </w:rPr>
            </w:pPr>
            <w:r w:rsidRPr="00D65964">
              <w:rPr>
                <w:rFonts w:ascii="Times New Roman" w:hAnsi="Times New Roman" w:cs="Times New Roman"/>
              </w:rPr>
              <w:t>Mode of Data Collection</w:t>
            </w:r>
          </w:p>
          <w:p w:rsidRPr="00D65964" w:rsidR="00B843A1" w:rsidP="00057644" w:rsidRDefault="00B843A1" w14:paraId="170C24F8" w14:textId="77777777">
            <w:pPr>
              <w:spacing w:after="120"/>
              <w:rPr>
                <w:rFonts w:ascii="Times New Roman" w:hAnsi="Times New Roman" w:cs="Times New Roman"/>
                <w:b w:val="0"/>
              </w:rPr>
            </w:pPr>
          </w:p>
        </w:tc>
        <w:tc>
          <w:tcPr>
            <w:tcW w:w="1616" w:type="dxa"/>
          </w:tcPr>
          <w:p w:rsidRPr="00D65964" w:rsidR="00B843A1" w:rsidP="00057644" w:rsidRDefault="00B843A1" w14:paraId="47F30979"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Recruitment Method</w:t>
            </w:r>
          </w:p>
        </w:tc>
        <w:tc>
          <w:tcPr>
            <w:tcW w:w="1900" w:type="dxa"/>
          </w:tcPr>
          <w:p w:rsidRPr="00D65964" w:rsidR="00B843A1" w:rsidP="00057644" w:rsidRDefault="00B843A1" w14:paraId="51BF3675"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Pr="00D65964" w:rsidR="00B843A1" w:rsidP="00057644" w:rsidRDefault="00B843A1" w14:paraId="2F98F5A1" w14:textId="77777777">
            <w:pPr>
              <w:spacing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gramStart"/>
            <w:r w:rsidRPr="00D65964">
              <w:rPr>
                <w:rFonts w:ascii="Times New Roman" w:hAnsi="Times New Roman" w:cs="Times New Roman"/>
              </w:rPr>
              <w:t>Recruitment  Period</w:t>
            </w:r>
            <w:proofErr w:type="gramEnd"/>
          </w:p>
        </w:tc>
      </w:tr>
      <w:tr w:rsidRPr="00C85DEE" w:rsidR="00B843A1" w:rsidTr="00057644" w14:paraId="4ED6C4C5"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5" w:type="dxa"/>
          </w:tcPr>
          <w:p w:rsidRPr="00C85DEE" w:rsidR="00B843A1" w:rsidP="00057644" w:rsidRDefault="00B843A1" w14:paraId="0A89A39B" w14:textId="77777777">
            <w:pPr>
              <w:spacing w:after="120"/>
              <w:rPr>
                <w:rFonts w:ascii="Times New Roman" w:hAnsi="Times New Roman" w:cs="Times New Roman"/>
              </w:rPr>
            </w:pPr>
            <w:r w:rsidRPr="00C85DEE">
              <w:rPr>
                <w:rFonts w:ascii="Times New Roman" w:hAnsi="Times New Roman" w:cs="Times New Roman"/>
              </w:rPr>
              <w:t>Online Survey</w:t>
            </w:r>
          </w:p>
        </w:tc>
        <w:tc>
          <w:tcPr>
            <w:tcW w:w="1616" w:type="dxa"/>
          </w:tcPr>
          <w:p w:rsidRPr="00C85DEE" w:rsidR="00B843A1" w:rsidP="00057644" w:rsidRDefault="00B843A1" w14:paraId="5D563052"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Email Recruitment</w:t>
            </w:r>
          </w:p>
        </w:tc>
        <w:tc>
          <w:tcPr>
            <w:tcW w:w="1900" w:type="dxa"/>
          </w:tcPr>
          <w:p w:rsidRPr="00C85DEE" w:rsidR="00B843A1" w:rsidP="00057644" w:rsidRDefault="00B843A1" w14:paraId="4E88B0C6"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Pr="00C85DEE" w:rsidR="00B843A1" w:rsidP="00057644" w:rsidRDefault="00B843A1" w14:paraId="6CF286DA"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14 Days</w:t>
            </w:r>
          </w:p>
          <w:p w:rsidRPr="00C85DEE" w:rsidR="00B843A1" w:rsidP="00057644" w:rsidRDefault="00B843A1" w14:paraId="2F2C3AC1" w14:textId="77777777">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85DEE">
              <w:rPr>
                <w:rFonts w:ascii="Times New Roman" w:hAnsi="Times New Roman" w:cs="Times New Roman"/>
              </w:rPr>
              <w:t>(Reminder after 7 Days)</w:t>
            </w:r>
          </w:p>
        </w:tc>
      </w:tr>
    </w:tbl>
    <w:p w:rsidRPr="00C85DEE" w:rsidR="00B843A1" w:rsidP="00B843A1" w:rsidRDefault="00B843A1" w14:paraId="20479E6C" w14:textId="77777777"/>
    <w:p w:rsidRPr="00C85DEE" w:rsidR="00B843A1" w:rsidP="00B843A1" w:rsidRDefault="00B843A1" w14:paraId="76955B70" w14:textId="77777777">
      <w:pPr>
        <w:pStyle w:val="Heading2"/>
        <w:keepLines/>
        <w:numPr>
          <w:ilvl w:val="0"/>
          <w:numId w:val="22"/>
        </w:numPr>
        <w:spacing w:before="40" w:after="240"/>
        <w:jc w:val="left"/>
      </w:pPr>
      <w:bookmarkStart w:name="_Toc511750806" w:id="29"/>
      <w:bookmarkStart w:name="_Toc17919982" w:id="30"/>
      <w:r w:rsidRPr="00C85DEE">
        <w:t>Reporting</w:t>
      </w:r>
      <w:bookmarkEnd w:id="29"/>
      <w:bookmarkEnd w:id="30"/>
    </w:p>
    <w:p w:rsidR="00B843A1" w:rsidP="00B843A1" w:rsidRDefault="00B843A1" w14:paraId="5AE1DF75" w14:textId="77777777">
      <w:pPr>
        <w:spacing w:after="240"/>
        <w:ind w:left="58" w:firstLine="662"/>
      </w:pPr>
      <w:r w:rsidRPr="00C85DEE">
        <w:t xml:space="preserve">Researchers will be able to use </w:t>
      </w:r>
      <w:r>
        <w:t xml:space="preserve">the VSignals platform </w:t>
      </w:r>
      <w:r w:rsidRPr="00C85DEE">
        <w:t>for interactive reporting and data visualization.</w:t>
      </w:r>
      <w:r>
        <w:t xml:space="preserve"> Trust, Ease, Effectiveness, and Emotion scores can be observed for each). The scores may </w:t>
      </w:r>
      <w:proofErr w:type="gramStart"/>
      <w:r>
        <w:t>viewed</w:t>
      </w:r>
      <w:proofErr w:type="gramEnd"/>
      <w:r>
        <w:t xml:space="preserve"> by Age Group, Gender, and Race/Ethnicity in various charts for different perspective. They are also depicted within time series plots to investigate trends. Finally,</w:t>
      </w:r>
      <w:r w:rsidRPr="00C85DEE">
        <w:t xml:space="preserve"> filter </w:t>
      </w:r>
      <w:r>
        <w:t>options are available to assess scores at varying time periods and</w:t>
      </w:r>
      <w:r w:rsidRPr="00C85DEE">
        <w:t xml:space="preserve"> within the context of other collected variable information.</w:t>
      </w:r>
    </w:p>
    <w:p w:rsidRPr="00C85DEE" w:rsidR="00B843A1" w:rsidP="00B843A1" w:rsidRDefault="00B843A1" w14:paraId="26466A71" w14:textId="77777777">
      <w:pPr>
        <w:spacing w:after="240"/>
        <w:ind w:left="58" w:firstLine="662"/>
      </w:pPr>
      <w:r w:rsidRPr="00FF32AB">
        <w:t xml:space="preserve">Recruitment is continuous (weekly) but the results from several weeks may be combined into a </w:t>
      </w:r>
      <w:r w:rsidRPr="00FF32AB">
        <w:rPr>
          <w:i/>
        </w:rPr>
        <w:t>monthly</w:t>
      </w:r>
      <w:r>
        <w:t xml:space="preserve"> estimate for more precise estimates, which is the recommended reporting level. Weekly estimates may include minor distortions but allow analysts to review scores more quickly and within smaller time intervals. Weekly estimates are less reliable for small </w:t>
      </w:r>
      <w:proofErr w:type="gramStart"/>
      <w:r>
        <w:t>domains, and</w:t>
      </w:r>
      <w:proofErr w:type="gramEnd"/>
      <w:r>
        <w:t xml:space="preserve"> should only be considered for aggregated populations.  M</w:t>
      </w:r>
      <w:r w:rsidRPr="00FF32AB">
        <w:t>onthly estimates will have larger sample sizes, and therefore higher reliability</w:t>
      </w:r>
      <w:r>
        <w:t xml:space="preserve"> set to a 3% MOE at the 95% Confidence level. All estimates are also weighted in real time on the platform for improved representation and less bias (non-response and coverage, see section G on Sample Weighting) but the weights can introduce distortions when looking at short time windows. </w:t>
      </w:r>
      <w:r w:rsidRPr="00FF32AB">
        <w:t xml:space="preserve">Quarterly estimates are the most </w:t>
      </w:r>
      <w:proofErr w:type="gramStart"/>
      <w:r w:rsidRPr="00FF32AB">
        <w:t>precise, but</w:t>
      </w:r>
      <w:proofErr w:type="gramEnd"/>
      <w:r w:rsidRPr="00FF32AB">
        <w:t xml:space="preserve"> will take the greatest amount of time to obtain (12 weeks of collection). </w:t>
      </w:r>
      <w:r>
        <w:t>However, Quarterly estimates are the most suitable for the analysis of small populations (e.g. VAMC, Female Veterans 18-29, etc.).</w:t>
      </w:r>
    </w:p>
    <w:p w:rsidRPr="00C85DEE" w:rsidR="00B843A1" w:rsidP="00B843A1" w:rsidRDefault="00B843A1" w14:paraId="766E29D8" w14:textId="77777777">
      <w:pPr>
        <w:pStyle w:val="Heading2"/>
        <w:keepLines/>
        <w:numPr>
          <w:ilvl w:val="0"/>
          <w:numId w:val="22"/>
        </w:numPr>
        <w:spacing w:after="240"/>
        <w:jc w:val="left"/>
      </w:pPr>
      <w:bookmarkStart w:name="_Toc17919983" w:id="31"/>
      <w:bookmarkStart w:name="_Toc511750807" w:id="32"/>
      <w:r w:rsidRPr="00C85DEE">
        <w:t>Quality Control</w:t>
      </w:r>
      <w:bookmarkEnd w:id="31"/>
    </w:p>
    <w:p w:rsidRPr="00C34DFE" w:rsidR="00B843A1" w:rsidP="00B843A1" w:rsidRDefault="00B843A1" w14:paraId="7B483788" w14:textId="77777777">
      <w:pPr>
        <w:spacing w:after="240"/>
        <w:ind w:firstLine="720"/>
      </w:pPr>
      <w:r w:rsidRPr="00C34DFE">
        <w:t xml:space="preserve">To ensure the prevention of errors and inconsistencies in the data and the analysis, quality control procedures will be instituted in several steps of the survey process. Records will undergo a cleaning </w:t>
      </w:r>
      <w:r w:rsidRPr="00C34DFE">
        <w:rPr>
          <w:u w:val="single"/>
        </w:rPr>
        <w:t>during the population file creation</w:t>
      </w:r>
      <w:r w:rsidRPr="00C34DFE">
        <w:t>.  The quality control steps are as follows.</w:t>
      </w:r>
    </w:p>
    <w:p w:rsidRPr="0014589C" w:rsidR="00B843A1" w:rsidP="00B843A1" w:rsidRDefault="00B843A1" w14:paraId="1C87442F" w14:textId="77777777">
      <w:pPr>
        <w:pStyle w:val="ListParagraph"/>
        <w:numPr>
          <w:ilvl w:val="0"/>
          <w:numId w:val="31"/>
        </w:numPr>
        <w:spacing w:after="120"/>
      </w:pPr>
      <w:r w:rsidRPr="0014589C">
        <w:rPr>
          <w:rFonts w:eastAsia="Calibri"/>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B843A1" w:rsidP="00B843A1" w:rsidRDefault="00B843A1" w14:paraId="0C4F8895" w14:textId="77777777">
      <w:pPr>
        <w:pStyle w:val="ListParagraph"/>
        <w:numPr>
          <w:ilvl w:val="0"/>
          <w:numId w:val="31"/>
        </w:numPr>
        <w:spacing w:after="100" w:afterAutospacing="1"/>
        <w:rPr>
          <w:rFonts w:eastAsia="Calibri"/>
        </w:rPr>
      </w:pPr>
      <w:r w:rsidRPr="0014589C">
        <w:rPr>
          <w:rFonts w:eastAsia="Calibri"/>
        </w:rPr>
        <w:t>Any duplicate records will be removed from the population file to both maintain the probabilities of selection and prevent the double sampling of the same veteran.</w:t>
      </w:r>
    </w:p>
    <w:p w:rsidRPr="0014589C" w:rsidR="00B843A1" w:rsidP="00B843A1" w:rsidRDefault="00B843A1" w14:paraId="623776DF" w14:textId="77777777">
      <w:pPr>
        <w:pStyle w:val="ListParagraph"/>
        <w:numPr>
          <w:ilvl w:val="0"/>
          <w:numId w:val="31"/>
        </w:numPr>
        <w:spacing w:after="100" w:afterAutospacing="1"/>
        <w:rPr>
          <w:rFonts w:eastAsia="Calibri"/>
        </w:rPr>
      </w:pPr>
      <w:r w:rsidRPr="0014589C">
        <w:rPr>
          <w:rFonts w:eastAsia="Calibri"/>
        </w:rPr>
        <w:t>Invalid emails will be removed.</w:t>
      </w:r>
    </w:p>
    <w:p w:rsidRPr="00C34DFE" w:rsidR="00B843A1" w:rsidP="00B843A1" w:rsidRDefault="00B843A1" w14:paraId="04D83271" w14:textId="77777777">
      <w:pPr>
        <w:spacing w:after="120"/>
        <w:ind w:firstLine="720"/>
      </w:pPr>
      <w:r w:rsidRPr="00C34DFE">
        <w:t xml:space="preserve">The survey sample </w:t>
      </w:r>
      <w:r w:rsidRPr="00C34DFE">
        <w:rPr>
          <w:u w:val="single"/>
        </w:rPr>
        <w:t>loading and administration processes will</w:t>
      </w:r>
      <w:r w:rsidRPr="00C34DFE">
        <w:t xml:space="preserve"> have quality control measures built into them.</w:t>
      </w:r>
    </w:p>
    <w:p w:rsidRPr="002C62A4" w:rsidR="00B843A1" w:rsidP="00B843A1" w:rsidRDefault="00B843A1" w14:paraId="7513BBF7" w14:textId="77777777">
      <w:pPr>
        <w:pStyle w:val="ListParagraph"/>
        <w:numPr>
          <w:ilvl w:val="0"/>
          <w:numId w:val="32"/>
        </w:numPr>
        <w:spacing w:after="120"/>
        <w:rPr>
          <w:rFonts w:eastAsia="Calibri"/>
        </w:rPr>
      </w:pPr>
      <w:r w:rsidRPr="002C62A4">
        <w:rPr>
          <w:rFonts w:eastAsia="Calibri"/>
        </w:rPr>
        <w:t>The extracted sample will be reviewed for representativeness. A secondary review will be applied to the final respondent sample.</w:t>
      </w:r>
    </w:p>
    <w:p w:rsidRPr="002C62A4" w:rsidR="00B843A1" w:rsidP="00B843A1" w:rsidRDefault="00B843A1" w14:paraId="111EE54D" w14:textId="77777777">
      <w:pPr>
        <w:pStyle w:val="ListParagraph"/>
        <w:numPr>
          <w:ilvl w:val="0"/>
          <w:numId w:val="32"/>
        </w:numPr>
        <w:spacing w:after="120"/>
        <w:rPr>
          <w:rFonts w:eastAsia="Calibri"/>
        </w:rPr>
      </w:pPr>
      <w:r w:rsidRPr="002C62A4">
        <w:rPr>
          <w:rFonts w:eastAsia="Calibri"/>
        </w:rPr>
        <w:t xml:space="preserve">The survey load process will be rigorously tested prior to the induction of the </w:t>
      </w:r>
      <w:r>
        <w:rPr>
          <w:rFonts w:eastAsia="Calibri"/>
        </w:rPr>
        <w:t>C&amp;P</w:t>
      </w:r>
      <w:r w:rsidRPr="002C62A4">
        <w:rPr>
          <w:rFonts w:eastAsia="Calibri"/>
        </w:rPr>
        <w:t xml:space="preserve"> Survey to ensure that sampled customers is not inadvertently dropped or sent multiple emails.</w:t>
      </w:r>
    </w:p>
    <w:p w:rsidRPr="002C62A4" w:rsidR="00B843A1" w:rsidP="00B843A1" w:rsidRDefault="00B843A1" w14:paraId="694F641B" w14:textId="77777777">
      <w:pPr>
        <w:pStyle w:val="ListParagraph"/>
        <w:numPr>
          <w:ilvl w:val="0"/>
          <w:numId w:val="32"/>
        </w:numPr>
        <w:spacing w:after="120"/>
        <w:rPr>
          <w:rFonts w:eastAsia="Calibri"/>
        </w:rPr>
      </w:pPr>
      <w:r w:rsidRPr="002C62A4">
        <w:rPr>
          <w:rFonts w:eastAsia="Calibri"/>
        </w:rPr>
        <w:t xml:space="preserve">The email delivery process is monitored to ensure that bounce-back records will not hold up the email delivery process.  </w:t>
      </w:r>
    </w:p>
    <w:p w:rsidRPr="00C34DFE" w:rsidR="00B843A1" w:rsidP="00B843A1" w:rsidRDefault="00B843A1" w14:paraId="25C0554C" w14:textId="77777777">
      <w:pPr>
        <w:spacing w:after="240"/>
        <w:ind w:firstLine="720"/>
      </w:pPr>
      <w:r w:rsidRPr="00C34DFE">
        <w:t xml:space="preserve">The </w:t>
      </w:r>
      <w:r w:rsidRPr="00C34DFE">
        <w:rPr>
          <w:u w:val="single"/>
        </w:rPr>
        <w:t>weighting and data management quality</w:t>
      </w:r>
      <w:r w:rsidRPr="00C34DFE">
        <w:t xml:space="preserve"> control checks are as follows:</w:t>
      </w:r>
    </w:p>
    <w:p w:rsidRPr="002C62A4" w:rsidR="00B843A1" w:rsidP="00B843A1" w:rsidRDefault="00B843A1" w14:paraId="5E951741" w14:textId="77777777">
      <w:pPr>
        <w:pStyle w:val="ListParagraph"/>
        <w:numPr>
          <w:ilvl w:val="0"/>
          <w:numId w:val="26"/>
        </w:numPr>
        <w:spacing w:after="120"/>
        <w:rPr>
          <w:rFonts w:eastAsia="Calibri"/>
        </w:rPr>
      </w:pPr>
      <w:r w:rsidRPr="002C62A4">
        <w:rPr>
          <w:rFonts w:eastAsia="Calibri"/>
        </w:rPr>
        <w:t>The sum of the weighted respondents will be compared to the overall population count to confirm that the records are being properly weighted.  When the sum does not match the population count, weighting classes will be collapsed to correct this issue.</w:t>
      </w:r>
    </w:p>
    <w:p w:rsidRPr="002C62A4" w:rsidR="00B843A1" w:rsidP="00B843A1" w:rsidRDefault="00B843A1" w14:paraId="18A9FFDE" w14:textId="77777777">
      <w:pPr>
        <w:pStyle w:val="ListParagraph"/>
        <w:numPr>
          <w:ilvl w:val="0"/>
          <w:numId w:val="26"/>
        </w:numPr>
        <w:spacing w:after="120"/>
        <w:rPr>
          <w:rFonts w:eastAsia="Calibri"/>
        </w:rPr>
      </w:pPr>
      <w:r w:rsidRPr="002C62A4">
        <w:rPr>
          <w:rFonts w:eastAsia="Calibri"/>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B843A1" w:rsidP="00B843A1" w:rsidRDefault="00B843A1" w14:paraId="4CC9A6AA" w14:textId="77777777">
      <w:pPr>
        <w:pStyle w:val="Heading2"/>
        <w:keepLines/>
        <w:numPr>
          <w:ilvl w:val="0"/>
          <w:numId w:val="22"/>
        </w:numPr>
        <w:spacing w:after="240"/>
        <w:jc w:val="left"/>
      </w:pPr>
      <w:bookmarkStart w:name="_Toc17919984" w:id="33"/>
      <w:r w:rsidRPr="00C85DEE">
        <w:t>Sample Weighting, Coverage Bias, and Non-Response Bias</w:t>
      </w:r>
      <w:bookmarkEnd w:id="32"/>
      <w:bookmarkEnd w:id="33"/>
    </w:p>
    <w:p w:rsidRPr="00984AA9" w:rsidR="00B843A1" w:rsidP="00B843A1" w:rsidRDefault="00B843A1" w14:paraId="6F0B9861" w14:textId="77777777">
      <w:pPr>
        <w:spacing w:after="120"/>
        <w:ind w:firstLine="720"/>
      </w:pPr>
      <w:r w:rsidRPr="00984AA9">
        <w:t xml:space="preserve">A final respondent sample should closely resemble the true population, in terms of the demographic distributions (e.g. age groups). One problem that arises in the survey collection process is </w:t>
      </w:r>
      <w:r w:rsidRPr="00984AA9">
        <w:rPr>
          <w:b/>
          <w:i/>
        </w:rPr>
        <w:t>nonresponse</w:t>
      </w:r>
      <w:r w:rsidRPr="00984AA9">
        <w:t xml:space="preserve">, which is defined as failure of selected persons in the sample to provide responses. This occurs in various degrees to </w:t>
      </w:r>
      <w:r w:rsidRPr="00984AA9">
        <w:rPr>
          <w:i/>
        </w:rPr>
        <w:t>all</w:t>
      </w:r>
      <w:r w:rsidRPr="00984AA9">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b/>
          <w:i/>
        </w:rPr>
        <w:t>under-coverage</w:t>
      </w:r>
      <w:r w:rsidRPr="00984AA9">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some groups to be over- or under-represented. In such cases, when the respondent population does not match the true population, conclusions drawn from the survey data may not be </w:t>
      </w:r>
      <w:proofErr w:type="gramStart"/>
      <w:r w:rsidRPr="00984AA9">
        <w:t>reliable, and</w:t>
      </w:r>
      <w:proofErr w:type="gramEnd"/>
      <w:r w:rsidRPr="00984AA9">
        <w:t xml:space="preserve"> are said to be </w:t>
      </w:r>
      <w:r w:rsidRPr="00984AA9">
        <w:rPr>
          <w:b/>
        </w:rPr>
        <w:t>biased</w:t>
      </w:r>
      <w:r w:rsidRPr="00984AA9">
        <w:t>.</w:t>
      </w:r>
    </w:p>
    <w:p w:rsidRPr="00984AA9" w:rsidR="00B843A1" w:rsidP="00B843A1" w:rsidRDefault="00B843A1" w14:paraId="2AE1AC2A" w14:textId="77777777">
      <w:pPr>
        <w:spacing w:after="120"/>
        <w:ind w:firstLine="720"/>
      </w:pPr>
      <w:r w:rsidRPr="00984AA9">
        <w:t xml:space="preserve">Survey practitioners recommend the use of sampling weighting to improve inference on the population. This will be 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t xml:space="preserve">this survey </w:t>
      </w:r>
      <w:r w:rsidRPr="00984AA9">
        <w:t xml:space="preserve">is expected to </w:t>
      </w:r>
      <w:r>
        <w:t>decrease</w:t>
      </w:r>
      <w:r w:rsidRPr="00984AA9">
        <w:t xml:space="preserve">. In many surveys, however, differential response rates may be observed across age groups. </w:t>
      </w:r>
      <w:proofErr w:type="gramStart"/>
      <w:r w:rsidRPr="00984AA9">
        <w:t>In the event that</w:t>
      </w:r>
      <w:proofErr w:type="gramEnd"/>
      <w:r w:rsidRPr="00984AA9">
        <w:t xml:space="preserve">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i/>
        </w:rPr>
        <w:t>non-response bias correction</w:t>
      </w:r>
      <w:r w:rsidRPr="00984AA9">
        <w:t xml:space="preserve"> for a single variable. Strictly speaking, we can never know how non-respondents would have really answered the question, but the </w:t>
      </w:r>
      <w:proofErr w:type="gramStart"/>
      <w:r w:rsidRPr="00984AA9">
        <w:t>aforementioned adjustment</w:t>
      </w:r>
      <w:proofErr w:type="gramEnd"/>
      <w:r w:rsidRPr="00984AA9">
        <w:t xml:space="preserve">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Pr="00984AA9" w:rsidR="00B843A1" w:rsidP="00B843A1" w:rsidRDefault="00B843A1" w14:paraId="2E968287" w14:textId="77777777">
      <w:pPr>
        <w:spacing w:after="120"/>
        <w:ind w:firstLine="720"/>
      </w:pPr>
      <w:r w:rsidRPr="00984AA9">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Pr="00EE11DC" w:rsidR="00B843A1" w:rsidP="00B843A1" w:rsidRDefault="00B843A1" w14:paraId="5F1A4284" w14:textId="77777777">
      <w:pPr>
        <w:spacing w:after="120"/>
        <w:ind w:firstLine="720"/>
      </w:pPr>
      <w:r w:rsidRPr="00EE11DC">
        <w:t xml:space="preserve">The stratification scheme above will result in a representative sample </w:t>
      </w:r>
      <w:r>
        <w:t>with respect to</w:t>
      </w:r>
      <w:r w:rsidRPr="00EE11DC">
        <w:t xml:space="preserve"> </w:t>
      </w:r>
      <w:proofErr w:type="spellStart"/>
      <w:r w:rsidRPr="00EE11DC">
        <w:t>to</w:t>
      </w:r>
      <w:proofErr w:type="spellEnd"/>
      <w:r w:rsidRPr="00EE11DC">
        <w:t xml:space="preserve"> the full population. Weighting will then be applied so that the sample is more fully matched to the population. Sample weights will be generated for </w:t>
      </w:r>
      <w:proofErr w:type="gramStart"/>
      <w:r>
        <w:t>m</w:t>
      </w:r>
      <w:r w:rsidRPr="00EE11DC">
        <w:t>onthly</w:t>
      </w:r>
      <w:r>
        <w:t xml:space="preserve"> </w:t>
      </w:r>
      <w:r w:rsidRPr="00EE11DC">
        <w:t xml:space="preserve"> estimates</w:t>
      </w:r>
      <w:proofErr w:type="gramEnd"/>
      <w:r w:rsidRPr="00EE11DC">
        <w:t>.</w:t>
      </w:r>
    </w:p>
    <w:p w:rsidRPr="00BF5747" w:rsidR="00B843A1" w:rsidP="00B843A1" w:rsidRDefault="00B843A1" w14:paraId="0D76BB1E" w14:textId="77777777">
      <w:pPr>
        <w:spacing w:after="120"/>
        <w:ind w:firstLine="720"/>
      </w:pPr>
      <w:r w:rsidRPr="002F5243">
        <w:t>Since 85% of older Americans utilize email</w:t>
      </w:r>
      <w:r>
        <w:t xml:space="preserve"> (Choi &amp; </w:t>
      </w:r>
      <w:proofErr w:type="spellStart"/>
      <w:r>
        <w:t>Dinitto</w:t>
      </w:r>
      <w:proofErr w:type="spellEnd"/>
      <w:r>
        <w:t>, 2013)</w:t>
      </w:r>
      <w:r w:rsidRPr="002F5243">
        <w:t xml:space="preserve">, we can presume that </w:t>
      </w:r>
      <w:r>
        <w:t>a large share of</w:t>
      </w:r>
      <w:r w:rsidRPr="002F5243">
        <w:t xml:space="preserve"> veterans chose not to share their email address with VHA or are simply </w:t>
      </w:r>
      <w:proofErr w:type="spellStart"/>
      <w:r w:rsidRPr="002F5243">
        <w:t>unware</w:t>
      </w:r>
      <w:proofErr w:type="spellEnd"/>
      <w:r w:rsidRPr="002F5243">
        <w:t xml:space="preserv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Pr="00F14B85" w:rsidR="00B843A1" w:rsidP="00B843A1" w:rsidRDefault="00B843A1" w14:paraId="1EF5165D" w14:textId="77777777">
      <w:pPr>
        <w:spacing w:after="120"/>
        <w:ind w:firstLine="720"/>
      </w:pPr>
      <w:r>
        <w:t>Weighting will utilize cell weights in real time. To make this possible, targets will be based on the previous month’s population. With each query on the VSignals platform 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Pr="00222409" w:rsidR="00B843A1" w:rsidP="00B843A1" w:rsidRDefault="00B843A1" w14:paraId="3B67A48F" w14:textId="77777777">
      <w:pPr>
        <w:spacing w:after="240"/>
        <w:ind w:firstLine="720"/>
      </w:pPr>
      <w:r w:rsidRPr="00C85DEE">
        <w:t>As part of the weighting validation process, the weights of persons in</w:t>
      </w:r>
      <w:r>
        <w:t xml:space="preserve"> age and gender</w:t>
      </w:r>
      <w:r w:rsidRPr="00C85DEE">
        <w:t xml:space="preserve"> group</w:t>
      </w:r>
      <w:r>
        <w:t>s</w:t>
      </w:r>
      <w:r w:rsidRPr="00C85DEE">
        <w:t xml:space="preserve"> are summed and verified that they match the universe estimates (i.e., population totals). Additionally, we calculate the </w:t>
      </w:r>
      <w:r w:rsidRPr="00C85DEE">
        <w:rPr>
          <w:i/>
        </w:rPr>
        <w:t>unequal weighting effect</w:t>
      </w:r>
      <w:r w:rsidRPr="00C85DEE">
        <w:t xml:space="preserve">, or UWE (see Kish, 1992; Liu et al., 2002). This statistic is an indication of the amount of variation that may be expected due to the inclusion of weighting. </w:t>
      </w:r>
      <w:r w:rsidRPr="00222409">
        <w:t>The unequal weighting effect estimates the percent increase in the variance of the final estimate due to the presence of weights and is calculated as</w:t>
      </w:r>
      <w:r>
        <w:t>:</w:t>
      </w:r>
    </w:p>
    <w:p w:rsidRPr="00222409" w:rsidR="00B843A1" w:rsidP="00B843A1" w:rsidRDefault="00B843A1" w14:paraId="1220D353" w14:textId="77777777">
      <w:pPr>
        <w:spacing w:after="240"/>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B843A1" w:rsidP="00B843A1" w:rsidRDefault="00B843A1" w14:paraId="1057D4AC" w14:textId="77777777">
      <w:pPr>
        <w:spacing w:after="120"/>
      </w:pPr>
      <w:r w:rsidRPr="00222409">
        <w:t xml:space="preserve">where </w:t>
      </w:r>
    </w:p>
    <w:p w:rsidR="00B843A1" w:rsidP="00B843A1" w:rsidRDefault="00B843A1" w14:paraId="148682D5" w14:textId="77777777">
      <w:pPr>
        <w:pStyle w:val="ListParagraph"/>
        <w:numPr>
          <w:ilvl w:val="0"/>
          <w:numId w:val="23"/>
        </w:numPr>
        <w:spacing w:after="120"/>
        <w:jc w:val="both"/>
      </w:pPr>
      <w:r>
        <w:rPr>
          <w:b/>
        </w:rPr>
        <w:t>cv</w:t>
      </w:r>
      <w:r w:rsidRPr="00C85DEE">
        <w:t xml:space="preserve"> = </w:t>
      </w:r>
      <w:r>
        <w:t xml:space="preserve">coefficient of variation for all weights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t>.</w:t>
      </w:r>
    </w:p>
    <w:p w:rsidRPr="00A82D89" w:rsidR="00B843A1" w:rsidP="00B843A1" w:rsidRDefault="00B843A1" w14:paraId="0755EFA3" w14:textId="77777777">
      <w:pPr>
        <w:pStyle w:val="ListParagraph"/>
        <w:numPr>
          <w:ilvl w:val="0"/>
          <w:numId w:val="23"/>
        </w:numPr>
        <w:spacing w:after="120"/>
        <w:jc w:val="both"/>
      </w:pPr>
      <w:r w:rsidRPr="00A82D89">
        <w:rPr>
          <w:b/>
        </w:rPr>
        <w:t>s</w:t>
      </w:r>
      <w:r>
        <w:rPr>
          <w:b/>
        </w:rPr>
        <w:t xml:space="preserve"> = </w:t>
      </w:r>
      <w:r w:rsidRPr="00A82D89">
        <w:t>sample standard deviation of weights.</w:t>
      </w:r>
    </w:p>
    <w:p w:rsidRPr="00936A7C" w:rsidR="00B843A1" w:rsidP="00B843A1" w:rsidRDefault="004421BB" w14:paraId="06D6F3EB" w14:textId="77777777">
      <w:pPr>
        <w:pStyle w:val="ListParagraph"/>
        <w:numPr>
          <w:ilvl w:val="0"/>
          <w:numId w:val="23"/>
        </w:numPr>
        <w:spacing w:after="240"/>
        <w:jc w:val="both"/>
      </w:pPr>
      <m:oMath>
        <m:acc>
          <m:accPr>
            <m:chr m:val="̅"/>
            <m:ctrlPr>
              <w:rPr>
                <w:rFonts w:ascii="Cambria Math" w:hAnsi="Cambria Math"/>
                <w:i/>
              </w:rPr>
            </m:ctrlPr>
          </m:accPr>
          <m:e>
            <m:r>
              <m:rPr>
                <m:sty m:val="bi"/>
              </m:rPr>
              <w:rPr>
                <w:rFonts w:ascii="Cambria Math" w:hAnsi="Cambria Math"/>
              </w:rPr>
              <m:t>w</m:t>
            </m:r>
          </m:e>
        </m:acc>
      </m:oMath>
      <w:r w:rsidR="00B843A1">
        <w:t xml:space="preserve"> = </w:t>
      </w:r>
      <w:r w:rsidRPr="00C85DEE" w:rsidR="00B843A1">
        <w:t>sample mean of weights,</w:t>
      </w:r>
      <m:oMath>
        <m:r>
          <w:rPr>
            <w:rFonts w:ascii="Cambria Math" w:hAnsi="Cambria Math"/>
          </w:rPr>
          <m:t xml:space="preserve"> </m:t>
        </m:r>
        <m:acc>
          <m:accPr>
            <m:chr m:val="̅"/>
            <m:ctrlPr>
              <w:rPr>
                <w:rFonts w:ascii="Cambria Math" w:hAnsi="Cambria Math"/>
                <w:i/>
              </w:rPr>
            </m:ctrlPr>
          </m:accPr>
          <m:e>
            <m:r>
              <w:rPr>
                <w:rFonts w:ascii="Cambria Math" w:hAnsi="Cambria Math"/>
              </w:rPr>
              <m:t>w</m:t>
            </m:r>
          </m:e>
        </m:acc>
        <m:r>
          <w:rPr>
            <w:rFonts w:ascii="Cambria Math" w:hAnsi="Cambria Math"/>
          </w:rPr>
          <m:t>=</m:t>
        </m:r>
      </m:oMath>
      <w:r w:rsidRPr="00C85DEE" w:rsidR="00B843A1">
        <w:t xml:space="preserve"> </w:t>
      </w:r>
      <m:oMath>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supHide m:val="1"/>
            <m:ctrlPr>
              <w:rPr>
                <w:rFonts w:ascii="Cambria Math" w:hAnsi="Cambria Math"/>
                <w:i/>
              </w:rPr>
            </m:ctrlPr>
          </m:naryPr>
          <m:sub>
            <m:r>
              <w:rPr>
                <w:rFonts w:ascii="Cambria Math" w:hAnsi="Cambria Math"/>
              </w:rPr>
              <m:t>ij</m:t>
            </m:r>
          </m:sub>
          <m:sup/>
          <m:e>
            <m:r>
              <w:rPr>
                <w:rFonts w:ascii="Cambria Math" w:hAnsi="Cambria Math"/>
              </w:rPr>
              <m:t>w</m:t>
            </m:r>
          </m:e>
        </m:nary>
      </m:oMath>
      <w:r w:rsidRPr="00C85DEE" w:rsidR="00B843A1">
        <w:rPr>
          <w:vertAlign w:val="subscript"/>
        </w:rPr>
        <w:t>ij</w:t>
      </w:r>
      <w:r w:rsidRPr="00C85DEE" w:rsidR="00B843A1">
        <w:t>.</w:t>
      </w:r>
    </w:p>
    <w:p w:rsidRPr="00C85DEE" w:rsidR="00B843A1" w:rsidP="00B843A1" w:rsidRDefault="00B843A1" w14:paraId="7F583E95" w14:textId="77777777">
      <w:pPr>
        <w:pStyle w:val="Heading2"/>
        <w:keepLines/>
        <w:numPr>
          <w:ilvl w:val="0"/>
          <w:numId w:val="22"/>
        </w:numPr>
        <w:spacing w:after="240"/>
        <w:jc w:val="left"/>
      </w:pPr>
      <w:bookmarkStart w:name="_Toc17919985" w:id="34"/>
      <w:r>
        <w:t>Quarantine Rules</w:t>
      </w:r>
      <w:bookmarkEnd w:id="34"/>
    </w:p>
    <w:p w:rsidRPr="00C85DEE" w:rsidR="00B843A1" w:rsidP="00B843A1" w:rsidRDefault="00B843A1" w14:paraId="7765CD84" w14:textId="77777777">
      <w:pPr>
        <w:spacing w:after="240"/>
        <w:ind w:firstLine="720"/>
      </w:pPr>
      <w:r w:rsidRPr="00C85DEE">
        <w:t xml:space="preserve">VEO seeks to limit contact with Veterans as much as possible, and only as needed to achieve measurement goals. </w:t>
      </w:r>
      <w:r w:rsidRPr="00DD1D5E">
        <w:t xml:space="preserve">These rules are enacted to prevent excessive recruitment attempts upon </w:t>
      </w:r>
      <w:r>
        <w:t>Veterans</w:t>
      </w:r>
      <w:r w:rsidRPr="00DD1D5E">
        <w:t>. VEO also monitors veteran participation within other surveys, to ensure veterans do not experience survey fatigue. All VEO surveys offer options for respondents to opt out, and ensure they are no longer contacted for a specific survey.</w:t>
      </w:r>
      <w:r>
        <w:t xml:space="preserve"> </w:t>
      </w:r>
      <w:r w:rsidRPr="00C85DEE">
        <w:t xml:space="preserve">VEO also monitors Veteran participation within other surveys, to ensure Veterans do not experience survey </w:t>
      </w:r>
      <w:r w:rsidRPr="00C85DEE">
        <w:rPr>
          <w:i/>
        </w:rPr>
        <w:t xml:space="preserve">fatigue. </w:t>
      </w:r>
      <w:r w:rsidRPr="00C85DEE">
        <w:t>Finally, all VEO surveys offer options for respondents to opt out, and ensure they are no longer contacted for a specific survey.</w:t>
      </w:r>
    </w:p>
    <w:p w:rsidR="00B843A1" w:rsidP="00B843A1" w:rsidRDefault="00B843A1" w14:paraId="178A36AB" w14:textId="77777777">
      <w:pPr>
        <w:rPr>
          <w:b/>
          <w:color w:val="4F81BD" w:themeColor="accent1"/>
        </w:rPr>
      </w:pPr>
    </w:p>
    <w:p w:rsidRPr="00C85DEE" w:rsidR="00B843A1" w:rsidP="00B843A1" w:rsidRDefault="00B843A1" w14:paraId="2C5FFF63" w14:textId="77777777">
      <w:pPr>
        <w:spacing w:after="240"/>
      </w:pPr>
      <w:r w:rsidRPr="00C85DEE">
        <w:rPr>
          <w:b/>
          <w:color w:val="4F81BD" w:themeColor="accent1"/>
        </w:rPr>
        <w:t>Table 4. Quarantine Protocol</w:t>
      </w:r>
    </w:p>
    <w:tbl>
      <w:tblPr>
        <w:tblStyle w:val="GridTable4-Accent11"/>
        <w:tblW w:w="9558" w:type="dxa"/>
        <w:jc w:val="center"/>
        <w:tblLayout w:type="fixed"/>
        <w:tblLook w:val="04A0" w:firstRow="1" w:lastRow="0" w:firstColumn="1" w:lastColumn="0" w:noHBand="0" w:noVBand="1"/>
      </w:tblPr>
      <w:tblGrid>
        <w:gridCol w:w="2358"/>
        <w:gridCol w:w="5670"/>
        <w:gridCol w:w="1530"/>
      </w:tblGrid>
      <w:tr w:rsidRPr="00363FE0" w:rsidR="00B843A1" w:rsidTr="00057644" w14:paraId="101AC761"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5023B9" w:rsidR="00B843A1" w:rsidP="00057644" w:rsidRDefault="00B843A1" w14:paraId="79D53474" w14:textId="77777777">
            <w:pPr>
              <w:rPr>
                <w:rFonts w:cstheme="minorHAnsi"/>
                <w:b w:val="0"/>
              </w:rPr>
            </w:pPr>
            <w:r w:rsidRPr="005023B9">
              <w:rPr>
                <w:rFonts w:cstheme="minorHAnsi"/>
              </w:rPr>
              <w:t>Quarantine Rule</w:t>
            </w:r>
          </w:p>
        </w:tc>
        <w:tc>
          <w:tcPr>
            <w:tcW w:w="5670" w:type="dxa"/>
          </w:tcPr>
          <w:p w:rsidRPr="005023B9" w:rsidR="00B843A1" w:rsidP="00057644" w:rsidRDefault="00B843A1" w14:paraId="034A4EE4"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Description</w:t>
            </w:r>
          </w:p>
        </w:tc>
        <w:tc>
          <w:tcPr>
            <w:tcW w:w="1530" w:type="dxa"/>
          </w:tcPr>
          <w:p w:rsidRPr="005023B9" w:rsidR="00B843A1" w:rsidP="00057644" w:rsidRDefault="00B843A1" w14:paraId="54C120F9" w14:textId="77777777">
            <w:pPr>
              <w:cnfStyle w:val="100000000000" w:firstRow="1" w:lastRow="0" w:firstColumn="0" w:lastColumn="0" w:oddVBand="0" w:evenVBand="0" w:oddHBand="0" w:evenHBand="0" w:firstRowFirstColumn="0" w:firstRowLastColumn="0" w:lastRowFirstColumn="0" w:lastRowLastColumn="0"/>
              <w:rPr>
                <w:rFonts w:cstheme="minorHAnsi"/>
                <w:b w:val="0"/>
              </w:rPr>
            </w:pPr>
            <w:r w:rsidRPr="005023B9">
              <w:rPr>
                <w:rFonts w:cstheme="minorHAnsi"/>
              </w:rPr>
              <w:t xml:space="preserve">Elapsed Time </w:t>
            </w:r>
          </w:p>
        </w:tc>
      </w:tr>
      <w:tr w:rsidRPr="00363FE0" w:rsidR="00B843A1" w:rsidTr="00057644" w14:paraId="0F1E497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B843A1" w:rsidP="00057644" w:rsidRDefault="00B843A1" w14:paraId="6E5F9353" w14:textId="77777777">
            <w:pPr>
              <w:rPr>
                <w:rFonts w:cstheme="minorHAnsi"/>
              </w:rPr>
            </w:pPr>
            <w:r w:rsidRPr="00491605">
              <w:rPr>
                <w:rFonts w:cstheme="minorHAnsi"/>
              </w:rPr>
              <w:t xml:space="preserve">Repeated Sampling for </w:t>
            </w:r>
            <w:r>
              <w:rPr>
                <w:rFonts w:cstheme="minorHAnsi"/>
              </w:rPr>
              <w:t>AMO</w:t>
            </w:r>
            <w:r w:rsidRPr="00491605">
              <w:rPr>
                <w:rFonts w:cstheme="minorHAnsi"/>
              </w:rPr>
              <w:t xml:space="preserve"> Survey</w:t>
            </w:r>
          </w:p>
        </w:tc>
        <w:tc>
          <w:tcPr>
            <w:tcW w:w="5670" w:type="dxa"/>
          </w:tcPr>
          <w:p w:rsidRPr="004E6DC5" w:rsidR="00B843A1" w:rsidP="00057644" w:rsidRDefault="00B843A1" w14:paraId="63A3D51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 xml:space="preserve">Number of days between receiving/completing online survey, prior to receiving email invitation for a separate </w:t>
            </w:r>
            <w:r>
              <w:rPr>
                <w:rFonts w:cstheme="minorHAnsi"/>
              </w:rPr>
              <w:t>C&amp;P</w:t>
            </w:r>
            <w:r w:rsidRPr="00663B4E">
              <w:rPr>
                <w:rFonts w:cstheme="minorHAnsi"/>
              </w:rPr>
              <w:t xml:space="preserve"> experience</w:t>
            </w:r>
          </w:p>
        </w:tc>
        <w:tc>
          <w:tcPr>
            <w:tcW w:w="1530" w:type="dxa"/>
          </w:tcPr>
          <w:p w:rsidRPr="001947E9" w:rsidR="00B843A1" w:rsidP="00057644" w:rsidRDefault="00B843A1" w14:paraId="1F3353B0"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 </w:t>
            </w:r>
            <w:r w:rsidRPr="001947E9">
              <w:rPr>
                <w:rFonts w:cstheme="minorHAnsi"/>
              </w:rPr>
              <w:t xml:space="preserve">Days </w:t>
            </w:r>
          </w:p>
        </w:tc>
      </w:tr>
      <w:tr w:rsidRPr="00363FE0" w:rsidR="00B843A1" w:rsidTr="00057644" w14:paraId="480BBE68"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B843A1" w:rsidP="00057644" w:rsidRDefault="00B843A1" w14:paraId="17F58C30" w14:textId="77777777">
            <w:pPr>
              <w:rPr>
                <w:rFonts w:cstheme="minorHAnsi"/>
              </w:rPr>
            </w:pPr>
            <w:r w:rsidRPr="00491605">
              <w:rPr>
                <w:rFonts w:cstheme="minorHAnsi"/>
              </w:rPr>
              <w:t>Other VEO Surveys</w:t>
            </w:r>
          </w:p>
        </w:tc>
        <w:tc>
          <w:tcPr>
            <w:tcW w:w="5670" w:type="dxa"/>
          </w:tcPr>
          <w:p w:rsidRPr="00663B4E" w:rsidR="00B843A1" w:rsidP="00057644" w:rsidRDefault="00B843A1" w14:paraId="420FD02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Pr="004E6DC5" w:rsidR="00B843A1" w:rsidP="00057644" w:rsidRDefault="00B843A1" w14:paraId="73B0286C"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r w:rsidRPr="00663B4E">
              <w:rPr>
                <w:rFonts w:cstheme="minorHAnsi"/>
              </w:rPr>
              <w:t>0 Days</w:t>
            </w:r>
          </w:p>
        </w:tc>
      </w:tr>
      <w:tr w:rsidRPr="00363FE0" w:rsidR="00B843A1" w:rsidTr="00057644" w14:paraId="37215E7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B843A1" w:rsidP="00057644" w:rsidRDefault="00B843A1" w14:paraId="05946956" w14:textId="77777777">
            <w:pPr>
              <w:rPr>
                <w:rFonts w:cstheme="minorHAnsi"/>
              </w:rPr>
            </w:pPr>
            <w:r w:rsidRPr="00491605">
              <w:rPr>
                <w:rFonts w:cstheme="minorHAnsi"/>
              </w:rPr>
              <w:t>Prioritization</w:t>
            </w:r>
          </w:p>
        </w:tc>
        <w:tc>
          <w:tcPr>
            <w:tcW w:w="5670" w:type="dxa"/>
          </w:tcPr>
          <w:p w:rsidRPr="00491605" w:rsidR="00B843A1" w:rsidP="00057644" w:rsidRDefault="00B843A1" w14:paraId="2999BBA5" w14:textId="777777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Prioritization is based on the observed sample sizes. </w:t>
            </w:r>
          </w:p>
        </w:tc>
        <w:tc>
          <w:tcPr>
            <w:tcW w:w="1530" w:type="dxa"/>
          </w:tcPr>
          <w:p w:rsidRPr="00663B4E" w:rsidR="00B843A1" w:rsidP="00057644" w:rsidRDefault="00B843A1" w14:paraId="09C073A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663B4E">
              <w:rPr>
                <w:rFonts w:cstheme="minorHAnsi"/>
              </w:rPr>
              <w:t>N/A</w:t>
            </w:r>
          </w:p>
        </w:tc>
      </w:tr>
      <w:tr w:rsidRPr="00363FE0" w:rsidR="00B843A1" w:rsidTr="00057644" w14:paraId="4FDF1D22"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491605" w:rsidR="00B843A1" w:rsidP="00057644" w:rsidRDefault="00B843A1" w14:paraId="163155FE" w14:textId="77777777">
            <w:pPr>
              <w:rPr>
                <w:rFonts w:cstheme="minorHAnsi"/>
              </w:rPr>
            </w:pPr>
            <w:proofErr w:type="spellStart"/>
            <w:r w:rsidRPr="00491605">
              <w:rPr>
                <w:rFonts w:cstheme="minorHAnsi"/>
              </w:rPr>
              <w:t>Opt</w:t>
            </w:r>
            <w:proofErr w:type="spellEnd"/>
            <w:r w:rsidRPr="00491605">
              <w:rPr>
                <w:rFonts w:cstheme="minorHAnsi"/>
              </w:rPr>
              <w:t xml:space="preserve"> Outs</w:t>
            </w:r>
          </w:p>
        </w:tc>
        <w:tc>
          <w:tcPr>
            <w:tcW w:w="5670" w:type="dxa"/>
          </w:tcPr>
          <w:p w:rsidRPr="00491605" w:rsidR="00B843A1" w:rsidP="00057644" w:rsidRDefault="00B843A1" w14:paraId="7DBCC08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491605">
              <w:rPr>
                <w:rFonts w:cstheme="minorHAnsi"/>
              </w:rPr>
              <w:t>Persons indicating their wish to opt out of either phone or online survey will no longer be contacted.</w:t>
            </w:r>
          </w:p>
        </w:tc>
        <w:tc>
          <w:tcPr>
            <w:tcW w:w="1530" w:type="dxa"/>
          </w:tcPr>
          <w:p w:rsidRPr="00663B4E" w:rsidR="00B843A1" w:rsidP="00057644" w:rsidRDefault="00B843A1" w14:paraId="4D339B7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663B4E">
              <w:rPr>
                <w:rFonts w:cstheme="minorHAnsi"/>
              </w:rPr>
              <w:t>N/A</w:t>
            </w:r>
          </w:p>
        </w:tc>
      </w:tr>
    </w:tbl>
    <w:p w:rsidRPr="00C85DEE" w:rsidR="00B843A1" w:rsidP="00B843A1" w:rsidRDefault="00B843A1" w14:paraId="3D6D8E73" w14:textId="77777777"/>
    <w:p w:rsidRPr="00C535DC" w:rsidR="00B843A1" w:rsidP="00B843A1" w:rsidRDefault="00B843A1" w14:paraId="2EFE973D" w14:textId="77777777">
      <w:pPr>
        <w:pStyle w:val="Heading1"/>
        <w:spacing w:after="240"/>
      </w:pPr>
      <w:bookmarkStart w:name="_Toc516137687" w:id="35"/>
      <w:bookmarkStart w:name="_Toc17919986" w:id="36"/>
      <w:bookmarkStart w:name="_Toc490572153" w:id="37"/>
      <w:bookmarkStart w:name="_Toc490572159" w:id="38"/>
      <w:bookmarkEnd w:id="11"/>
      <w:r w:rsidRPr="00C535DC">
        <w:t>Part III – Assumptions and Limitations</w:t>
      </w:r>
      <w:bookmarkEnd w:id="35"/>
      <w:bookmarkEnd w:id="36"/>
    </w:p>
    <w:p w:rsidRPr="00C535DC" w:rsidR="00B843A1" w:rsidP="00B843A1" w:rsidRDefault="00B843A1" w14:paraId="77FCC13E" w14:textId="77777777">
      <w:pPr>
        <w:pStyle w:val="Heading2"/>
        <w:spacing w:after="240"/>
      </w:pPr>
      <w:bookmarkStart w:name="_Toc490572154" w:id="39"/>
      <w:bookmarkStart w:name="_Toc516137689" w:id="40"/>
      <w:bookmarkStart w:name="_Toc17919987" w:id="41"/>
      <w:bookmarkEnd w:id="37"/>
      <w:r>
        <w:t>A</w:t>
      </w:r>
      <w:r w:rsidRPr="00C535DC">
        <w:t xml:space="preserve">. </w:t>
      </w:r>
      <w:bookmarkEnd w:id="39"/>
      <w:bookmarkEnd w:id="40"/>
      <w:r>
        <w:t>Coverage Bias</w:t>
      </w:r>
      <w:bookmarkEnd w:id="41"/>
    </w:p>
    <w:p w:rsidRPr="00C535DC" w:rsidR="00B843A1" w:rsidP="00B843A1" w:rsidRDefault="00B843A1" w14:paraId="368E6FAB" w14:textId="77777777">
      <w:pPr>
        <w:spacing w:after="240"/>
        <w:ind w:firstLine="720"/>
      </w:pPr>
      <w:r>
        <w:t xml:space="preserve">Since the VEO Emergency Medicine surveys are email only, there is a large population of patients that cannot be reached by the survey. Veterans that lack access to the internet or do not use email may have different levels of Trust and satisfaction with their service. However, </w:t>
      </w:r>
      <w:proofErr w:type="gramStart"/>
      <w:r>
        <w:t>the majority of</w:t>
      </w:r>
      <w:proofErr w:type="gramEnd"/>
      <w:r>
        <w:t xml:space="preserve">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assess the amount of coverage bias </w:t>
      </w:r>
      <w:proofErr w:type="gramStart"/>
      <w:r>
        <w:t>due, and</w:t>
      </w:r>
      <w:proofErr w:type="gramEnd"/>
      <w:r>
        <w:t xml:space="preserve"> derive adjustment factors in the presence of non-negligible bias.</w:t>
      </w:r>
    </w:p>
    <w:bookmarkEnd w:id="38"/>
    <w:p w:rsidRPr="00C85DEE" w:rsidR="00B843A1" w:rsidP="00B843A1" w:rsidRDefault="00B843A1" w14:paraId="115ECE9D" w14:textId="77777777">
      <w:pPr>
        <w:pStyle w:val="ColorfulList-Accent11"/>
        <w:spacing w:after="240" w:line="240" w:lineRule="auto"/>
        <w:ind w:left="0" w:firstLine="720"/>
        <w:rPr>
          <w:rFonts w:ascii="Times New Roman" w:hAnsi="Times New Roman" w:cs="Times New Roman"/>
        </w:rPr>
        <w:sectPr w:rsidRPr="00C85DEE" w:rsidR="00B843A1" w:rsidSect="00E47DF9">
          <w:footerReference w:type="default" r:id="rId12"/>
          <w:pgSz w:w="12240" w:h="15840"/>
          <w:pgMar w:top="1440" w:right="2070" w:bottom="1440" w:left="1440" w:header="720" w:footer="720" w:gutter="0"/>
          <w:cols w:space="720"/>
          <w:docGrid w:linePitch="360"/>
        </w:sectPr>
      </w:pPr>
    </w:p>
    <w:bookmarkEnd w:id="12"/>
    <w:p w:rsidRPr="00C85DEE" w:rsidR="00B843A1" w:rsidP="00B843A1" w:rsidRDefault="00B843A1" w14:paraId="7D290831" w14:textId="77777777">
      <w:pPr>
        <w:pStyle w:val="ListParagraph"/>
        <w:jc w:val="center"/>
      </w:pPr>
    </w:p>
    <w:p w:rsidR="00B843A1" w:rsidP="00B843A1" w:rsidRDefault="00B843A1" w14:paraId="2A2C319E" w14:textId="77777777">
      <w:pPr>
        <w:pStyle w:val="Heading2"/>
        <w:spacing w:after="240"/>
        <w:rPr>
          <w:rFonts w:eastAsia="Calibri"/>
          <w:b w:val="0"/>
        </w:rPr>
      </w:pPr>
      <w:bookmarkStart w:name="_Toc17919988" w:id="42"/>
      <w:r w:rsidRPr="00C85DEE">
        <w:rPr>
          <w:rFonts w:eastAsia="Calibri"/>
        </w:rPr>
        <w:t xml:space="preserve">Appendix </w:t>
      </w:r>
      <w:r>
        <w:rPr>
          <w:rFonts w:eastAsia="Calibri"/>
        </w:rPr>
        <w:t>3</w:t>
      </w:r>
      <w:r w:rsidRPr="00C85DEE">
        <w:rPr>
          <w:rFonts w:eastAsia="Calibri"/>
        </w:rPr>
        <w:t>. References</w:t>
      </w:r>
      <w:bookmarkEnd w:id="42"/>
    </w:p>
    <w:p w:rsidR="00B843A1" w:rsidP="00B843A1" w:rsidRDefault="00B843A1" w14:paraId="7C7850F0" w14:textId="77777777">
      <w:pPr>
        <w:spacing w:after="120"/>
        <w:ind w:left="720" w:hanging="720"/>
      </w:pPr>
      <w:r w:rsidRPr="00F91507">
        <w:t xml:space="preserve">Choi, N.G. &amp; </w:t>
      </w:r>
      <w:proofErr w:type="spellStart"/>
      <w:r w:rsidRPr="00F91507">
        <w:t>Dinitto</w:t>
      </w:r>
      <w:proofErr w:type="spellEnd"/>
      <w:r w:rsidRPr="00F91507">
        <w:t xml:space="preserve">, D.M. (2013). Internet Use Among Older Adults: Association </w:t>
      </w:r>
      <w:r>
        <w:t>w</w:t>
      </w:r>
      <w:r w:rsidRPr="00F91507">
        <w:t>ith Health Needs, Psychological Capital, and Social Capital</w:t>
      </w:r>
      <w:r>
        <w:t>.</w:t>
      </w:r>
      <w:r w:rsidRPr="00F91507">
        <w:t xml:space="preserve"> </w:t>
      </w:r>
      <w:r w:rsidRPr="00F91507">
        <w:rPr>
          <w:i/>
        </w:rPr>
        <w:t>J</w:t>
      </w:r>
      <w:r>
        <w:rPr>
          <w:i/>
        </w:rPr>
        <w:t>ournal of</w:t>
      </w:r>
      <w:r w:rsidRPr="00F91507">
        <w:rPr>
          <w:i/>
        </w:rPr>
        <w:t xml:space="preserve"> Medical Internet Research</w:t>
      </w:r>
      <w:r w:rsidRPr="00F91507">
        <w:t>, 15(5)</w:t>
      </w:r>
      <w:r>
        <w:t>,</w:t>
      </w:r>
      <w:r w:rsidRPr="00F91507">
        <w:t xml:space="preserve"> e97</w:t>
      </w:r>
    </w:p>
    <w:p w:rsidRPr="00F91507" w:rsidR="00B843A1" w:rsidP="00B843A1" w:rsidRDefault="00B843A1" w14:paraId="2EC5FF86" w14:textId="77777777">
      <w:pPr>
        <w:spacing w:after="120"/>
        <w:ind w:left="720" w:hanging="720"/>
      </w:pPr>
      <w:proofErr w:type="spellStart"/>
      <w:r>
        <w:t>Kalton</w:t>
      </w:r>
      <w:proofErr w:type="spellEnd"/>
      <w:r>
        <w:t xml:space="preserve">, G., &amp; Flores-Cervantes, I. (2003). Weighting Methods. </w:t>
      </w:r>
      <w:r w:rsidRPr="00897458">
        <w:rPr>
          <w:i/>
        </w:rPr>
        <w:t>Journal of Official Statistics</w:t>
      </w:r>
      <w:r>
        <w:t>, 19(2), 81-97.</w:t>
      </w:r>
    </w:p>
    <w:p w:rsidR="00B843A1" w:rsidP="00B843A1" w:rsidRDefault="00B843A1" w14:paraId="7CE886BA" w14:textId="77777777">
      <w:pPr>
        <w:spacing w:after="120"/>
        <w:ind w:left="720" w:hanging="720"/>
      </w:pPr>
      <w:r w:rsidRPr="00C85DEE">
        <w:t>Kish, L. (1992). Weighting for unequal P. </w:t>
      </w:r>
      <w:r w:rsidRPr="00C85DEE">
        <w:rPr>
          <w:i/>
        </w:rPr>
        <w:t>Journal of Ofﬁcial Statistics</w:t>
      </w:r>
      <w:r w:rsidRPr="00C85DEE">
        <w:t>, 8(2), 183-200.</w:t>
      </w:r>
    </w:p>
    <w:p w:rsidRPr="00C85DEE" w:rsidR="00B843A1" w:rsidP="00B843A1" w:rsidRDefault="00B843A1" w14:paraId="7F857F9C" w14:textId="77777777">
      <w:pPr>
        <w:spacing w:after="120"/>
        <w:ind w:left="720" w:hanging="720"/>
      </w:pPr>
      <w:proofErr w:type="spellStart"/>
      <w:r w:rsidRPr="0026309F">
        <w:t>Kolenikov</w:t>
      </w:r>
      <w:proofErr w:type="spellEnd"/>
      <w:r w:rsidRPr="0026309F">
        <w:t xml:space="preserve">, S. </w:t>
      </w:r>
      <w:r>
        <w:t>(</w:t>
      </w:r>
      <w:r w:rsidRPr="0026309F">
        <w:t>2014</w:t>
      </w:r>
      <w:r>
        <w:t>)</w:t>
      </w:r>
      <w:r w:rsidRPr="0026309F">
        <w:t xml:space="preserve">. Calibrating </w:t>
      </w:r>
      <w:r>
        <w:t>S</w:t>
      </w:r>
      <w:r w:rsidRPr="0026309F">
        <w:t xml:space="preserve">urvey </w:t>
      </w:r>
      <w:r>
        <w:t>D</w:t>
      </w:r>
      <w:r w:rsidRPr="0026309F">
        <w:t xml:space="preserve">ata </w:t>
      </w:r>
      <w:r>
        <w:t>U</w:t>
      </w:r>
      <w:r w:rsidRPr="0026309F">
        <w:t xml:space="preserve">sing </w:t>
      </w:r>
      <w:r>
        <w:t>I</w:t>
      </w:r>
      <w:r w:rsidRPr="0026309F">
        <w:t xml:space="preserve">terative </w:t>
      </w:r>
      <w:r>
        <w:t>P</w:t>
      </w:r>
      <w:r w:rsidRPr="0026309F">
        <w:t xml:space="preserve">roportional </w:t>
      </w:r>
      <w:r>
        <w:t>F</w:t>
      </w:r>
      <w:r w:rsidRPr="0026309F">
        <w:t>itting</w:t>
      </w:r>
      <w:r>
        <w:t xml:space="preserve"> </w:t>
      </w:r>
      <w:r w:rsidRPr="0026309F">
        <w:t>(</w:t>
      </w:r>
      <w:r>
        <w:t>R</w:t>
      </w:r>
      <w:r w:rsidRPr="0026309F">
        <w:t xml:space="preserve">aking). </w:t>
      </w:r>
      <w:r w:rsidRPr="009B1927">
        <w:rPr>
          <w:i/>
        </w:rPr>
        <w:t>The Stata Journal</w:t>
      </w:r>
      <w:r w:rsidRPr="0026309F">
        <w:t>, 14(1): 22–59.</w:t>
      </w:r>
    </w:p>
    <w:p w:rsidRPr="00C85DEE" w:rsidR="00B843A1" w:rsidP="00B843A1" w:rsidRDefault="00B843A1" w14:paraId="3F7D6F32" w14:textId="77777777">
      <w:pPr>
        <w:spacing w:after="120"/>
        <w:ind w:left="720" w:hanging="720"/>
      </w:pPr>
      <w:proofErr w:type="spellStart"/>
      <w:r w:rsidRPr="00C85DEE">
        <w:t>Lohr</w:t>
      </w:r>
      <w:proofErr w:type="spellEnd"/>
      <w:r w:rsidRPr="00C85DEE">
        <w:t xml:space="preserve">, S. (1999). </w:t>
      </w:r>
      <w:r w:rsidRPr="00C85DEE">
        <w:rPr>
          <w:i/>
        </w:rPr>
        <w:t>Sampling: Design and Analysis</w:t>
      </w:r>
      <w:r w:rsidRPr="00C85DEE">
        <w:t xml:space="preserve"> (Ed.). Boston, MA: Cengage Learning.</w:t>
      </w:r>
    </w:p>
    <w:p w:rsidR="00B843A1" w:rsidP="00B843A1" w:rsidRDefault="00B843A1" w14:paraId="4A1F9DD1" w14:textId="77777777">
      <w:pPr>
        <w:spacing w:after="120"/>
        <w:ind w:left="720" w:hanging="720"/>
      </w:pPr>
      <w:r w:rsidRPr="00C85DEE">
        <w:t xml:space="preserve">Liu, J., </w:t>
      </w:r>
      <w:proofErr w:type="spellStart"/>
      <w:r w:rsidRPr="00C85DEE">
        <w:t>Iannacchione</w:t>
      </w:r>
      <w:proofErr w:type="spellEnd"/>
      <w:r w:rsidRPr="00C85DEE">
        <w:t>, V., &amp; Byron, M. (2002). Decomposing design effects for stratified sampling. </w:t>
      </w:r>
      <w:r w:rsidRPr="00C85DEE">
        <w:rPr>
          <w:i/>
        </w:rPr>
        <w:t>Proceedings of the American Statistical Association’s Section on Survey Research Methods</w:t>
      </w:r>
      <w:r w:rsidRPr="00C85DEE">
        <w:t>.</w:t>
      </w:r>
    </w:p>
    <w:p w:rsidRPr="00C85DEE" w:rsidR="00B843A1" w:rsidP="00B843A1" w:rsidRDefault="00B843A1" w14:paraId="39F62DCC" w14:textId="77777777">
      <w:pPr>
        <w:spacing w:after="120"/>
        <w:ind w:left="720" w:hanging="720"/>
      </w:pPr>
      <w:r w:rsidRPr="004D2A2E">
        <w:t>Wong</w:t>
      </w:r>
      <w:r>
        <w:t>,</w:t>
      </w:r>
      <w:r w:rsidRPr="004D2A2E">
        <w:t xml:space="preserve"> D</w:t>
      </w:r>
      <w:r>
        <w:t>.</w:t>
      </w:r>
      <w:r w:rsidRPr="004D2A2E">
        <w:t>W</w:t>
      </w:r>
      <w:r>
        <w:t>.</w:t>
      </w:r>
      <w:r w:rsidRPr="004D2A2E">
        <w:t>S</w:t>
      </w:r>
      <w:r>
        <w:t>.</w:t>
      </w:r>
      <w:r w:rsidRPr="004D2A2E">
        <w:t xml:space="preserve"> (1992) The Reliability of Using the Iterative Proportional Fitting Procedure</w:t>
      </w:r>
      <w:r>
        <w:t>.</w:t>
      </w:r>
      <w:r w:rsidRPr="004D2A2E">
        <w:t xml:space="preserve"> </w:t>
      </w:r>
      <w:r w:rsidRPr="004D2A2E">
        <w:rPr>
          <w:i/>
        </w:rPr>
        <w:t>The Professional Geographer</w:t>
      </w:r>
      <w:r w:rsidRPr="004D2A2E">
        <w:t>, 44 (3), 1992, pp. 340-348</w:t>
      </w:r>
    </w:p>
    <w:p w:rsidRPr="00C85DEE" w:rsidR="00B843A1" w:rsidP="00B843A1" w:rsidRDefault="00B843A1" w14:paraId="3447C0E7" w14:textId="77777777">
      <w:r>
        <w:t xml:space="preserve"> </w:t>
      </w:r>
    </w:p>
    <w:p w:rsidR="000550DA" w:rsidP="00B77E6B" w:rsidRDefault="000550DA" w14:paraId="27C632DF" w14:textId="799A5153">
      <w:pPr>
        <w:pStyle w:val="ListParagraph"/>
        <w:ind w:left="360"/>
      </w:pPr>
    </w:p>
    <w:sectPr w:rsidR="000550DA" w:rsidSect="00B843A1">
      <w:headerReference w:type="default" r:id="rId13"/>
      <w:footerReference w:type="default" r:id="rId14"/>
      <w:pgSz w:w="12240" w:h="15840"/>
      <w:pgMar w:top="1440" w:right="20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411B4" w14:textId="77777777" w:rsidR="004421BB" w:rsidRDefault="004421BB">
      <w:r>
        <w:separator/>
      </w:r>
    </w:p>
  </w:endnote>
  <w:endnote w:type="continuationSeparator" w:id="0">
    <w:p w14:paraId="0481ED90" w14:textId="77777777" w:rsidR="004421BB" w:rsidRDefault="004421BB">
      <w:r>
        <w:continuationSeparator/>
      </w:r>
    </w:p>
  </w:endnote>
  <w:endnote w:type="continuationNotice" w:id="1">
    <w:p w14:paraId="56C326EF" w14:textId="77777777" w:rsidR="004421BB" w:rsidRDefault="00442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0165" w14:textId="77777777" w:rsidR="00B843A1" w:rsidRPr="00941F40" w:rsidRDefault="00B843A1" w:rsidP="00941F40">
    <w:pPr>
      <w:pStyle w:val="Footer"/>
      <w:rPr>
        <w:caps/>
        <w:noProof/>
        <w:color w:val="4F81BD" w:themeColor="accent1"/>
      </w:rPr>
    </w:pPr>
    <w:r w:rsidRPr="00572F3F">
      <w:rPr>
        <w:noProof/>
        <w:sz w:val="16"/>
        <w:szCs w:val="16"/>
      </w:rPr>
      <w:drawing>
        <wp:anchor distT="0" distB="0" distL="114300" distR="114300" simplePos="0" relativeHeight="251659264" behindDoc="1" locked="0" layoutInCell="1" allowOverlap="1" wp14:anchorId="4307A119" wp14:editId="16BC0B82">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07008" cy="448056"/>
                  </a:xfrm>
                  <a:prstGeom prst="rect">
                    <a:avLst/>
                  </a:prstGeom>
                  <a:ln/>
                </pic:spPr>
              </pic:pic>
            </a:graphicData>
          </a:graphic>
          <wp14:sizeRelH relativeFrom="margin">
            <wp14:pctWidth>0</wp14:pctWidth>
          </wp14:sizeRelH>
          <wp14:sizeRelV relativeFrom="margin">
            <wp14:pctHeight>0</wp14:pctHeight>
          </wp14:sizeRelV>
        </wp:anchor>
      </w:drawing>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13</w:t>
    </w:r>
    <w:r>
      <w:rPr>
        <w:caps/>
        <w:noProof/>
        <w:color w:val="4F81BD"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C793A"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918A5">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4457B" w14:textId="77777777" w:rsidR="004421BB" w:rsidRDefault="004421BB">
      <w:r>
        <w:separator/>
      </w:r>
    </w:p>
  </w:footnote>
  <w:footnote w:type="continuationSeparator" w:id="0">
    <w:p w14:paraId="70A4384D" w14:textId="77777777" w:rsidR="004421BB" w:rsidRDefault="004421BB">
      <w:r>
        <w:continuationSeparator/>
      </w:r>
    </w:p>
  </w:footnote>
  <w:footnote w:type="continuationNotice" w:id="1">
    <w:p w14:paraId="0D0C922C" w14:textId="77777777" w:rsidR="004421BB" w:rsidRDefault="00442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004C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F45E6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F76BE"/>
    <w:multiLevelType w:val="hybridMultilevel"/>
    <w:tmpl w:val="12AE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57331"/>
    <w:multiLevelType w:val="hybridMultilevel"/>
    <w:tmpl w:val="5DE20738"/>
    <w:lvl w:ilvl="0" w:tplc="D06C3C9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76171"/>
    <w:multiLevelType w:val="hybridMultilevel"/>
    <w:tmpl w:val="A7CA9AF0"/>
    <w:lvl w:ilvl="0" w:tplc="04090001">
      <w:start w:val="1"/>
      <w:numFmt w:val="bullet"/>
      <w:lvlText w:val=""/>
      <w:lvlJc w:val="left"/>
      <w:pPr>
        <w:ind w:left="720" w:hanging="360"/>
      </w:pPr>
      <w:rPr>
        <w:rFonts w:ascii="Symbol" w:hAnsi="Symbol" w:hint="default"/>
        <w:sz w:val="20"/>
      </w:rPr>
    </w:lvl>
    <w:lvl w:ilvl="1" w:tplc="91F84492">
      <w:start w:val="30"/>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2540C"/>
    <w:multiLevelType w:val="hybridMultilevel"/>
    <w:tmpl w:val="36220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AB5DD6"/>
    <w:multiLevelType w:val="hybridMultilevel"/>
    <w:tmpl w:val="EECEF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925A95"/>
    <w:multiLevelType w:val="hybridMultilevel"/>
    <w:tmpl w:val="B28AF344"/>
    <w:lvl w:ilvl="0" w:tplc="117E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7F5EFA"/>
    <w:multiLevelType w:val="hybridMultilevel"/>
    <w:tmpl w:val="CCB860BE"/>
    <w:lvl w:ilvl="0" w:tplc="F40AE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F9577E"/>
    <w:multiLevelType w:val="hybridMultilevel"/>
    <w:tmpl w:val="7EFE3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B0D13"/>
    <w:multiLevelType w:val="hybridMultilevel"/>
    <w:tmpl w:val="64F22FC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B0425F"/>
    <w:multiLevelType w:val="hybridMultilevel"/>
    <w:tmpl w:val="7E5E6B86"/>
    <w:lvl w:ilvl="0" w:tplc="9C5A9C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6" w15:restartNumberingAfterBreak="0">
    <w:nsid w:val="70A076CB"/>
    <w:multiLevelType w:val="hybridMultilevel"/>
    <w:tmpl w:val="442263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4257D6F"/>
    <w:multiLevelType w:val="hybridMultilevel"/>
    <w:tmpl w:val="5CDE27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15:restartNumberingAfterBreak="0">
    <w:nsid w:val="78CF722B"/>
    <w:multiLevelType w:val="hybridMultilevel"/>
    <w:tmpl w:val="6E6E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2"/>
  </w:num>
  <w:num w:numId="3">
    <w:abstractNumId w:val="30"/>
  </w:num>
  <w:num w:numId="4">
    <w:abstractNumId w:val="33"/>
  </w:num>
  <w:num w:numId="5">
    <w:abstractNumId w:val="7"/>
  </w:num>
  <w:num w:numId="6">
    <w:abstractNumId w:val="2"/>
  </w:num>
  <w:num w:numId="7">
    <w:abstractNumId w:val="17"/>
  </w:num>
  <w:num w:numId="8">
    <w:abstractNumId w:val="25"/>
  </w:num>
  <w:num w:numId="9">
    <w:abstractNumId w:val="18"/>
  </w:num>
  <w:num w:numId="10">
    <w:abstractNumId w:val="3"/>
  </w:num>
  <w:num w:numId="11">
    <w:abstractNumId w:val="11"/>
  </w:num>
  <w:num w:numId="12">
    <w:abstractNumId w:val="14"/>
  </w:num>
  <w:num w:numId="13">
    <w:abstractNumId w:val="1"/>
  </w:num>
  <w:num w:numId="14">
    <w:abstractNumId w:val="28"/>
  </w:num>
  <w:num w:numId="15">
    <w:abstractNumId w:val="23"/>
  </w:num>
  <w:num w:numId="16">
    <w:abstractNumId w:val="20"/>
  </w:num>
  <w:num w:numId="17">
    <w:abstractNumId w:val="8"/>
  </w:num>
  <w:num w:numId="18">
    <w:abstractNumId w:val="9"/>
  </w:num>
  <w:num w:numId="19">
    <w:abstractNumId w:val="27"/>
  </w:num>
  <w:num w:numId="20">
    <w:abstractNumId w:val="24"/>
  </w:num>
  <w:num w:numId="21">
    <w:abstractNumId w:val="15"/>
  </w:num>
  <w:num w:numId="22">
    <w:abstractNumId w:val="29"/>
  </w:num>
  <w:num w:numId="23">
    <w:abstractNumId w:val="0"/>
  </w:num>
  <w:num w:numId="24">
    <w:abstractNumId w:val="5"/>
  </w:num>
  <w:num w:numId="25">
    <w:abstractNumId w:val="12"/>
  </w:num>
  <w:num w:numId="26">
    <w:abstractNumId w:val="16"/>
  </w:num>
  <w:num w:numId="27">
    <w:abstractNumId w:val="10"/>
  </w:num>
  <w:num w:numId="28">
    <w:abstractNumId w:val="22"/>
  </w:num>
  <w:num w:numId="29">
    <w:abstractNumId w:val="13"/>
  </w:num>
  <w:num w:numId="30">
    <w:abstractNumId w:val="26"/>
  </w:num>
  <w:num w:numId="31">
    <w:abstractNumId w:val="4"/>
  </w:num>
  <w:num w:numId="32">
    <w:abstractNumId w:val="21"/>
  </w:num>
  <w:num w:numId="33">
    <w:abstractNumId w:val="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1390"/>
    <w:rsid w:val="00023A57"/>
    <w:rsid w:val="00043946"/>
    <w:rsid w:val="00047A64"/>
    <w:rsid w:val="000550DA"/>
    <w:rsid w:val="0006483D"/>
    <w:rsid w:val="00067329"/>
    <w:rsid w:val="00071EB4"/>
    <w:rsid w:val="0007737D"/>
    <w:rsid w:val="0008664B"/>
    <w:rsid w:val="000938A6"/>
    <w:rsid w:val="000B2838"/>
    <w:rsid w:val="000D2DBD"/>
    <w:rsid w:val="000D44CA"/>
    <w:rsid w:val="000E200B"/>
    <w:rsid w:val="000F5228"/>
    <w:rsid w:val="000F68BE"/>
    <w:rsid w:val="001060EF"/>
    <w:rsid w:val="001110E7"/>
    <w:rsid w:val="00143AE8"/>
    <w:rsid w:val="001927A4"/>
    <w:rsid w:val="00194AC6"/>
    <w:rsid w:val="001A23B0"/>
    <w:rsid w:val="001A25CC"/>
    <w:rsid w:val="001B00B5"/>
    <w:rsid w:val="001B0AAA"/>
    <w:rsid w:val="001B3FD2"/>
    <w:rsid w:val="001C39F7"/>
    <w:rsid w:val="001D0AC4"/>
    <w:rsid w:val="002129DD"/>
    <w:rsid w:val="00237B48"/>
    <w:rsid w:val="002430D9"/>
    <w:rsid w:val="0024521E"/>
    <w:rsid w:val="0024524D"/>
    <w:rsid w:val="00262CF3"/>
    <w:rsid w:val="00263C3D"/>
    <w:rsid w:val="00266F49"/>
    <w:rsid w:val="00274D0B"/>
    <w:rsid w:val="00281FCB"/>
    <w:rsid w:val="0029654F"/>
    <w:rsid w:val="002B052D"/>
    <w:rsid w:val="002B34CD"/>
    <w:rsid w:val="002B3C95"/>
    <w:rsid w:val="002C6A3B"/>
    <w:rsid w:val="002D0B92"/>
    <w:rsid w:val="002E29D3"/>
    <w:rsid w:val="002F4E27"/>
    <w:rsid w:val="003155D9"/>
    <w:rsid w:val="0032245E"/>
    <w:rsid w:val="00325E7F"/>
    <w:rsid w:val="00353FE7"/>
    <w:rsid w:val="0035517E"/>
    <w:rsid w:val="00370E36"/>
    <w:rsid w:val="003A7FA9"/>
    <w:rsid w:val="003C4458"/>
    <w:rsid w:val="003D466F"/>
    <w:rsid w:val="003D5BBE"/>
    <w:rsid w:val="003E3C61"/>
    <w:rsid w:val="003F1C5B"/>
    <w:rsid w:val="00401A70"/>
    <w:rsid w:val="00434E33"/>
    <w:rsid w:val="00441434"/>
    <w:rsid w:val="004421BB"/>
    <w:rsid w:val="0045264C"/>
    <w:rsid w:val="00457AA0"/>
    <w:rsid w:val="004746DC"/>
    <w:rsid w:val="004876EC"/>
    <w:rsid w:val="004C30F4"/>
    <w:rsid w:val="004C4EA4"/>
    <w:rsid w:val="004D6E14"/>
    <w:rsid w:val="004F25D2"/>
    <w:rsid w:val="005009B0"/>
    <w:rsid w:val="0055291C"/>
    <w:rsid w:val="00565308"/>
    <w:rsid w:val="005A1006"/>
    <w:rsid w:val="005A16A6"/>
    <w:rsid w:val="005D4A5E"/>
    <w:rsid w:val="005D6472"/>
    <w:rsid w:val="005E714A"/>
    <w:rsid w:val="005F693D"/>
    <w:rsid w:val="00601616"/>
    <w:rsid w:val="006140A0"/>
    <w:rsid w:val="00631B6C"/>
    <w:rsid w:val="006331A3"/>
    <w:rsid w:val="00636621"/>
    <w:rsid w:val="00642B49"/>
    <w:rsid w:val="00653288"/>
    <w:rsid w:val="006633E0"/>
    <w:rsid w:val="00665E3C"/>
    <w:rsid w:val="00667AC4"/>
    <w:rsid w:val="006804D3"/>
    <w:rsid w:val="006832D9"/>
    <w:rsid w:val="0069403B"/>
    <w:rsid w:val="00695AE6"/>
    <w:rsid w:val="006A1CC4"/>
    <w:rsid w:val="006B267A"/>
    <w:rsid w:val="006B3130"/>
    <w:rsid w:val="006F3DDE"/>
    <w:rsid w:val="00704678"/>
    <w:rsid w:val="007207EB"/>
    <w:rsid w:val="00727C63"/>
    <w:rsid w:val="007425E7"/>
    <w:rsid w:val="00760A8D"/>
    <w:rsid w:val="0076375B"/>
    <w:rsid w:val="007645CF"/>
    <w:rsid w:val="00770CD5"/>
    <w:rsid w:val="00795EDB"/>
    <w:rsid w:val="007F7080"/>
    <w:rsid w:val="00802607"/>
    <w:rsid w:val="0080296D"/>
    <w:rsid w:val="008101A5"/>
    <w:rsid w:val="00822664"/>
    <w:rsid w:val="00843796"/>
    <w:rsid w:val="00895229"/>
    <w:rsid w:val="008B2E1F"/>
    <w:rsid w:val="008B2EB3"/>
    <w:rsid w:val="008F0203"/>
    <w:rsid w:val="008F50D4"/>
    <w:rsid w:val="009239AA"/>
    <w:rsid w:val="00935ADA"/>
    <w:rsid w:val="00946B6C"/>
    <w:rsid w:val="00955043"/>
    <w:rsid w:val="00955A71"/>
    <w:rsid w:val="0096108F"/>
    <w:rsid w:val="00962B13"/>
    <w:rsid w:val="00963FD7"/>
    <w:rsid w:val="009C13B9"/>
    <w:rsid w:val="009D01A2"/>
    <w:rsid w:val="009E132A"/>
    <w:rsid w:val="009F5923"/>
    <w:rsid w:val="009F5D26"/>
    <w:rsid w:val="00A403BB"/>
    <w:rsid w:val="00A6112A"/>
    <w:rsid w:val="00A63A4C"/>
    <w:rsid w:val="00A674DF"/>
    <w:rsid w:val="00A7228C"/>
    <w:rsid w:val="00A83AA6"/>
    <w:rsid w:val="00A92FA6"/>
    <w:rsid w:val="00A934D6"/>
    <w:rsid w:val="00AA2094"/>
    <w:rsid w:val="00AB16FE"/>
    <w:rsid w:val="00AD27BA"/>
    <w:rsid w:val="00AE1809"/>
    <w:rsid w:val="00AE7A8F"/>
    <w:rsid w:val="00AF49D0"/>
    <w:rsid w:val="00B21CF2"/>
    <w:rsid w:val="00B42A53"/>
    <w:rsid w:val="00B4753C"/>
    <w:rsid w:val="00B71904"/>
    <w:rsid w:val="00B77E6B"/>
    <w:rsid w:val="00B80D76"/>
    <w:rsid w:val="00B843A1"/>
    <w:rsid w:val="00B918A5"/>
    <w:rsid w:val="00BA2105"/>
    <w:rsid w:val="00BA75CC"/>
    <w:rsid w:val="00BA7E06"/>
    <w:rsid w:val="00BB43B5"/>
    <w:rsid w:val="00BB6219"/>
    <w:rsid w:val="00BD290F"/>
    <w:rsid w:val="00BD2FDE"/>
    <w:rsid w:val="00C14CC4"/>
    <w:rsid w:val="00C31057"/>
    <w:rsid w:val="00C33C52"/>
    <w:rsid w:val="00C354C5"/>
    <w:rsid w:val="00C40D8B"/>
    <w:rsid w:val="00C4449D"/>
    <w:rsid w:val="00C668C3"/>
    <w:rsid w:val="00C72F86"/>
    <w:rsid w:val="00C75A4B"/>
    <w:rsid w:val="00C76572"/>
    <w:rsid w:val="00C8407A"/>
    <w:rsid w:val="00C8488C"/>
    <w:rsid w:val="00C86E91"/>
    <w:rsid w:val="00CA2650"/>
    <w:rsid w:val="00CA71E5"/>
    <w:rsid w:val="00CB1078"/>
    <w:rsid w:val="00CB23C9"/>
    <w:rsid w:val="00CC6FAF"/>
    <w:rsid w:val="00CD60BC"/>
    <w:rsid w:val="00CD7689"/>
    <w:rsid w:val="00CE3AD5"/>
    <w:rsid w:val="00CF6542"/>
    <w:rsid w:val="00D111E7"/>
    <w:rsid w:val="00D17A7B"/>
    <w:rsid w:val="00D20060"/>
    <w:rsid w:val="00D24698"/>
    <w:rsid w:val="00D6383F"/>
    <w:rsid w:val="00D80208"/>
    <w:rsid w:val="00DB59D0"/>
    <w:rsid w:val="00DC03CD"/>
    <w:rsid w:val="00DC33D3"/>
    <w:rsid w:val="00DC49C8"/>
    <w:rsid w:val="00DF616F"/>
    <w:rsid w:val="00E1791B"/>
    <w:rsid w:val="00E26329"/>
    <w:rsid w:val="00E40B50"/>
    <w:rsid w:val="00E45C14"/>
    <w:rsid w:val="00E50293"/>
    <w:rsid w:val="00E61DF2"/>
    <w:rsid w:val="00E65FFC"/>
    <w:rsid w:val="00E70B07"/>
    <w:rsid w:val="00E744EA"/>
    <w:rsid w:val="00E80951"/>
    <w:rsid w:val="00E814B6"/>
    <w:rsid w:val="00E86CC6"/>
    <w:rsid w:val="00E87DE6"/>
    <w:rsid w:val="00E97386"/>
    <w:rsid w:val="00EB552E"/>
    <w:rsid w:val="00EB56B3"/>
    <w:rsid w:val="00ED6492"/>
    <w:rsid w:val="00EF2095"/>
    <w:rsid w:val="00F02F97"/>
    <w:rsid w:val="00F06866"/>
    <w:rsid w:val="00F14D46"/>
    <w:rsid w:val="00F158F5"/>
    <w:rsid w:val="00F15956"/>
    <w:rsid w:val="00F24CFC"/>
    <w:rsid w:val="00F3170F"/>
    <w:rsid w:val="00F369EA"/>
    <w:rsid w:val="00F42BF1"/>
    <w:rsid w:val="00F52B4C"/>
    <w:rsid w:val="00F52E76"/>
    <w:rsid w:val="00F6707E"/>
    <w:rsid w:val="00F976B0"/>
    <w:rsid w:val="00FA6DE7"/>
    <w:rsid w:val="00FC0A8E"/>
    <w:rsid w:val="00FC1F83"/>
    <w:rsid w:val="00FD311D"/>
    <w:rsid w:val="00FD360F"/>
    <w:rsid w:val="00FD7852"/>
    <w:rsid w:val="00FE2FA6"/>
    <w:rsid w:val="00FE3DF2"/>
    <w:rsid w:val="00FF4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99FA3A"/>
  <w15:docId w15:val="{78EEB93C-3C8E-441F-BBCD-49E375F8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HeaderChar">
    <w:name w:val="Header Char"/>
    <w:basedOn w:val="DefaultParagraphFont"/>
    <w:link w:val="Header"/>
    <w:uiPriority w:val="99"/>
    <w:rsid w:val="00A7228C"/>
    <w:rPr>
      <w:snapToGrid w:val="0"/>
      <w:sz w:val="24"/>
      <w:szCs w:val="24"/>
    </w:rPr>
  </w:style>
  <w:style w:type="character" w:customStyle="1" w:styleId="FooterChar">
    <w:name w:val="Footer Char"/>
    <w:basedOn w:val="DefaultParagraphFont"/>
    <w:link w:val="Footer"/>
    <w:uiPriority w:val="99"/>
    <w:rsid w:val="00A7228C"/>
    <w:rPr>
      <w:sz w:val="24"/>
      <w:szCs w:val="24"/>
    </w:rPr>
  </w:style>
  <w:style w:type="paragraph" w:customStyle="1" w:styleId="ColorfulList-Accent11">
    <w:name w:val="Colorful List - Accent 11"/>
    <w:basedOn w:val="Normal"/>
    <w:link w:val="ColorfulList-Accent1Char1"/>
    <w:uiPriority w:val="34"/>
    <w:qFormat/>
    <w:rsid w:val="00A7228C"/>
    <w:pPr>
      <w:spacing w:after="160" w:line="259" w:lineRule="auto"/>
      <w:ind w:left="720"/>
      <w:contextualSpacing/>
    </w:pPr>
    <w:rPr>
      <w:rFonts w:ascii="Calibri" w:eastAsia="SimSun" w:hAnsi="Calibri" w:cs="Arial"/>
      <w:sz w:val="22"/>
      <w:szCs w:val="22"/>
    </w:rPr>
  </w:style>
  <w:style w:type="character" w:customStyle="1" w:styleId="ColorfulList-Accent1Char1">
    <w:name w:val="Colorful List - Accent 1 Char1"/>
    <w:basedOn w:val="DefaultParagraphFont"/>
    <w:link w:val="ColorfulList-Accent11"/>
    <w:uiPriority w:val="34"/>
    <w:locked/>
    <w:rsid w:val="00A7228C"/>
    <w:rPr>
      <w:rFonts w:ascii="Calibri" w:eastAsia="SimSun" w:hAnsi="Calibri" w:cs="Arial"/>
      <w:sz w:val="22"/>
      <w:szCs w:val="22"/>
    </w:rPr>
  </w:style>
  <w:style w:type="character" w:customStyle="1" w:styleId="GridTable1Light1">
    <w:name w:val="Grid Table 1 Light1"/>
    <w:uiPriority w:val="33"/>
    <w:qFormat/>
    <w:rsid w:val="00A7228C"/>
    <w:rPr>
      <w:b/>
      <w:bCs/>
      <w:i/>
      <w:iCs/>
      <w:spacing w:val="5"/>
    </w:rPr>
  </w:style>
  <w:style w:type="paragraph" w:customStyle="1" w:styleId="GridTable31">
    <w:name w:val="Grid Table 31"/>
    <w:basedOn w:val="Heading1"/>
    <w:next w:val="Normal"/>
    <w:uiPriority w:val="39"/>
    <w:unhideWhenUsed/>
    <w:qFormat/>
    <w:rsid w:val="00A7228C"/>
    <w:pPr>
      <w:keepLines/>
      <w:spacing w:before="240" w:line="259" w:lineRule="auto"/>
      <w:ind w:right="0"/>
      <w:outlineLvl w:val="9"/>
    </w:pPr>
    <w:rPr>
      <w:rFonts w:ascii="Calibri Light" w:hAnsi="Calibri Light"/>
      <w:b w:val="0"/>
      <w:bCs w:val="0"/>
      <w:color w:val="2E74B5"/>
      <w:sz w:val="32"/>
      <w:szCs w:val="32"/>
    </w:rPr>
  </w:style>
  <w:style w:type="paragraph" w:styleId="TOC1">
    <w:name w:val="toc 1"/>
    <w:basedOn w:val="Normal"/>
    <w:next w:val="Normal"/>
    <w:autoRedefine/>
    <w:uiPriority w:val="39"/>
    <w:unhideWhenUsed/>
    <w:rsid w:val="00A7228C"/>
    <w:pPr>
      <w:tabs>
        <w:tab w:val="right" w:leader="dot" w:pos="9350"/>
        <w:tab w:val="right" w:leader="dot" w:pos="11520"/>
      </w:tabs>
      <w:spacing w:after="100" w:line="259" w:lineRule="auto"/>
    </w:pPr>
    <w:rPr>
      <w:rFonts w:ascii="Calibri" w:eastAsia="SimSun" w:hAnsi="Calibri" w:cs="Arial"/>
      <w:sz w:val="22"/>
      <w:szCs w:val="22"/>
    </w:rPr>
  </w:style>
  <w:style w:type="paragraph" w:styleId="TOC2">
    <w:name w:val="toc 2"/>
    <w:basedOn w:val="Normal"/>
    <w:next w:val="Normal"/>
    <w:autoRedefine/>
    <w:uiPriority w:val="39"/>
    <w:unhideWhenUsed/>
    <w:rsid w:val="00A7228C"/>
    <w:pPr>
      <w:tabs>
        <w:tab w:val="left" w:pos="660"/>
        <w:tab w:val="right" w:leader="dot" w:pos="11520"/>
        <w:tab w:val="right" w:leader="dot" w:pos="12950"/>
      </w:tabs>
      <w:ind w:left="216"/>
      <w:outlineLvl w:val="0"/>
    </w:pPr>
    <w:rPr>
      <w:rFonts w:ascii="Calibri" w:eastAsia="SimSun" w:hAnsi="Calibri" w:cs="Arial"/>
      <w:sz w:val="22"/>
      <w:szCs w:val="22"/>
    </w:rPr>
  </w:style>
  <w:style w:type="character" w:styleId="Hyperlink">
    <w:name w:val="Hyperlink"/>
    <w:uiPriority w:val="99"/>
    <w:unhideWhenUsed/>
    <w:rsid w:val="00A7228C"/>
    <w:rPr>
      <w:color w:val="0563C1"/>
      <w:u w:val="single"/>
    </w:rPr>
  </w:style>
  <w:style w:type="paragraph" w:styleId="Title">
    <w:name w:val="Title"/>
    <w:basedOn w:val="Normal"/>
    <w:next w:val="Normal"/>
    <w:link w:val="TitleChar"/>
    <w:uiPriority w:val="10"/>
    <w:qFormat/>
    <w:rsid w:val="00A7228C"/>
    <w:pPr>
      <w:spacing w:before="240" w:after="60" w:line="259" w:lineRule="auto"/>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A7228C"/>
    <w:rPr>
      <w:rFonts w:ascii="Calibri Light" w:hAnsi="Calibri Light"/>
      <w:b/>
      <w:bCs/>
      <w:kern w:val="28"/>
      <w:sz w:val="32"/>
      <w:szCs w:val="32"/>
    </w:rPr>
  </w:style>
  <w:style w:type="paragraph" w:styleId="FootnoteText">
    <w:name w:val="footnote text"/>
    <w:basedOn w:val="Normal"/>
    <w:link w:val="FootnoteTextChar"/>
    <w:uiPriority w:val="99"/>
    <w:semiHidden/>
    <w:unhideWhenUsed/>
    <w:rsid w:val="00A7228C"/>
    <w:pPr>
      <w:spacing w:after="160" w:line="259" w:lineRule="auto"/>
    </w:pPr>
    <w:rPr>
      <w:rFonts w:ascii="Calibri" w:eastAsia="SimSun" w:hAnsi="Calibri" w:cs="Arial"/>
      <w:sz w:val="20"/>
      <w:szCs w:val="20"/>
    </w:rPr>
  </w:style>
  <w:style w:type="character" w:customStyle="1" w:styleId="FootnoteTextChar">
    <w:name w:val="Footnote Text Char"/>
    <w:basedOn w:val="DefaultParagraphFont"/>
    <w:link w:val="FootnoteText"/>
    <w:uiPriority w:val="99"/>
    <w:semiHidden/>
    <w:rsid w:val="00A7228C"/>
    <w:rPr>
      <w:rFonts w:ascii="Calibri" w:eastAsia="SimSun" w:hAnsi="Calibri" w:cs="Arial"/>
    </w:rPr>
  </w:style>
  <w:style w:type="character" w:styleId="FootnoteReference">
    <w:name w:val="footnote reference"/>
    <w:uiPriority w:val="99"/>
    <w:semiHidden/>
    <w:unhideWhenUsed/>
    <w:rsid w:val="00A7228C"/>
    <w:rPr>
      <w:vertAlign w:val="superscript"/>
    </w:rPr>
  </w:style>
  <w:style w:type="character" w:customStyle="1" w:styleId="ListParagraphChar">
    <w:name w:val="List Paragraph Char"/>
    <w:basedOn w:val="DefaultParagraphFont"/>
    <w:link w:val="ListParagraph"/>
    <w:uiPriority w:val="34"/>
    <w:locked/>
    <w:rsid w:val="00A7228C"/>
    <w:rPr>
      <w:sz w:val="24"/>
      <w:szCs w:val="24"/>
    </w:rPr>
  </w:style>
  <w:style w:type="table" w:customStyle="1" w:styleId="GridTable4-Accent11">
    <w:name w:val="Grid Table 4 - Accent 11"/>
    <w:basedOn w:val="TableNormal"/>
    <w:uiPriority w:val="49"/>
    <w:rsid w:val="00A7228C"/>
    <w:rPr>
      <w:rFonts w:ascii="Calibri" w:eastAsia="SimSun" w:hAnsi="Calibri" w:cs="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A7228C"/>
    <w:pPr>
      <w:autoSpaceDE w:val="0"/>
      <w:autoSpaceDN w:val="0"/>
      <w:adjustRightInd w:val="0"/>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0F5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n.Albert@v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8" ma:contentTypeDescription="Create a new document." ma:contentTypeScope="" ma:versionID="258b07c36cb668daef2c73f507c83524">
  <xsd:schema xmlns:xsd="http://www.w3.org/2001/XMLSchema" xmlns:xs="http://www.w3.org/2001/XMLSchema" xmlns:p="http://schemas.microsoft.com/office/2006/metadata/properties" xmlns:ns2="8cfa96f4-b5f8-4a1a-9ec4-d0be118ee092" xmlns:ns3="77dce447-0566-47ff-8c07-c9b85fda5322" targetNamespace="http://schemas.microsoft.com/office/2006/metadata/properties" ma:root="true" ma:fieldsID="275c06fff2db5a36564d12e33a57805c" ns2:_="" ns3:_="">
    <xsd:import namespace="8cfa96f4-b5f8-4a1a-9ec4-d0be118ee092"/>
    <xsd:import namespace="77dce447-0566-47ff-8c07-c9b85fda532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dexed="true"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Props1.xml><?xml version="1.0" encoding="utf-8"?>
<ds:datastoreItem xmlns:ds="http://schemas.openxmlformats.org/officeDocument/2006/customXml" ds:itemID="{36CCB6B6-EC39-4D0B-BAD9-349BFA516E2E}">
  <ds:schemaRefs>
    <ds:schemaRef ds:uri="http://schemas.microsoft.com/sharepoint/v3/contenttype/forms"/>
  </ds:schemaRefs>
</ds:datastoreItem>
</file>

<file path=customXml/itemProps2.xml><?xml version="1.0" encoding="utf-8"?>
<ds:datastoreItem xmlns:ds="http://schemas.openxmlformats.org/officeDocument/2006/customXml" ds:itemID="{E3EEB9BE-D9BB-40FF-BA92-1D81D405D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18849-17AD-4507-B409-072AF2E4AABD}">
  <ds:schemaRefs>
    <ds:schemaRef ds:uri="http://schemas.microsoft.com/office/2006/metadata/properties"/>
    <ds:schemaRef ds:uri="http://schemas.microsoft.com/office/infopath/2007/PartnerControls"/>
    <ds:schemaRef ds:uri="8cfa96f4-b5f8-4a1a-9ec4-d0be118ee0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4687</Words>
  <Characters>26719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Albert, Evan</cp:lastModifiedBy>
  <cp:revision>3</cp:revision>
  <cp:lastPrinted>2010-10-04T12:59:00Z</cp:lastPrinted>
  <dcterms:created xsi:type="dcterms:W3CDTF">2020-04-21T21:44:00Z</dcterms:created>
  <dcterms:modified xsi:type="dcterms:W3CDTF">2020-04-23T21:31:00Z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0x0101002476EEE4E844B94DB30EA81E479D277F</vt:lpwstr>
  </property>
</Properties>
</file>