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BE5" w:rsidP="00C53CC7" w:rsidRDefault="00410BE5">
      <w:pPr>
        <w:rPr>
          <w:b/>
          <w:bCs/>
          <w:sz w:val="22"/>
          <w:szCs w:val="22"/>
        </w:rPr>
      </w:pPr>
      <w:r w:rsidRPr="00410BE5">
        <w:rPr>
          <w:b/>
          <w:bCs/>
          <w:sz w:val="22"/>
          <w:szCs w:val="22"/>
        </w:rPr>
        <w:t xml:space="preserve">Section 27.50, Power and Antenna Height Limits; </w:t>
      </w:r>
      <w:r>
        <w:rPr>
          <w:b/>
          <w:bCs/>
          <w:sz w:val="22"/>
          <w:szCs w:val="22"/>
        </w:rPr>
        <w:tab/>
      </w:r>
      <w:r>
        <w:rPr>
          <w:b/>
          <w:bCs/>
          <w:sz w:val="22"/>
          <w:szCs w:val="22"/>
        </w:rPr>
        <w:tab/>
      </w:r>
      <w:r>
        <w:rPr>
          <w:b/>
          <w:bCs/>
          <w:sz w:val="22"/>
          <w:szCs w:val="22"/>
        </w:rPr>
        <w:tab/>
      </w:r>
      <w:r>
        <w:rPr>
          <w:b/>
          <w:bCs/>
          <w:sz w:val="22"/>
          <w:szCs w:val="22"/>
        </w:rPr>
        <w:tab/>
      </w:r>
      <w:r w:rsidRPr="00410BE5">
        <w:rPr>
          <w:b/>
          <w:bCs/>
          <w:sz w:val="22"/>
          <w:szCs w:val="22"/>
        </w:rPr>
        <w:t xml:space="preserve">3060-1008  </w:t>
      </w:r>
    </w:p>
    <w:p w:rsidRPr="00C53CC7" w:rsidR="003F2365" w:rsidP="00C53CC7" w:rsidRDefault="00410BE5">
      <w:pPr>
        <w:rPr>
          <w:b/>
          <w:bCs/>
          <w:sz w:val="22"/>
          <w:szCs w:val="22"/>
        </w:rPr>
      </w:pPr>
      <w:r w:rsidRPr="00410BE5">
        <w:rPr>
          <w:b/>
          <w:bCs/>
          <w:sz w:val="22"/>
          <w:szCs w:val="22"/>
        </w:rPr>
        <w:t>and Section 27.602, Guard Band Manager Agreements</w:t>
      </w:r>
      <w:r w:rsidRPr="003F2365" w:rsidR="003F2365">
        <w:rPr>
          <w:b/>
          <w:bCs/>
          <w:sz w:val="22"/>
          <w:szCs w:val="22"/>
        </w:rPr>
        <w:t xml:space="preserve"> </w:t>
      </w:r>
      <w:r>
        <w:rPr>
          <w:b/>
          <w:bCs/>
          <w:sz w:val="22"/>
          <w:szCs w:val="22"/>
        </w:rPr>
        <w:tab/>
      </w:r>
      <w:r>
        <w:rPr>
          <w:b/>
          <w:bCs/>
          <w:sz w:val="22"/>
          <w:szCs w:val="22"/>
        </w:rPr>
        <w:tab/>
      </w:r>
      <w:r w:rsidR="00F668A6">
        <w:rPr>
          <w:b/>
          <w:bCs/>
          <w:sz w:val="22"/>
          <w:szCs w:val="22"/>
        </w:rPr>
        <w:t xml:space="preserve">      </w:t>
      </w:r>
      <w:r w:rsidR="0082693D">
        <w:rPr>
          <w:b/>
          <w:bCs/>
          <w:sz w:val="22"/>
          <w:szCs w:val="22"/>
        </w:rPr>
        <w:t xml:space="preserve">    March</w:t>
      </w:r>
      <w:r w:rsidR="00D84E8A">
        <w:rPr>
          <w:b/>
          <w:bCs/>
          <w:sz w:val="22"/>
          <w:szCs w:val="22"/>
        </w:rPr>
        <w:t xml:space="preserve"> 2020</w:t>
      </w:r>
    </w:p>
    <w:p w:rsidR="003F2365" w:rsidP="00D9663D" w:rsidRDefault="003F2365">
      <w:pPr>
        <w:jc w:val="right"/>
        <w:rPr>
          <w:bCs/>
          <w:sz w:val="22"/>
          <w:szCs w:val="22"/>
        </w:rPr>
      </w:pPr>
    </w:p>
    <w:p w:rsidR="00410BE5" w:rsidP="003F2365" w:rsidRDefault="00410BE5">
      <w:pPr>
        <w:rPr>
          <w:b/>
          <w:bCs/>
          <w:sz w:val="22"/>
          <w:szCs w:val="22"/>
        </w:rPr>
      </w:pPr>
    </w:p>
    <w:p w:rsidRPr="00C53CC7" w:rsidR="003F2365" w:rsidP="003F2365" w:rsidRDefault="003F2365">
      <w:pPr>
        <w:rPr>
          <w:b/>
          <w:bCs/>
          <w:sz w:val="22"/>
          <w:szCs w:val="22"/>
        </w:rPr>
      </w:pPr>
      <w:r w:rsidRPr="00C53CC7">
        <w:rPr>
          <w:b/>
          <w:bCs/>
          <w:sz w:val="22"/>
          <w:szCs w:val="22"/>
        </w:rPr>
        <w:t xml:space="preserve">The Commission is seeking OMB approval for an extension of this information collection.   There are no changes in the reporting, recordkeeping and/or </w:t>
      </w:r>
      <w:proofErr w:type="gramStart"/>
      <w:r w:rsidRPr="00C53CC7">
        <w:rPr>
          <w:b/>
          <w:bCs/>
          <w:sz w:val="22"/>
          <w:szCs w:val="22"/>
        </w:rPr>
        <w:t>third party</w:t>
      </w:r>
      <w:proofErr w:type="gramEnd"/>
      <w:r w:rsidRPr="00C53CC7">
        <w:rPr>
          <w:b/>
          <w:bCs/>
          <w:sz w:val="22"/>
          <w:szCs w:val="22"/>
        </w:rPr>
        <w:t xml:space="preserve"> disclosure requirements.  </w:t>
      </w:r>
    </w:p>
    <w:p w:rsidRPr="003F2365" w:rsidR="003F2365" w:rsidP="003F2365" w:rsidRDefault="003F2365">
      <w:pPr>
        <w:rPr>
          <w:b/>
          <w:bCs/>
          <w:sz w:val="22"/>
          <w:szCs w:val="22"/>
        </w:rPr>
      </w:pPr>
    </w:p>
    <w:p w:rsidRPr="003F2365" w:rsidR="003F2365" w:rsidP="001A462D" w:rsidRDefault="001A462D">
      <w:pPr>
        <w:tabs>
          <w:tab w:val="center" w:pos="4320"/>
          <w:tab w:val="right" w:pos="8640"/>
        </w:tabs>
        <w:rPr>
          <w:sz w:val="22"/>
          <w:szCs w:val="22"/>
        </w:rPr>
      </w:pPr>
      <w:r>
        <w:rPr>
          <w:sz w:val="22"/>
          <w:szCs w:val="22"/>
        </w:rPr>
        <w:tab/>
      </w:r>
      <w:r w:rsidR="003F2365">
        <w:rPr>
          <w:sz w:val="22"/>
          <w:szCs w:val="22"/>
        </w:rPr>
        <w:t>SUPPORTING STATEMENT</w:t>
      </w:r>
      <w:r>
        <w:rPr>
          <w:sz w:val="22"/>
          <w:szCs w:val="22"/>
        </w:rPr>
        <w:tab/>
      </w:r>
    </w:p>
    <w:p w:rsidRPr="00AC3DA4" w:rsidR="00D9663D" w:rsidP="00D9663D" w:rsidRDefault="00D9663D">
      <w:pPr>
        <w:rPr>
          <w:sz w:val="22"/>
          <w:szCs w:val="22"/>
        </w:rPr>
      </w:pPr>
    </w:p>
    <w:p w:rsidRPr="003F2365" w:rsidR="00D9663D" w:rsidP="00D9663D" w:rsidRDefault="00D9663D">
      <w:pPr>
        <w:numPr>
          <w:ilvl w:val="0"/>
          <w:numId w:val="1"/>
        </w:numPr>
        <w:rPr>
          <w:b/>
          <w:sz w:val="22"/>
          <w:szCs w:val="22"/>
        </w:rPr>
      </w:pPr>
      <w:r w:rsidRPr="003F2365">
        <w:rPr>
          <w:b/>
          <w:sz w:val="22"/>
          <w:szCs w:val="22"/>
          <w:u w:val="single"/>
        </w:rPr>
        <w:t>Justification</w:t>
      </w:r>
      <w:r w:rsidRPr="003F2365" w:rsidR="003F2365">
        <w:rPr>
          <w:b/>
          <w:sz w:val="22"/>
          <w:szCs w:val="22"/>
          <w:u w:val="single"/>
        </w:rPr>
        <w:t>:</w:t>
      </w:r>
    </w:p>
    <w:p w:rsidRPr="00AC3DA4" w:rsidR="00D9663D" w:rsidP="00D9663D" w:rsidRDefault="00D9663D">
      <w:pPr>
        <w:rPr>
          <w:sz w:val="22"/>
          <w:szCs w:val="22"/>
        </w:rPr>
      </w:pPr>
    </w:p>
    <w:p w:rsidR="00D9663D" w:rsidP="00D9663D" w:rsidRDefault="003F2365">
      <w:pPr>
        <w:numPr>
          <w:ilvl w:val="0"/>
          <w:numId w:val="2"/>
        </w:numPr>
        <w:tabs>
          <w:tab w:val="clear" w:pos="720"/>
          <w:tab w:val="num" w:pos="360"/>
        </w:tabs>
        <w:rPr>
          <w:sz w:val="22"/>
          <w:szCs w:val="22"/>
        </w:rPr>
      </w:pPr>
      <w:r>
        <w:rPr>
          <w:i/>
          <w:sz w:val="22"/>
          <w:szCs w:val="22"/>
          <w:u w:val="single"/>
        </w:rPr>
        <w:t>Background:</w:t>
      </w:r>
      <w:r>
        <w:rPr>
          <w:sz w:val="22"/>
          <w:szCs w:val="22"/>
        </w:rPr>
        <w:t xml:space="preserve">  </w:t>
      </w:r>
      <w:r w:rsidRPr="00AC3DA4" w:rsidR="00D9663D">
        <w:rPr>
          <w:sz w:val="22"/>
          <w:szCs w:val="22"/>
        </w:rPr>
        <w:t>On April 25, 2007, the Commission adopted a Report and Order</w:t>
      </w:r>
      <w:r w:rsidR="00D9663D">
        <w:rPr>
          <w:sz w:val="22"/>
          <w:szCs w:val="22"/>
        </w:rPr>
        <w:t>, in</w:t>
      </w:r>
      <w:r w:rsidRPr="00AC3DA4" w:rsidR="00D9663D">
        <w:rPr>
          <w:sz w:val="22"/>
          <w:szCs w:val="22"/>
        </w:rPr>
        <w:t xml:space="preserve"> WT Docket No</w:t>
      </w:r>
      <w:r w:rsidR="00D9663D">
        <w:rPr>
          <w:sz w:val="22"/>
          <w:szCs w:val="22"/>
        </w:rPr>
        <w:t>s</w:t>
      </w:r>
      <w:r w:rsidRPr="00AC3DA4" w:rsidR="00D9663D">
        <w:rPr>
          <w:sz w:val="22"/>
          <w:szCs w:val="22"/>
        </w:rPr>
        <w:t xml:space="preserve">. </w:t>
      </w:r>
      <w:r w:rsidR="00D9663D">
        <w:rPr>
          <w:sz w:val="22"/>
          <w:szCs w:val="22"/>
        </w:rPr>
        <w:t xml:space="preserve">96-86, 01-309, 03-264, </w:t>
      </w:r>
      <w:r w:rsidRPr="00AC3DA4" w:rsidR="00D9663D">
        <w:rPr>
          <w:sz w:val="22"/>
          <w:szCs w:val="22"/>
        </w:rPr>
        <w:t>0</w:t>
      </w:r>
      <w:r w:rsidR="00D9663D">
        <w:rPr>
          <w:sz w:val="22"/>
          <w:szCs w:val="22"/>
        </w:rPr>
        <w:t>6</w:t>
      </w:r>
      <w:r w:rsidRPr="00AC3DA4" w:rsidR="00D9663D">
        <w:rPr>
          <w:sz w:val="22"/>
          <w:szCs w:val="22"/>
        </w:rPr>
        <w:t>-150</w:t>
      </w:r>
      <w:r w:rsidR="00D9663D">
        <w:rPr>
          <w:sz w:val="22"/>
          <w:szCs w:val="22"/>
        </w:rPr>
        <w:t>, 06-169</w:t>
      </w:r>
      <w:r w:rsidRPr="00AC3DA4" w:rsidR="00D9663D">
        <w:rPr>
          <w:sz w:val="22"/>
          <w:szCs w:val="22"/>
        </w:rPr>
        <w:t>; CC Docket No. 94-102</w:t>
      </w:r>
      <w:r w:rsidR="00D9663D">
        <w:rPr>
          <w:sz w:val="22"/>
          <w:szCs w:val="22"/>
        </w:rPr>
        <w:t>; and</w:t>
      </w:r>
      <w:r w:rsidRPr="00AC3DA4" w:rsidR="00D9663D">
        <w:rPr>
          <w:sz w:val="22"/>
          <w:szCs w:val="22"/>
        </w:rPr>
        <w:t xml:space="preserve"> PS Docket No. 06-229</w:t>
      </w:r>
      <w:r w:rsidR="009855B4">
        <w:rPr>
          <w:sz w:val="22"/>
          <w:szCs w:val="22"/>
        </w:rPr>
        <w:t>; FCC 07-72,</w:t>
      </w:r>
      <w:r w:rsidR="00D9663D">
        <w:rPr>
          <w:sz w:val="22"/>
          <w:szCs w:val="22"/>
        </w:rPr>
        <w:t xml:space="preserve"> revising certain rules for the 700 MHz band as previously set out in its December 12, 2001 Report and Order in GN Docket No. 01-74, and its March 9, 2000 Second Report and Order in WT Docket No. 99-168.  These </w:t>
      </w:r>
      <w:r w:rsidRPr="00AC3DA4" w:rsidR="00D9663D">
        <w:rPr>
          <w:sz w:val="22"/>
          <w:szCs w:val="22"/>
        </w:rPr>
        <w:t>rule changes modif</w:t>
      </w:r>
      <w:r w:rsidR="000B766D">
        <w:rPr>
          <w:sz w:val="22"/>
          <w:szCs w:val="22"/>
        </w:rPr>
        <w:t>ied</w:t>
      </w:r>
      <w:r w:rsidRPr="00AC3DA4" w:rsidR="00D9663D">
        <w:rPr>
          <w:sz w:val="22"/>
          <w:szCs w:val="22"/>
        </w:rPr>
        <w:t xml:space="preserve"> </w:t>
      </w:r>
      <w:r w:rsidR="00D9663D">
        <w:rPr>
          <w:sz w:val="22"/>
          <w:szCs w:val="22"/>
        </w:rPr>
        <w:t>both information collections (IC)</w:t>
      </w:r>
      <w:r w:rsidRPr="00AC3DA4" w:rsidR="00D9663D">
        <w:rPr>
          <w:sz w:val="22"/>
          <w:szCs w:val="22"/>
        </w:rPr>
        <w:t xml:space="preserve"> 3060-1008</w:t>
      </w:r>
      <w:r w:rsidR="00D9663D">
        <w:rPr>
          <w:sz w:val="22"/>
          <w:szCs w:val="22"/>
        </w:rPr>
        <w:t xml:space="preserve"> (Lower 700 MHz Service Rules) </w:t>
      </w:r>
      <w:r w:rsidRPr="00AC3DA4" w:rsidR="00D9663D">
        <w:rPr>
          <w:sz w:val="22"/>
          <w:szCs w:val="22"/>
        </w:rPr>
        <w:t xml:space="preserve">and IC 3060-1027 </w:t>
      </w:r>
      <w:r w:rsidR="00D9663D">
        <w:rPr>
          <w:sz w:val="22"/>
          <w:szCs w:val="22"/>
        </w:rPr>
        <w:t>(Guard Band Lease Agreements) which we</w:t>
      </w:r>
      <w:r w:rsidR="000B766D">
        <w:rPr>
          <w:sz w:val="22"/>
          <w:szCs w:val="22"/>
        </w:rPr>
        <w:t>re</w:t>
      </w:r>
      <w:r w:rsidR="00D9663D">
        <w:rPr>
          <w:sz w:val="22"/>
          <w:szCs w:val="22"/>
        </w:rPr>
        <w:t xml:space="preserve"> merge</w:t>
      </w:r>
      <w:r w:rsidR="000B766D">
        <w:rPr>
          <w:sz w:val="22"/>
          <w:szCs w:val="22"/>
        </w:rPr>
        <w:t>d</w:t>
      </w:r>
      <w:r w:rsidR="00D9663D">
        <w:rPr>
          <w:sz w:val="22"/>
          <w:szCs w:val="22"/>
        </w:rPr>
        <w:t xml:space="preserve"> into one IC (3060-1008) due to the merging of the relative dockets in this proceeding</w:t>
      </w:r>
      <w:r w:rsidRPr="00AC3DA4" w:rsidR="00D9663D">
        <w:rPr>
          <w:sz w:val="22"/>
          <w:szCs w:val="22"/>
        </w:rPr>
        <w:t xml:space="preserve">.  </w:t>
      </w:r>
    </w:p>
    <w:p w:rsidRPr="00AC3DA4" w:rsidR="00D9663D" w:rsidP="00D9663D" w:rsidRDefault="00D9663D">
      <w:pPr>
        <w:ind w:left="360"/>
        <w:rPr>
          <w:sz w:val="22"/>
          <w:szCs w:val="22"/>
        </w:rPr>
      </w:pPr>
    </w:p>
    <w:p w:rsidRPr="00AC3DA4" w:rsidR="00D9663D" w:rsidP="00D9663D" w:rsidRDefault="00D9663D">
      <w:pPr>
        <w:ind w:left="720"/>
        <w:rPr>
          <w:sz w:val="22"/>
          <w:szCs w:val="22"/>
        </w:rPr>
      </w:pPr>
      <w:r>
        <w:rPr>
          <w:sz w:val="22"/>
          <w:szCs w:val="22"/>
        </w:rPr>
        <w:t xml:space="preserve">In the area of Lower 700 MHz service rules, the </w:t>
      </w:r>
      <w:r w:rsidRPr="00AC3DA4">
        <w:rPr>
          <w:i/>
          <w:sz w:val="22"/>
          <w:szCs w:val="22"/>
        </w:rPr>
        <w:t>April 2007 Report and Order</w:t>
      </w:r>
      <w:r>
        <w:rPr>
          <w:sz w:val="22"/>
          <w:szCs w:val="22"/>
        </w:rPr>
        <w:t xml:space="preserve"> made two </w:t>
      </w:r>
      <w:r w:rsidRPr="00C53CC7">
        <w:rPr>
          <w:sz w:val="22"/>
          <w:szCs w:val="22"/>
        </w:rPr>
        <w:t xml:space="preserve">changes.  First, 47 CFR Section 27.50(c)(5) </w:t>
      </w:r>
      <w:r w:rsidRPr="00C53CC7" w:rsidR="000B766D">
        <w:rPr>
          <w:sz w:val="22"/>
          <w:szCs w:val="22"/>
        </w:rPr>
        <w:t>wa</w:t>
      </w:r>
      <w:r w:rsidRPr="00C53CC7">
        <w:rPr>
          <w:sz w:val="22"/>
          <w:szCs w:val="22"/>
        </w:rPr>
        <w:t xml:space="preserve">s </w:t>
      </w:r>
      <w:proofErr w:type="spellStart"/>
      <w:r w:rsidRPr="00C53CC7" w:rsidR="000B766D">
        <w:rPr>
          <w:sz w:val="22"/>
          <w:szCs w:val="22"/>
        </w:rPr>
        <w:t>re</w:t>
      </w:r>
      <w:r w:rsidRPr="00C53CC7">
        <w:rPr>
          <w:sz w:val="22"/>
          <w:szCs w:val="22"/>
        </w:rPr>
        <w:t>designated</w:t>
      </w:r>
      <w:proofErr w:type="spellEnd"/>
      <w:r w:rsidRPr="00C53CC7">
        <w:rPr>
          <w:sz w:val="22"/>
          <w:szCs w:val="22"/>
        </w:rPr>
        <w:t xml:space="preserve"> as 27.50(c)(8) and</w:t>
      </w:r>
      <w:r>
        <w:rPr>
          <w:sz w:val="22"/>
          <w:szCs w:val="22"/>
        </w:rPr>
        <w:t xml:space="preserve"> its scope changed slightly</w:t>
      </w:r>
      <w:r w:rsidRPr="00AC3DA4">
        <w:rPr>
          <w:sz w:val="22"/>
          <w:szCs w:val="22"/>
        </w:rPr>
        <w:t xml:space="preserve">.  </w:t>
      </w:r>
      <w:r w:rsidR="00410BE5">
        <w:rPr>
          <w:sz w:val="22"/>
          <w:szCs w:val="22"/>
        </w:rPr>
        <w:t>The section covers</w:t>
      </w:r>
      <w:r w:rsidRPr="00AC3DA4" w:rsidR="00410BE5">
        <w:rPr>
          <w:sz w:val="22"/>
          <w:szCs w:val="22"/>
        </w:rPr>
        <w:t xml:space="preserve"> stations </w:t>
      </w:r>
      <w:r w:rsidR="00410BE5">
        <w:rPr>
          <w:sz w:val="22"/>
          <w:szCs w:val="22"/>
        </w:rPr>
        <w:t>identified in 27.50</w:t>
      </w:r>
      <w:r w:rsidRPr="00AC3DA4" w:rsidR="00410BE5">
        <w:rPr>
          <w:sz w:val="22"/>
          <w:szCs w:val="22"/>
        </w:rPr>
        <w:t>(c)(6)</w:t>
      </w:r>
      <w:r w:rsidR="00410BE5">
        <w:rPr>
          <w:sz w:val="22"/>
          <w:szCs w:val="22"/>
        </w:rPr>
        <w:t xml:space="preserve">; </w:t>
      </w:r>
      <w:r w:rsidR="00410BE5">
        <w:rPr>
          <w:i/>
          <w:sz w:val="22"/>
          <w:szCs w:val="22"/>
        </w:rPr>
        <w:t>i.e.</w:t>
      </w:r>
      <w:r w:rsidR="00410BE5">
        <w:rPr>
          <w:sz w:val="22"/>
          <w:szCs w:val="22"/>
        </w:rPr>
        <w:t xml:space="preserve"> stations that are</w:t>
      </w:r>
      <w:r w:rsidRPr="00AC3DA4" w:rsidR="00410BE5">
        <w:rPr>
          <w:sz w:val="22"/>
          <w:szCs w:val="22"/>
        </w:rPr>
        <w:t xml:space="preserve"> “transmitting a signal at an ERP greater than 1000 watts and greater than 1000 watts/MHz” or in rural counties “if transmitting a signal with an ERP greater than 2000 watts and greater than 2000 watts/MHz.”   </w:t>
      </w:r>
    </w:p>
    <w:p w:rsidRPr="00AC3DA4" w:rsidR="00D9663D" w:rsidP="00D9663D" w:rsidRDefault="00D9663D">
      <w:pPr>
        <w:ind w:left="360"/>
        <w:rPr>
          <w:sz w:val="22"/>
          <w:szCs w:val="22"/>
        </w:rPr>
      </w:pPr>
    </w:p>
    <w:p w:rsidRPr="00AC3DA4" w:rsidR="00D9663D" w:rsidP="00D9663D" w:rsidRDefault="00D9663D">
      <w:pPr>
        <w:ind w:left="720"/>
        <w:rPr>
          <w:sz w:val="22"/>
          <w:szCs w:val="22"/>
        </w:rPr>
      </w:pPr>
      <w:r w:rsidRPr="00AC3DA4">
        <w:rPr>
          <w:sz w:val="22"/>
          <w:szCs w:val="22"/>
        </w:rPr>
        <w:t>Specifically:  L</w:t>
      </w:r>
      <w:r>
        <w:rPr>
          <w:sz w:val="22"/>
          <w:szCs w:val="22"/>
        </w:rPr>
        <w:t>ower 700 MHz l</w:t>
      </w:r>
      <w:r w:rsidRPr="00AC3DA4">
        <w:rPr>
          <w:sz w:val="22"/>
          <w:szCs w:val="22"/>
        </w:rPr>
        <w:t>icensees intending to operate a base or fixed station at a power level permitted under the provisions of paragraph (c)(6) must provide advanced notice of such operation to the Commission and to licensees authorized in their area of operation.  Licensees who must be notified are all licensees authorized under this part to operate on an adjacent spectrum block within 75 km of the base or fixed station.  Notifications must provide the location and operating parameters of the base or fixed station, including the station's ERP, antenna coordinates, antenna height above ground, and vertical antenna pattern, and such notifications must be provided at least 90 days prior to the commencement of station operation.</w:t>
      </w:r>
    </w:p>
    <w:p w:rsidRPr="00AC3DA4" w:rsidR="00D9663D" w:rsidP="00D9663D" w:rsidRDefault="00D9663D">
      <w:pPr>
        <w:ind w:left="360"/>
        <w:rPr>
          <w:sz w:val="22"/>
          <w:szCs w:val="22"/>
        </w:rPr>
      </w:pPr>
    </w:p>
    <w:p w:rsidR="00D9663D" w:rsidP="00D9663D" w:rsidRDefault="00D9663D">
      <w:pPr>
        <w:ind w:left="720"/>
        <w:rPr>
          <w:sz w:val="22"/>
          <w:szCs w:val="22"/>
        </w:rPr>
      </w:pPr>
      <w:r>
        <w:rPr>
          <w:sz w:val="22"/>
          <w:szCs w:val="22"/>
        </w:rPr>
        <w:t xml:space="preserve">Second, in relation to lower 700 MHz service rules, </w:t>
      </w:r>
      <w:r w:rsidRPr="00AC3DA4">
        <w:rPr>
          <w:sz w:val="22"/>
          <w:szCs w:val="22"/>
        </w:rPr>
        <w:t>the Commission, in response to proposals by parties seeking greater power limits for rural area operations, permits power levels of up to 2 kW/MHz ERP in rural areas</w:t>
      </w:r>
      <w:r>
        <w:rPr>
          <w:sz w:val="22"/>
          <w:szCs w:val="22"/>
        </w:rPr>
        <w:t>.  I</w:t>
      </w:r>
      <w:r w:rsidRPr="00AC3DA4">
        <w:rPr>
          <w:sz w:val="22"/>
          <w:szCs w:val="22"/>
        </w:rPr>
        <w:t>n</w:t>
      </w:r>
      <w:r>
        <w:rPr>
          <w:sz w:val="22"/>
          <w:szCs w:val="22"/>
        </w:rPr>
        <w:t xml:space="preserve"> an</w:t>
      </w:r>
      <w:r w:rsidRPr="00AC3DA4">
        <w:rPr>
          <w:sz w:val="22"/>
          <w:szCs w:val="22"/>
        </w:rPr>
        <w:t xml:space="preserve"> effort to be consistent with its </w:t>
      </w:r>
      <w:r>
        <w:rPr>
          <w:sz w:val="22"/>
          <w:szCs w:val="22"/>
        </w:rPr>
        <w:t xml:space="preserve">Part 27 rules with respect to the Advanced Wireless Service (AWS), the Commission </w:t>
      </w:r>
      <w:r w:rsidRPr="00AC3DA4">
        <w:rPr>
          <w:sz w:val="22"/>
          <w:szCs w:val="22"/>
        </w:rPr>
        <w:t>allow</w:t>
      </w:r>
      <w:r>
        <w:rPr>
          <w:sz w:val="22"/>
          <w:szCs w:val="22"/>
        </w:rPr>
        <w:t>ed</w:t>
      </w:r>
      <w:r w:rsidRPr="00AC3DA4">
        <w:rPr>
          <w:sz w:val="22"/>
          <w:szCs w:val="22"/>
        </w:rPr>
        <w:t xml:space="preserve"> rural licensees operating with bandwidths less than one megahertz to operate at power levels up to 2 kW ERP over their bandwidth</w:t>
      </w:r>
      <w:r>
        <w:rPr>
          <w:sz w:val="22"/>
          <w:szCs w:val="22"/>
        </w:rPr>
        <w:t>,</w:t>
      </w:r>
      <w:r w:rsidRPr="00AC3DA4">
        <w:rPr>
          <w:sz w:val="22"/>
          <w:szCs w:val="22"/>
        </w:rPr>
        <w:t xml:space="preserve"> but at the same time impose</w:t>
      </w:r>
      <w:r>
        <w:rPr>
          <w:sz w:val="22"/>
          <w:szCs w:val="22"/>
        </w:rPr>
        <w:t>d</w:t>
      </w:r>
      <w:r w:rsidRPr="00AC3DA4">
        <w:rPr>
          <w:sz w:val="22"/>
          <w:szCs w:val="22"/>
        </w:rPr>
        <w:t xml:space="preserve"> on licensees operating </w:t>
      </w:r>
      <w:r>
        <w:rPr>
          <w:sz w:val="22"/>
          <w:szCs w:val="22"/>
        </w:rPr>
        <w:t xml:space="preserve">at </w:t>
      </w:r>
      <w:r w:rsidRPr="00AC3DA4">
        <w:rPr>
          <w:sz w:val="22"/>
          <w:szCs w:val="22"/>
        </w:rPr>
        <w:t xml:space="preserve">such increased power levels a requirement to coordinate with other licensees in nearby areas </w:t>
      </w:r>
      <w:r>
        <w:rPr>
          <w:sz w:val="22"/>
          <w:szCs w:val="22"/>
        </w:rPr>
        <w:t xml:space="preserve">similar to that requirement applied to similarly-situated AWS licensees under </w:t>
      </w:r>
      <w:r w:rsidRPr="00AC3DA4">
        <w:rPr>
          <w:sz w:val="22"/>
          <w:szCs w:val="22"/>
        </w:rPr>
        <w:t xml:space="preserve">§ 27.50(d)(1) of its rules.  </w:t>
      </w:r>
    </w:p>
    <w:p w:rsidR="00410BE5" w:rsidP="00D9663D" w:rsidRDefault="00410BE5">
      <w:pPr>
        <w:ind w:left="720"/>
        <w:rPr>
          <w:sz w:val="22"/>
          <w:szCs w:val="22"/>
        </w:rPr>
      </w:pPr>
    </w:p>
    <w:p w:rsidRPr="00AC3DA4" w:rsidR="00410BE5" w:rsidP="00D9663D" w:rsidRDefault="00410BE5">
      <w:pPr>
        <w:ind w:left="720"/>
        <w:rPr>
          <w:sz w:val="22"/>
          <w:szCs w:val="22"/>
        </w:rPr>
      </w:pPr>
    </w:p>
    <w:p w:rsidR="00D9663D" w:rsidP="00D9663D" w:rsidRDefault="00D9663D">
      <w:pPr>
        <w:ind w:left="720"/>
        <w:rPr>
          <w:sz w:val="22"/>
          <w:szCs w:val="22"/>
        </w:rPr>
      </w:pPr>
    </w:p>
    <w:p w:rsidRPr="00AC3DA4" w:rsidR="00D9663D" w:rsidP="00D9663D" w:rsidRDefault="00D9663D">
      <w:pPr>
        <w:ind w:left="720"/>
        <w:rPr>
          <w:sz w:val="22"/>
          <w:szCs w:val="22"/>
        </w:rPr>
      </w:pPr>
      <w:r w:rsidRPr="00AC3DA4">
        <w:rPr>
          <w:sz w:val="22"/>
          <w:szCs w:val="22"/>
        </w:rPr>
        <w:lastRenderedPageBreak/>
        <w:t xml:space="preserve">Specifically:  </w:t>
      </w:r>
      <w:r>
        <w:rPr>
          <w:sz w:val="22"/>
          <w:szCs w:val="22"/>
        </w:rPr>
        <w:t>Lower 700 MHz l</w:t>
      </w:r>
      <w:r w:rsidRPr="00AC3DA4">
        <w:rPr>
          <w:sz w:val="22"/>
          <w:szCs w:val="22"/>
        </w:rPr>
        <w:t>icensees seeking to operate a fixed or base station located in a county with population density of 100 or fewer persons per square mile, based upon the most recently available population statistics from the Bureau of the Census, and transmitting a signal at an ERP greater than 1000 watts must:</w:t>
      </w:r>
    </w:p>
    <w:p w:rsidRPr="00AC3DA4" w:rsidR="00D9663D" w:rsidP="00D9663D" w:rsidRDefault="00D9663D">
      <w:pPr>
        <w:ind w:left="720"/>
        <w:rPr>
          <w:sz w:val="22"/>
          <w:szCs w:val="22"/>
        </w:rPr>
      </w:pPr>
    </w:p>
    <w:p w:rsidRPr="00AC3DA4" w:rsidR="00D9663D" w:rsidP="00D9663D" w:rsidRDefault="00D9663D">
      <w:pPr>
        <w:ind w:left="1440"/>
        <w:rPr>
          <w:sz w:val="22"/>
          <w:szCs w:val="22"/>
        </w:rPr>
      </w:pPr>
      <w:r w:rsidRPr="00AC3DA4">
        <w:rPr>
          <w:sz w:val="22"/>
          <w:szCs w:val="22"/>
        </w:rPr>
        <w:t>(i) coordinate in advance with all licensees authorized to operate in the 698-764 MHz and 776-794 MHz bands within 120 kilometers (75 miles) of the base or fixed station;</w:t>
      </w:r>
    </w:p>
    <w:p w:rsidRPr="00AC3DA4" w:rsidR="00D9663D" w:rsidP="00D9663D" w:rsidRDefault="00D9663D">
      <w:pPr>
        <w:ind w:left="1440"/>
        <w:rPr>
          <w:sz w:val="22"/>
          <w:szCs w:val="22"/>
        </w:rPr>
      </w:pPr>
    </w:p>
    <w:p w:rsidRPr="00AC3DA4" w:rsidR="00D9663D" w:rsidP="00D9663D" w:rsidRDefault="00D9663D">
      <w:pPr>
        <w:ind w:left="1440"/>
        <w:rPr>
          <w:sz w:val="22"/>
          <w:szCs w:val="22"/>
        </w:rPr>
      </w:pPr>
      <w:r w:rsidRPr="00AC3DA4">
        <w:rPr>
          <w:sz w:val="22"/>
          <w:szCs w:val="22"/>
        </w:rPr>
        <w:t xml:space="preserve">(ii) coordinate in advance with all regional planning committees, as identified in §90.527 of this chapter, with jurisdiction within 120 kilometers (75 miles) of the base or fixed station. </w:t>
      </w:r>
    </w:p>
    <w:p w:rsidRPr="00AC3DA4" w:rsidR="00D9663D" w:rsidP="00D9663D" w:rsidRDefault="00D9663D">
      <w:pPr>
        <w:ind w:left="1440"/>
        <w:rPr>
          <w:sz w:val="22"/>
          <w:szCs w:val="22"/>
        </w:rPr>
      </w:pPr>
    </w:p>
    <w:p w:rsidRPr="000470AF" w:rsidR="00D9663D" w:rsidP="00D9663D" w:rsidRDefault="00D9663D">
      <w:pPr>
        <w:ind w:left="720"/>
        <w:rPr>
          <w:strike/>
          <w:sz w:val="22"/>
          <w:szCs w:val="22"/>
        </w:rPr>
      </w:pPr>
      <w:r>
        <w:rPr>
          <w:sz w:val="22"/>
          <w:szCs w:val="22"/>
        </w:rPr>
        <w:t xml:space="preserve">Finally, in relation to the Guard Bands service rules, the </w:t>
      </w:r>
      <w:r w:rsidRPr="00AC3DA4">
        <w:rPr>
          <w:i/>
          <w:sz w:val="22"/>
          <w:szCs w:val="22"/>
        </w:rPr>
        <w:t>April 2007 Report and Order</w:t>
      </w:r>
      <w:r>
        <w:rPr>
          <w:sz w:val="22"/>
          <w:szCs w:val="22"/>
        </w:rPr>
        <w:t xml:space="preserve"> replaced the “band manager” leasing regime which previously applied to Guard Bands licensees with the spectrum leasing policies and rules adopted in the Secondary Markets proceeding in WT Docket 00-230 to provide Guard Band licensees and spectrum users additional flexibility to enter into spectrum leasing agreements.  </w:t>
      </w:r>
    </w:p>
    <w:p w:rsidR="00D9663D" w:rsidP="00D9663D" w:rsidRDefault="00D9663D">
      <w:pPr>
        <w:ind w:left="360"/>
        <w:rPr>
          <w:sz w:val="22"/>
          <w:szCs w:val="22"/>
        </w:rPr>
      </w:pPr>
    </w:p>
    <w:p w:rsidR="00D9663D" w:rsidP="00D9663D" w:rsidRDefault="00D9663D">
      <w:pPr>
        <w:ind w:left="720"/>
        <w:rPr>
          <w:sz w:val="22"/>
          <w:szCs w:val="22"/>
        </w:rPr>
      </w:pPr>
      <w:r>
        <w:rPr>
          <w:sz w:val="22"/>
          <w:szCs w:val="22"/>
        </w:rPr>
        <w:t xml:space="preserve">Specifically: Guard Band licensees </w:t>
      </w:r>
      <w:r w:rsidR="00D8436F">
        <w:rPr>
          <w:sz w:val="22"/>
          <w:szCs w:val="22"/>
        </w:rPr>
        <w:t>may</w:t>
      </w:r>
      <w:r w:rsidR="00325081">
        <w:rPr>
          <w:sz w:val="22"/>
          <w:szCs w:val="22"/>
        </w:rPr>
        <w:t xml:space="preserve"> </w:t>
      </w:r>
      <w:r>
        <w:rPr>
          <w:sz w:val="22"/>
          <w:szCs w:val="22"/>
        </w:rPr>
        <w:t xml:space="preserve">enter into spectrum leasing arrangements under Part 1 of the Commission’s rules regarding the use of their licensed spectrum by spectrum lessees.  The spectrum lease agreement between the licensee and the spectrum lessee must specify in detail the operating parameters of the spectrum lessee’s system, including power, maximum antenna heights, frequencies of operation, base station location(s), area(s) of operation, and other parameters specified in Commission rules for the use of spectrum identified in </w:t>
      </w:r>
      <w:r w:rsidRPr="000470AF">
        <w:rPr>
          <w:sz w:val="22"/>
          <w:szCs w:val="22"/>
        </w:rPr>
        <w:t>§27.5(b)(1) and (b)(2)</w:t>
      </w:r>
      <w:r>
        <w:rPr>
          <w:sz w:val="22"/>
          <w:szCs w:val="22"/>
        </w:rPr>
        <w:t>.  Further, the spectrum lease agreement must require the spectrum lessee to use Commission-approved equipment where appropriate and to complete post-construction proofs of system performance prior to system activation.</w:t>
      </w:r>
    </w:p>
    <w:p w:rsidR="00074C8D" w:rsidP="00D9663D" w:rsidRDefault="00074C8D">
      <w:pPr>
        <w:ind w:left="720"/>
        <w:rPr>
          <w:sz w:val="22"/>
          <w:szCs w:val="22"/>
        </w:rPr>
      </w:pPr>
    </w:p>
    <w:p w:rsidRPr="00074C8D" w:rsidR="00074C8D" w:rsidP="00074C8D" w:rsidRDefault="00074C8D">
      <w:pPr>
        <w:ind w:left="720"/>
        <w:rPr>
          <w:sz w:val="22"/>
          <w:szCs w:val="22"/>
        </w:rPr>
      </w:pPr>
      <w:r w:rsidRPr="00074C8D">
        <w:rPr>
          <w:sz w:val="22"/>
          <w:szCs w:val="22"/>
        </w:rPr>
        <w:t xml:space="preserve">Pursuant to </w:t>
      </w:r>
      <w:r w:rsidR="00D8436F">
        <w:rPr>
          <w:sz w:val="22"/>
          <w:szCs w:val="22"/>
        </w:rPr>
        <w:t>§</w:t>
      </w:r>
      <w:r w:rsidRPr="00074C8D">
        <w:rPr>
          <w:sz w:val="22"/>
          <w:szCs w:val="22"/>
        </w:rPr>
        <w:t xml:space="preserve">27.602, Guard Band Managers are required to enter into written agreements regarding the use of their licensed spectrum by others, subject to certain conditions outlined in the rules.  Section 27.602(h) requires Guard Band Managers to maintain their written agreements with spectrum users at their principal place of </w:t>
      </w:r>
      <w:proofErr w:type="gramStart"/>
      <w:r w:rsidRPr="00074C8D">
        <w:rPr>
          <w:sz w:val="22"/>
          <w:szCs w:val="22"/>
        </w:rPr>
        <w:t>business, and</w:t>
      </w:r>
      <w:proofErr w:type="gramEnd"/>
      <w:r w:rsidRPr="00074C8D">
        <w:rPr>
          <w:sz w:val="22"/>
          <w:szCs w:val="22"/>
        </w:rPr>
        <w:t xml:space="preserve"> retain such records for at least two years after the date such agreements expire.  Such records shall be kept current and be made available upon request for inspection by the Commission or its representatives.</w:t>
      </w:r>
    </w:p>
    <w:p w:rsidR="00074C8D" w:rsidP="00D9663D" w:rsidRDefault="00074C8D">
      <w:pPr>
        <w:ind w:left="720"/>
        <w:rPr>
          <w:sz w:val="22"/>
          <w:szCs w:val="22"/>
        </w:rPr>
      </w:pPr>
    </w:p>
    <w:p w:rsidRPr="00AC3DA4" w:rsidR="00D9663D" w:rsidP="00D9663D" w:rsidRDefault="00410BE5">
      <w:pPr>
        <w:ind w:left="720"/>
        <w:rPr>
          <w:sz w:val="22"/>
          <w:szCs w:val="22"/>
        </w:rPr>
      </w:pPr>
      <w:r>
        <w:rPr>
          <w:sz w:val="22"/>
          <w:szCs w:val="22"/>
        </w:rPr>
        <w:t>T</w:t>
      </w:r>
      <w:r w:rsidRPr="00AC3DA4" w:rsidR="00D9663D">
        <w:rPr>
          <w:sz w:val="22"/>
          <w:szCs w:val="22"/>
        </w:rPr>
        <w:t>his information collection does not affect individuals or households.  Thus, this information collection is not impacted by the Privacy Act.</w:t>
      </w:r>
      <w:r w:rsidRPr="00AC3DA4" w:rsidR="00D9663D">
        <w:rPr>
          <w:rStyle w:val="FootnoteReference"/>
          <w:sz w:val="22"/>
          <w:szCs w:val="22"/>
        </w:rPr>
        <w:footnoteReference w:id="1"/>
      </w:r>
    </w:p>
    <w:p w:rsidRPr="00AC3DA4" w:rsidR="00D9663D" w:rsidP="00D9663D" w:rsidRDefault="00D9663D">
      <w:pPr>
        <w:ind w:left="360"/>
        <w:rPr>
          <w:sz w:val="22"/>
          <w:szCs w:val="22"/>
        </w:rPr>
      </w:pPr>
    </w:p>
    <w:p w:rsidR="00D9663D" w:rsidP="00D9663D" w:rsidRDefault="00D9663D">
      <w:pPr>
        <w:ind w:left="720"/>
        <w:rPr>
          <w:sz w:val="22"/>
          <w:szCs w:val="22"/>
        </w:rPr>
      </w:pPr>
      <w:r>
        <w:rPr>
          <w:sz w:val="22"/>
          <w:szCs w:val="22"/>
        </w:rPr>
        <w:t>Statutory authority for this collection of information is contained in 47 U.S.C. §§ 151, 154(i</w:t>
      </w:r>
      <w:r w:rsidR="004E2D47">
        <w:rPr>
          <w:sz w:val="22"/>
          <w:szCs w:val="22"/>
        </w:rPr>
        <w:t>),</w:t>
      </w:r>
      <w:r w:rsidR="00A63CB4">
        <w:rPr>
          <w:sz w:val="22"/>
          <w:szCs w:val="22"/>
        </w:rPr>
        <w:t xml:space="preserve"> </w:t>
      </w:r>
      <w:r>
        <w:rPr>
          <w:sz w:val="22"/>
          <w:szCs w:val="22"/>
        </w:rPr>
        <w:t xml:space="preserve">157, </w:t>
      </w:r>
      <w:r w:rsidR="00A63CB4">
        <w:rPr>
          <w:sz w:val="22"/>
          <w:szCs w:val="22"/>
        </w:rPr>
        <w:t xml:space="preserve">and 309(j), </w:t>
      </w:r>
      <w:r>
        <w:rPr>
          <w:sz w:val="22"/>
          <w:szCs w:val="22"/>
        </w:rPr>
        <w:t>as amended.</w:t>
      </w:r>
    </w:p>
    <w:p w:rsidR="00D9663D" w:rsidP="00D9663D" w:rsidRDefault="00D9663D">
      <w:pPr>
        <w:ind w:left="360"/>
        <w:rPr>
          <w:sz w:val="22"/>
          <w:szCs w:val="22"/>
        </w:rPr>
      </w:pPr>
    </w:p>
    <w:p w:rsidR="00D9663D" w:rsidP="00D9663D" w:rsidRDefault="00D9663D">
      <w:pPr>
        <w:numPr>
          <w:ilvl w:val="0"/>
          <w:numId w:val="2"/>
        </w:numPr>
        <w:tabs>
          <w:tab w:val="clear" w:pos="720"/>
          <w:tab w:val="num" w:pos="360"/>
        </w:tabs>
        <w:rPr>
          <w:sz w:val="22"/>
          <w:szCs w:val="22"/>
        </w:rPr>
      </w:pPr>
      <w:r>
        <w:rPr>
          <w:sz w:val="22"/>
          <w:szCs w:val="22"/>
        </w:rPr>
        <w:t xml:space="preserve">The service rules have been designed to promote the development and rapid deployment of new technologies, products, and services for the benefit of the public; to promote economic opportunity and competition; and to create an efficient and intensive use of the </w:t>
      </w:r>
      <w:r>
        <w:rPr>
          <w:sz w:val="22"/>
          <w:szCs w:val="22"/>
        </w:rPr>
        <w:lastRenderedPageBreak/>
        <w:t>spectrum by promoting the objectives identified in 47 U.S.C. § 309(j), and to alleviate any problems associated with the increase power limits available to rural licensees.</w:t>
      </w:r>
    </w:p>
    <w:p w:rsidR="00D9663D" w:rsidP="00D9663D" w:rsidRDefault="00D9663D">
      <w:pPr>
        <w:ind w:left="360"/>
        <w:rPr>
          <w:sz w:val="22"/>
          <w:szCs w:val="22"/>
        </w:rPr>
      </w:pPr>
    </w:p>
    <w:p w:rsidR="00D9663D" w:rsidP="00D9663D" w:rsidRDefault="00D9663D">
      <w:pPr>
        <w:numPr>
          <w:ilvl w:val="0"/>
          <w:numId w:val="2"/>
        </w:numPr>
        <w:tabs>
          <w:tab w:val="clear" w:pos="720"/>
          <w:tab w:val="num" w:pos="360"/>
        </w:tabs>
        <w:rPr>
          <w:sz w:val="22"/>
          <w:szCs w:val="22"/>
        </w:rPr>
      </w:pPr>
      <w:r>
        <w:rPr>
          <w:sz w:val="22"/>
          <w:szCs w:val="22"/>
        </w:rPr>
        <w:t>The information will be submitted electronically in the Universal Licensing System (ULS) and will be provided in a written notice to certain other licensees authorized in adjacent areas of operation.  All information</w:t>
      </w:r>
      <w:r w:rsidRPr="00AC3DA4">
        <w:rPr>
          <w:sz w:val="22"/>
          <w:szCs w:val="22"/>
        </w:rPr>
        <w:t xml:space="preserve"> that is to be submitted electronically via ULS has been accounted for under information collection 3060-0798.</w:t>
      </w:r>
    </w:p>
    <w:p w:rsidR="00D9663D" w:rsidP="00D9663D" w:rsidRDefault="00D9663D">
      <w:pPr>
        <w:ind w:left="360"/>
        <w:rPr>
          <w:sz w:val="22"/>
          <w:szCs w:val="22"/>
        </w:rPr>
      </w:pPr>
    </w:p>
    <w:p w:rsidR="00D9663D" w:rsidP="00D9663D" w:rsidRDefault="00D9663D">
      <w:pPr>
        <w:numPr>
          <w:ilvl w:val="0"/>
          <w:numId w:val="2"/>
        </w:numPr>
        <w:tabs>
          <w:tab w:val="clear" w:pos="720"/>
          <w:tab w:val="num" w:pos="360"/>
        </w:tabs>
        <w:rPr>
          <w:sz w:val="22"/>
          <w:szCs w:val="22"/>
        </w:rPr>
      </w:pPr>
      <w:r w:rsidRPr="00AC3DA4">
        <w:rPr>
          <w:sz w:val="22"/>
          <w:szCs w:val="22"/>
        </w:rPr>
        <w:t>This agency does not impose a similar information collection on licensees affected by this collection.  There is no similar data available.</w:t>
      </w:r>
    </w:p>
    <w:p w:rsidR="00D9663D" w:rsidP="00D9663D" w:rsidRDefault="00D9663D">
      <w:pPr>
        <w:ind w:left="360"/>
        <w:rPr>
          <w:sz w:val="22"/>
          <w:szCs w:val="22"/>
        </w:rPr>
      </w:pPr>
    </w:p>
    <w:p w:rsidR="00D9663D" w:rsidP="00D9663D" w:rsidRDefault="00D9663D">
      <w:pPr>
        <w:numPr>
          <w:ilvl w:val="0"/>
          <w:numId w:val="2"/>
        </w:numPr>
        <w:tabs>
          <w:tab w:val="clear" w:pos="720"/>
          <w:tab w:val="num" w:pos="360"/>
        </w:tabs>
        <w:rPr>
          <w:sz w:val="22"/>
          <w:szCs w:val="22"/>
        </w:rPr>
      </w:pPr>
      <w:r w:rsidRPr="00AC3DA4">
        <w:rPr>
          <w:sz w:val="22"/>
          <w:szCs w:val="22"/>
        </w:rPr>
        <w:t xml:space="preserve">In conformance with the Paperwork Reduction Act of 1995, the Commission is </w:t>
      </w:r>
      <w:proofErr w:type="gramStart"/>
      <w:r w:rsidRPr="00AC3DA4">
        <w:rPr>
          <w:sz w:val="22"/>
          <w:szCs w:val="22"/>
        </w:rPr>
        <w:t>making an effort</w:t>
      </w:r>
      <w:proofErr w:type="gramEnd"/>
      <w:r w:rsidRPr="00AC3DA4">
        <w:rPr>
          <w:sz w:val="22"/>
          <w:szCs w:val="22"/>
        </w:rPr>
        <w:t xml:space="preserve"> to minimize the burden on all respondents</w:t>
      </w:r>
      <w:r>
        <w:rPr>
          <w:sz w:val="22"/>
          <w:szCs w:val="22"/>
        </w:rPr>
        <w:t xml:space="preserve">, regardless of size.  The Commission has limited its information requirements to those </w:t>
      </w:r>
      <w:proofErr w:type="gramStart"/>
      <w:r>
        <w:rPr>
          <w:sz w:val="22"/>
          <w:szCs w:val="22"/>
        </w:rPr>
        <w:t>absolutely necessary</w:t>
      </w:r>
      <w:proofErr w:type="gramEnd"/>
      <w:r>
        <w:rPr>
          <w:sz w:val="22"/>
          <w:szCs w:val="22"/>
        </w:rPr>
        <w:t xml:space="preserve"> for conclusively determining compliance with its procedures.</w:t>
      </w:r>
    </w:p>
    <w:p w:rsidR="00D9663D" w:rsidP="00D9663D" w:rsidRDefault="00D9663D">
      <w:pPr>
        <w:ind w:left="360"/>
        <w:rPr>
          <w:sz w:val="22"/>
          <w:szCs w:val="22"/>
        </w:rPr>
      </w:pPr>
    </w:p>
    <w:p w:rsidR="00D9663D" w:rsidP="00D9663D" w:rsidRDefault="00D9663D">
      <w:pPr>
        <w:numPr>
          <w:ilvl w:val="0"/>
          <w:numId w:val="2"/>
        </w:numPr>
        <w:tabs>
          <w:tab w:val="clear" w:pos="720"/>
          <w:tab w:val="num" w:pos="360"/>
        </w:tabs>
        <w:rPr>
          <w:sz w:val="22"/>
          <w:szCs w:val="22"/>
        </w:rPr>
      </w:pPr>
      <w:r>
        <w:rPr>
          <w:sz w:val="22"/>
          <w:szCs w:val="22"/>
        </w:rPr>
        <w:t>This collection is required for three groups of licensees:  1)  Lower 700 MHz licensees intending to operate a base or fixed station at a power level greater than 1000 watts and greater than 1000 watts/MHz (or, in rural counties, if transmitting a signal with an ERP greater than 2000 watts and greater than 2000 watts/MHz.); 2) Lower 700 MHz licensees seeking to operate a fixed or base station located in a rural county and transmitting a signal at an ERP greater than 1000 watts; and 3) Guard Band licensees and spectrum lessees.</w:t>
      </w:r>
    </w:p>
    <w:p w:rsidR="00D9663D" w:rsidP="00D9663D" w:rsidRDefault="00D9663D">
      <w:pPr>
        <w:rPr>
          <w:sz w:val="22"/>
          <w:szCs w:val="22"/>
        </w:rPr>
      </w:pPr>
    </w:p>
    <w:p w:rsidR="00D9663D" w:rsidP="00D9663D" w:rsidRDefault="00D9663D">
      <w:pPr>
        <w:numPr>
          <w:ilvl w:val="0"/>
          <w:numId w:val="2"/>
        </w:numPr>
        <w:tabs>
          <w:tab w:val="clear" w:pos="720"/>
          <w:tab w:val="num" w:pos="360"/>
        </w:tabs>
        <w:rPr>
          <w:sz w:val="22"/>
          <w:szCs w:val="22"/>
        </w:rPr>
      </w:pPr>
      <w:r>
        <w:rPr>
          <w:sz w:val="22"/>
          <w:szCs w:val="22"/>
        </w:rPr>
        <w:t>No known circumstances require this collection to be conducted in a manner inconsistent with the guidelines in 5 C.F.R. § 1320.</w:t>
      </w:r>
    </w:p>
    <w:p w:rsidR="00D9663D" w:rsidP="00D9663D" w:rsidRDefault="00D9663D">
      <w:pPr>
        <w:rPr>
          <w:sz w:val="22"/>
          <w:szCs w:val="22"/>
        </w:rPr>
      </w:pPr>
    </w:p>
    <w:p w:rsidR="00410BE5" w:rsidP="001A462D" w:rsidRDefault="00410BE5">
      <w:pPr>
        <w:widowControl w:val="0"/>
        <w:suppressAutoHyphens/>
        <w:ind w:left="720" w:hanging="390"/>
        <w:rPr>
          <w:sz w:val="22"/>
          <w:szCs w:val="22"/>
        </w:rPr>
      </w:pPr>
      <w:r>
        <w:rPr>
          <w:sz w:val="22"/>
          <w:szCs w:val="22"/>
        </w:rPr>
        <w:t>8.</w:t>
      </w:r>
      <w:r>
        <w:rPr>
          <w:sz w:val="22"/>
          <w:szCs w:val="22"/>
        </w:rPr>
        <w:tab/>
      </w:r>
      <w:r w:rsidRPr="00C53CC7" w:rsidR="00E77FC2">
        <w:rPr>
          <w:sz w:val="22"/>
          <w:szCs w:val="22"/>
        </w:rPr>
        <w:t>The Commission</w:t>
      </w:r>
      <w:r w:rsidRPr="00C53CC7" w:rsidR="0076035E">
        <w:rPr>
          <w:sz w:val="22"/>
          <w:szCs w:val="22"/>
        </w:rPr>
        <w:t xml:space="preserve"> </w:t>
      </w:r>
      <w:r w:rsidRPr="00C53CC7" w:rsidR="00D36F8F">
        <w:rPr>
          <w:sz w:val="22"/>
          <w:szCs w:val="22"/>
        </w:rPr>
        <w:t>published</w:t>
      </w:r>
      <w:r w:rsidRPr="00C53CC7" w:rsidR="0076035E">
        <w:rPr>
          <w:sz w:val="22"/>
          <w:szCs w:val="22"/>
        </w:rPr>
        <w:t xml:space="preserve"> a 60-day public comment period </w:t>
      </w:r>
      <w:r w:rsidR="001A462D">
        <w:rPr>
          <w:sz w:val="22"/>
          <w:szCs w:val="22"/>
        </w:rPr>
        <w:t>seeking comments from the public on the information collection requirements contained in this collection.  It a</w:t>
      </w:r>
      <w:r w:rsidRPr="00C53CC7" w:rsidR="0076035E">
        <w:rPr>
          <w:sz w:val="22"/>
          <w:szCs w:val="22"/>
        </w:rPr>
        <w:t xml:space="preserve">ppeared in the </w:t>
      </w:r>
      <w:r>
        <w:rPr>
          <w:sz w:val="22"/>
          <w:szCs w:val="22"/>
        </w:rPr>
        <w:tab/>
      </w:r>
      <w:r w:rsidRPr="00C53CC7" w:rsidR="0076035E">
        <w:rPr>
          <w:sz w:val="22"/>
          <w:szCs w:val="22"/>
        </w:rPr>
        <w:t xml:space="preserve">Federal </w:t>
      </w:r>
      <w:r>
        <w:rPr>
          <w:sz w:val="22"/>
          <w:szCs w:val="22"/>
        </w:rPr>
        <w:tab/>
      </w:r>
      <w:r w:rsidRPr="00C53CC7" w:rsidR="0076035E">
        <w:rPr>
          <w:sz w:val="22"/>
          <w:szCs w:val="22"/>
        </w:rPr>
        <w:t>Register on</w:t>
      </w:r>
      <w:r w:rsidRPr="00C53CC7" w:rsidR="008866B5">
        <w:rPr>
          <w:sz w:val="22"/>
          <w:szCs w:val="22"/>
        </w:rPr>
        <w:t xml:space="preserve"> </w:t>
      </w:r>
      <w:r w:rsidR="0082693D">
        <w:rPr>
          <w:sz w:val="22"/>
          <w:szCs w:val="22"/>
        </w:rPr>
        <w:t>January 3, 2020 (85 FR 314)</w:t>
      </w:r>
      <w:bookmarkStart w:name="_GoBack" w:id="0"/>
      <w:bookmarkEnd w:id="0"/>
      <w:r w:rsidRPr="00C53CC7" w:rsidR="0076035E">
        <w:rPr>
          <w:sz w:val="22"/>
          <w:szCs w:val="22"/>
        </w:rPr>
        <w:t>.  No comments were received as a result of the</w:t>
      </w:r>
      <w:r w:rsidR="001A462D">
        <w:rPr>
          <w:sz w:val="22"/>
          <w:szCs w:val="22"/>
        </w:rPr>
        <w:t xml:space="preserve"> </w:t>
      </w:r>
      <w:r w:rsidRPr="00C53CC7" w:rsidR="0076035E">
        <w:rPr>
          <w:sz w:val="22"/>
          <w:szCs w:val="22"/>
        </w:rPr>
        <w:t>Notice.</w:t>
      </w:r>
    </w:p>
    <w:p w:rsidRPr="00C53CC7" w:rsidR="00D9663D" w:rsidP="00C53CC7" w:rsidRDefault="0076035E">
      <w:pPr>
        <w:widowControl w:val="0"/>
        <w:suppressAutoHyphens/>
        <w:rPr>
          <w:sz w:val="22"/>
          <w:szCs w:val="22"/>
        </w:rPr>
      </w:pPr>
      <w:r w:rsidRPr="00C53CC7">
        <w:rPr>
          <w:sz w:val="22"/>
          <w:szCs w:val="22"/>
        </w:rPr>
        <w:t xml:space="preserve">  </w:t>
      </w:r>
    </w:p>
    <w:p w:rsidR="00D9663D" w:rsidP="00D9663D" w:rsidRDefault="00D9663D">
      <w:pPr>
        <w:ind w:firstLine="360"/>
        <w:rPr>
          <w:sz w:val="22"/>
          <w:szCs w:val="22"/>
        </w:rPr>
      </w:pPr>
      <w:r>
        <w:rPr>
          <w:sz w:val="22"/>
          <w:szCs w:val="22"/>
        </w:rPr>
        <w:t>9.</w:t>
      </w:r>
      <w:r>
        <w:rPr>
          <w:sz w:val="22"/>
          <w:szCs w:val="22"/>
        </w:rPr>
        <w:tab/>
      </w:r>
      <w:r w:rsidRPr="00AC3DA4">
        <w:rPr>
          <w:sz w:val="22"/>
          <w:szCs w:val="22"/>
        </w:rPr>
        <w:t>Respondents will not receive any payments</w:t>
      </w:r>
      <w:r w:rsidR="00410BE5">
        <w:rPr>
          <w:sz w:val="22"/>
          <w:szCs w:val="22"/>
        </w:rPr>
        <w:t xml:space="preserve"> for this collection of information</w:t>
      </w:r>
      <w:r w:rsidRPr="00AC3DA4">
        <w:rPr>
          <w:sz w:val="22"/>
          <w:szCs w:val="22"/>
        </w:rPr>
        <w:t>.</w:t>
      </w:r>
    </w:p>
    <w:p w:rsidR="00D9663D" w:rsidP="00D9663D" w:rsidRDefault="00D9663D">
      <w:pPr>
        <w:ind w:firstLine="360"/>
        <w:rPr>
          <w:sz w:val="22"/>
          <w:szCs w:val="22"/>
        </w:rPr>
      </w:pPr>
    </w:p>
    <w:p w:rsidR="00D9663D" w:rsidP="00D9663D" w:rsidRDefault="00D9663D">
      <w:pPr>
        <w:ind w:firstLine="360"/>
        <w:rPr>
          <w:sz w:val="22"/>
          <w:szCs w:val="22"/>
        </w:rPr>
      </w:pPr>
      <w:r>
        <w:rPr>
          <w:sz w:val="22"/>
          <w:szCs w:val="22"/>
        </w:rPr>
        <w:t>10.</w:t>
      </w:r>
      <w:r>
        <w:rPr>
          <w:sz w:val="22"/>
          <w:szCs w:val="22"/>
        </w:rPr>
        <w:tab/>
      </w:r>
      <w:r w:rsidRPr="00AC3DA4">
        <w:rPr>
          <w:sz w:val="22"/>
          <w:szCs w:val="22"/>
        </w:rPr>
        <w:t>There is no need for confidentiality</w:t>
      </w:r>
      <w:r w:rsidR="00410BE5">
        <w:rPr>
          <w:sz w:val="22"/>
          <w:szCs w:val="22"/>
        </w:rPr>
        <w:t xml:space="preserve"> associated with this collection</w:t>
      </w:r>
      <w:r w:rsidRPr="00AC3DA4">
        <w:rPr>
          <w:sz w:val="22"/>
          <w:szCs w:val="22"/>
        </w:rPr>
        <w:t>.</w:t>
      </w:r>
    </w:p>
    <w:p w:rsidR="00D9663D" w:rsidP="00D9663D" w:rsidRDefault="00D9663D">
      <w:pPr>
        <w:ind w:firstLine="360"/>
        <w:rPr>
          <w:sz w:val="22"/>
          <w:szCs w:val="22"/>
        </w:rPr>
      </w:pPr>
    </w:p>
    <w:p w:rsidR="00D9663D" w:rsidP="00D9663D" w:rsidRDefault="00D9663D">
      <w:pPr>
        <w:ind w:firstLine="360"/>
        <w:rPr>
          <w:sz w:val="22"/>
          <w:szCs w:val="22"/>
        </w:rPr>
      </w:pPr>
      <w:r>
        <w:rPr>
          <w:sz w:val="22"/>
          <w:szCs w:val="22"/>
        </w:rPr>
        <w:t>11.</w:t>
      </w:r>
      <w:r>
        <w:rPr>
          <w:sz w:val="22"/>
          <w:szCs w:val="22"/>
        </w:rPr>
        <w:tab/>
      </w:r>
      <w:r w:rsidRPr="00AC3DA4">
        <w:rPr>
          <w:sz w:val="22"/>
          <w:szCs w:val="22"/>
        </w:rPr>
        <w:t>This collection does not address any private matters of a sensitive nature.</w:t>
      </w:r>
    </w:p>
    <w:p w:rsidR="00D9663D" w:rsidP="00D9663D" w:rsidRDefault="00D9663D">
      <w:pPr>
        <w:ind w:firstLine="360"/>
        <w:rPr>
          <w:sz w:val="22"/>
          <w:szCs w:val="22"/>
        </w:rPr>
      </w:pPr>
    </w:p>
    <w:p w:rsidR="00D9663D" w:rsidP="00D9663D" w:rsidRDefault="00D9663D">
      <w:pPr>
        <w:ind w:left="720" w:hanging="360"/>
        <w:rPr>
          <w:sz w:val="22"/>
          <w:szCs w:val="22"/>
        </w:rPr>
      </w:pPr>
      <w:r>
        <w:rPr>
          <w:sz w:val="22"/>
          <w:szCs w:val="22"/>
        </w:rPr>
        <w:t>12.</w:t>
      </w:r>
      <w:r>
        <w:rPr>
          <w:sz w:val="22"/>
          <w:szCs w:val="22"/>
        </w:rPr>
        <w:tab/>
      </w:r>
      <w:r w:rsidRPr="00AC3DA4">
        <w:rPr>
          <w:sz w:val="22"/>
          <w:szCs w:val="22"/>
        </w:rPr>
        <w:t xml:space="preserve">As of the date of this submission, </w:t>
      </w:r>
      <w:r w:rsidR="00D84E8A">
        <w:rPr>
          <w:sz w:val="22"/>
          <w:szCs w:val="22"/>
        </w:rPr>
        <w:t xml:space="preserve">140 </w:t>
      </w:r>
      <w:r w:rsidR="00313224">
        <w:rPr>
          <w:sz w:val="22"/>
          <w:szCs w:val="22"/>
        </w:rPr>
        <w:t xml:space="preserve"> </w:t>
      </w:r>
      <w:r w:rsidRPr="00AC3DA4">
        <w:rPr>
          <w:sz w:val="22"/>
          <w:szCs w:val="22"/>
        </w:rPr>
        <w:t>respondents are subject to the reporting requirement in Section 27.50(c)(</w:t>
      </w:r>
      <w:r>
        <w:rPr>
          <w:sz w:val="22"/>
          <w:szCs w:val="22"/>
        </w:rPr>
        <w:t>8</w:t>
      </w:r>
      <w:r w:rsidRPr="00AC3DA4">
        <w:rPr>
          <w:sz w:val="22"/>
          <w:szCs w:val="22"/>
        </w:rPr>
        <w:t>).  The average burden on the</w:t>
      </w:r>
      <w:r>
        <w:rPr>
          <w:sz w:val="22"/>
          <w:szCs w:val="22"/>
        </w:rPr>
        <w:t>se</w:t>
      </w:r>
      <w:r w:rsidRPr="00AC3DA4">
        <w:rPr>
          <w:sz w:val="22"/>
          <w:szCs w:val="22"/>
        </w:rPr>
        <w:t xml:space="preserve"> respondents will be </w:t>
      </w:r>
      <w:r w:rsidR="009A3404">
        <w:rPr>
          <w:sz w:val="22"/>
          <w:szCs w:val="22"/>
        </w:rPr>
        <w:t>one hour</w:t>
      </w:r>
      <w:r>
        <w:rPr>
          <w:sz w:val="22"/>
          <w:szCs w:val="22"/>
        </w:rPr>
        <w:t>.</w:t>
      </w:r>
    </w:p>
    <w:p w:rsidR="00D9663D" w:rsidP="00D9663D" w:rsidRDefault="00D9663D">
      <w:pPr>
        <w:ind w:left="720" w:hanging="360"/>
        <w:rPr>
          <w:sz w:val="22"/>
          <w:szCs w:val="22"/>
        </w:rPr>
      </w:pPr>
    </w:p>
    <w:p w:rsidRPr="00166382" w:rsidR="00F131AC" w:rsidP="00D9663D" w:rsidRDefault="00D9663D">
      <w:pPr>
        <w:ind w:left="360"/>
        <w:rPr>
          <w:b/>
          <w:sz w:val="22"/>
          <w:szCs w:val="22"/>
        </w:rPr>
      </w:pPr>
      <w:r w:rsidRPr="00AC3DA4">
        <w:rPr>
          <w:sz w:val="22"/>
          <w:szCs w:val="22"/>
        </w:rPr>
        <w:tab/>
      </w:r>
      <w:r w:rsidRPr="00AC3DA4">
        <w:rPr>
          <w:sz w:val="22"/>
          <w:szCs w:val="22"/>
        </w:rPr>
        <w:tab/>
      </w:r>
      <w:r w:rsidR="00F57C76">
        <w:rPr>
          <w:sz w:val="22"/>
          <w:szCs w:val="22"/>
        </w:rPr>
        <w:t xml:space="preserve">140 </w:t>
      </w:r>
      <w:r>
        <w:rPr>
          <w:sz w:val="22"/>
          <w:szCs w:val="22"/>
        </w:rPr>
        <w:t>(</w:t>
      </w:r>
      <w:r w:rsidRPr="00AC3DA4">
        <w:rPr>
          <w:sz w:val="22"/>
          <w:szCs w:val="22"/>
        </w:rPr>
        <w:t>respon</w:t>
      </w:r>
      <w:r>
        <w:rPr>
          <w:sz w:val="22"/>
          <w:szCs w:val="22"/>
        </w:rPr>
        <w:t xml:space="preserve">dents) </w:t>
      </w:r>
      <w:r w:rsidRPr="00AC3DA4">
        <w:rPr>
          <w:sz w:val="22"/>
          <w:szCs w:val="22"/>
        </w:rPr>
        <w:t xml:space="preserve">x </w:t>
      </w:r>
      <w:r w:rsidR="00313224">
        <w:rPr>
          <w:sz w:val="22"/>
          <w:szCs w:val="22"/>
        </w:rPr>
        <w:t>1</w:t>
      </w:r>
      <w:r w:rsidRPr="00AC3DA4">
        <w:rPr>
          <w:sz w:val="22"/>
          <w:szCs w:val="22"/>
        </w:rPr>
        <w:t xml:space="preserve"> hour = </w:t>
      </w:r>
      <w:r w:rsidR="00F57C76">
        <w:rPr>
          <w:b/>
          <w:sz w:val="22"/>
          <w:szCs w:val="22"/>
        </w:rPr>
        <w:t>140</w:t>
      </w:r>
      <w:r w:rsidRPr="00166382" w:rsidR="00F57C76">
        <w:rPr>
          <w:b/>
          <w:sz w:val="22"/>
          <w:szCs w:val="22"/>
        </w:rPr>
        <w:t xml:space="preserve"> </w:t>
      </w:r>
      <w:r w:rsidRPr="00166382">
        <w:rPr>
          <w:b/>
          <w:sz w:val="22"/>
          <w:szCs w:val="22"/>
        </w:rPr>
        <w:t>hours</w:t>
      </w:r>
      <w:r w:rsidRPr="00166382" w:rsidR="00F131AC">
        <w:rPr>
          <w:b/>
          <w:sz w:val="22"/>
          <w:szCs w:val="22"/>
        </w:rPr>
        <w:t>.</w:t>
      </w:r>
    </w:p>
    <w:p w:rsidR="00074C8D" w:rsidP="00F131AC" w:rsidRDefault="00074C8D">
      <w:pPr>
        <w:widowControl w:val="0"/>
        <w:suppressAutoHyphens/>
        <w:ind w:left="720"/>
        <w:rPr>
          <w:sz w:val="22"/>
          <w:szCs w:val="22"/>
        </w:rPr>
      </w:pPr>
    </w:p>
    <w:p w:rsidR="00E773B7" w:rsidP="00F131AC" w:rsidRDefault="00E773B7">
      <w:pPr>
        <w:widowControl w:val="0"/>
        <w:suppressAutoHyphens/>
        <w:ind w:left="720"/>
        <w:rPr>
          <w:sz w:val="22"/>
          <w:szCs w:val="22"/>
        </w:rPr>
      </w:pPr>
    </w:p>
    <w:p w:rsidR="00E773B7" w:rsidP="00F131AC" w:rsidRDefault="00E773B7">
      <w:pPr>
        <w:widowControl w:val="0"/>
        <w:suppressAutoHyphens/>
        <w:ind w:left="720"/>
        <w:rPr>
          <w:sz w:val="22"/>
          <w:szCs w:val="22"/>
        </w:rPr>
      </w:pPr>
    </w:p>
    <w:p w:rsidR="009C0307" w:rsidP="00F131AC" w:rsidRDefault="009C0307">
      <w:pPr>
        <w:widowControl w:val="0"/>
        <w:suppressAutoHyphens/>
        <w:ind w:left="720"/>
        <w:rPr>
          <w:sz w:val="22"/>
          <w:szCs w:val="22"/>
        </w:rPr>
      </w:pPr>
    </w:p>
    <w:p w:rsidR="009C0307" w:rsidP="00F131AC" w:rsidRDefault="009C0307">
      <w:pPr>
        <w:widowControl w:val="0"/>
        <w:suppressAutoHyphens/>
        <w:ind w:left="720"/>
        <w:rPr>
          <w:sz w:val="22"/>
          <w:szCs w:val="22"/>
        </w:rPr>
      </w:pPr>
    </w:p>
    <w:p w:rsidR="009C0307" w:rsidP="00F131AC" w:rsidRDefault="009C0307">
      <w:pPr>
        <w:widowControl w:val="0"/>
        <w:suppressAutoHyphens/>
        <w:ind w:left="720"/>
        <w:rPr>
          <w:sz w:val="22"/>
          <w:szCs w:val="22"/>
        </w:rPr>
      </w:pPr>
    </w:p>
    <w:p w:rsidR="009C0307" w:rsidP="00F131AC" w:rsidRDefault="009C0307">
      <w:pPr>
        <w:widowControl w:val="0"/>
        <w:suppressAutoHyphens/>
        <w:ind w:left="720"/>
        <w:rPr>
          <w:sz w:val="22"/>
          <w:szCs w:val="22"/>
        </w:rPr>
      </w:pPr>
    </w:p>
    <w:p w:rsidR="00E773B7" w:rsidP="00F131AC" w:rsidRDefault="00E773B7">
      <w:pPr>
        <w:widowControl w:val="0"/>
        <w:suppressAutoHyphens/>
        <w:ind w:left="720"/>
        <w:rPr>
          <w:sz w:val="22"/>
          <w:szCs w:val="22"/>
        </w:rPr>
      </w:pPr>
    </w:p>
    <w:p w:rsidR="00E773B7" w:rsidP="00F131AC" w:rsidRDefault="00E773B7">
      <w:pPr>
        <w:widowControl w:val="0"/>
        <w:suppressAutoHyphens/>
        <w:ind w:left="720"/>
        <w:rPr>
          <w:sz w:val="22"/>
          <w:szCs w:val="22"/>
        </w:rPr>
      </w:pPr>
    </w:p>
    <w:p w:rsidRPr="00F131AC" w:rsidR="00F131AC" w:rsidP="00F131AC" w:rsidRDefault="00F131AC">
      <w:pPr>
        <w:widowControl w:val="0"/>
        <w:suppressAutoHyphens/>
        <w:ind w:left="720"/>
        <w:rPr>
          <w:sz w:val="22"/>
          <w:szCs w:val="22"/>
        </w:rPr>
      </w:pPr>
      <w:r>
        <w:rPr>
          <w:sz w:val="22"/>
          <w:szCs w:val="22"/>
        </w:rPr>
        <w:t>The Guard Bands aspect of this combined information</w:t>
      </w:r>
      <w:r w:rsidR="00B74B6D">
        <w:rPr>
          <w:sz w:val="22"/>
          <w:szCs w:val="22"/>
        </w:rPr>
        <w:t xml:space="preserve"> collection</w:t>
      </w:r>
      <w:r>
        <w:rPr>
          <w:sz w:val="22"/>
          <w:szCs w:val="22"/>
        </w:rPr>
        <w:t xml:space="preserve"> remain</w:t>
      </w:r>
      <w:r w:rsidR="0076035E">
        <w:rPr>
          <w:sz w:val="22"/>
          <w:szCs w:val="22"/>
        </w:rPr>
        <w:t xml:space="preserve">s unchanged.  </w:t>
      </w:r>
      <w:r w:rsidR="00C01869">
        <w:rPr>
          <w:sz w:val="22"/>
          <w:szCs w:val="22"/>
        </w:rPr>
        <w:t xml:space="preserve">According to the Commission’s Universal Licensing System, there are </w:t>
      </w:r>
      <w:r w:rsidR="00F57C76">
        <w:rPr>
          <w:sz w:val="22"/>
          <w:szCs w:val="22"/>
        </w:rPr>
        <w:t xml:space="preserve">26 </w:t>
      </w:r>
      <w:r w:rsidR="00C01869">
        <w:rPr>
          <w:sz w:val="22"/>
          <w:szCs w:val="22"/>
        </w:rPr>
        <w:t xml:space="preserve">licensees holding </w:t>
      </w:r>
      <w:r w:rsidR="00F57C76">
        <w:rPr>
          <w:sz w:val="22"/>
          <w:szCs w:val="22"/>
        </w:rPr>
        <w:t xml:space="preserve">107 </w:t>
      </w:r>
      <w:r w:rsidR="00C01869">
        <w:rPr>
          <w:sz w:val="22"/>
          <w:szCs w:val="22"/>
        </w:rPr>
        <w:t xml:space="preserve">licenses.  </w:t>
      </w:r>
      <w:r w:rsidRPr="00F131AC">
        <w:rPr>
          <w:sz w:val="22"/>
          <w:szCs w:val="22"/>
        </w:rPr>
        <w:t>W</w:t>
      </w:r>
      <w:r w:rsidR="00F57C76">
        <w:rPr>
          <w:sz w:val="22"/>
          <w:szCs w:val="22"/>
        </w:rPr>
        <w:t>hile we do not anticipate that all licensees will enter into leasing arrangements, w</w:t>
      </w:r>
      <w:r w:rsidRPr="00F131AC">
        <w:rPr>
          <w:sz w:val="22"/>
          <w:szCs w:val="22"/>
        </w:rPr>
        <w:t xml:space="preserve">e estimate the time </w:t>
      </w:r>
      <w:r w:rsidR="00455D6F">
        <w:rPr>
          <w:sz w:val="22"/>
          <w:szCs w:val="22"/>
        </w:rPr>
        <w:t>for</w:t>
      </w:r>
      <w:r w:rsidRPr="00F131AC">
        <w:rPr>
          <w:sz w:val="22"/>
          <w:szCs w:val="22"/>
        </w:rPr>
        <w:t xml:space="preserve"> Band Managers</w:t>
      </w:r>
      <w:r w:rsidR="00455D6F">
        <w:rPr>
          <w:sz w:val="22"/>
          <w:szCs w:val="22"/>
        </w:rPr>
        <w:t xml:space="preserve"> to comply with the</w:t>
      </w:r>
      <w:r w:rsidR="00C01869">
        <w:rPr>
          <w:sz w:val="22"/>
          <w:szCs w:val="22"/>
        </w:rPr>
        <w:t xml:space="preserve"> required</w:t>
      </w:r>
      <w:r w:rsidR="00455D6F">
        <w:rPr>
          <w:sz w:val="22"/>
          <w:szCs w:val="22"/>
        </w:rPr>
        <w:t xml:space="preserve"> information collection </w:t>
      </w:r>
      <w:r w:rsidRPr="00F131AC">
        <w:rPr>
          <w:sz w:val="22"/>
          <w:szCs w:val="22"/>
        </w:rPr>
        <w:t>is 6 hours</w:t>
      </w:r>
      <w:r w:rsidR="006305BA">
        <w:rPr>
          <w:sz w:val="22"/>
          <w:szCs w:val="22"/>
        </w:rPr>
        <w:t>/response</w:t>
      </w:r>
      <w:r w:rsidR="005D6037">
        <w:rPr>
          <w:sz w:val="22"/>
          <w:szCs w:val="22"/>
        </w:rPr>
        <w:t>, including the recordkeeping requirement</w:t>
      </w:r>
      <w:r w:rsidRPr="00F131AC">
        <w:rPr>
          <w:sz w:val="22"/>
          <w:szCs w:val="22"/>
        </w:rPr>
        <w:t>.</w:t>
      </w:r>
    </w:p>
    <w:p w:rsidRPr="00F131AC" w:rsidR="00F131AC" w:rsidP="00F131AC" w:rsidRDefault="00F131AC">
      <w:pPr>
        <w:suppressAutoHyphens/>
        <w:rPr>
          <w:sz w:val="22"/>
          <w:szCs w:val="22"/>
        </w:rPr>
      </w:pPr>
    </w:p>
    <w:p w:rsidRPr="00166382" w:rsidR="00F131AC" w:rsidP="00F131AC" w:rsidRDefault="00F57C76">
      <w:pPr>
        <w:ind w:left="1080" w:firstLine="360"/>
        <w:rPr>
          <w:b/>
        </w:rPr>
      </w:pPr>
      <w:r>
        <w:rPr>
          <w:sz w:val="22"/>
          <w:szCs w:val="22"/>
        </w:rPr>
        <w:t>107</w:t>
      </w:r>
      <w:r w:rsidRPr="00F131AC">
        <w:rPr>
          <w:sz w:val="22"/>
          <w:szCs w:val="22"/>
        </w:rPr>
        <w:t xml:space="preserve"> </w:t>
      </w:r>
      <w:r w:rsidRPr="00F131AC" w:rsidR="00F131AC">
        <w:rPr>
          <w:sz w:val="22"/>
          <w:szCs w:val="22"/>
        </w:rPr>
        <w:t>respons</w:t>
      </w:r>
      <w:r w:rsidR="006305BA">
        <w:rPr>
          <w:sz w:val="22"/>
          <w:szCs w:val="22"/>
        </w:rPr>
        <w:t>es</w:t>
      </w:r>
      <w:r w:rsidRPr="00F131AC" w:rsidR="00F131AC">
        <w:rPr>
          <w:sz w:val="22"/>
          <w:szCs w:val="22"/>
        </w:rPr>
        <w:t xml:space="preserve"> x 6 hours</w:t>
      </w:r>
      <w:r w:rsidR="006305BA">
        <w:rPr>
          <w:sz w:val="22"/>
          <w:szCs w:val="22"/>
        </w:rPr>
        <w:t>/response</w:t>
      </w:r>
      <w:r w:rsidRPr="00F131AC" w:rsidR="00F131AC">
        <w:rPr>
          <w:sz w:val="22"/>
          <w:szCs w:val="22"/>
        </w:rPr>
        <w:t xml:space="preserve"> = </w:t>
      </w:r>
      <w:r>
        <w:rPr>
          <w:b/>
          <w:sz w:val="22"/>
          <w:szCs w:val="22"/>
        </w:rPr>
        <w:t>642</w:t>
      </w:r>
      <w:r w:rsidRPr="00166382">
        <w:rPr>
          <w:b/>
          <w:sz w:val="22"/>
          <w:szCs w:val="22"/>
        </w:rPr>
        <w:t xml:space="preserve"> </w:t>
      </w:r>
      <w:r w:rsidRPr="00166382" w:rsidR="00F131AC">
        <w:rPr>
          <w:b/>
          <w:sz w:val="22"/>
          <w:szCs w:val="22"/>
        </w:rPr>
        <w:t>hours</w:t>
      </w:r>
      <w:r w:rsidRPr="00166382" w:rsidR="00F131AC">
        <w:rPr>
          <w:b/>
        </w:rPr>
        <w:t>.</w:t>
      </w:r>
    </w:p>
    <w:p w:rsidR="00F131AC" w:rsidP="00F131AC" w:rsidRDefault="00F131AC">
      <w:pPr>
        <w:ind w:left="360" w:firstLine="360"/>
      </w:pPr>
    </w:p>
    <w:p w:rsidRPr="00F131AC" w:rsidR="00F131AC" w:rsidP="00F131AC" w:rsidRDefault="00F57C76">
      <w:pPr>
        <w:ind w:left="720" w:firstLine="720"/>
        <w:rPr>
          <w:sz w:val="22"/>
          <w:szCs w:val="22"/>
        </w:rPr>
      </w:pPr>
      <w:r>
        <w:t xml:space="preserve">140 </w:t>
      </w:r>
      <w:r w:rsidR="001A462D">
        <w:t>hours</w:t>
      </w:r>
      <w:r w:rsidR="00D5128D">
        <w:t xml:space="preserve"> </w:t>
      </w:r>
      <w:r w:rsidR="00F131AC">
        <w:t xml:space="preserve">+ </w:t>
      </w:r>
      <w:r>
        <w:t xml:space="preserve">642 </w:t>
      </w:r>
      <w:r w:rsidR="001A462D">
        <w:t>hours</w:t>
      </w:r>
      <w:r w:rsidR="00D5128D">
        <w:t xml:space="preserve"> </w:t>
      </w:r>
      <w:r w:rsidR="00F131AC">
        <w:t xml:space="preserve">= </w:t>
      </w:r>
      <w:r>
        <w:t xml:space="preserve">782 </w:t>
      </w:r>
      <w:r w:rsidR="00F131AC">
        <w:t>hours.</w:t>
      </w:r>
    </w:p>
    <w:p w:rsidR="00D9663D" w:rsidP="00D9663D" w:rsidRDefault="00D9663D">
      <w:pPr>
        <w:ind w:left="360"/>
        <w:rPr>
          <w:sz w:val="22"/>
          <w:szCs w:val="22"/>
        </w:rPr>
      </w:pPr>
      <w:r>
        <w:rPr>
          <w:sz w:val="22"/>
          <w:szCs w:val="22"/>
        </w:rPr>
        <w:tab/>
      </w:r>
      <w:r>
        <w:rPr>
          <w:sz w:val="22"/>
          <w:szCs w:val="22"/>
        </w:rPr>
        <w:tab/>
      </w:r>
    </w:p>
    <w:p w:rsidR="00E773B7" w:rsidP="00C53CC7" w:rsidRDefault="00D9663D">
      <w:pPr>
        <w:ind w:left="720" w:firstLine="720"/>
        <w:rPr>
          <w:b/>
          <w:sz w:val="22"/>
          <w:szCs w:val="22"/>
        </w:rPr>
      </w:pPr>
      <w:r w:rsidRPr="00D1535C">
        <w:rPr>
          <w:b/>
          <w:sz w:val="22"/>
          <w:szCs w:val="22"/>
        </w:rPr>
        <w:t>Total “Annual” Burden Hour</w:t>
      </w:r>
      <w:r w:rsidRPr="00D1535C" w:rsidR="00F131AC">
        <w:rPr>
          <w:b/>
          <w:sz w:val="22"/>
          <w:szCs w:val="22"/>
        </w:rPr>
        <w:t>s</w:t>
      </w:r>
      <w:r w:rsidRPr="00D1535C">
        <w:rPr>
          <w:b/>
          <w:sz w:val="22"/>
          <w:szCs w:val="22"/>
        </w:rPr>
        <w:t>:</w:t>
      </w:r>
      <w:r w:rsidR="00F131AC">
        <w:rPr>
          <w:sz w:val="22"/>
          <w:szCs w:val="22"/>
        </w:rPr>
        <w:t xml:space="preserve"> </w:t>
      </w:r>
      <w:r w:rsidR="00F57C76">
        <w:rPr>
          <w:b/>
          <w:sz w:val="22"/>
          <w:szCs w:val="22"/>
        </w:rPr>
        <w:t>782</w:t>
      </w:r>
      <w:r w:rsidRPr="00166382" w:rsidR="00F57C76">
        <w:rPr>
          <w:b/>
          <w:sz w:val="22"/>
          <w:szCs w:val="22"/>
        </w:rPr>
        <w:t xml:space="preserve"> </w:t>
      </w:r>
      <w:r w:rsidRPr="00166382" w:rsidR="00F131AC">
        <w:rPr>
          <w:b/>
          <w:sz w:val="22"/>
          <w:szCs w:val="22"/>
        </w:rPr>
        <w:t>hours.</w:t>
      </w:r>
    </w:p>
    <w:p w:rsidR="00E773B7" w:rsidP="00C53CC7" w:rsidRDefault="00E773B7">
      <w:pPr>
        <w:pStyle w:val="Heading1"/>
        <w:jc w:val="left"/>
        <w:rPr>
          <w:rStyle w:val="Strong"/>
        </w:rPr>
      </w:pPr>
    </w:p>
    <w:p w:rsidRPr="001A462D" w:rsidR="00E773B7" w:rsidP="00C53CC7" w:rsidRDefault="00E773B7">
      <w:pPr>
        <w:pStyle w:val="Heading1"/>
        <w:jc w:val="left"/>
        <w:rPr>
          <w:rStyle w:val="Strong"/>
          <w:b w:val="0"/>
          <w:bCs w:val="0"/>
          <w:sz w:val="22"/>
          <w:szCs w:val="22"/>
        </w:rPr>
      </w:pPr>
      <w:r>
        <w:rPr>
          <w:rStyle w:val="Strong"/>
          <w:b w:val="0"/>
        </w:rPr>
        <w:tab/>
      </w:r>
      <w:r w:rsidRPr="00C53CC7">
        <w:rPr>
          <w:rStyle w:val="Strong"/>
        </w:rPr>
        <w:t>In-house Costs:</w:t>
      </w:r>
      <w:r>
        <w:rPr>
          <w:rStyle w:val="Strong"/>
          <w:b w:val="0"/>
        </w:rPr>
        <w:t xml:space="preserve">  </w:t>
      </w:r>
      <w:r w:rsidRPr="00C53CC7">
        <w:rPr>
          <w:rStyle w:val="Strong"/>
          <w:b w:val="0"/>
        </w:rPr>
        <w:t>The Commission assume</w:t>
      </w:r>
      <w:r>
        <w:rPr>
          <w:rStyle w:val="Strong"/>
          <w:b w:val="0"/>
        </w:rPr>
        <w:t>s</w:t>
      </w:r>
      <w:r w:rsidRPr="00C53CC7">
        <w:rPr>
          <w:rStyle w:val="Strong"/>
          <w:b w:val="0"/>
        </w:rPr>
        <w:t xml:space="preserve"> that the respondents will use in-house </w:t>
      </w:r>
      <w:r>
        <w:rPr>
          <w:rStyle w:val="Strong"/>
          <w:b w:val="0"/>
        </w:rPr>
        <w:tab/>
      </w:r>
      <w:r w:rsidRPr="00C53CC7">
        <w:rPr>
          <w:rStyle w:val="Strong"/>
          <w:b w:val="0"/>
        </w:rPr>
        <w:t xml:space="preserve">clerical personnel, whose earnings level is equivalent on average to the GS-7/5 </w:t>
      </w:r>
      <w:r>
        <w:rPr>
          <w:rStyle w:val="Strong"/>
          <w:b w:val="0"/>
        </w:rPr>
        <w:tab/>
      </w:r>
      <w:r w:rsidRPr="00C53CC7">
        <w:rPr>
          <w:rStyle w:val="Strong"/>
          <w:b w:val="0"/>
        </w:rPr>
        <w:t>level at $</w:t>
      </w:r>
      <w:r w:rsidRPr="001A462D" w:rsidR="001A462D">
        <w:rPr>
          <w:rStyle w:val="Strong"/>
          <w:b w:val="0"/>
        </w:rPr>
        <w:t>24.41</w:t>
      </w:r>
      <w:r w:rsidRPr="001A462D">
        <w:rPr>
          <w:rStyle w:val="Strong"/>
          <w:b w:val="0"/>
        </w:rPr>
        <w:t xml:space="preserve"> per hour, to prepare this information</w:t>
      </w:r>
      <w:r w:rsidRPr="001A462D" w:rsidR="005D6037">
        <w:rPr>
          <w:rStyle w:val="Strong"/>
          <w:b w:val="0"/>
        </w:rPr>
        <w:t xml:space="preserve"> and keep records</w:t>
      </w:r>
      <w:r w:rsidRPr="001A462D">
        <w:rPr>
          <w:rStyle w:val="Strong"/>
          <w:b w:val="0"/>
        </w:rPr>
        <w:t xml:space="preserve">.  </w:t>
      </w:r>
    </w:p>
    <w:p w:rsidRPr="001A462D" w:rsidR="00E773B7" w:rsidP="00E773B7" w:rsidRDefault="00E773B7">
      <w:pPr>
        <w:pStyle w:val="Subtitle"/>
        <w:rPr>
          <w:bCs/>
        </w:rPr>
      </w:pPr>
    </w:p>
    <w:p w:rsidRPr="00C53CC7" w:rsidR="00E773B7" w:rsidP="00C53CC7" w:rsidRDefault="00E773B7">
      <w:pPr>
        <w:pStyle w:val="Subtitle"/>
        <w:jc w:val="left"/>
        <w:rPr>
          <w:b w:val="0"/>
          <w:bCs/>
        </w:rPr>
      </w:pPr>
      <w:r w:rsidRPr="001A462D">
        <w:rPr>
          <w:bCs/>
        </w:rPr>
        <w:tab/>
      </w:r>
      <w:r w:rsidRPr="001A462D">
        <w:rPr>
          <w:bCs/>
        </w:rPr>
        <w:tab/>
      </w:r>
      <w:r w:rsidR="00F57C76">
        <w:rPr>
          <w:b w:val="0"/>
          <w:bCs/>
        </w:rPr>
        <w:t>782</w:t>
      </w:r>
      <w:r w:rsidRPr="001A462D" w:rsidR="00F57C76">
        <w:rPr>
          <w:b w:val="0"/>
          <w:bCs/>
        </w:rPr>
        <w:t xml:space="preserve"> </w:t>
      </w:r>
      <w:r w:rsidRPr="001A462D">
        <w:rPr>
          <w:b w:val="0"/>
          <w:bCs/>
        </w:rPr>
        <w:t>hrs. x $</w:t>
      </w:r>
      <w:r w:rsidRPr="001A462D" w:rsidR="001A462D">
        <w:rPr>
          <w:b w:val="0"/>
          <w:bCs/>
        </w:rPr>
        <w:t>2</w:t>
      </w:r>
      <w:r w:rsidR="00D84E8A">
        <w:rPr>
          <w:b w:val="0"/>
          <w:bCs/>
        </w:rPr>
        <w:t>5.53</w:t>
      </w:r>
      <w:r w:rsidRPr="001A462D">
        <w:rPr>
          <w:b w:val="0"/>
          <w:bCs/>
        </w:rPr>
        <w:t xml:space="preserve"> (clerical) = $</w:t>
      </w:r>
      <w:r w:rsidR="00D84E8A">
        <w:rPr>
          <w:b w:val="0"/>
          <w:bCs/>
        </w:rPr>
        <w:t>$19,964.46</w:t>
      </w:r>
    </w:p>
    <w:p w:rsidRPr="00E773B7" w:rsidR="00E773B7" w:rsidP="00E773B7" w:rsidRDefault="00E773B7">
      <w:pPr>
        <w:pStyle w:val="Subtitle"/>
        <w:rPr>
          <w:bCs/>
        </w:rPr>
      </w:pPr>
    </w:p>
    <w:p w:rsidR="00E773B7" w:rsidP="00C53CC7" w:rsidRDefault="00E773B7">
      <w:pPr>
        <w:pStyle w:val="Subtitle"/>
        <w:jc w:val="left"/>
        <w:rPr>
          <w:bCs/>
        </w:rPr>
      </w:pPr>
      <w:r>
        <w:rPr>
          <w:bCs/>
        </w:rPr>
        <w:tab/>
      </w:r>
      <w:r>
        <w:rPr>
          <w:bCs/>
        </w:rPr>
        <w:tab/>
      </w:r>
      <w:r w:rsidRPr="00E773B7">
        <w:rPr>
          <w:bCs/>
        </w:rPr>
        <w:t>Total Burden Cost = $</w:t>
      </w:r>
      <w:r w:rsidR="00D84E8A">
        <w:rPr>
          <w:bCs/>
        </w:rPr>
        <w:t>$19,964.46</w:t>
      </w:r>
    </w:p>
    <w:p w:rsidR="005D6037" w:rsidP="00C53CC7" w:rsidRDefault="005D6037">
      <w:pPr>
        <w:pStyle w:val="Subtitle"/>
        <w:jc w:val="left"/>
        <w:rPr>
          <w:bCs/>
        </w:rPr>
      </w:pPr>
    </w:p>
    <w:p w:rsidR="0015751E" w:rsidP="00C53CC7" w:rsidRDefault="0015751E">
      <w:pPr>
        <w:pStyle w:val="Subtitle"/>
        <w:jc w:val="left"/>
        <w:rPr>
          <w:bCs/>
        </w:rPr>
      </w:pPr>
    </w:p>
    <w:p w:rsidR="005D6037" w:rsidP="00C53CC7" w:rsidRDefault="005D6037">
      <w:pPr>
        <w:pStyle w:val="Subtitle"/>
        <w:jc w:val="left"/>
        <w:rPr>
          <w:bCs/>
        </w:rPr>
      </w:pPr>
      <w:r>
        <w:rPr>
          <w:bCs/>
        </w:rPr>
        <w:tab/>
        <w:t xml:space="preserve">Total Number of Respondents:  </w:t>
      </w:r>
      <w:r w:rsidR="00F57C76">
        <w:rPr>
          <w:b w:val="0"/>
          <w:bCs/>
        </w:rPr>
        <w:t>140</w:t>
      </w:r>
      <w:r w:rsidR="00F57C76">
        <w:rPr>
          <w:bCs/>
        </w:rPr>
        <w:t xml:space="preserve"> </w:t>
      </w:r>
      <w:r w:rsidRPr="00C53CC7">
        <w:rPr>
          <w:b w:val="0"/>
          <w:bCs/>
        </w:rPr>
        <w:t xml:space="preserve">+ </w:t>
      </w:r>
      <w:r w:rsidR="00F57C76">
        <w:rPr>
          <w:b w:val="0"/>
          <w:bCs/>
        </w:rPr>
        <w:t>26</w:t>
      </w:r>
      <w:r w:rsidRPr="00C53CC7" w:rsidR="00F57C76">
        <w:rPr>
          <w:b w:val="0"/>
          <w:bCs/>
        </w:rPr>
        <w:t xml:space="preserve"> </w:t>
      </w:r>
      <w:r w:rsidRPr="00C53CC7">
        <w:rPr>
          <w:b w:val="0"/>
          <w:bCs/>
        </w:rPr>
        <w:t>=</w:t>
      </w:r>
      <w:r w:rsidR="00F57C76">
        <w:rPr>
          <w:bCs/>
        </w:rPr>
        <w:t>166</w:t>
      </w:r>
      <w:r>
        <w:rPr>
          <w:bCs/>
        </w:rPr>
        <w:t>.</w:t>
      </w:r>
    </w:p>
    <w:p w:rsidR="005D6037" w:rsidP="00C53CC7" w:rsidRDefault="005D6037">
      <w:pPr>
        <w:pStyle w:val="Subtitle"/>
        <w:jc w:val="left"/>
        <w:rPr>
          <w:bCs/>
        </w:rPr>
      </w:pPr>
    </w:p>
    <w:p w:rsidR="005D6037" w:rsidP="00C53CC7" w:rsidRDefault="005D6037">
      <w:pPr>
        <w:pStyle w:val="Subtitle"/>
        <w:jc w:val="left"/>
        <w:rPr>
          <w:bCs/>
        </w:rPr>
      </w:pPr>
      <w:r>
        <w:rPr>
          <w:bCs/>
        </w:rPr>
        <w:tab/>
        <w:t xml:space="preserve">Total Number of Responses:  </w:t>
      </w:r>
      <w:r w:rsidR="00F57C76">
        <w:rPr>
          <w:b w:val="0"/>
          <w:bCs/>
        </w:rPr>
        <w:t>140</w:t>
      </w:r>
      <w:r w:rsidR="00F57C76">
        <w:rPr>
          <w:bCs/>
        </w:rPr>
        <w:t xml:space="preserve"> </w:t>
      </w:r>
      <w:r w:rsidRPr="00C53CC7">
        <w:rPr>
          <w:b w:val="0"/>
          <w:bCs/>
        </w:rPr>
        <w:t xml:space="preserve">+ </w:t>
      </w:r>
      <w:r w:rsidR="00F57C76">
        <w:rPr>
          <w:b w:val="0"/>
          <w:bCs/>
        </w:rPr>
        <w:t>107</w:t>
      </w:r>
      <w:r w:rsidRPr="00C53CC7" w:rsidR="00F57C76">
        <w:rPr>
          <w:b w:val="0"/>
          <w:bCs/>
        </w:rPr>
        <w:t xml:space="preserve"> </w:t>
      </w:r>
      <w:r w:rsidRPr="00C53CC7">
        <w:rPr>
          <w:b w:val="0"/>
          <w:bCs/>
        </w:rPr>
        <w:t>=</w:t>
      </w:r>
      <w:r>
        <w:rPr>
          <w:bCs/>
        </w:rPr>
        <w:t xml:space="preserve"> </w:t>
      </w:r>
      <w:r w:rsidR="00F57C76">
        <w:rPr>
          <w:bCs/>
        </w:rPr>
        <w:t>247</w:t>
      </w:r>
      <w:r>
        <w:rPr>
          <w:bCs/>
        </w:rPr>
        <w:t>.</w:t>
      </w:r>
    </w:p>
    <w:p w:rsidRPr="00E773B7" w:rsidR="005D6037" w:rsidP="00C53CC7" w:rsidRDefault="005D6037">
      <w:pPr>
        <w:pStyle w:val="Subtitle"/>
        <w:jc w:val="left"/>
        <w:rPr>
          <w:bCs/>
        </w:rPr>
      </w:pPr>
    </w:p>
    <w:p w:rsidRPr="00E773B7" w:rsidR="00E773B7" w:rsidP="00E773B7" w:rsidRDefault="00E773B7">
      <w:pPr>
        <w:pStyle w:val="Subtitle"/>
        <w:rPr>
          <w:bCs/>
        </w:rPr>
      </w:pPr>
    </w:p>
    <w:p w:rsidR="00E773B7" w:rsidP="00C53CC7" w:rsidRDefault="00D9663D">
      <w:pPr>
        <w:ind w:left="720" w:hanging="360"/>
        <w:rPr>
          <w:sz w:val="22"/>
          <w:szCs w:val="22"/>
        </w:rPr>
      </w:pPr>
      <w:r>
        <w:rPr>
          <w:sz w:val="22"/>
          <w:szCs w:val="22"/>
        </w:rPr>
        <w:t>13.</w:t>
      </w:r>
      <w:r w:rsidR="00E773B7">
        <w:rPr>
          <w:sz w:val="22"/>
          <w:szCs w:val="22"/>
        </w:rPr>
        <w:t xml:space="preserve">  There are no external costs for this collection of information.</w:t>
      </w:r>
    </w:p>
    <w:p w:rsidRPr="00AC3DA4" w:rsidR="00D9663D" w:rsidP="00C53CC7" w:rsidRDefault="00D9663D">
      <w:pPr>
        <w:ind w:left="720" w:hanging="360"/>
        <w:rPr>
          <w:sz w:val="22"/>
          <w:szCs w:val="22"/>
        </w:rPr>
      </w:pPr>
      <w:r>
        <w:rPr>
          <w:sz w:val="22"/>
          <w:szCs w:val="22"/>
        </w:rPr>
        <w:tab/>
      </w:r>
    </w:p>
    <w:p w:rsidR="00D9663D" w:rsidP="00D9663D" w:rsidRDefault="00D9663D">
      <w:pPr>
        <w:ind w:left="720" w:hanging="360"/>
        <w:rPr>
          <w:sz w:val="22"/>
          <w:szCs w:val="22"/>
        </w:rPr>
      </w:pPr>
      <w:r>
        <w:rPr>
          <w:sz w:val="22"/>
          <w:szCs w:val="22"/>
        </w:rPr>
        <w:t>14.</w:t>
      </w:r>
      <w:r>
        <w:rPr>
          <w:sz w:val="22"/>
          <w:szCs w:val="22"/>
        </w:rPr>
        <w:tab/>
      </w:r>
      <w:r w:rsidRPr="00AC3DA4">
        <w:rPr>
          <w:sz w:val="22"/>
          <w:szCs w:val="22"/>
        </w:rPr>
        <w:t>The cost</w:t>
      </w:r>
      <w:r w:rsidR="00E773B7">
        <w:rPr>
          <w:sz w:val="22"/>
          <w:szCs w:val="22"/>
        </w:rPr>
        <w:t>s</w:t>
      </w:r>
      <w:r w:rsidRPr="00AC3DA4">
        <w:rPr>
          <w:sz w:val="22"/>
          <w:szCs w:val="22"/>
        </w:rPr>
        <w:t xml:space="preserve"> to the Federal Government will be included in the annual personnel budget for the Division.</w:t>
      </w:r>
    </w:p>
    <w:p w:rsidR="00D9663D" w:rsidP="00166382" w:rsidRDefault="00D9663D">
      <w:pPr>
        <w:spacing w:before="240"/>
        <w:ind w:left="720" w:hanging="360"/>
        <w:rPr>
          <w:sz w:val="22"/>
          <w:szCs w:val="22"/>
        </w:rPr>
      </w:pPr>
      <w:r>
        <w:rPr>
          <w:sz w:val="22"/>
          <w:szCs w:val="22"/>
        </w:rPr>
        <w:t>15.</w:t>
      </w:r>
      <w:r>
        <w:rPr>
          <w:sz w:val="22"/>
          <w:szCs w:val="22"/>
        </w:rPr>
        <w:tab/>
      </w:r>
      <w:r w:rsidR="00186E19">
        <w:rPr>
          <w:sz w:val="22"/>
          <w:szCs w:val="22"/>
        </w:rPr>
        <w:t xml:space="preserve">There </w:t>
      </w:r>
      <w:r w:rsidR="005D6037">
        <w:rPr>
          <w:sz w:val="22"/>
          <w:szCs w:val="22"/>
        </w:rPr>
        <w:t xml:space="preserve">are </w:t>
      </w:r>
      <w:r w:rsidR="00186E19">
        <w:rPr>
          <w:sz w:val="22"/>
          <w:szCs w:val="22"/>
        </w:rPr>
        <w:t xml:space="preserve">no </w:t>
      </w:r>
      <w:r w:rsidR="005D6037">
        <w:rPr>
          <w:sz w:val="22"/>
          <w:szCs w:val="22"/>
        </w:rPr>
        <w:t xml:space="preserve">program </w:t>
      </w:r>
      <w:r w:rsidR="00186E19">
        <w:rPr>
          <w:sz w:val="22"/>
          <w:szCs w:val="22"/>
        </w:rPr>
        <w:t>change</w:t>
      </w:r>
      <w:r w:rsidR="005D6037">
        <w:rPr>
          <w:sz w:val="22"/>
          <w:szCs w:val="22"/>
        </w:rPr>
        <w:t>s to this collection.  There are adjustments</w:t>
      </w:r>
      <w:r w:rsidR="001329B6">
        <w:rPr>
          <w:sz w:val="22"/>
          <w:szCs w:val="22"/>
        </w:rPr>
        <w:t xml:space="preserve"> </w:t>
      </w:r>
      <w:r w:rsidR="005B395C">
        <w:rPr>
          <w:sz w:val="22"/>
          <w:szCs w:val="22"/>
        </w:rPr>
        <w:t>to the number of respondents of</w:t>
      </w:r>
      <w:r w:rsidR="009E1D8B">
        <w:rPr>
          <w:sz w:val="22"/>
          <w:szCs w:val="22"/>
        </w:rPr>
        <w:t xml:space="preserve"> </w:t>
      </w:r>
      <w:r w:rsidR="00F57C76">
        <w:rPr>
          <w:sz w:val="22"/>
          <w:szCs w:val="22"/>
        </w:rPr>
        <w:t>+18</w:t>
      </w:r>
      <w:r w:rsidR="005B395C">
        <w:rPr>
          <w:sz w:val="22"/>
          <w:szCs w:val="22"/>
        </w:rPr>
        <w:t xml:space="preserve">, to the annual number of responses of </w:t>
      </w:r>
      <w:r w:rsidR="00F57C76">
        <w:rPr>
          <w:sz w:val="22"/>
          <w:szCs w:val="22"/>
        </w:rPr>
        <w:t>+</w:t>
      </w:r>
      <w:r w:rsidR="00AA0DCB">
        <w:rPr>
          <w:sz w:val="22"/>
          <w:szCs w:val="22"/>
        </w:rPr>
        <w:t>39</w:t>
      </w:r>
      <w:r w:rsidR="00D817FA">
        <w:rPr>
          <w:sz w:val="22"/>
          <w:szCs w:val="22"/>
        </w:rPr>
        <w:t xml:space="preserve"> </w:t>
      </w:r>
      <w:r w:rsidR="00A064BA">
        <w:rPr>
          <w:sz w:val="22"/>
          <w:szCs w:val="22"/>
        </w:rPr>
        <w:t>and</w:t>
      </w:r>
      <w:r w:rsidR="005B395C">
        <w:rPr>
          <w:sz w:val="22"/>
          <w:szCs w:val="22"/>
        </w:rPr>
        <w:t xml:space="preserve"> to the annual</w:t>
      </w:r>
      <w:r w:rsidR="00A064BA">
        <w:rPr>
          <w:sz w:val="22"/>
          <w:szCs w:val="22"/>
        </w:rPr>
        <w:t xml:space="preserve"> burden hours of </w:t>
      </w:r>
      <w:r w:rsidR="001A462D">
        <w:rPr>
          <w:sz w:val="22"/>
          <w:szCs w:val="22"/>
        </w:rPr>
        <w:t>+</w:t>
      </w:r>
      <w:r w:rsidR="00F57C76">
        <w:rPr>
          <w:sz w:val="22"/>
          <w:szCs w:val="22"/>
        </w:rPr>
        <w:t>229</w:t>
      </w:r>
      <w:r w:rsidR="005B395C">
        <w:rPr>
          <w:sz w:val="22"/>
          <w:szCs w:val="22"/>
        </w:rPr>
        <w:t xml:space="preserve">.  These adjustments are due to the Commission reevaluating the number of respondents </w:t>
      </w:r>
      <w:r w:rsidR="001A462D">
        <w:rPr>
          <w:sz w:val="22"/>
          <w:szCs w:val="22"/>
        </w:rPr>
        <w:t xml:space="preserve">and estimated time per response </w:t>
      </w:r>
      <w:r w:rsidR="00D80DC5">
        <w:rPr>
          <w:sz w:val="22"/>
          <w:szCs w:val="22"/>
        </w:rPr>
        <w:t>for</w:t>
      </w:r>
      <w:r w:rsidR="005B395C">
        <w:rPr>
          <w:sz w:val="22"/>
          <w:szCs w:val="22"/>
        </w:rPr>
        <w:t xml:space="preserve"> this collection</w:t>
      </w:r>
      <w:r w:rsidR="00186E19">
        <w:rPr>
          <w:sz w:val="22"/>
          <w:szCs w:val="22"/>
        </w:rPr>
        <w:t>.</w:t>
      </w:r>
      <w:r w:rsidRPr="00221765">
        <w:rPr>
          <w:sz w:val="22"/>
          <w:szCs w:val="22"/>
        </w:rPr>
        <w:t xml:space="preserve">  </w:t>
      </w:r>
    </w:p>
    <w:p w:rsidR="00166382" w:rsidP="00D9663D" w:rsidRDefault="00166382">
      <w:pPr>
        <w:ind w:firstLine="360"/>
        <w:rPr>
          <w:sz w:val="22"/>
          <w:szCs w:val="22"/>
        </w:rPr>
      </w:pPr>
    </w:p>
    <w:p w:rsidRPr="00AC3DA4" w:rsidR="00D9663D" w:rsidP="00D9663D" w:rsidRDefault="00D9663D">
      <w:pPr>
        <w:ind w:firstLine="360"/>
        <w:rPr>
          <w:sz w:val="22"/>
          <w:szCs w:val="22"/>
        </w:rPr>
      </w:pPr>
      <w:r>
        <w:rPr>
          <w:sz w:val="22"/>
          <w:szCs w:val="22"/>
        </w:rPr>
        <w:t>16.</w:t>
      </w:r>
      <w:r>
        <w:rPr>
          <w:sz w:val="22"/>
          <w:szCs w:val="22"/>
        </w:rPr>
        <w:tab/>
      </w:r>
      <w:r w:rsidRPr="00AC3DA4">
        <w:rPr>
          <w:sz w:val="22"/>
          <w:szCs w:val="22"/>
        </w:rPr>
        <w:t>This data will not be published for statistical use.</w:t>
      </w:r>
    </w:p>
    <w:p w:rsidRPr="00AC3DA4" w:rsidR="00D9663D" w:rsidP="00D9663D" w:rsidRDefault="00D9663D">
      <w:pPr>
        <w:rPr>
          <w:sz w:val="22"/>
          <w:szCs w:val="22"/>
        </w:rPr>
      </w:pPr>
    </w:p>
    <w:p w:rsidRPr="00AC3DA4" w:rsidR="00D9663D" w:rsidP="00D9663D" w:rsidRDefault="00D9663D">
      <w:pPr>
        <w:ind w:firstLine="360"/>
        <w:rPr>
          <w:sz w:val="22"/>
          <w:szCs w:val="22"/>
        </w:rPr>
      </w:pPr>
      <w:r>
        <w:rPr>
          <w:sz w:val="22"/>
          <w:szCs w:val="22"/>
        </w:rPr>
        <w:t>17.</w:t>
      </w:r>
      <w:r>
        <w:rPr>
          <w:sz w:val="22"/>
          <w:szCs w:val="22"/>
        </w:rPr>
        <w:tab/>
      </w:r>
      <w:r w:rsidRPr="00AC3DA4">
        <w:rPr>
          <w:sz w:val="22"/>
          <w:szCs w:val="22"/>
        </w:rPr>
        <w:t>No expiration date will be displayed</w:t>
      </w:r>
      <w:r w:rsidR="00A63CB4">
        <w:rPr>
          <w:sz w:val="22"/>
          <w:szCs w:val="22"/>
        </w:rPr>
        <w:t xml:space="preserve"> in these Commission rules</w:t>
      </w:r>
      <w:r w:rsidRPr="00AC3DA4">
        <w:rPr>
          <w:sz w:val="22"/>
          <w:szCs w:val="22"/>
        </w:rPr>
        <w:t>.</w:t>
      </w:r>
    </w:p>
    <w:p w:rsidRPr="00AC3DA4" w:rsidR="00D9663D" w:rsidP="00D9663D" w:rsidRDefault="00D9663D">
      <w:pPr>
        <w:rPr>
          <w:sz w:val="22"/>
          <w:szCs w:val="22"/>
        </w:rPr>
      </w:pPr>
    </w:p>
    <w:p w:rsidRPr="00AC3DA4" w:rsidR="00D9663D" w:rsidP="00D9663D" w:rsidRDefault="00D9663D">
      <w:pPr>
        <w:ind w:firstLine="360"/>
        <w:rPr>
          <w:sz w:val="22"/>
          <w:szCs w:val="22"/>
        </w:rPr>
      </w:pPr>
      <w:r>
        <w:rPr>
          <w:sz w:val="22"/>
          <w:szCs w:val="22"/>
        </w:rPr>
        <w:t>18.</w:t>
      </w:r>
      <w:r>
        <w:rPr>
          <w:sz w:val="22"/>
          <w:szCs w:val="22"/>
        </w:rPr>
        <w:tab/>
      </w:r>
      <w:r w:rsidRPr="00AC3DA4">
        <w:rPr>
          <w:sz w:val="22"/>
          <w:szCs w:val="22"/>
        </w:rPr>
        <w:t xml:space="preserve">There are no exceptions to </w:t>
      </w:r>
      <w:r w:rsidR="005D6037">
        <w:rPr>
          <w:sz w:val="22"/>
          <w:szCs w:val="22"/>
        </w:rPr>
        <w:t>the Certification Statement</w:t>
      </w:r>
      <w:r w:rsidRPr="00AC3DA4">
        <w:rPr>
          <w:sz w:val="22"/>
          <w:szCs w:val="22"/>
        </w:rPr>
        <w:t>.</w:t>
      </w:r>
    </w:p>
    <w:p w:rsidRPr="00AC3DA4" w:rsidR="00D9663D" w:rsidP="00D9663D" w:rsidRDefault="00D9663D">
      <w:pPr>
        <w:rPr>
          <w:sz w:val="22"/>
          <w:szCs w:val="22"/>
        </w:rPr>
      </w:pPr>
    </w:p>
    <w:p w:rsidRPr="00E77FC2" w:rsidR="00D9663D" w:rsidP="00D9663D" w:rsidRDefault="00D9663D">
      <w:pPr>
        <w:numPr>
          <w:ilvl w:val="0"/>
          <w:numId w:val="1"/>
        </w:numPr>
        <w:rPr>
          <w:b/>
          <w:sz w:val="22"/>
          <w:szCs w:val="22"/>
        </w:rPr>
      </w:pPr>
      <w:r w:rsidRPr="00E77FC2">
        <w:rPr>
          <w:b/>
          <w:sz w:val="22"/>
          <w:szCs w:val="22"/>
          <w:u w:val="single"/>
        </w:rPr>
        <w:t>Collections of Information Employing Statistical Methods</w:t>
      </w:r>
      <w:r w:rsidRPr="00E77FC2" w:rsidR="00E77FC2">
        <w:rPr>
          <w:b/>
          <w:sz w:val="22"/>
          <w:szCs w:val="22"/>
          <w:u w:val="single"/>
        </w:rPr>
        <w:t>:</w:t>
      </w:r>
    </w:p>
    <w:p w:rsidRPr="00AC3DA4" w:rsidR="00D9663D" w:rsidP="00D9663D" w:rsidRDefault="00D9663D">
      <w:pPr>
        <w:rPr>
          <w:sz w:val="22"/>
          <w:szCs w:val="22"/>
        </w:rPr>
      </w:pPr>
    </w:p>
    <w:p w:rsidR="00365383" w:rsidP="002E2C60" w:rsidRDefault="00D9663D">
      <w:pPr>
        <w:ind w:firstLine="360"/>
      </w:pPr>
      <w:r w:rsidRPr="00AC3DA4">
        <w:rPr>
          <w:sz w:val="22"/>
          <w:szCs w:val="22"/>
        </w:rPr>
        <w:t>No statistical methods are employed.</w:t>
      </w:r>
    </w:p>
    <w:sectPr w:rsidR="00365383" w:rsidSect="009B0D11">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1D4" w:rsidRDefault="005621D4">
      <w:r>
        <w:separator/>
      </w:r>
    </w:p>
  </w:endnote>
  <w:endnote w:type="continuationSeparator" w:id="0">
    <w:p w:rsidR="005621D4" w:rsidRDefault="0056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081" w:rsidRDefault="00325081" w:rsidP="009B0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5081" w:rsidRDefault="00325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E0C" w:rsidRDefault="00697E0C">
    <w:pPr>
      <w:pStyle w:val="Footer"/>
      <w:jc w:val="center"/>
    </w:pPr>
    <w:r>
      <w:fldChar w:fldCharType="begin"/>
    </w:r>
    <w:r>
      <w:instrText xml:space="preserve"> PAGE   \* MERGEFORMAT </w:instrText>
    </w:r>
    <w:r>
      <w:fldChar w:fldCharType="separate"/>
    </w:r>
    <w:r w:rsidR="009E508B">
      <w:rPr>
        <w:noProof/>
      </w:rPr>
      <w:t>4</w:t>
    </w:r>
    <w:r>
      <w:rPr>
        <w:noProof/>
      </w:rPr>
      <w:fldChar w:fldCharType="end"/>
    </w:r>
  </w:p>
  <w:p w:rsidR="00325081" w:rsidRDefault="0032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1D4" w:rsidRDefault="005621D4">
      <w:r>
        <w:separator/>
      </w:r>
    </w:p>
  </w:footnote>
  <w:footnote w:type="continuationSeparator" w:id="0">
    <w:p w:rsidR="005621D4" w:rsidRDefault="005621D4">
      <w:r>
        <w:continuationSeparator/>
      </w:r>
    </w:p>
  </w:footnote>
  <w:footnote w:id="1">
    <w:p w:rsidR="00325081" w:rsidRDefault="00325081" w:rsidP="00D9663D">
      <w:pPr>
        <w:pStyle w:val="FootnoteText"/>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w:t>
      </w:r>
      <w:r w:rsidRPr="00562D9A">
        <w:rPr>
          <w:i/>
        </w:rPr>
        <w:t xml:space="preserve"> of 2002</w:t>
      </w:r>
      <w:r>
        <w:t xml:space="preserve"> (</w:t>
      </w:r>
      <w:r w:rsidRPr="00562D9A">
        <w:t>Sept</w:t>
      </w:r>
      <w:r>
        <w:t>. 26,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819"/>
    <w:multiLevelType w:val="hybridMultilevel"/>
    <w:tmpl w:val="4BF696A4"/>
    <w:lvl w:ilvl="0" w:tplc="0409000F">
      <w:start w:val="1"/>
      <w:numFmt w:val="decimal"/>
      <w:lvlText w:val="%1."/>
      <w:lvlJc w:val="left"/>
      <w:pPr>
        <w:tabs>
          <w:tab w:val="num" w:pos="720"/>
        </w:tabs>
        <w:ind w:left="720" w:hanging="360"/>
      </w:pPr>
    </w:lvl>
    <w:lvl w:ilvl="1" w:tplc="5142D51A">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FA3E04"/>
    <w:multiLevelType w:val="hybridMultilevel"/>
    <w:tmpl w:val="0CB4CFDA"/>
    <w:lvl w:ilvl="0" w:tplc="5DDC1AE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254F0E"/>
    <w:multiLevelType w:val="singleLevel"/>
    <w:tmpl w:val="11DA3AA8"/>
    <w:lvl w:ilvl="0">
      <w:start w:val="1"/>
      <w:numFmt w:val="upperLetter"/>
      <w:lvlText w:val="%1."/>
      <w:lvlJc w:val="left"/>
      <w:pPr>
        <w:tabs>
          <w:tab w:val="num" w:pos="360"/>
        </w:tabs>
        <w:ind w:left="360" w:hanging="360"/>
      </w:pPr>
      <w:rPr>
        <w:rFonts w:hint="default"/>
      </w:rPr>
    </w:lvl>
  </w:abstractNum>
  <w:abstractNum w:abstractNumId="3" w15:restartNumberingAfterBreak="0">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63D"/>
    <w:rsid w:val="000470AF"/>
    <w:rsid w:val="00074C8D"/>
    <w:rsid w:val="00076012"/>
    <w:rsid w:val="00097475"/>
    <w:rsid w:val="000A1864"/>
    <w:rsid w:val="000B766D"/>
    <w:rsid w:val="00112FEE"/>
    <w:rsid w:val="001329B6"/>
    <w:rsid w:val="0015751E"/>
    <w:rsid w:val="00166382"/>
    <w:rsid w:val="00173457"/>
    <w:rsid w:val="00186E19"/>
    <w:rsid w:val="001A462D"/>
    <w:rsid w:val="001E4581"/>
    <w:rsid w:val="001F0E00"/>
    <w:rsid w:val="001F65FC"/>
    <w:rsid w:val="002062E4"/>
    <w:rsid w:val="00213D04"/>
    <w:rsid w:val="00234F42"/>
    <w:rsid w:val="002E2C60"/>
    <w:rsid w:val="00313224"/>
    <w:rsid w:val="00325081"/>
    <w:rsid w:val="00365383"/>
    <w:rsid w:val="003B482C"/>
    <w:rsid w:val="003F2365"/>
    <w:rsid w:val="00410BE5"/>
    <w:rsid w:val="00413C09"/>
    <w:rsid w:val="00455D6F"/>
    <w:rsid w:val="004E2D47"/>
    <w:rsid w:val="00525423"/>
    <w:rsid w:val="005621D4"/>
    <w:rsid w:val="0057417D"/>
    <w:rsid w:val="00594D48"/>
    <w:rsid w:val="005A1033"/>
    <w:rsid w:val="005B395C"/>
    <w:rsid w:val="005B5F68"/>
    <w:rsid w:val="005D6037"/>
    <w:rsid w:val="005E4B01"/>
    <w:rsid w:val="00613C78"/>
    <w:rsid w:val="006305BA"/>
    <w:rsid w:val="00654AA2"/>
    <w:rsid w:val="00697E0C"/>
    <w:rsid w:val="006D7857"/>
    <w:rsid w:val="006F6B27"/>
    <w:rsid w:val="0076035E"/>
    <w:rsid w:val="0082693D"/>
    <w:rsid w:val="00860441"/>
    <w:rsid w:val="00874895"/>
    <w:rsid w:val="008866B5"/>
    <w:rsid w:val="00924609"/>
    <w:rsid w:val="00932497"/>
    <w:rsid w:val="009855B4"/>
    <w:rsid w:val="009A3404"/>
    <w:rsid w:val="009B0D11"/>
    <w:rsid w:val="009C0307"/>
    <w:rsid w:val="009C563A"/>
    <w:rsid w:val="009D2DCC"/>
    <w:rsid w:val="009E1D8B"/>
    <w:rsid w:val="009E508B"/>
    <w:rsid w:val="009F79F3"/>
    <w:rsid w:val="009F7CC7"/>
    <w:rsid w:val="00A064BA"/>
    <w:rsid w:val="00A44D05"/>
    <w:rsid w:val="00A63CB4"/>
    <w:rsid w:val="00AA0DCB"/>
    <w:rsid w:val="00AA287A"/>
    <w:rsid w:val="00AC1D94"/>
    <w:rsid w:val="00AE6AAD"/>
    <w:rsid w:val="00B522CD"/>
    <w:rsid w:val="00B70726"/>
    <w:rsid w:val="00B74B6D"/>
    <w:rsid w:val="00BC3D10"/>
    <w:rsid w:val="00BE174C"/>
    <w:rsid w:val="00C01869"/>
    <w:rsid w:val="00C37AF3"/>
    <w:rsid w:val="00C5096A"/>
    <w:rsid w:val="00C53CC7"/>
    <w:rsid w:val="00CB557C"/>
    <w:rsid w:val="00CC5806"/>
    <w:rsid w:val="00CD2261"/>
    <w:rsid w:val="00D106EF"/>
    <w:rsid w:val="00D129B7"/>
    <w:rsid w:val="00D1535C"/>
    <w:rsid w:val="00D36DD3"/>
    <w:rsid w:val="00D36F8F"/>
    <w:rsid w:val="00D5128D"/>
    <w:rsid w:val="00D80DC5"/>
    <w:rsid w:val="00D817FA"/>
    <w:rsid w:val="00D8436F"/>
    <w:rsid w:val="00D84A53"/>
    <w:rsid w:val="00D84E8A"/>
    <w:rsid w:val="00D90E2B"/>
    <w:rsid w:val="00D9663D"/>
    <w:rsid w:val="00E064E6"/>
    <w:rsid w:val="00E2059D"/>
    <w:rsid w:val="00E2155E"/>
    <w:rsid w:val="00E773B7"/>
    <w:rsid w:val="00E77FC2"/>
    <w:rsid w:val="00F131AC"/>
    <w:rsid w:val="00F45C7A"/>
    <w:rsid w:val="00F57C76"/>
    <w:rsid w:val="00F668A6"/>
    <w:rsid w:val="00FB7516"/>
    <w:rsid w:val="00FC686B"/>
    <w:rsid w:val="00FD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275719"/>
  <w15:chartTrackingRefBased/>
  <w15:docId w15:val="{11A5C496-8C2D-4FBD-917F-AEC58CF9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663D"/>
    <w:rPr>
      <w:sz w:val="24"/>
    </w:rPr>
  </w:style>
  <w:style w:type="paragraph" w:styleId="Heading1">
    <w:name w:val="heading 1"/>
    <w:basedOn w:val="Normal"/>
    <w:next w:val="Normal"/>
    <w:qFormat/>
    <w:rsid w:val="00D9663D"/>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9663D"/>
    <w:pPr>
      <w:jc w:val="center"/>
    </w:pPr>
    <w:rPr>
      <w:b/>
    </w:rPr>
  </w:style>
  <w:style w:type="paragraph" w:styleId="Subtitle">
    <w:name w:val="Subtitle"/>
    <w:basedOn w:val="Normal"/>
    <w:qFormat/>
    <w:rsid w:val="00D9663D"/>
    <w:pPr>
      <w:jc w:val="right"/>
    </w:pPr>
    <w:rPr>
      <w:b/>
    </w:rPr>
  </w:style>
  <w:style w:type="paragraph" w:styleId="BodyText2">
    <w:name w:val="Body Text 2"/>
    <w:basedOn w:val="Normal"/>
    <w:rsid w:val="00D9663D"/>
    <w:rPr>
      <w:b/>
    </w:rPr>
  </w:style>
  <w:style w:type="paragraph" w:styleId="FootnoteText">
    <w:name w:val="footnote text"/>
    <w:basedOn w:val="Normal"/>
    <w:semiHidden/>
    <w:rsid w:val="00D9663D"/>
    <w:rPr>
      <w:sz w:val="20"/>
      <w:lang w:bidi="he-IL"/>
    </w:rPr>
  </w:style>
  <w:style w:type="character" w:styleId="FootnoteReference">
    <w:name w:val="footnote reference"/>
    <w:semiHidden/>
    <w:rsid w:val="00D9663D"/>
    <w:rPr>
      <w:vertAlign w:val="superscript"/>
    </w:rPr>
  </w:style>
  <w:style w:type="paragraph" w:styleId="Footer">
    <w:name w:val="footer"/>
    <w:basedOn w:val="Normal"/>
    <w:link w:val="FooterChar"/>
    <w:uiPriority w:val="99"/>
    <w:rsid w:val="00D9663D"/>
    <w:pPr>
      <w:tabs>
        <w:tab w:val="center" w:pos="4320"/>
        <w:tab w:val="right" w:pos="8640"/>
      </w:tabs>
    </w:pPr>
  </w:style>
  <w:style w:type="character" w:styleId="PageNumber">
    <w:name w:val="page number"/>
    <w:basedOn w:val="DefaultParagraphFont"/>
    <w:rsid w:val="00D9663D"/>
  </w:style>
  <w:style w:type="paragraph" w:styleId="BalloonText">
    <w:name w:val="Balloon Text"/>
    <w:basedOn w:val="Normal"/>
    <w:link w:val="BalloonTextChar"/>
    <w:rsid w:val="00654AA2"/>
    <w:rPr>
      <w:rFonts w:ascii="Tahoma" w:hAnsi="Tahoma" w:cs="Tahoma"/>
      <w:sz w:val="16"/>
      <w:szCs w:val="16"/>
    </w:rPr>
  </w:style>
  <w:style w:type="character" w:customStyle="1" w:styleId="BalloonTextChar">
    <w:name w:val="Balloon Text Char"/>
    <w:link w:val="BalloonText"/>
    <w:rsid w:val="00654AA2"/>
    <w:rPr>
      <w:rFonts w:ascii="Tahoma" w:hAnsi="Tahoma" w:cs="Tahoma"/>
      <w:sz w:val="16"/>
      <w:szCs w:val="16"/>
    </w:rPr>
  </w:style>
  <w:style w:type="character" w:styleId="Emphasis">
    <w:name w:val="Emphasis"/>
    <w:qFormat/>
    <w:rsid w:val="00E773B7"/>
    <w:rPr>
      <w:i/>
      <w:iCs/>
    </w:rPr>
  </w:style>
  <w:style w:type="character" w:styleId="Strong">
    <w:name w:val="Strong"/>
    <w:qFormat/>
    <w:rsid w:val="00E773B7"/>
    <w:rPr>
      <w:b/>
      <w:bCs/>
    </w:rPr>
  </w:style>
  <w:style w:type="paragraph" w:styleId="Header">
    <w:name w:val="header"/>
    <w:basedOn w:val="Normal"/>
    <w:link w:val="HeaderChar"/>
    <w:rsid w:val="00697E0C"/>
    <w:pPr>
      <w:tabs>
        <w:tab w:val="center" w:pos="4680"/>
        <w:tab w:val="right" w:pos="9360"/>
      </w:tabs>
    </w:pPr>
  </w:style>
  <w:style w:type="character" w:customStyle="1" w:styleId="HeaderChar">
    <w:name w:val="Header Char"/>
    <w:link w:val="Header"/>
    <w:rsid w:val="00697E0C"/>
    <w:rPr>
      <w:sz w:val="24"/>
    </w:rPr>
  </w:style>
  <w:style w:type="character" w:customStyle="1" w:styleId="FooterChar">
    <w:name w:val="Footer Char"/>
    <w:link w:val="Footer"/>
    <w:uiPriority w:val="99"/>
    <w:rsid w:val="00697E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924FC-04EA-4D84-88C4-06703ADD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Terry.Conway</dc:creator>
  <cp:keywords/>
  <cp:lastModifiedBy>Cathy Williams</cp:lastModifiedBy>
  <cp:revision>2</cp:revision>
  <cp:lastPrinted>2017-04-18T15:34:00Z</cp:lastPrinted>
  <dcterms:created xsi:type="dcterms:W3CDTF">2020-03-03T18:12:00Z</dcterms:created>
  <dcterms:modified xsi:type="dcterms:W3CDTF">2020-03-03T18:12:00Z</dcterms:modified>
</cp:coreProperties>
</file>