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C41DF" w:rsidR="007B6C63" w:rsidRDefault="00D1720C">
      <w:pPr>
        <w:tabs>
          <w:tab w:val="center" w:pos="4680"/>
        </w:tabs>
        <w:jc w:val="center"/>
        <w:rPr>
          <w:rFonts w:ascii="Times New Roman" w:hAnsi="Times New Roman"/>
          <w:b/>
        </w:rPr>
      </w:pPr>
      <w:r w:rsidRPr="00FC41DF">
        <w:rPr>
          <w:rFonts w:ascii="Calibri" w:hAnsi="Calibri" w:cs="Calibri"/>
          <w:b/>
          <w:color w:val="000000"/>
        </w:rPr>
        <w:t>S</w:t>
      </w:r>
      <w:r w:rsidRPr="00FC41DF" w:rsidR="007B6C63">
        <w:rPr>
          <w:rFonts w:ascii="Times New Roman" w:hAnsi="Times New Roman"/>
          <w:b/>
        </w:rPr>
        <w:t>UPPORTING STATEMENT</w:t>
      </w:r>
    </w:p>
    <w:p w:rsidRPr="00FC41DF" w:rsidR="007B6C63" w:rsidRDefault="007B6C63">
      <w:pPr>
        <w:jc w:val="center"/>
        <w:rPr>
          <w:rFonts w:ascii="Times New Roman" w:hAnsi="Times New Roman"/>
          <w:b/>
        </w:rPr>
      </w:pPr>
    </w:p>
    <w:p w:rsidRPr="00FC41DF" w:rsidR="007B6C63" w:rsidRDefault="00A81BD7">
      <w:pPr>
        <w:tabs>
          <w:tab w:val="center" w:pos="4680"/>
        </w:tabs>
        <w:jc w:val="center"/>
        <w:rPr>
          <w:rFonts w:ascii="Times New Roman" w:hAnsi="Times New Roman"/>
          <w:b/>
        </w:rPr>
      </w:pPr>
      <w:r w:rsidRPr="00FC41DF">
        <w:rPr>
          <w:rFonts w:ascii="Times New Roman" w:hAnsi="Times New Roman"/>
          <w:b/>
        </w:rPr>
        <w:t xml:space="preserve">QUARTERLY </w:t>
      </w:r>
      <w:r w:rsidRPr="00FC41DF" w:rsidR="007B6C63">
        <w:rPr>
          <w:rFonts w:ascii="Times New Roman" w:hAnsi="Times New Roman"/>
          <w:b/>
        </w:rPr>
        <w:t xml:space="preserve">CERTIFIED STATEMENT </w:t>
      </w:r>
      <w:r w:rsidRPr="00FC41DF">
        <w:rPr>
          <w:rFonts w:ascii="Times New Roman" w:hAnsi="Times New Roman"/>
          <w:b/>
        </w:rPr>
        <w:t xml:space="preserve">INVOICE </w:t>
      </w:r>
      <w:r w:rsidRPr="00FC41DF" w:rsidR="007B6C63">
        <w:rPr>
          <w:rFonts w:ascii="Times New Roman" w:hAnsi="Times New Roman"/>
          <w:b/>
        </w:rPr>
        <w:t xml:space="preserve">FOR DEPOSIT </w:t>
      </w:r>
    </w:p>
    <w:p w:rsidRPr="00FC41DF" w:rsidR="007B6C63" w:rsidRDefault="007B6C63">
      <w:pPr>
        <w:tabs>
          <w:tab w:val="center" w:pos="4680"/>
        </w:tabs>
        <w:jc w:val="center"/>
        <w:rPr>
          <w:rFonts w:ascii="Times New Roman" w:hAnsi="Times New Roman"/>
          <w:b/>
        </w:rPr>
      </w:pPr>
      <w:r w:rsidRPr="00FC41DF">
        <w:rPr>
          <w:rFonts w:ascii="Times New Roman" w:hAnsi="Times New Roman"/>
          <w:b/>
        </w:rPr>
        <w:t>INSURANCE ASSESSMENT</w:t>
      </w:r>
    </w:p>
    <w:p w:rsidRPr="00FC41DF" w:rsidR="007B6C63" w:rsidP="00FC41DF" w:rsidRDefault="007B6C63">
      <w:pPr>
        <w:tabs>
          <w:tab w:val="center" w:pos="4680"/>
        </w:tabs>
        <w:jc w:val="center"/>
        <w:rPr>
          <w:rFonts w:ascii="Times New Roman" w:hAnsi="Times New Roman"/>
          <w:b/>
        </w:rPr>
      </w:pPr>
      <w:r w:rsidRPr="00FC41DF">
        <w:rPr>
          <w:rFonts w:ascii="Times New Roman" w:hAnsi="Times New Roman"/>
          <w:b/>
        </w:rPr>
        <w:t>(OMB No. 3064</w:t>
      </w:r>
      <w:r w:rsidRPr="00FC41DF">
        <w:rPr>
          <w:rFonts w:ascii="Times New Roman" w:hAnsi="Times New Roman"/>
          <w:b/>
        </w:rPr>
        <w:noBreakHyphen/>
        <w:t>0057)</w:t>
      </w:r>
    </w:p>
    <w:p w:rsidR="007B6C63" w:rsidRDefault="007B6C63">
      <w:pPr>
        <w:rPr>
          <w:rFonts w:ascii="Times New Roman" w:hAnsi="Times New Roman"/>
        </w:rPr>
      </w:pPr>
    </w:p>
    <w:p w:rsidRPr="004C5B45" w:rsidR="007B6C63" w:rsidRDefault="007B6C63">
      <w:pPr>
        <w:rPr>
          <w:rFonts w:ascii="Times New Roman" w:hAnsi="Times New Roman"/>
          <w:b/>
        </w:rPr>
      </w:pPr>
      <w:r w:rsidRPr="004C5B45">
        <w:rPr>
          <w:rFonts w:ascii="Times New Roman" w:hAnsi="Times New Roman"/>
          <w:b/>
        </w:rPr>
        <w:t>INTRODUCTION</w:t>
      </w:r>
    </w:p>
    <w:p w:rsidR="007B6C63" w:rsidRDefault="007B6C63">
      <w:pPr>
        <w:rPr>
          <w:rFonts w:ascii="Times New Roman" w:hAnsi="Times New Roman"/>
        </w:rPr>
      </w:pPr>
    </w:p>
    <w:p w:rsidR="007B6C63" w:rsidRDefault="007B6C63">
      <w:pPr>
        <w:rPr>
          <w:rFonts w:ascii="Times New Roman" w:hAnsi="Times New Roman"/>
        </w:rPr>
      </w:pPr>
      <w:r>
        <w:rPr>
          <w:rFonts w:ascii="Times New Roman" w:hAnsi="Times New Roman"/>
        </w:rPr>
        <w:t xml:space="preserve">The FDIC is requesting OMB </w:t>
      </w:r>
      <w:r w:rsidR="00D804A5">
        <w:rPr>
          <w:rFonts w:ascii="Times New Roman" w:hAnsi="Times New Roman"/>
        </w:rPr>
        <w:t>approval</w:t>
      </w:r>
      <w:r>
        <w:rPr>
          <w:rFonts w:ascii="Times New Roman" w:hAnsi="Times New Roman"/>
        </w:rPr>
        <w:t xml:space="preserve"> </w:t>
      </w:r>
      <w:r w:rsidR="00D804A5">
        <w:rPr>
          <w:rFonts w:ascii="Times New Roman" w:hAnsi="Times New Roman"/>
        </w:rPr>
        <w:t>of the three-year extension</w:t>
      </w:r>
      <w:r w:rsidR="00615BAD">
        <w:rPr>
          <w:rFonts w:ascii="Times New Roman" w:hAnsi="Times New Roman"/>
        </w:rPr>
        <w:t>, without change,</w:t>
      </w:r>
      <w:r w:rsidR="00D804A5">
        <w:rPr>
          <w:rFonts w:ascii="Times New Roman" w:hAnsi="Times New Roman"/>
        </w:rPr>
        <w:t xml:space="preserve"> of its</w:t>
      </w:r>
      <w:r>
        <w:rPr>
          <w:rFonts w:ascii="Times New Roman" w:hAnsi="Times New Roman"/>
        </w:rPr>
        <w:t xml:space="preserve"> collection of information </w:t>
      </w:r>
      <w:r w:rsidR="00D804A5">
        <w:rPr>
          <w:rFonts w:ascii="Times New Roman" w:hAnsi="Times New Roman"/>
        </w:rPr>
        <w:t>entitled “Quarterly Certified Statement Invoice for Deposit Insurance Assessment</w:t>
      </w:r>
      <w:r w:rsidR="00655078">
        <w:rPr>
          <w:rFonts w:ascii="Times New Roman" w:hAnsi="Times New Roman"/>
        </w:rPr>
        <w:t>” (OMB Control No. 3064-0057) which currently expires om June 30, 2020.</w:t>
      </w:r>
      <w:r>
        <w:rPr>
          <w:rFonts w:ascii="Times New Roman" w:hAnsi="Times New Roman"/>
        </w:rPr>
        <w:t xml:space="preserve"> </w:t>
      </w:r>
    </w:p>
    <w:p w:rsidR="007B6C63" w:rsidRDefault="007B6C63">
      <w:pPr>
        <w:rPr>
          <w:rFonts w:ascii="Times New Roman" w:hAnsi="Times New Roman"/>
        </w:rPr>
      </w:pPr>
    </w:p>
    <w:p w:rsidR="007B6C63" w:rsidRDefault="007B6C63">
      <w:pPr>
        <w:rPr>
          <w:rFonts w:ascii="Times New Roman" w:hAnsi="Times New Roman"/>
        </w:rPr>
      </w:pPr>
      <w:r>
        <w:rPr>
          <w:rFonts w:ascii="Times New Roman" w:hAnsi="Times New Roman"/>
        </w:rPr>
        <w:t>The FDIC collects assessments on a quarterly basis.  Each</w:t>
      </w:r>
      <w:r w:rsidR="00A81BD7">
        <w:rPr>
          <w:rFonts w:ascii="Times New Roman" w:hAnsi="Times New Roman"/>
        </w:rPr>
        <w:t xml:space="preserve"> assessment </w:t>
      </w:r>
      <w:r>
        <w:rPr>
          <w:rFonts w:ascii="Times New Roman" w:hAnsi="Times New Roman"/>
        </w:rPr>
        <w:t>is based on the institution's quarterly report of condition for the prior calendar quarter</w:t>
      </w:r>
      <w:r w:rsidR="005E62DB">
        <w:rPr>
          <w:rFonts w:ascii="Times New Roman" w:hAnsi="Times New Roman"/>
        </w:rPr>
        <w:t>.</w:t>
      </w:r>
      <w:r>
        <w:rPr>
          <w:rFonts w:ascii="Times New Roman" w:hAnsi="Times New Roman"/>
        </w:rPr>
        <w:t xml:space="preserve">  The information collection consists of </w:t>
      </w:r>
      <w:r w:rsidR="005E62DB">
        <w:rPr>
          <w:rFonts w:ascii="Times New Roman" w:hAnsi="Times New Roman"/>
        </w:rPr>
        <w:t>a</w:t>
      </w:r>
      <w:r>
        <w:rPr>
          <w:rFonts w:ascii="Times New Roman" w:hAnsi="Times New Roman"/>
        </w:rPr>
        <w:t xml:space="preserve"> </w:t>
      </w:r>
      <w:r w:rsidR="00C14D80">
        <w:rPr>
          <w:rFonts w:ascii="Times New Roman" w:hAnsi="Times New Roman"/>
        </w:rPr>
        <w:t>review</w:t>
      </w:r>
      <w:r>
        <w:rPr>
          <w:rFonts w:ascii="Times New Roman" w:hAnsi="Times New Roman"/>
        </w:rPr>
        <w:t xml:space="preserve"> by officials of the insured institutions to confirm that the assessment data are accurate and, in cases of inaccuracy, submission of corrected data.</w:t>
      </w:r>
    </w:p>
    <w:p w:rsidR="007B6C63" w:rsidRDefault="007B6C63">
      <w:pPr>
        <w:rPr>
          <w:rFonts w:ascii="Times New Roman" w:hAnsi="Times New Roman"/>
        </w:rPr>
      </w:pPr>
    </w:p>
    <w:p w:rsidR="007B6C63" w:rsidRDefault="007B6C63">
      <w:pPr>
        <w:tabs>
          <w:tab w:val="left" w:pos="-1440"/>
        </w:tabs>
        <w:rPr>
          <w:rFonts w:ascii="Times New Roman" w:hAnsi="Times New Roman"/>
        </w:rPr>
      </w:pPr>
      <w:r>
        <w:rPr>
          <w:rFonts w:ascii="Times New Roman" w:hAnsi="Times New Roman"/>
        </w:rPr>
        <w:t>A.</w:t>
      </w:r>
      <w:r>
        <w:rPr>
          <w:rFonts w:ascii="Times New Roman" w:hAnsi="Times New Roman"/>
        </w:rPr>
        <w:tab/>
      </w:r>
      <w:r w:rsidRPr="004C5B45">
        <w:rPr>
          <w:rFonts w:ascii="Times New Roman" w:hAnsi="Times New Roman"/>
          <w:b/>
        </w:rPr>
        <w:t>JUSTIFICATION</w:t>
      </w:r>
    </w:p>
    <w:p w:rsidR="007B6C63" w:rsidRDefault="007B6C63">
      <w:pPr>
        <w:rPr>
          <w:rFonts w:ascii="Times New Roman" w:hAnsi="Times New Roman"/>
        </w:rPr>
      </w:pPr>
    </w:p>
    <w:p w:rsidR="007B6C63" w:rsidP="00A1019D" w:rsidRDefault="007B6C63">
      <w:pPr>
        <w:tabs>
          <w:tab w:val="left" w:pos="-1440"/>
        </w:tabs>
        <w:ind w:left="720" w:hanging="360"/>
        <w:rPr>
          <w:rFonts w:ascii="Times New Roman" w:hAnsi="Times New Roman"/>
        </w:rPr>
      </w:pPr>
      <w:r>
        <w:rPr>
          <w:rFonts w:ascii="Times New Roman" w:hAnsi="Times New Roman"/>
        </w:rPr>
        <w:t>1.</w:t>
      </w:r>
      <w:r>
        <w:rPr>
          <w:rFonts w:ascii="Times New Roman" w:hAnsi="Times New Roman"/>
        </w:rPr>
        <w:tab/>
      </w:r>
      <w:r w:rsidRPr="003514D6" w:rsidR="00386C94">
        <w:rPr>
          <w:rFonts w:ascii="Times New Roman" w:hAnsi="Times New Roman"/>
          <w:b/>
          <w:bCs/>
          <w:iCs/>
          <w:szCs w:val="24"/>
          <w:u w:val="single"/>
        </w:rPr>
        <w:t xml:space="preserve">Circumstances that make the collection </w:t>
      </w:r>
      <w:r w:rsidRPr="00A1019D" w:rsidR="00386C94">
        <w:rPr>
          <w:rFonts w:ascii="Times New Roman" w:hAnsi="Times New Roman"/>
          <w:b/>
          <w:bCs/>
          <w:iCs/>
          <w:u w:val="single"/>
        </w:rPr>
        <w:t>necessary</w:t>
      </w:r>
      <w:r w:rsidR="00386C94">
        <w:rPr>
          <w:rFonts w:ascii="Times New Roman" w:hAnsi="Times New Roman"/>
          <w:b/>
          <w:bCs/>
          <w:iCs/>
          <w:szCs w:val="24"/>
          <w:u w:val="single"/>
        </w:rPr>
        <w:t>:</w:t>
      </w:r>
    </w:p>
    <w:p w:rsidR="007B6C63" w:rsidRDefault="007B6C63">
      <w:pPr>
        <w:rPr>
          <w:rFonts w:ascii="Times New Roman" w:hAnsi="Times New Roman"/>
        </w:rPr>
      </w:pPr>
    </w:p>
    <w:p w:rsidR="007B6C63" w:rsidP="000B0581" w:rsidRDefault="007B6C63">
      <w:pPr>
        <w:ind w:left="720"/>
        <w:rPr>
          <w:rFonts w:ascii="Times New Roman" w:hAnsi="Times New Roman"/>
        </w:rPr>
      </w:pPr>
      <w:r>
        <w:rPr>
          <w:rFonts w:ascii="Times New Roman" w:hAnsi="Times New Roman"/>
        </w:rPr>
        <w:t xml:space="preserve">The FDIC collects assessments from insured institutions pursuant to </w:t>
      </w:r>
      <w:r w:rsidR="009B7A15">
        <w:rPr>
          <w:rFonts w:ascii="Times New Roman" w:hAnsi="Times New Roman"/>
        </w:rPr>
        <w:t>s</w:t>
      </w:r>
      <w:r>
        <w:rPr>
          <w:rFonts w:ascii="Times New Roman" w:hAnsi="Times New Roman"/>
        </w:rPr>
        <w:t>ection 7 of the Federal Deposit Insurance Act ("FDI Act"), 12 U.S.C. section 1817(c), to assure that the D</w:t>
      </w:r>
      <w:r w:rsidR="009B7A15">
        <w:rPr>
          <w:rFonts w:ascii="Times New Roman" w:hAnsi="Times New Roman"/>
        </w:rPr>
        <w:t xml:space="preserve">eposit </w:t>
      </w:r>
      <w:r>
        <w:rPr>
          <w:rFonts w:ascii="Times New Roman" w:hAnsi="Times New Roman"/>
        </w:rPr>
        <w:t>I</w:t>
      </w:r>
      <w:r w:rsidR="009B7A15">
        <w:rPr>
          <w:rFonts w:ascii="Times New Roman" w:hAnsi="Times New Roman"/>
        </w:rPr>
        <w:t xml:space="preserve">nsurance </w:t>
      </w:r>
      <w:r>
        <w:rPr>
          <w:rFonts w:ascii="Times New Roman" w:hAnsi="Times New Roman"/>
        </w:rPr>
        <w:t>F</w:t>
      </w:r>
      <w:r w:rsidR="009B7A15">
        <w:rPr>
          <w:rFonts w:ascii="Times New Roman" w:hAnsi="Times New Roman"/>
        </w:rPr>
        <w:t>und</w:t>
      </w:r>
      <w:r>
        <w:rPr>
          <w:rFonts w:ascii="Times New Roman" w:hAnsi="Times New Roman"/>
        </w:rPr>
        <w:t xml:space="preserve"> </w:t>
      </w:r>
      <w:r w:rsidR="008B2102">
        <w:rPr>
          <w:rFonts w:ascii="Times New Roman" w:hAnsi="Times New Roman"/>
        </w:rPr>
        <w:t xml:space="preserve">(“DIF”) </w:t>
      </w:r>
      <w:r>
        <w:rPr>
          <w:rFonts w:ascii="Times New Roman" w:hAnsi="Times New Roman"/>
        </w:rPr>
        <w:t xml:space="preserve">is adequately capitalized.  The </w:t>
      </w:r>
      <w:r w:rsidR="009B7A15">
        <w:rPr>
          <w:rFonts w:ascii="Times New Roman" w:hAnsi="Times New Roman"/>
        </w:rPr>
        <w:t xml:space="preserve">Quarterly </w:t>
      </w:r>
      <w:r>
        <w:rPr>
          <w:rFonts w:ascii="Times New Roman" w:hAnsi="Times New Roman"/>
        </w:rPr>
        <w:t xml:space="preserve">Certified Statement </w:t>
      </w:r>
      <w:r w:rsidR="009B7A15">
        <w:rPr>
          <w:rFonts w:ascii="Times New Roman" w:hAnsi="Times New Roman"/>
        </w:rPr>
        <w:t xml:space="preserve">Invoice </w:t>
      </w:r>
      <w:r>
        <w:rPr>
          <w:rFonts w:ascii="Times New Roman" w:hAnsi="Times New Roman"/>
        </w:rPr>
        <w:t>provides insured institutions with an accounting of the FDIC’s assessment</w:t>
      </w:r>
      <w:r w:rsidR="008B2102">
        <w:rPr>
          <w:rFonts w:ascii="Times New Roman" w:hAnsi="Times New Roman"/>
        </w:rPr>
        <w:t xml:space="preserve"> and collection</w:t>
      </w:r>
      <w:r>
        <w:rPr>
          <w:rFonts w:ascii="Times New Roman" w:hAnsi="Times New Roman"/>
        </w:rPr>
        <w:t>.</w:t>
      </w:r>
    </w:p>
    <w:p w:rsidR="007B6C63" w:rsidRDefault="007B6C63">
      <w:pPr>
        <w:rPr>
          <w:rFonts w:ascii="Times New Roman" w:hAnsi="Times New Roman"/>
        </w:rPr>
      </w:pPr>
    </w:p>
    <w:p w:rsidR="007B6C63" w:rsidP="00A1019D" w:rsidRDefault="007B6C63">
      <w:pPr>
        <w:tabs>
          <w:tab w:val="left" w:pos="-1440"/>
        </w:tabs>
        <w:ind w:left="720" w:hanging="360"/>
        <w:rPr>
          <w:rFonts w:ascii="Times New Roman" w:hAnsi="Times New Roman"/>
        </w:rPr>
      </w:pPr>
      <w:r>
        <w:rPr>
          <w:rFonts w:ascii="Times New Roman" w:hAnsi="Times New Roman"/>
        </w:rPr>
        <w:t>2.</w:t>
      </w:r>
      <w:r>
        <w:rPr>
          <w:rFonts w:ascii="Times New Roman" w:hAnsi="Times New Roman"/>
        </w:rPr>
        <w:tab/>
      </w:r>
      <w:r w:rsidRPr="00FC41DF" w:rsidR="00386C94">
        <w:rPr>
          <w:rFonts w:ascii="Times New Roman" w:hAnsi="Times New Roman"/>
          <w:b/>
          <w:bCs/>
          <w:iCs/>
          <w:szCs w:val="24"/>
          <w:u w:val="single"/>
        </w:rPr>
        <w:t xml:space="preserve">Use of </w:t>
      </w:r>
      <w:r w:rsidRPr="00FC41DF" w:rsidR="00386C94">
        <w:rPr>
          <w:rFonts w:ascii="Times New Roman" w:hAnsi="Times New Roman"/>
          <w:b/>
          <w:u w:val="single"/>
        </w:rPr>
        <w:t>the</w:t>
      </w:r>
      <w:r w:rsidRPr="00FC41DF" w:rsidR="00386C94">
        <w:rPr>
          <w:rFonts w:ascii="Times New Roman" w:hAnsi="Times New Roman"/>
          <w:b/>
          <w:bCs/>
          <w:iCs/>
          <w:szCs w:val="24"/>
          <w:u w:val="single"/>
        </w:rPr>
        <w:t xml:space="preserve"> </w:t>
      </w:r>
      <w:r w:rsidRPr="00A1019D" w:rsidR="00386C94">
        <w:rPr>
          <w:rFonts w:ascii="Times New Roman" w:hAnsi="Times New Roman"/>
          <w:b/>
          <w:bCs/>
          <w:iCs/>
          <w:u w:val="single"/>
        </w:rPr>
        <w:t>information</w:t>
      </w:r>
      <w:r w:rsidR="00386C94">
        <w:rPr>
          <w:rFonts w:ascii="Times New Roman" w:hAnsi="Times New Roman"/>
          <w:b/>
          <w:bCs/>
          <w:iCs/>
          <w:szCs w:val="24"/>
          <w:u w:val="single"/>
        </w:rPr>
        <w:t>:</w:t>
      </w:r>
    </w:p>
    <w:p w:rsidR="007B6C63" w:rsidRDefault="007B6C63">
      <w:pPr>
        <w:rPr>
          <w:rFonts w:ascii="Times New Roman" w:hAnsi="Times New Roman"/>
        </w:rPr>
      </w:pPr>
    </w:p>
    <w:p w:rsidR="007B6C63" w:rsidP="000B0581" w:rsidRDefault="007B6C63">
      <w:pPr>
        <w:ind w:left="720"/>
        <w:rPr>
          <w:rFonts w:ascii="Times New Roman" w:hAnsi="Times New Roman"/>
        </w:rPr>
      </w:pPr>
      <w:r>
        <w:rPr>
          <w:rFonts w:ascii="Times New Roman" w:hAnsi="Times New Roman"/>
        </w:rPr>
        <w:t>The information contained in the certification is used exclusively by the FDIC to identify an institution</w:t>
      </w:r>
      <w:r w:rsidR="00217B22">
        <w:rPr>
          <w:rFonts w:ascii="Times New Roman" w:hAnsi="Times New Roman"/>
        </w:rPr>
        <w:t>,</w:t>
      </w:r>
      <w:r>
        <w:rPr>
          <w:rFonts w:ascii="Times New Roman" w:hAnsi="Times New Roman"/>
        </w:rPr>
        <w:t xml:space="preserve"> the amount</w:t>
      </w:r>
      <w:r w:rsidR="00217B22">
        <w:rPr>
          <w:rFonts w:ascii="Times New Roman" w:hAnsi="Times New Roman"/>
        </w:rPr>
        <w:t xml:space="preserve"> of the deposit insurance assessment due from that institution for the prior quarter, and to memorialize how the assessment amount was calculated.</w:t>
      </w:r>
    </w:p>
    <w:p w:rsidR="007B6C63" w:rsidRDefault="007B6C63">
      <w:pPr>
        <w:ind w:left="720"/>
        <w:rPr>
          <w:rFonts w:ascii="Times New Roman" w:hAnsi="Times New Roman"/>
        </w:rPr>
      </w:pPr>
    </w:p>
    <w:p w:rsidR="007B6C63" w:rsidP="00A1019D" w:rsidRDefault="007B6C63">
      <w:pPr>
        <w:tabs>
          <w:tab w:val="left" w:pos="-1440"/>
        </w:tabs>
        <w:ind w:left="720" w:hanging="360"/>
        <w:rPr>
          <w:rFonts w:ascii="Times New Roman" w:hAnsi="Times New Roman"/>
        </w:rPr>
      </w:pPr>
      <w:r>
        <w:rPr>
          <w:rFonts w:ascii="Times New Roman" w:hAnsi="Times New Roman"/>
        </w:rPr>
        <w:t>3.</w:t>
      </w:r>
      <w:r>
        <w:rPr>
          <w:rFonts w:ascii="Times New Roman" w:hAnsi="Times New Roman"/>
        </w:rPr>
        <w:tab/>
      </w:r>
      <w:r w:rsidRPr="00A1019D" w:rsidR="00386C94">
        <w:rPr>
          <w:rFonts w:ascii="Times New Roman" w:hAnsi="Times New Roman"/>
          <w:b/>
          <w:bCs/>
          <w:iCs/>
          <w:u w:val="single"/>
        </w:rPr>
        <w:t>Consideration</w:t>
      </w:r>
      <w:r w:rsidRPr="00FC41DF" w:rsidR="00386C94">
        <w:rPr>
          <w:rFonts w:ascii="Times New Roman" w:hAnsi="Times New Roman"/>
          <w:b/>
          <w:bCs/>
          <w:iCs/>
          <w:szCs w:val="24"/>
          <w:u w:val="single"/>
        </w:rPr>
        <w:t xml:space="preserve"> of the use of improved information technology:</w:t>
      </w:r>
    </w:p>
    <w:p w:rsidR="007B6C63" w:rsidRDefault="007B6C63">
      <w:pPr>
        <w:rPr>
          <w:rFonts w:ascii="Times New Roman" w:hAnsi="Times New Roman"/>
        </w:rPr>
      </w:pPr>
    </w:p>
    <w:p w:rsidR="000855E4" w:rsidP="000B0581" w:rsidRDefault="007B6C63">
      <w:pPr>
        <w:ind w:left="720"/>
        <w:rPr>
          <w:rFonts w:ascii="Times New Roman" w:hAnsi="Times New Roman"/>
        </w:rPr>
      </w:pPr>
      <w:r>
        <w:rPr>
          <w:rFonts w:ascii="Times New Roman" w:hAnsi="Times New Roman"/>
        </w:rPr>
        <w:t xml:space="preserve">Burden-reducing procedures permit the automated invoicing and direct debit of assessments.  The Certified Statement contains confidential information relating to the risk classification of the institution.  Insured depository institutions access their quarterly certified statement invoices in electronic form via the FDIC’s e-business website </w:t>
      </w:r>
      <w:proofErr w:type="spellStart"/>
      <w:r>
        <w:rPr>
          <w:rFonts w:ascii="Times New Roman" w:hAnsi="Times New Roman"/>
          <w:i/>
        </w:rPr>
        <w:t>FDICconnect</w:t>
      </w:r>
      <w:proofErr w:type="spellEnd"/>
      <w:r>
        <w:rPr>
          <w:rFonts w:ascii="Times New Roman" w:hAnsi="Times New Roman"/>
        </w:rPr>
        <w:t xml:space="preserve">, a secure channel to the insured institutions.  Correct invoices need not be signed or returned to the FDIC. </w:t>
      </w:r>
      <w:r w:rsidR="000855E4">
        <w:rPr>
          <w:rFonts w:ascii="Times New Roman" w:hAnsi="Times New Roman"/>
        </w:rPr>
        <w:t xml:space="preserve"> If Internet access poses a hardship to some institutions, an alternative form of access may be provided by the FDIC.</w:t>
      </w:r>
    </w:p>
    <w:p w:rsidR="007B6C63" w:rsidRDefault="007B6C63">
      <w:pPr>
        <w:ind w:left="1440"/>
        <w:rPr>
          <w:rFonts w:ascii="Times New Roman" w:hAnsi="Times New Roman"/>
        </w:rPr>
      </w:pPr>
    </w:p>
    <w:p w:rsidR="007B6C63" w:rsidRDefault="007B6C63">
      <w:pPr>
        <w:rPr>
          <w:rFonts w:ascii="Times New Roman" w:hAnsi="Times New Roman"/>
        </w:rPr>
      </w:pPr>
    </w:p>
    <w:p w:rsidR="007B6C63" w:rsidP="00866DB2" w:rsidRDefault="007B6C63">
      <w:pPr>
        <w:keepNext/>
        <w:tabs>
          <w:tab w:val="left" w:pos="-1440"/>
        </w:tabs>
        <w:ind w:left="720" w:hanging="360"/>
        <w:rPr>
          <w:rFonts w:ascii="Times New Roman" w:hAnsi="Times New Roman"/>
        </w:rPr>
      </w:pPr>
      <w:r>
        <w:rPr>
          <w:rFonts w:ascii="Times New Roman" w:hAnsi="Times New Roman"/>
        </w:rPr>
        <w:lastRenderedPageBreak/>
        <w:t>4.</w:t>
      </w:r>
      <w:r>
        <w:rPr>
          <w:rFonts w:ascii="Times New Roman" w:hAnsi="Times New Roman"/>
        </w:rPr>
        <w:tab/>
      </w:r>
      <w:r w:rsidRPr="00A1019D" w:rsidR="00386C94">
        <w:rPr>
          <w:rFonts w:ascii="Times New Roman" w:hAnsi="Times New Roman"/>
          <w:b/>
          <w:bCs/>
          <w:iCs/>
          <w:u w:val="single"/>
        </w:rPr>
        <w:t>Efforts</w:t>
      </w:r>
      <w:r w:rsidRPr="00386C94" w:rsidR="00386C94">
        <w:rPr>
          <w:rFonts w:ascii="Times New Roman" w:hAnsi="Times New Roman"/>
          <w:b/>
          <w:spacing w:val="-1"/>
          <w:szCs w:val="24"/>
          <w:u w:val="single"/>
        </w:rPr>
        <w:t xml:space="preserve"> to identify duplication:</w:t>
      </w:r>
    </w:p>
    <w:p w:rsidR="000855E4" w:rsidP="00866DB2" w:rsidRDefault="000855E4">
      <w:pPr>
        <w:keepNext/>
        <w:ind w:left="1440"/>
        <w:rPr>
          <w:rFonts w:ascii="Times New Roman" w:hAnsi="Times New Roman"/>
        </w:rPr>
      </w:pPr>
    </w:p>
    <w:p w:rsidR="007B6C63" w:rsidP="00866DB2" w:rsidRDefault="000855E4">
      <w:pPr>
        <w:keepNext/>
        <w:ind w:left="720"/>
        <w:rPr>
          <w:rFonts w:ascii="Times New Roman" w:hAnsi="Times New Roman"/>
        </w:rPr>
      </w:pPr>
      <w:r>
        <w:rPr>
          <w:rFonts w:ascii="Times New Roman" w:hAnsi="Times New Roman"/>
        </w:rPr>
        <w:t xml:space="preserve">There is no duplication.  </w:t>
      </w:r>
      <w:r w:rsidR="007B6C63">
        <w:rPr>
          <w:rFonts w:ascii="Times New Roman" w:hAnsi="Times New Roman"/>
        </w:rPr>
        <w:t>The certification is not available in any other form or place.</w:t>
      </w:r>
    </w:p>
    <w:p w:rsidR="007B6C63" w:rsidP="00866DB2" w:rsidRDefault="007B6C63">
      <w:pPr>
        <w:keepNext/>
        <w:rPr>
          <w:rFonts w:ascii="Times New Roman" w:hAnsi="Times New Roman"/>
        </w:rPr>
      </w:pPr>
    </w:p>
    <w:p w:rsidR="007B6C63" w:rsidP="00A1019D" w:rsidRDefault="007B6C63">
      <w:pPr>
        <w:tabs>
          <w:tab w:val="left" w:pos="-1440"/>
        </w:tabs>
        <w:ind w:left="720" w:hanging="360"/>
        <w:rPr>
          <w:rFonts w:ascii="Times New Roman" w:hAnsi="Times New Roman"/>
        </w:rPr>
      </w:pPr>
      <w:r>
        <w:rPr>
          <w:rFonts w:ascii="Times New Roman" w:hAnsi="Times New Roman"/>
        </w:rPr>
        <w:t>5.</w:t>
      </w:r>
      <w:r>
        <w:rPr>
          <w:rFonts w:ascii="Times New Roman" w:hAnsi="Times New Roman"/>
        </w:rPr>
        <w:tab/>
      </w:r>
      <w:r w:rsidRPr="00386C94" w:rsidR="00386C94">
        <w:rPr>
          <w:rFonts w:ascii="Times New Roman" w:hAnsi="Times New Roman"/>
          <w:b/>
          <w:bCs/>
          <w:iCs/>
          <w:u w:val="single"/>
        </w:rPr>
        <w:t>Methods used to minimize burden if the collection has a significant impact on a</w:t>
      </w:r>
      <w:r w:rsidR="00A1019D">
        <w:rPr>
          <w:rFonts w:ascii="Times New Roman" w:hAnsi="Times New Roman"/>
          <w:b/>
          <w:bCs/>
          <w:iCs/>
          <w:u w:val="single"/>
        </w:rPr>
        <w:t xml:space="preserve"> </w:t>
      </w:r>
      <w:r w:rsidRPr="00386C94" w:rsidR="00386C94">
        <w:rPr>
          <w:rFonts w:ascii="Times New Roman" w:hAnsi="Times New Roman"/>
          <w:b/>
          <w:bCs/>
          <w:iCs/>
          <w:u w:val="single"/>
        </w:rPr>
        <w:t>substantial number of small entities:</w:t>
      </w:r>
    </w:p>
    <w:p w:rsidR="007B6C63" w:rsidRDefault="007B6C63">
      <w:pPr>
        <w:rPr>
          <w:rFonts w:ascii="Times New Roman" w:hAnsi="Times New Roman"/>
        </w:rPr>
      </w:pPr>
    </w:p>
    <w:p w:rsidR="007B6C63" w:rsidP="000B0581" w:rsidRDefault="007B6C63">
      <w:pPr>
        <w:ind w:left="720"/>
        <w:rPr>
          <w:rFonts w:ascii="Times New Roman" w:hAnsi="Times New Roman"/>
        </w:rPr>
      </w:pPr>
      <w:r>
        <w:rPr>
          <w:rFonts w:ascii="Times New Roman" w:hAnsi="Times New Roman"/>
        </w:rPr>
        <w:t>All insured institutions, large and small, are subject to the same requirements</w:t>
      </w:r>
      <w:r w:rsidR="000855E4">
        <w:rPr>
          <w:rFonts w:ascii="Times New Roman" w:hAnsi="Times New Roman"/>
        </w:rPr>
        <w:t xml:space="preserve">. </w:t>
      </w:r>
      <w:r w:rsidR="00177720">
        <w:rPr>
          <w:rFonts w:ascii="Times New Roman" w:hAnsi="Times New Roman"/>
          <w:snapToGrid/>
        </w:rPr>
        <w:t>Therefore,</w:t>
      </w:r>
      <w:r w:rsidRPr="000855E4" w:rsidR="000855E4">
        <w:rPr>
          <w:rFonts w:ascii="Times New Roman" w:hAnsi="Times New Roman"/>
          <w:snapToGrid/>
        </w:rPr>
        <w:t xml:space="preserve"> all </w:t>
      </w:r>
      <w:r w:rsidR="000855E4">
        <w:rPr>
          <w:rFonts w:ascii="Times New Roman" w:hAnsi="Times New Roman"/>
          <w:snapToGrid/>
        </w:rPr>
        <w:t>insured depository institutions</w:t>
      </w:r>
      <w:r w:rsidRPr="000855E4" w:rsidR="000855E4">
        <w:rPr>
          <w:rFonts w:ascii="Times New Roman" w:hAnsi="Times New Roman"/>
          <w:snapToGrid/>
        </w:rPr>
        <w:t>, regardless of size, receive a</w:t>
      </w:r>
      <w:r w:rsidR="002A35F4">
        <w:rPr>
          <w:rFonts w:ascii="Times New Roman" w:hAnsi="Times New Roman"/>
          <w:snapToGrid/>
        </w:rPr>
        <w:t>nd must review and certify a</w:t>
      </w:r>
      <w:r w:rsidR="00177720">
        <w:rPr>
          <w:rFonts w:ascii="Times New Roman" w:hAnsi="Times New Roman"/>
          <w:snapToGrid/>
        </w:rPr>
        <w:t xml:space="preserve"> quarterly</w:t>
      </w:r>
      <w:r w:rsidRPr="000855E4" w:rsidR="000855E4">
        <w:rPr>
          <w:rFonts w:ascii="Times New Roman" w:hAnsi="Times New Roman"/>
          <w:snapToGrid/>
        </w:rPr>
        <w:t xml:space="preserve"> </w:t>
      </w:r>
      <w:r w:rsidR="002A35F4">
        <w:rPr>
          <w:rFonts w:ascii="Times New Roman" w:hAnsi="Times New Roman"/>
          <w:snapToGrid/>
        </w:rPr>
        <w:t xml:space="preserve">deposit insurance assessment </w:t>
      </w:r>
      <w:r w:rsidRPr="000855E4" w:rsidR="000855E4">
        <w:rPr>
          <w:rFonts w:ascii="Times New Roman" w:hAnsi="Times New Roman"/>
          <w:snapToGrid/>
        </w:rPr>
        <w:t>invoice</w:t>
      </w:r>
      <w:r w:rsidR="00177720">
        <w:rPr>
          <w:rFonts w:ascii="Times New Roman" w:hAnsi="Times New Roman"/>
          <w:snapToGrid/>
        </w:rPr>
        <w:t>.</w:t>
      </w:r>
      <w:r w:rsidRPr="000855E4" w:rsidR="000855E4">
        <w:rPr>
          <w:rFonts w:ascii="Times New Roman" w:hAnsi="Times New Roman"/>
          <w:snapToGrid/>
        </w:rPr>
        <w:t xml:space="preserve"> </w:t>
      </w:r>
      <w:r w:rsidR="000855E4">
        <w:rPr>
          <w:rFonts w:ascii="Times New Roman" w:hAnsi="Times New Roman"/>
          <w:snapToGrid/>
        </w:rPr>
        <w:t>FDIC</w:t>
      </w:r>
      <w:r w:rsidRPr="000855E4" w:rsidR="000855E4">
        <w:rPr>
          <w:rFonts w:ascii="Times New Roman" w:hAnsi="Times New Roman"/>
          <w:snapToGrid/>
        </w:rPr>
        <w:t xml:space="preserve"> estimate</w:t>
      </w:r>
      <w:r w:rsidR="000855E4">
        <w:rPr>
          <w:rFonts w:ascii="Times New Roman" w:hAnsi="Times New Roman"/>
          <w:snapToGrid/>
        </w:rPr>
        <w:t>s</w:t>
      </w:r>
      <w:r w:rsidRPr="000855E4" w:rsidR="000855E4">
        <w:rPr>
          <w:rFonts w:ascii="Times New Roman" w:hAnsi="Times New Roman"/>
          <w:snapToGrid/>
        </w:rPr>
        <w:t xml:space="preserve"> the number of small</w:t>
      </w:r>
      <w:r w:rsidR="00177720">
        <w:rPr>
          <w:rFonts w:ascii="Times New Roman" w:hAnsi="Times New Roman"/>
          <w:snapToGrid/>
        </w:rPr>
        <w:t>-entity</w:t>
      </w:r>
      <w:r w:rsidRPr="00177720" w:rsidR="00177720">
        <w:rPr>
          <w:rStyle w:val="FootnoteReference"/>
          <w:rFonts w:ascii="Times New Roman" w:hAnsi="Times New Roman"/>
          <w:snapToGrid/>
          <w:vertAlign w:val="superscript"/>
        </w:rPr>
        <w:footnoteReference w:id="1"/>
      </w:r>
      <w:r w:rsidRPr="000855E4" w:rsidR="000855E4">
        <w:rPr>
          <w:rFonts w:ascii="Times New Roman" w:hAnsi="Times New Roman"/>
          <w:snapToGrid/>
        </w:rPr>
        <w:t xml:space="preserve"> respondents by taking the average proportion of small </w:t>
      </w:r>
      <w:r w:rsidR="002A35F4">
        <w:rPr>
          <w:rFonts w:ascii="Times New Roman" w:hAnsi="Times New Roman"/>
          <w:snapToGrid/>
        </w:rPr>
        <w:t>insured depository institutions</w:t>
      </w:r>
      <w:r w:rsidRPr="000855E4" w:rsidR="000855E4">
        <w:rPr>
          <w:rFonts w:ascii="Times New Roman" w:hAnsi="Times New Roman"/>
          <w:snapToGrid/>
        </w:rPr>
        <w:t xml:space="preserve"> to total </w:t>
      </w:r>
      <w:r w:rsidR="002A35F4">
        <w:rPr>
          <w:rFonts w:ascii="Times New Roman" w:hAnsi="Times New Roman"/>
          <w:snapToGrid/>
        </w:rPr>
        <w:t>insured depository institutions</w:t>
      </w:r>
      <w:r w:rsidRPr="000855E4" w:rsidR="000855E4">
        <w:rPr>
          <w:rFonts w:ascii="Times New Roman" w:hAnsi="Times New Roman"/>
          <w:snapToGrid/>
        </w:rPr>
        <w:t xml:space="preserve"> over the past 12 quarters.</w:t>
      </w:r>
      <w:r w:rsidRPr="000855E4" w:rsidR="000855E4">
        <w:rPr>
          <w:rFonts w:ascii="Times New Roman" w:hAnsi="Times New Roman"/>
          <w:snapToGrid/>
          <w:vertAlign w:val="superscript"/>
        </w:rPr>
        <w:footnoteReference w:id="2"/>
      </w:r>
      <w:r w:rsidRPr="000855E4" w:rsidR="000855E4">
        <w:rPr>
          <w:rFonts w:ascii="Times New Roman" w:hAnsi="Times New Roman"/>
          <w:snapToGrid/>
        </w:rPr>
        <w:t xml:space="preserve"> Using this methodology, the average number of small entities over this period is approximately 74 percent. </w:t>
      </w:r>
      <w:r w:rsidR="00177720">
        <w:rPr>
          <w:rFonts w:ascii="Times New Roman" w:hAnsi="Times New Roman"/>
          <w:snapToGrid/>
        </w:rPr>
        <w:t xml:space="preserve">There are currently 5,258 insured depository institutions. </w:t>
      </w:r>
      <w:r w:rsidRPr="000855E4" w:rsidR="000855E4">
        <w:rPr>
          <w:rFonts w:ascii="Times New Roman" w:hAnsi="Times New Roman"/>
          <w:snapToGrid/>
        </w:rPr>
        <w:t xml:space="preserve">Therefore, </w:t>
      </w:r>
      <w:r w:rsidR="000855E4">
        <w:rPr>
          <w:rFonts w:ascii="Times New Roman" w:hAnsi="Times New Roman"/>
          <w:snapToGrid/>
        </w:rPr>
        <w:t xml:space="preserve">FDIC estimates that </w:t>
      </w:r>
      <w:r w:rsidR="00177720">
        <w:rPr>
          <w:rFonts w:ascii="Times New Roman" w:hAnsi="Times New Roman"/>
          <w:snapToGrid/>
        </w:rPr>
        <w:t>3,891 (74%) of these are</w:t>
      </w:r>
      <w:r w:rsidRPr="000855E4" w:rsidR="000855E4">
        <w:rPr>
          <w:rFonts w:ascii="Times New Roman" w:hAnsi="Times New Roman"/>
          <w:snapToGrid/>
        </w:rPr>
        <w:t xml:space="preserve"> small entities</w:t>
      </w:r>
      <w:r w:rsidR="002A35F4">
        <w:rPr>
          <w:rFonts w:ascii="Times New Roman" w:hAnsi="Times New Roman"/>
          <w:snapToGrid/>
        </w:rPr>
        <w:t xml:space="preserve"> which would be a substantial number of small entities</w:t>
      </w:r>
      <w:r w:rsidRPr="000855E4" w:rsidR="000855E4">
        <w:rPr>
          <w:rFonts w:ascii="Times New Roman" w:hAnsi="Times New Roman"/>
          <w:snapToGrid/>
        </w:rPr>
        <w:t>.</w:t>
      </w:r>
      <w:r w:rsidR="00177720">
        <w:rPr>
          <w:rFonts w:ascii="Times New Roman" w:hAnsi="Times New Roman"/>
          <w:snapToGrid/>
        </w:rPr>
        <w:t xml:space="preserve">  </w:t>
      </w:r>
      <w:r w:rsidR="002A35F4">
        <w:rPr>
          <w:rFonts w:ascii="Times New Roman" w:hAnsi="Times New Roman"/>
          <w:snapToGrid/>
        </w:rPr>
        <w:t>However, t</w:t>
      </w:r>
      <w:r w:rsidR="00177720">
        <w:rPr>
          <w:rFonts w:ascii="Times New Roman" w:hAnsi="Times New Roman"/>
          <w:snapToGrid/>
        </w:rPr>
        <w:t>he time to respond</w:t>
      </w:r>
      <w:r w:rsidR="002A35F4">
        <w:rPr>
          <w:rFonts w:ascii="Times New Roman" w:hAnsi="Times New Roman"/>
          <w:snapToGrid/>
        </w:rPr>
        <w:t xml:space="preserve"> is estimated to be only 20 minutes</w:t>
      </w:r>
      <w:r w:rsidR="000855E4">
        <w:rPr>
          <w:rFonts w:ascii="Times New Roman" w:hAnsi="Times New Roman"/>
        </w:rPr>
        <w:t xml:space="preserve"> </w:t>
      </w:r>
      <w:r w:rsidR="002A35F4">
        <w:rPr>
          <w:rFonts w:ascii="Times New Roman" w:hAnsi="Times New Roman"/>
        </w:rPr>
        <w:t>per quarter, per respondent.  Therefore, this information collection does not have a significant impact on those respondents and the information collection does not have a significant impact on a substantial number of small entities.</w:t>
      </w:r>
    </w:p>
    <w:p w:rsidR="007B6C63" w:rsidRDefault="007B6C63">
      <w:pPr>
        <w:rPr>
          <w:rFonts w:ascii="Times New Roman" w:hAnsi="Times New Roman"/>
        </w:rPr>
      </w:pPr>
    </w:p>
    <w:p w:rsidRPr="00FC41DF" w:rsidR="007B6C63" w:rsidP="00A1019D" w:rsidRDefault="007B6C63">
      <w:pPr>
        <w:tabs>
          <w:tab w:val="left" w:pos="-1440"/>
        </w:tabs>
        <w:ind w:left="720" w:hanging="360"/>
        <w:rPr>
          <w:rFonts w:ascii="Times New Roman" w:hAnsi="Times New Roman"/>
          <w:b/>
          <w:bCs/>
          <w:iCs/>
          <w:u w:val="single"/>
        </w:rPr>
      </w:pPr>
      <w:r>
        <w:rPr>
          <w:rFonts w:ascii="Times New Roman" w:hAnsi="Times New Roman"/>
        </w:rPr>
        <w:t>6.</w:t>
      </w:r>
      <w:r>
        <w:rPr>
          <w:rFonts w:ascii="Times New Roman" w:hAnsi="Times New Roman"/>
        </w:rPr>
        <w:tab/>
      </w:r>
      <w:r w:rsidRPr="00A1019D" w:rsidR="00386C94">
        <w:rPr>
          <w:rFonts w:ascii="Times New Roman" w:hAnsi="Times New Roman"/>
          <w:b/>
          <w:bCs/>
          <w:iCs/>
          <w:u w:val="single"/>
        </w:rPr>
        <w:t>Consequences</w:t>
      </w:r>
      <w:r w:rsidRPr="00FC41DF" w:rsidR="00386C94">
        <w:rPr>
          <w:rFonts w:ascii="Times New Roman" w:hAnsi="Times New Roman"/>
          <w:b/>
          <w:bCs/>
          <w:iCs/>
          <w:u w:val="single"/>
        </w:rPr>
        <w:t xml:space="preserve"> to the Federal program if the collection were conducted less frequently:</w:t>
      </w:r>
    </w:p>
    <w:p w:rsidR="007B6C63" w:rsidRDefault="007B6C63">
      <w:pPr>
        <w:rPr>
          <w:rFonts w:ascii="Times New Roman" w:hAnsi="Times New Roman"/>
        </w:rPr>
      </w:pPr>
    </w:p>
    <w:p w:rsidR="007B6C63" w:rsidP="000B0581" w:rsidRDefault="007B6C63">
      <w:pPr>
        <w:ind w:left="720"/>
        <w:rPr>
          <w:rFonts w:ascii="Times New Roman" w:hAnsi="Times New Roman"/>
        </w:rPr>
      </w:pPr>
      <w:r>
        <w:rPr>
          <w:rFonts w:ascii="Times New Roman" w:hAnsi="Times New Roman"/>
        </w:rPr>
        <w:t>Less frequent collection would be inconsistent with the statutor</w:t>
      </w:r>
      <w:r w:rsidR="00615BAD">
        <w:rPr>
          <w:rFonts w:ascii="Times New Roman" w:hAnsi="Times New Roman"/>
        </w:rPr>
        <w:t>y requirement for certification of deposit insurance assessments.</w:t>
      </w:r>
    </w:p>
    <w:p w:rsidRPr="00386C94" w:rsidR="007B6C63" w:rsidRDefault="007B6C63">
      <w:pPr>
        <w:rPr>
          <w:rFonts w:ascii="Times New Roman" w:hAnsi="Times New Roman"/>
        </w:rPr>
      </w:pPr>
    </w:p>
    <w:p w:rsidRPr="00386C94" w:rsidR="00386C94" w:rsidP="00A1019D" w:rsidRDefault="007B6C63">
      <w:pPr>
        <w:tabs>
          <w:tab w:val="left" w:pos="-1440"/>
        </w:tabs>
        <w:ind w:left="720" w:hanging="360"/>
        <w:rPr>
          <w:rFonts w:ascii="Times New Roman" w:hAnsi="Times New Roman"/>
          <w:b/>
          <w:bCs/>
          <w:iCs/>
        </w:rPr>
      </w:pPr>
      <w:r w:rsidRPr="00386C94">
        <w:rPr>
          <w:rFonts w:ascii="Times New Roman" w:hAnsi="Times New Roman"/>
        </w:rPr>
        <w:t>7.</w:t>
      </w:r>
      <w:r w:rsidRPr="00386C94">
        <w:rPr>
          <w:rFonts w:ascii="Times New Roman" w:hAnsi="Times New Roman"/>
        </w:rPr>
        <w:tab/>
      </w:r>
      <w:r w:rsidRPr="00A1019D" w:rsidR="00386C94">
        <w:rPr>
          <w:rFonts w:ascii="Times New Roman" w:hAnsi="Times New Roman"/>
          <w:b/>
          <w:bCs/>
          <w:iCs/>
          <w:u w:val="single"/>
        </w:rPr>
        <w:t>Special circumstances necessitating collection inconsistent with 5 CFR Part 1320.5(d)(2):</w:t>
      </w:r>
    </w:p>
    <w:p w:rsidR="007B6C63" w:rsidRDefault="007B6C63">
      <w:pPr>
        <w:rPr>
          <w:rFonts w:ascii="Times New Roman" w:hAnsi="Times New Roman"/>
        </w:rPr>
      </w:pPr>
    </w:p>
    <w:p w:rsidR="007B6C63" w:rsidP="000B0581" w:rsidRDefault="00386C94">
      <w:pPr>
        <w:ind w:left="720"/>
        <w:rPr>
          <w:rFonts w:ascii="Times New Roman" w:hAnsi="Times New Roman"/>
        </w:rPr>
      </w:pPr>
      <w:r>
        <w:rPr>
          <w:rFonts w:ascii="Times New Roman" w:hAnsi="Times New Roman"/>
          <w:bCs/>
          <w:iCs/>
          <w:szCs w:val="24"/>
        </w:rPr>
        <w:t xml:space="preserve">None.  </w:t>
      </w:r>
      <w:r w:rsidRPr="00386C94">
        <w:rPr>
          <w:rFonts w:ascii="Times New Roman" w:hAnsi="Times New Roman"/>
        </w:rPr>
        <w:t>The</w:t>
      </w:r>
      <w:r w:rsidRPr="000C4F75">
        <w:rPr>
          <w:rFonts w:ascii="Times New Roman" w:hAnsi="Times New Roman"/>
          <w:bCs/>
          <w:iCs/>
          <w:szCs w:val="24"/>
        </w:rPr>
        <w:t xml:space="preserve"> information is collected in a manner consistent with </w:t>
      </w:r>
      <w:r>
        <w:rPr>
          <w:rFonts w:ascii="Times New Roman" w:hAnsi="Times New Roman"/>
          <w:bCs/>
          <w:iCs/>
          <w:szCs w:val="24"/>
        </w:rPr>
        <w:t>5</w:t>
      </w:r>
      <w:r w:rsidRPr="000C4F75">
        <w:rPr>
          <w:rFonts w:ascii="Times New Roman" w:hAnsi="Times New Roman"/>
          <w:bCs/>
          <w:iCs/>
          <w:szCs w:val="24"/>
        </w:rPr>
        <w:t xml:space="preserve"> CFR 1320.5(d)(2).</w:t>
      </w:r>
    </w:p>
    <w:p w:rsidR="007B6C63" w:rsidRDefault="007B6C63">
      <w:pPr>
        <w:rPr>
          <w:rFonts w:ascii="Times New Roman" w:hAnsi="Times New Roman"/>
        </w:rPr>
      </w:pPr>
    </w:p>
    <w:p w:rsidR="007B6C63" w:rsidP="00A1019D" w:rsidRDefault="007B6C63">
      <w:pPr>
        <w:tabs>
          <w:tab w:val="left" w:pos="-1440"/>
        </w:tabs>
        <w:ind w:left="720" w:hanging="360"/>
        <w:rPr>
          <w:rFonts w:ascii="Times New Roman" w:hAnsi="Times New Roman"/>
        </w:rPr>
      </w:pPr>
      <w:r>
        <w:rPr>
          <w:rFonts w:ascii="Times New Roman" w:hAnsi="Times New Roman"/>
        </w:rPr>
        <w:t>8.</w:t>
      </w:r>
      <w:r>
        <w:rPr>
          <w:rFonts w:ascii="Times New Roman" w:hAnsi="Times New Roman"/>
        </w:rPr>
        <w:tab/>
      </w:r>
      <w:r w:rsidRPr="00A1019D" w:rsidR="00D55074">
        <w:rPr>
          <w:rFonts w:ascii="Times New Roman" w:hAnsi="Times New Roman"/>
          <w:b/>
          <w:bCs/>
          <w:iCs/>
          <w:u w:val="single"/>
        </w:rPr>
        <w:t>Efforts</w:t>
      </w:r>
      <w:r w:rsidRPr="00D55074" w:rsidR="00D55074">
        <w:rPr>
          <w:rFonts w:ascii="Times New Roman" w:hAnsi="Times New Roman"/>
          <w:b/>
          <w:bCs/>
          <w:iCs/>
          <w:szCs w:val="24"/>
          <w:u w:val="single"/>
        </w:rPr>
        <w:t xml:space="preserve"> to consult with persons outside the agency:</w:t>
      </w:r>
    </w:p>
    <w:p w:rsidR="007B6C63" w:rsidRDefault="007B6C63">
      <w:pPr>
        <w:rPr>
          <w:rFonts w:ascii="Times New Roman" w:hAnsi="Times New Roman"/>
        </w:rPr>
      </w:pPr>
    </w:p>
    <w:p w:rsidR="007B6C63" w:rsidP="000B0581" w:rsidRDefault="007B6C63">
      <w:pPr>
        <w:ind w:left="720"/>
        <w:rPr>
          <w:rFonts w:ascii="Times New Roman" w:hAnsi="Times New Roman"/>
        </w:rPr>
      </w:pPr>
      <w:r>
        <w:rPr>
          <w:rFonts w:ascii="Times New Roman" w:hAnsi="Times New Roman"/>
        </w:rPr>
        <w:t xml:space="preserve">The deposit insurance assessment system, including the Certified Statement, was developed through extensive consultation with stakeholders, and established through notice-and-comment rulemaking.  The FDIC </w:t>
      </w:r>
      <w:r w:rsidR="00DE2D0B">
        <w:rPr>
          <w:rFonts w:ascii="Times New Roman" w:hAnsi="Times New Roman"/>
        </w:rPr>
        <w:t xml:space="preserve">published a notice in the </w:t>
      </w:r>
      <w:r w:rsidRPr="000B0581" w:rsidR="00DE2D0B">
        <w:rPr>
          <w:rFonts w:ascii="Times New Roman" w:hAnsi="Times New Roman"/>
        </w:rPr>
        <w:t>Federal</w:t>
      </w:r>
      <w:r w:rsidR="00DE2D0B">
        <w:rPr>
          <w:rFonts w:ascii="Times New Roman" w:hAnsi="Times New Roman"/>
          <w:i/>
        </w:rPr>
        <w:t xml:space="preserve"> Register</w:t>
      </w:r>
      <w:r w:rsidR="00DE2D0B">
        <w:rPr>
          <w:rFonts w:ascii="Times New Roman" w:hAnsi="Times New Roman"/>
        </w:rPr>
        <w:t xml:space="preserve"> seeking </w:t>
      </w:r>
      <w:r>
        <w:rPr>
          <w:rFonts w:ascii="Times New Roman" w:hAnsi="Times New Roman"/>
        </w:rPr>
        <w:t xml:space="preserve">comment </w:t>
      </w:r>
      <w:r w:rsidR="00DE2D0B">
        <w:rPr>
          <w:rFonts w:ascii="Times New Roman" w:hAnsi="Times New Roman"/>
        </w:rPr>
        <w:t xml:space="preserve">for a 60-day period on renewal of this information collection </w:t>
      </w:r>
      <w:r>
        <w:rPr>
          <w:rFonts w:ascii="Times New Roman" w:hAnsi="Times New Roman"/>
        </w:rPr>
        <w:t xml:space="preserve">on </w:t>
      </w:r>
      <w:r w:rsidR="00D55074">
        <w:rPr>
          <w:rFonts w:ascii="Times New Roman" w:hAnsi="Times New Roman"/>
        </w:rPr>
        <w:t>March 17, 2020</w:t>
      </w:r>
      <w:r w:rsidR="00DE2D0B">
        <w:rPr>
          <w:rFonts w:ascii="Times New Roman" w:hAnsi="Times New Roman"/>
        </w:rPr>
        <w:t xml:space="preserve"> (</w:t>
      </w:r>
      <w:r w:rsidR="00D55074">
        <w:rPr>
          <w:rFonts w:ascii="Times New Roman" w:hAnsi="Times New Roman"/>
        </w:rPr>
        <w:t>85</w:t>
      </w:r>
      <w:r w:rsidR="00DE2D0B">
        <w:rPr>
          <w:rFonts w:ascii="Times New Roman" w:hAnsi="Times New Roman"/>
        </w:rPr>
        <w:t xml:space="preserve"> FR </w:t>
      </w:r>
      <w:r w:rsidR="00D55074">
        <w:rPr>
          <w:rFonts w:ascii="Times New Roman" w:hAnsi="Times New Roman"/>
        </w:rPr>
        <w:t>15172</w:t>
      </w:r>
      <w:r w:rsidR="00DE2D0B">
        <w:rPr>
          <w:rFonts w:ascii="Times New Roman" w:hAnsi="Times New Roman"/>
        </w:rPr>
        <w:t>)</w:t>
      </w:r>
      <w:r>
        <w:rPr>
          <w:rFonts w:ascii="Times New Roman" w:hAnsi="Times New Roman"/>
        </w:rPr>
        <w:t>.  No comments were received.</w:t>
      </w:r>
    </w:p>
    <w:p w:rsidR="007B6C63" w:rsidRDefault="007B6C63">
      <w:pPr>
        <w:rPr>
          <w:rFonts w:ascii="Times New Roman" w:hAnsi="Times New Roman"/>
        </w:rPr>
      </w:pPr>
    </w:p>
    <w:p w:rsidR="007B6C63" w:rsidP="00A1019D" w:rsidRDefault="007B6C63">
      <w:pPr>
        <w:tabs>
          <w:tab w:val="left" w:pos="-1440"/>
        </w:tabs>
        <w:ind w:left="720" w:hanging="360"/>
        <w:rPr>
          <w:rFonts w:ascii="Times New Roman" w:hAnsi="Times New Roman"/>
        </w:rPr>
      </w:pPr>
      <w:r>
        <w:rPr>
          <w:rFonts w:ascii="Times New Roman" w:hAnsi="Times New Roman"/>
        </w:rPr>
        <w:t>9.</w:t>
      </w:r>
      <w:r>
        <w:rPr>
          <w:rFonts w:ascii="Times New Roman" w:hAnsi="Times New Roman"/>
        </w:rPr>
        <w:tab/>
      </w:r>
      <w:r w:rsidRPr="00A1019D" w:rsidR="00881712">
        <w:rPr>
          <w:rFonts w:ascii="Times New Roman" w:hAnsi="Times New Roman"/>
          <w:b/>
          <w:bCs/>
          <w:iCs/>
          <w:u w:val="single"/>
        </w:rPr>
        <w:t>Payment</w:t>
      </w:r>
      <w:r w:rsidRPr="00881712" w:rsidR="00881712">
        <w:rPr>
          <w:rFonts w:ascii="Times New Roman" w:hAnsi="Times New Roman"/>
          <w:b/>
          <w:spacing w:val="-10"/>
          <w:szCs w:val="24"/>
          <w:u w:val="single"/>
        </w:rPr>
        <w:t xml:space="preserve"> </w:t>
      </w:r>
      <w:r w:rsidRPr="00881712" w:rsidR="00881712">
        <w:rPr>
          <w:rFonts w:ascii="Times New Roman" w:hAnsi="Times New Roman"/>
          <w:b/>
          <w:spacing w:val="1"/>
          <w:szCs w:val="24"/>
          <w:u w:val="single"/>
        </w:rPr>
        <w:t>or</w:t>
      </w:r>
      <w:r w:rsidRPr="00881712" w:rsidR="00881712">
        <w:rPr>
          <w:rFonts w:ascii="Times New Roman" w:hAnsi="Times New Roman"/>
          <w:b/>
          <w:spacing w:val="-7"/>
          <w:szCs w:val="24"/>
          <w:u w:val="single"/>
        </w:rPr>
        <w:t xml:space="preserve"> </w:t>
      </w:r>
      <w:r w:rsidRPr="00881712" w:rsidR="00881712">
        <w:rPr>
          <w:rFonts w:ascii="Times New Roman" w:hAnsi="Times New Roman"/>
          <w:b/>
          <w:spacing w:val="-5"/>
          <w:szCs w:val="24"/>
          <w:u w:val="single"/>
        </w:rPr>
        <w:t>gifts to respondents:</w:t>
      </w:r>
    </w:p>
    <w:p w:rsidR="007B6C63" w:rsidRDefault="007B6C63">
      <w:pPr>
        <w:rPr>
          <w:rFonts w:ascii="Times New Roman" w:hAnsi="Times New Roman"/>
        </w:rPr>
      </w:pPr>
    </w:p>
    <w:p w:rsidR="007B6C63" w:rsidP="000B0581" w:rsidRDefault="007B6C63">
      <w:pPr>
        <w:ind w:left="720"/>
        <w:rPr>
          <w:rFonts w:ascii="Times New Roman" w:hAnsi="Times New Roman"/>
        </w:rPr>
      </w:pPr>
      <w:r>
        <w:rPr>
          <w:rFonts w:ascii="Times New Roman" w:hAnsi="Times New Roman"/>
        </w:rPr>
        <w:t>None.</w:t>
      </w:r>
    </w:p>
    <w:p w:rsidR="007B6C63" w:rsidRDefault="007B6C63">
      <w:pPr>
        <w:ind w:left="720" w:firstLine="720"/>
        <w:rPr>
          <w:rFonts w:ascii="Times New Roman" w:hAnsi="Times New Roman"/>
        </w:rPr>
      </w:pPr>
    </w:p>
    <w:p w:rsidR="007B6C63" w:rsidP="00F8783F" w:rsidRDefault="007B6C63">
      <w:pPr>
        <w:keepNext/>
        <w:tabs>
          <w:tab w:val="left" w:pos="-1440"/>
        </w:tabs>
        <w:ind w:left="720" w:hanging="360"/>
        <w:rPr>
          <w:rFonts w:ascii="Times New Roman" w:hAnsi="Times New Roman"/>
        </w:rPr>
      </w:pPr>
      <w:r>
        <w:rPr>
          <w:rFonts w:ascii="Times New Roman" w:hAnsi="Times New Roman"/>
        </w:rPr>
        <w:t>10.</w:t>
      </w:r>
      <w:r>
        <w:rPr>
          <w:rFonts w:ascii="Times New Roman" w:hAnsi="Times New Roman"/>
        </w:rPr>
        <w:tab/>
      </w:r>
      <w:r w:rsidRPr="00A1019D" w:rsidR="00881712">
        <w:rPr>
          <w:rFonts w:ascii="Times New Roman" w:hAnsi="Times New Roman"/>
          <w:b/>
          <w:bCs/>
          <w:iCs/>
          <w:u w:val="single"/>
        </w:rPr>
        <w:t>Any</w:t>
      </w:r>
      <w:r w:rsidRPr="00881712" w:rsidR="00881712">
        <w:rPr>
          <w:rFonts w:ascii="Times New Roman" w:hAnsi="Times New Roman"/>
          <w:b/>
          <w:bCs/>
          <w:iCs/>
          <w:szCs w:val="24"/>
          <w:u w:val="single"/>
        </w:rPr>
        <w:t xml:space="preserve"> assurance of confidentiality:</w:t>
      </w:r>
    </w:p>
    <w:p w:rsidR="007B6C63" w:rsidP="00F8783F" w:rsidRDefault="007B6C63">
      <w:pPr>
        <w:keepNext/>
        <w:rPr>
          <w:rFonts w:ascii="Times New Roman" w:hAnsi="Times New Roman"/>
        </w:rPr>
      </w:pPr>
    </w:p>
    <w:p w:rsidR="00881712" w:rsidP="00F8783F" w:rsidRDefault="007B6C63">
      <w:pPr>
        <w:keepNext/>
        <w:ind w:left="720"/>
        <w:rPr>
          <w:rFonts w:ascii="Times New Roman" w:hAnsi="Times New Roman"/>
        </w:rPr>
      </w:pPr>
      <w:r>
        <w:rPr>
          <w:rFonts w:ascii="Times New Roman" w:hAnsi="Times New Roman"/>
        </w:rPr>
        <w:t xml:space="preserve">The risk rate classification of an </w:t>
      </w:r>
      <w:r w:rsidR="00F8783F">
        <w:rPr>
          <w:rFonts w:ascii="Times New Roman" w:hAnsi="Times New Roman"/>
        </w:rPr>
        <w:t>insured depository</w:t>
      </w:r>
      <w:r>
        <w:rPr>
          <w:rFonts w:ascii="Times New Roman" w:hAnsi="Times New Roman"/>
        </w:rPr>
        <w:t xml:space="preserve"> institution is confidential.</w:t>
      </w:r>
      <w:r w:rsidR="00881712">
        <w:rPr>
          <w:rFonts w:ascii="Times New Roman" w:hAnsi="Times New Roman"/>
        </w:rPr>
        <w:t xml:space="preserve"> Information is kept private to the extent allowed by law.</w:t>
      </w:r>
    </w:p>
    <w:p w:rsidR="007B6C63" w:rsidRDefault="007B6C63">
      <w:pPr>
        <w:ind w:left="720" w:firstLine="720"/>
        <w:rPr>
          <w:rFonts w:ascii="Times New Roman" w:hAnsi="Times New Roman"/>
        </w:rPr>
      </w:pPr>
    </w:p>
    <w:p w:rsidRPr="00F04445" w:rsidR="00881712" w:rsidP="00A1019D" w:rsidRDefault="007B6C63">
      <w:pPr>
        <w:tabs>
          <w:tab w:val="left" w:pos="-1440"/>
        </w:tabs>
        <w:ind w:left="720" w:hanging="360"/>
        <w:rPr>
          <w:rFonts w:ascii="Times New Roman" w:hAnsi="Times New Roman"/>
          <w:b/>
          <w:spacing w:val="-1"/>
          <w:szCs w:val="24"/>
        </w:rPr>
      </w:pPr>
      <w:r w:rsidRPr="00881712">
        <w:rPr>
          <w:rFonts w:ascii="Times New Roman" w:hAnsi="Times New Roman"/>
        </w:rPr>
        <w:t>11.</w:t>
      </w:r>
      <w:r w:rsidRPr="00881712">
        <w:rPr>
          <w:rFonts w:ascii="Times New Roman" w:hAnsi="Times New Roman"/>
        </w:rPr>
        <w:tab/>
      </w:r>
      <w:r w:rsidRPr="002A5F6B" w:rsidR="00881712">
        <w:rPr>
          <w:rFonts w:ascii="Times New Roman" w:hAnsi="Times New Roman"/>
          <w:b/>
          <w:bCs/>
          <w:iCs/>
          <w:u w:val="single"/>
        </w:rPr>
        <w:t>Justification</w:t>
      </w:r>
      <w:r w:rsidRPr="002A5F6B" w:rsidR="00881712">
        <w:rPr>
          <w:rFonts w:ascii="Times New Roman" w:hAnsi="Times New Roman"/>
          <w:b/>
          <w:bCs/>
          <w:spacing w:val="-1"/>
          <w:szCs w:val="24"/>
          <w:u w:val="single"/>
        </w:rPr>
        <w:t xml:space="preserve"> </w:t>
      </w:r>
      <w:r w:rsidRPr="002A5F6B" w:rsidR="00881712">
        <w:rPr>
          <w:rFonts w:ascii="Times New Roman" w:hAnsi="Times New Roman"/>
          <w:u w:val="single"/>
        </w:rPr>
        <w:t>for</w:t>
      </w:r>
      <w:r w:rsidRPr="002A5F6B" w:rsidR="00881712">
        <w:rPr>
          <w:rFonts w:ascii="Times New Roman" w:hAnsi="Times New Roman"/>
          <w:b/>
          <w:bCs/>
          <w:spacing w:val="-1"/>
          <w:szCs w:val="24"/>
          <w:u w:val="single"/>
        </w:rPr>
        <w:t xml:space="preserve"> questions of a sensitive nature:</w:t>
      </w:r>
    </w:p>
    <w:p w:rsidR="007B6C63" w:rsidRDefault="007B6C63">
      <w:pPr>
        <w:tabs>
          <w:tab w:val="left" w:pos="-1440"/>
        </w:tabs>
        <w:ind w:firstLine="720"/>
        <w:rPr>
          <w:rFonts w:ascii="Times New Roman" w:hAnsi="Times New Roman"/>
        </w:rPr>
      </w:pPr>
    </w:p>
    <w:p w:rsidR="007B6C63" w:rsidP="000B0581" w:rsidRDefault="00881712">
      <w:pPr>
        <w:ind w:left="720"/>
        <w:rPr>
          <w:rFonts w:ascii="Times New Roman" w:hAnsi="Times New Roman"/>
        </w:rPr>
      </w:pPr>
      <w:r>
        <w:rPr>
          <w:rFonts w:ascii="Times New Roman" w:hAnsi="Times New Roman"/>
          <w:spacing w:val="-1"/>
          <w:szCs w:val="24"/>
        </w:rPr>
        <w:t xml:space="preserve">Not </w:t>
      </w:r>
      <w:r w:rsidRPr="000B0581">
        <w:rPr>
          <w:rFonts w:ascii="Times New Roman" w:hAnsi="Times New Roman"/>
        </w:rPr>
        <w:t>applicable</w:t>
      </w:r>
      <w:r w:rsidR="003B3219">
        <w:rPr>
          <w:rFonts w:ascii="Times New Roman" w:hAnsi="Times New Roman"/>
          <w:spacing w:val="-1"/>
          <w:szCs w:val="24"/>
        </w:rPr>
        <w:t>.</w:t>
      </w:r>
      <w:r>
        <w:rPr>
          <w:rFonts w:ascii="Times New Roman" w:hAnsi="Times New Roman"/>
          <w:spacing w:val="-1"/>
          <w:szCs w:val="24"/>
        </w:rPr>
        <w:t xml:space="preserve"> </w:t>
      </w:r>
      <w:r w:rsidR="003B3219">
        <w:rPr>
          <w:rFonts w:ascii="Times New Roman" w:hAnsi="Times New Roman"/>
          <w:spacing w:val="-1"/>
          <w:szCs w:val="24"/>
        </w:rPr>
        <w:t>N</w:t>
      </w:r>
      <w:r>
        <w:rPr>
          <w:rFonts w:ascii="Times New Roman" w:hAnsi="Times New Roman"/>
          <w:spacing w:val="-1"/>
          <w:szCs w:val="24"/>
        </w:rPr>
        <w:t>o sensitive information is collected.</w:t>
      </w:r>
    </w:p>
    <w:p w:rsidR="007B6C63" w:rsidRDefault="007B6C63">
      <w:pPr>
        <w:rPr>
          <w:rFonts w:ascii="Times New Roman" w:hAnsi="Times New Roman"/>
        </w:rPr>
      </w:pPr>
    </w:p>
    <w:p w:rsidR="00615BAD" w:rsidRDefault="00615BAD">
      <w:pPr>
        <w:rPr>
          <w:rFonts w:ascii="Times New Roman" w:hAnsi="Times New Roman"/>
        </w:rPr>
      </w:pPr>
    </w:p>
    <w:p w:rsidR="007B6C63" w:rsidP="00A1019D" w:rsidRDefault="007B6C63">
      <w:pPr>
        <w:tabs>
          <w:tab w:val="left" w:pos="-1440"/>
        </w:tabs>
        <w:ind w:left="720" w:hanging="360"/>
        <w:rPr>
          <w:rFonts w:ascii="Times New Roman" w:hAnsi="Times New Roman"/>
          <w:b/>
          <w:bCs/>
          <w:iCs/>
          <w:szCs w:val="24"/>
          <w:u w:val="single"/>
        </w:rPr>
      </w:pPr>
      <w:r>
        <w:rPr>
          <w:rFonts w:ascii="Times New Roman" w:hAnsi="Times New Roman"/>
        </w:rPr>
        <w:t>12.</w:t>
      </w:r>
      <w:r>
        <w:rPr>
          <w:rFonts w:ascii="Times New Roman" w:hAnsi="Times New Roman"/>
        </w:rPr>
        <w:tab/>
      </w:r>
      <w:r w:rsidRPr="00A1019D" w:rsidR="00881712">
        <w:rPr>
          <w:rFonts w:ascii="Times New Roman" w:hAnsi="Times New Roman"/>
          <w:b/>
          <w:bCs/>
          <w:iCs/>
          <w:u w:val="single"/>
        </w:rPr>
        <w:t>Estimate</w:t>
      </w:r>
      <w:r w:rsidRPr="00D64624" w:rsidR="00881712">
        <w:rPr>
          <w:rFonts w:ascii="Times New Roman" w:hAnsi="Times New Roman"/>
          <w:b/>
          <w:bCs/>
          <w:iCs/>
          <w:szCs w:val="24"/>
          <w:u w:val="single"/>
        </w:rPr>
        <w:t xml:space="preserve"> of hour burden including annualized hourly costs:</w:t>
      </w:r>
    </w:p>
    <w:p w:rsidR="00881712" w:rsidRDefault="00881712">
      <w:pPr>
        <w:tabs>
          <w:tab w:val="left" w:pos="-1440"/>
        </w:tabs>
        <w:ind w:firstLine="720"/>
        <w:rPr>
          <w:rFonts w:ascii="Times New Roman" w:hAnsi="Times New Roman"/>
          <w:b/>
          <w:bCs/>
          <w:iCs/>
          <w:szCs w:val="24"/>
          <w:u w:val="single"/>
        </w:rPr>
      </w:pPr>
    </w:p>
    <w:p w:rsidRPr="00881712" w:rsidR="00881712" w:rsidP="000B0581" w:rsidRDefault="00881712">
      <w:pPr>
        <w:ind w:left="720"/>
        <w:rPr>
          <w:rFonts w:ascii="Times New Roman" w:hAnsi="Times New Roman"/>
          <w:i/>
        </w:rPr>
      </w:pPr>
      <w:r w:rsidRPr="000B0581">
        <w:rPr>
          <w:rFonts w:ascii="Times New Roman" w:hAnsi="Times New Roman"/>
        </w:rPr>
        <w:t>Estimated</w:t>
      </w:r>
      <w:r>
        <w:rPr>
          <w:rFonts w:ascii="Times New Roman" w:hAnsi="Times New Roman"/>
          <w:bCs/>
          <w:i/>
          <w:iCs/>
          <w:szCs w:val="24"/>
        </w:rPr>
        <w:t xml:space="preserve"> Annual Burden</w:t>
      </w:r>
      <w:r w:rsidR="005B79C4">
        <w:rPr>
          <w:rFonts w:ascii="Times New Roman" w:hAnsi="Times New Roman"/>
          <w:bCs/>
          <w:i/>
          <w:iCs/>
          <w:szCs w:val="24"/>
        </w:rPr>
        <w:t>:</w:t>
      </w:r>
    </w:p>
    <w:p w:rsidR="005B79C4" w:rsidRDefault="005B79C4">
      <w:pPr>
        <w:rPr>
          <w:rFonts w:ascii="Times New Roman" w:hAnsi="Times New Roman"/>
          <w:snapToGrid/>
        </w:rPr>
      </w:pPr>
    </w:p>
    <w:p w:rsidR="005B79C4" w:rsidP="000B0581" w:rsidRDefault="005B79C4">
      <w:pPr>
        <w:ind w:left="720"/>
        <w:rPr>
          <w:rFonts w:ascii="Times New Roman" w:hAnsi="Times New Roman"/>
          <w:snapToGrid/>
          <w:szCs w:val="24"/>
        </w:rPr>
      </w:pPr>
      <w:r w:rsidRPr="005B79C4">
        <w:rPr>
          <w:rFonts w:ascii="Times New Roman" w:hAnsi="Times New Roman"/>
          <w:snapToGrid/>
          <w:szCs w:val="24"/>
        </w:rPr>
        <w:t xml:space="preserve">The Quarterly Certified Statement Invoice (“invoice”) provides insured institutions with an accounting of the FDIC’s </w:t>
      </w:r>
      <w:r>
        <w:rPr>
          <w:rFonts w:ascii="Times New Roman" w:hAnsi="Times New Roman"/>
          <w:snapToGrid/>
          <w:szCs w:val="24"/>
        </w:rPr>
        <w:t xml:space="preserve">deposit insurance </w:t>
      </w:r>
      <w:r w:rsidRPr="005B79C4">
        <w:rPr>
          <w:rFonts w:ascii="Times New Roman" w:hAnsi="Times New Roman"/>
          <w:snapToGrid/>
          <w:szCs w:val="24"/>
        </w:rPr>
        <w:t xml:space="preserve">assessment. If </w:t>
      </w:r>
      <w:r>
        <w:rPr>
          <w:rFonts w:ascii="Times New Roman" w:hAnsi="Times New Roman"/>
          <w:snapToGrid/>
          <w:szCs w:val="24"/>
        </w:rPr>
        <w:t xml:space="preserve">an insured </w:t>
      </w:r>
      <w:r w:rsidRPr="000B0581">
        <w:rPr>
          <w:rFonts w:ascii="Times New Roman" w:hAnsi="Times New Roman"/>
        </w:rPr>
        <w:t>depository</w:t>
      </w:r>
      <w:r>
        <w:rPr>
          <w:rFonts w:ascii="Times New Roman" w:hAnsi="Times New Roman"/>
          <w:snapToGrid/>
          <w:szCs w:val="24"/>
        </w:rPr>
        <w:t xml:space="preserve"> institution</w:t>
      </w:r>
      <w:r w:rsidRPr="005B79C4">
        <w:rPr>
          <w:rFonts w:ascii="Times New Roman" w:hAnsi="Times New Roman"/>
          <w:snapToGrid/>
          <w:szCs w:val="24"/>
        </w:rPr>
        <w:t xml:space="preserve"> believes the information on the</w:t>
      </w:r>
      <w:r>
        <w:rPr>
          <w:rFonts w:ascii="Times New Roman" w:hAnsi="Times New Roman"/>
          <w:snapToGrid/>
          <w:szCs w:val="24"/>
        </w:rPr>
        <w:t>ir</w:t>
      </w:r>
      <w:r w:rsidRPr="005B79C4">
        <w:rPr>
          <w:rFonts w:ascii="Times New Roman" w:hAnsi="Times New Roman"/>
          <w:snapToGrid/>
          <w:szCs w:val="24"/>
        </w:rPr>
        <w:t xml:space="preserve"> invoice to be correct, certification is accomplished by paying the assessment amount </w:t>
      </w:r>
      <w:r>
        <w:rPr>
          <w:rFonts w:ascii="Times New Roman" w:hAnsi="Times New Roman"/>
          <w:snapToGrid/>
          <w:szCs w:val="24"/>
        </w:rPr>
        <w:t>shown on</w:t>
      </w:r>
      <w:r w:rsidRPr="005B79C4">
        <w:rPr>
          <w:rFonts w:ascii="Times New Roman" w:hAnsi="Times New Roman"/>
          <w:snapToGrid/>
          <w:szCs w:val="24"/>
        </w:rPr>
        <w:t xml:space="preserve"> the invoice. </w:t>
      </w:r>
      <w:r>
        <w:rPr>
          <w:rFonts w:ascii="Times New Roman" w:hAnsi="Times New Roman"/>
          <w:snapToGrid/>
          <w:szCs w:val="24"/>
        </w:rPr>
        <w:t>I</w:t>
      </w:r>
      <w:r w:rsidRPr="005B79C4">
        <w:rPr>
          <w:rFonts w:ascii="Times New Roman" w:hAnsi="Times New Roman"/>
          <w:snapToGrid/>
          <w:szCs w:val="24"/>
        </w:rPr>
        <w:t>f the institution believes the assessment base shown on the invoice to be incorrect, the institution may respond to the invoice by filing an amended Call Report through the Central Data Repository (CDR)</w:t>
      </w:r>
      <w:r>
        <w:rPr>
          <w:rFonts w:ascii="Times New Roman" w:hAnsi="Times New Roman"/>
          <w:snapToGrid/>
          <w:szCs w:val="24"/>
        </w:rPr>
        <w:t xml:space="preserve"> and returning the signed assessment invoice indicating that they have done so</w:t>
      </w:r>
      <w:r w:rsidRPr="005B79C4">
        <w:rPr>
          <w:rFonts w:ascii="Times New Roman" w:hAnsi="Times New Roman"/>
          <w:snapToGrid/>
          <w:szCs w:val="24"/>
        </w:rPr>
        <w:t xml:space="preserve">. </w:t>
      </w:r>
      <w:r>
        <w:rPr>
          <w:rFonts w:ascii="Times New Roman" w:hAnsi="Times New Roman"/>
          <w:snapToGrid/>
          <w:szCs w:val="24"/>
        </w:rPr>
        <w:t>The reporting burden associated with filing Call Reports is covered by a separate information collection (OMB Control Number 3064-0052</w:t>
      </w:r>
      <w:r w:rsidR="00DD29EA">
        <w:rPr>
          <w:rFonts w:ascii="Times New Roman" w:hAnsi="Times New Roman"/>
          <w:snapToGrid/>
          <w:szCs w:val="24"/>
        </w:rPr>
        <w:t xml:space="preserve">) </w:t>
      </w:r>
      <w:r w:rsidRPr="005B79C4">
        <w:rPr>
          <w:rFonts w:ascii="Times New Roman" w:hAnsi="Times New Roman"/>
          <w:snapToGrid/>
          <w:szCs w:val="24"/>
        </w:rPr>
        <w:t xml:space="preserve">Therefore, this </w:t>
      </w:r>
      <w:r>
        <w:rPr>
          <w:rFonts w:ascii="Times New Roman" w:hAnsi="Times New Roman"/>
          <w:snapToGrid/>
          <w:szCs w:val="24"/>
        </w:rPr>
        <w:t>information</w:t>
      </w:r>
      <w:r w:rsidRPr="005B79C4">
        <w:rPr>
          <w:rFonts w:ascii="Times New Roman" w:hAnsi="Times New Roman"/>
          <w:snapToGrid/>
          <w:szCs w:val="24"/>
        </w:rPr>
        <w:t xml:space="preserve"> consists of </w:t>
      </w:r>
      <w:r w:rsidR="00DD29EA">
        <w:rPr>
          <w:rFonts w:ascii="Times New Roman" w:hAnsi="Times New Roman"/>
          <w:snapToGrid/>
          <w:szCs w:val="24"/>
        </w:rPr>
        <w:t>the reporting burden</w:t>
      </w:r>
      <w:r w:rsidRPr="005B79C4">
        <w:rPr>
          <w:rFonts w:ascii="Times New Roman" w:hAnsi="Times New Roman"/>
          <w:snapToGrid/>
          <w:szCs w:val="24"/>
        </w:rPr>
        <w:t xml:space="preserve"> associated with invoice reviews by officials of the insured institutions to confirm that the assessment data are accurate and, in cases of inaccuracy, </w:t>
      </w:r>
      <w:r w:rsidR="00DD29EA">
        <w:rPr>
          <w:rFonts w:ascii="Times New Roman" w:hAnsi="Times New Roman"/>
          <w:snapToGrid/>
          <w:szCs w:val="24"/>
        </w:rPr>
        <w:t>returning the signed invoice indicating that a correction is needed.</w:t>
      </w:r>
    </w:p>
    <w:p w:rsidR="00DD29EA" w:rsidP="005B79C4" w:rsidRDefault="00DD29EA">
      <w:pPr>
        <w:ind w:left="1440"/>
        <w:rPr>
          <w:rFonts w:ascii="Times New Roman" w:hAnsi="Times New Roman"/>
          <w:snapToGrid/>
        </w:rPr>
      </w:pPr>
    </w:p>
    <w:p w:rsidR="000B0581" w:rsidP="000B0581" w:rsidRDefault="00DD29EA">
      <w:pPr>
        <w:ind w:left="720"/>
        <w:rPr>
          <w:rFonts w:ascii="Times New Roman" w:hAnsi="Times New Roman"/>
          <w:snapToGrid/>
        </w:rPr>
      </w:pPr>
      <w:r>
        <w:rPr>
          <w:rFonts w:ascii="Times New Roman" w:hAnsi="Times New Roman"/>
          <w:snapToGrid/>
        </w:rPr>
        <w:t>A</w:t>
      </w:r>
      <w:r w:rsidRPr="005B79C4" w:rsidR="005B79C4">
        <w:rPr>
          <w:rFonts w:ascii="Times New Roman" w:hAnsi="Times New Roman"/>
          <w:snapToGrid/>
        </w:rPr>
        <w:t xml:space="preserve">ll </w:t>
      </w:r>
      <w:r>
        <w:rPr>
          <w:rFonts w:ascii="Times New Roman" w:hAnsi="Times New Roman"/>
          <w:snapToGrid/>
        </w:rPr>
        <w:t>insured depository institutions</w:t>
      </w:r>
      <w:r w:rsidRPr="005B79C4" w:rsidR="005B79C4">
        <w:rPr>
          <w:rFonts w:ascii="Times New Roman" w:hAnsi="Times New Roman"/>
          <w:snapToGrid/>
        </w:rPr>
        <w:t xml:space="preserve"> </w:t>
      </w:r>
      <w:r w:rsidRPr="005B79C4" w:rsidR="005B79C4">
        <w:rPr>
          <w:rFonts w:ascii="Times New Roman" w:hAnsi="Times New Roman"/>
        </w:rPr>
        <w:t>receive</w:t>
      </w:r>
      <w:r w:rsidRPr="005B79C4" w:rsidR="005B79C4">
        <w:rPr>
          <w:rFonts w:ascii="Times New Roman" w:hAnsi="Times New Roman"/>
          <w:snapToGrid/>
        </w:rPr>
        <w:t xml:space="preserve"> an invoice each quarter; however, as discussed </w:t>
      </w:r>
      <w:r>
        <w:rPr>
          <w:rFonts w:ascii="Times New Roman" w:hAnsi="Times New Roman"/>
          <w:snapToGrid/>
        </w:rPr>
        <w:t>above</w:t>
      </w:r>
      <w:r w:rsidRPr="005B79C4" w:rsidR="005B79C4">
        <w:rPr>
          <w:rFonts w:ascii="Times New Roman" w:hAnsi="Times New Roman"/>
          <w:snapToGrid/>
        </w:rPr>
        <w:t xml:space="preserve">, </w:t>
      </w:r>
      <w:r>
        <w:rPr>
          <w:rFonts w:ascii="Times New Roman" w:hAnsi="Times New Roman"/>
          <w:snapToGrid/>
        </w:rPr>
        <w:t>insured depository institutions</w:t>
      </w:r>
      <w:r w:rsidRPr="005B79C4" w:rsidR="005B79C4">
        <w:rPr>
          <w:rFonts w:ascii="Times New Roman" w:hAnsi="Times New Roman"/>
          <w:snapToGrid/>
        </w:rPr>
        <w:t xml:space="preserve"> generally do not respond to the invoice unless the institution believes the information contained therein to be incorrect. </w:t>
      </w:r>
      <w:r>
        <w:rPr>
          <w:rFonts w:ascii="Times New Roman" w:hAnsi="Times New Roman"/>
          <w:snapToGrid/>
        </w:rPr>
        <w:t>FDIC assumes a</w:t>
      </w:r>
      <w:r w:rsidRPr="005B79C4" w:rsidR="005B79C4">
        <w:rPr>
          <w:rFonts w:ascii="Times New Roman" w:hAnsi="Times New Roman"/>
          <w:snapToGrid/>
        </w:rPr>
        <w:t xml:space="preserve">ll </w:t>
      </w:r>
      <w:r>
        <w:rPr>
          <w:rFonts w:ascii="Times New Roman" w:hAnsi="Times New Roman"/>
          <w:snapToGrid/>
        </w:rPr>
        <w:t>insured depository institutions</w:t>
      </w:r>
      <w:r w:rsidRPr="005B79C4" w:rsidR="005B79C4">
        <w:rPr>
          <w:rFonts w:ascii="Times New Roman" w:hAnsi="Times New Roman"/>
          <w:snapToGrid/>
        </w:rPr>
        <w:t xml:space="preserve"> who receive an </w:t>
      </w:r>
      <w:r>
        <w:rPr>
          <w:rFonts w:ascii="Times New Roman" w:hAnsi="Times New Roman"/>
          <w:snapToGrid/>
        </w:rPr>
        <w:t xml:space="preserve">assessment </w:t>
      </w:r>
      <w:r w:rsidRPr="005B79C4" w:rsidR="005B79C4">
        <w:rPr>
          <w:rFonts w:ascii="Times New Roman" w:hAnsi="Times New Roman"/>
          <w:snapToGrid/>
        </w:rPr>
        <w:t xml:space="preserve">invoice </w:t>
      </w:r>
      <w:r>
        <w:rPr>
          <w:rFonts w:ascii="Times New Roman" w:hAnsi="Times New Roman"/>
          <w:snapToGrid/>
        </w:rPr>
        <w:t>to be</w:t>
      </w:r>
      <w:r w:rsidRPr="005B79C4" w:rsidR="005B79C4">
        <w:rPr>
          <w:rFonts w:ascii="Times New Roman" w:hAnsi="Times New Roman"/>
          <w:snapToGrid/>
        </w:rPr>
        <w:t xml:space="preserve"> respondents for the purposes of this </w:t>
      </w:r>
      <w:r>
        <w:rPr>
          <w:rFonts w:ascii="Times New Roman" w:hAnsi="Times New Roman"/>
          <w:snapToGrid/>
        </w:rPr>
        <w:t>information collection</w:t>
      </w:r>
      <w:r w:rsidRPr="005B79C4" w:rsidR="005B79C4">
        <w:rPr>
          <w:rFonts w:ascii="Times New Roman" w:hAnsi="Times New Roman"/>
          <w:snapToGrid/>
        </w:rPr>
        <w:t>.</w:t>
      </w:r>
      <w:r>
        <w:rPr>
          <w:rFonts w:ascii="Times New Roman" w:hAnsi="Times New Roman"/>
          <w:snapToGrid/>
        </w:rPr>
        <w:t xml:space="preserve">  </w:t>
      </w:r>
      <w:r w:rsidRPr="00DD29EA">
        <w:rPr>
          <w:rFonts w:ascii="Times New Roman" w:hAnsi="Times New Roman"/>
          <w:snapToGrid/>
        </w:rPr>
        <w:t>As of December 31, 2019, the most recent reporting period for which data is available, there are 5,186 IDIs.</w:t>
      </w:r>
      <w:r w:rsidRPr="00DD29EA">
        <w:rPr>
          <w:rFonts w:ascii="Times New Roman" w:hAnsi="Times New Roman"/>
          <w:snapToGrid/>
          <w:vertAlign w:val="superscript"/>
        </w:rPr>
        <w:footnoteReference w:id="3"/>
      </w:r>
    </w:p>
    <w:p w:rsidR="00151C75" w:rsidP="000B0581" w:rsidRDefault="00151C75">
      <w:pPr>
        <w:ind w:left="720"/>
        <w:rPr>
          <w:rFonts w:ascii="Times New Roman" w:hAnsi="Times New Roman"/>
          <w:snapToGrid/>
        </w:rPr>
      </w:pPr>
    </w:p>
    <w:p w:rsidR="00151C75" w:rsidP="000B0581" w:rsidRDefault="00151C75">
      <w:pPr>
        <w:ind w:left="720"/>
        <w:rPr>
          <w:rFonts w:ascii="Times New Roman" w:hAnsi="Times New Roman"/>
        </w:rPr>
      </w:pPr>
      <w:r>
        <w:rPr>
          <w:rFonts w:ascii="Times New Roman" w:hAnsi="Times New Roman"/>
        </w:rPr>
        <w:t>A</w:t>
      </w:r>
      <w:r w:rsidRPr="00151C75">
        <w:rPr>
          <w:rFonts w:ascii="Times New Roman" w:hAnsi="Times New Roman"/>
        </w:rPr>
        <w:t xml:space="preserve">ll IDIs receive an invoice and IDIs who choose to respond to the invoice do so by filing an amended Call Report through the CDR. </w:t>
      </w:r>
      <w:r w:rsidR="00747C61">
        <w:rPr>
          <w:rFonts w:ascii="Times New Roman" w:hAnsi="Times New Roman"/>
        </w:rPr>
        <w:t>T</w:t>
      </w:r>
      <w:r w:rsidRPr="00151C75">
        <w:rPr>
          <w:rFonts w:ascii="Times New Roman" w:hAnsi="Times New Roman"/>
        </w:rPr>
        <w:t>he average number of institutions who received an invoice over the past 12 quarters is 5,577.</w:t>
      </w:r>
      <w:r w:rsidRPr="00151C75">
        <w:rPr>
          <w:rFonts w:ascii="Times New Roman" w:hAnsi="Times New Roman"/>
          <w:vertAlign w:val="superscript"/>
        </w:rPr>
        <w:footnoteReference w:id="4"/>
      </w:r>
      <w:r w:rsidRPr="00151C75">
        <w:rPr>
          <w:rFonts w:ascii="Times New Roman" w:hAnsi="Times New Roman"/>
        </w:rPr>
        <w:t xml:space="preserve"> However, the count of FDIC-insured institutions has been declining steadily, year over year since 1985. Therefore, in order to avoid potential over-estimation of the number of respondents, </w:t>
      </w:r>
      <w:r>
        <w:rPr>
          <w:rFonts w:ascii="Times New Roman" w:hAnsi="Times New Roman"/>
        </w:rPr>
        <w:t xml:space="preserve">FDIC </w:t>
      </w:r>
      <w:r w:rsidRPr="00151C75">
        <w:rPr>
          <w:rFonts w:ascii="Times New Roman" w:hAnsi="Times New Roman"/>
        </w:rPr>
        <w:t>estimate</w:t>
      </w:r>
      <w:r>
        <w:rPr>
          <w:rFonts w:ascii="Times New Roman" w:hAnsi="Times New Roman"/>
        </w:rPr>
        <w:t>s</w:t>
      </w:r>
      <w:r w:rsidRPr="00151C75">
        <w:rPr>
          <w:rFonts w:ascii="Times New Roman" w:hAnsi="Times New Roman"/>
        </w:rPr>
        <w:t xml:space="preserve"> the number of </w:t>
      </w:r>
      <w:r w:rsidR="00747C61">
        <w:rPr>
          <w:rFonts w:ascii="Times New Roman" w:hAnsi="Times New Roman"/>
        </w:rPr>
        <w:t xml:space="preserve">annual </w:t>
      </w:r>
      <w:r w:rsidRPr="00151C75">
        <w:rPr>
          <w:rFonts w:ascii="Times New Roman" w:hAnsi="Times New Roman"/>
        </w:rPr>
        <w:t>respondents over the next three years to be 5,258, a number commensurate with the number of institutions who received an invoice as of Quarte</w:t>
      </w:r>
      <w:r>
        <w:rPr>
          <w:rFonts w:ascii="Times New Roman" w:hAnsi="Times New Roman"/>
        </w:rPr>
        <w:t>r 4, 2019.</w:t>
      </w:r>
      <w:bookmarkStart w:name="_GoBack" w:id="0"/>
      <w:bookmarkEnd w:id="0"/>
    </w:p>
    <w:p w:rsidR="000B0581" w:rsidP="000B0581" w:rsidRDefault="000B0581">
      <w:pPr>
        <w:ind w:left="720"/>
        <w:rPr>
          <w:rFonts w:ascii="Times New Roman" w:hAnsi="Times New Roman"/>
        </w:rPr>
      </w:pPr>
    </w:p>
    <w:p w:rsidR="00FC41DF" w:rsidP="000B0581" w:rsidRDefault="00FC41DF">
      <w:pPr>
        <w:ind w:left="720"/>
        <w:rPr>
          <w:rFonts w:ascii="Times New Roman" w:hAnsi="Times New Roman"/>
        </w:rPr>
      </w:pPr>
    </w:p>
    <w:tbl>
      <w:tblPr>
        <w:tblW w:w="9850" w:type="dxa"/>
        <w:tblInd w:w="-250" w:type="dxa"/>
        <w:tblBorders>
          <w:top w:val="single" w:color="auto" w:sz="8" w:space="0"/>
          <w:left w:val="single" w:color="auto" w:sz="4" w:space="0"/>
          <w:bottom w:val="single" w:color="auto" w:sz="8" w:space="0"/>
          <w:right w:val="single" w:color="auto" w:sz="4" w:space="0"/>
          <w:insideH w:val="single" w:color="auto" w:sz="8" w:space="0"/>
          <w:insideV w:val="single" w:color="auto" w:sz="4" w:space="0"/>
        </w:tblBorders>
        <w:tblLook w:val="04A0" w:firstRow="1" w:lastRow="0" w:firstColumn="1" w:lastColumn="0" w:noHBand="0" w:noVBand="1"/>
      </w:tblPr>
      <w:tblGrid>
        <w:gridCol w:w="2983"/>
        <w:gridCol w:w="1348"/>
        <w:gridCol w:w="1170"/>
        <w:gridCol w:w="1170"/>
        <w:gridCol w:w="938"/>
        <w:gridCol w:w="1225"/>
        <w:gridCol w:w="1016"/>
      </w:tblGrid>
      <w:tr w:rsidRPr="004F7E3A" w:rsidR="00844536" w:rsidTr="00BD64F8">
        <w:trPr>
          <w:trHeight w:val="915"/>
        </w:trPr>
        <w:tc>
          <w:tcPr>
            <w:tcW w:w="2983" w:type="dxa"/>
            <w:tcBorders>
              <w:top w:val="single" w:color="auto" w:sz="4" w:space="0"/>
              <w:bottom w:val="single" w:color="auto" w:sz="4" w:space="0"/>
              <w:right w:val="single" w:color="auto" w:sz="6" w:space="0"/>
            </w:tcBorders>
            <w:shd w:val="clear" w:color="000000" w:fill="D9D9D9"/>
            <w:noWrap/>
            <w:vAlign w:val="center"/>
            <w:hideMark/>
          </w:tcPr>
          <w:p w:rsidRPr="004F7E3A" w:rsidR="00844536" w:rsidP="009B62D9" w:rsidRDefault="00844536">
            <w:pPr>
              <w:widowControl/>
              <w:jc w:val="center"/>
              <w:rPr>
                <w:rFonts w:ascii="Times New Roman" w:hAnsi="Times New Roman"/>
                <w:b/>
                <w:bCs/>
                <w:snapToGrid/>
                <w:color w:val="000000"/>
                <w:sz w:val="18"/>
                <w:szCs w:val="16"/>
              </w:rPr>
            </w:pPr>
            <w:r w:rsidRPr="004F7E3A">
              <w:rPr>
                <w:rFonts w:ascii="Times New Roman" w:hAnsi="Times New Roman"/>
                <w:b/>
                <w:bCs/>
                <w:snapToGrid/>
                <w:color w:val="000000"/>
                <w:sz w:val="18"/>
                <w:szCs w:val="16"/>
              </w:rPr>
              <w:t>Information Collection (IC) Description</w:t>
            </w:r>
          </w:p>
        </w:tc>
        <w:tc>
          <w:tcPr>
            <w:tcW w:w="1348" w:type="dxa"/>
            <w:tcBorders>
              <w:top w:val="single" w:color="auto" w:sz="4" w:space="0"/>
              <w:left w:val="single" w:color="auto" w:sz="6" w:space="0"/>
              <w:bottom w:val="single" w:color="auto" w:sz="4" w:space="0"/>
              <w:right w:val="single" w:color="auto" w:sz="6" w:space="0"/>
            </w:tcBorders>
            <w:shd w:val="clear" w:color="000000" w:fill="D9D9D9"/>
            <w:vAlign w:val="center"/>
            <w:hideMark/>
          </w:tcPr>
          <w:p w:rsidRPr="004F7E3A" w:rsidR="00844536" w:rsidP="009B62D9" w:rsidRDefault="00844536">
            <w:pPr>
              <w:widowControl/>
              <w:jc w:val="center"/>
              <w:rPr>
                <w:rFonts w:ascii="Times New Roman" w:hAnsi="Times New Roman"/>
                <w:snapToGrid/>
                <w:color w:val="000000"/>
                <w:sz w:val="18"/>
                <w:szCs w:val="16"/>
              </w:rPr>
            </w:pPr>
            <w:r w:rsidRPr="004F7E3A">
              <w:rPr>
                <w:rFonts w:ascii="Times New Roman" w:hAnsi="Times New Roman"/>
                <w:snapToGrid/>
                <w:color w:val="000000"/>
                <w:sz w:val="18"/>
                <w:szCs w:val="16"/>
              </w:rPr>
              <w:t>Type of Burden</w:t>
            </w:r>
          </w:p>
        </w:tc>
        <w:tc>
          <w:tcPr>
            <w:tcW w:w="1170" w:type="dxa"/>
            <w:tcBorders>
              <w:top w:val="single" w:color="auto" w:sz="4" w:space="0"/>
              <w:left w:val="single" w:color="auto" w:sz="6" w:space="0"/>
              <w:bottom w:val="single" w:color="auto" w:sz="4" w:space="0"/>
              <w:right w:val="single" w:color="auto" w:sz="6" w:space="0"/>
            </w:tcBorders>
            <w:shd w:val="clear" w:color="000000" w:fill="D9D9D9"/>
            <w:vAlign w:val="center"/>
            <w:hideMark/>
          </w:tcPr>
          <w:p w:rsidRPr="004F7E3A" w:rsidR="00844536" w:rsidP="009B62D9" w:rsidRDefault="00844536">
            <w:pPr>
              <w:widowControl/>
              <w:jc w:val="center"/>
              <w:rPr>
                <w:rFonts w:ascii="Times New Roman" w:hAnsi="Times New Roman"/>
                <w:snapToGrid/>
                <w:color w:val="000000"/>
                <w:sz w:val="18"/>
                <w:szCs w:val="16"/>
              </w:rPr>
            </w:pPr>
            <w:r w:rsidRPr="004F7E3A">
              <w:rPr>
                <w:rFonts w:ascii="Times New Roman" w:hAnsi="Times New Roman"/>
                <w:snapToGrid/>
                <w:color w:val="000000"/>
                <w:sz w:val="18"/>
                <w:szCs w:val="16"/>
              </w:rPr>
              <w:t>Obligation to Respond</w:t>
            </w:r>
          </w:p>
        </w:tc>
        <w:tc>
          <w:tcPr>
            <w:tcW w:w="1170" w:type="dxa"/>
            <w:tcBorders>
              <w:top w:val="single" w:color="auto" w:sz="4" w:space="0"/>
              <w:left w:val="single" w:color="auto" w:sz="6" w:space="0"/>
              <w:bottom w:val="single" w:color="auto" w:sz="4" w:space="0"/>
              <w:right w:val="single" w:color="auto" w:sz="6" w:space="0"/>
            </w:tcBorders>
            <w:shd w:val="clear" w:color="000000" w:fill="D9D9D9"/>
            <w:vAlign w:val="center"/>
            <w:hideMark/>
          </w:tcPr>
          <w:p w:rsidRPr="004F7E3A" w:rsidR="00844536" w:rsidP="009B62D9" w:rsidRDefault="00844536">
            <w:pPr>
              <w:widowControl/>
              <w:jc w:val="center"/>
              <w:rPr>
                <w:rFonts w:ascii="Times New Roman" w:hAnsi="Times New Roman"/>
                <w:snapToGrid/>
                <w:color w:val="000000"/>
                <w:sz w:val="18"/>
                <w:szCs w:val="16"/>
              </w:rPr>
            </w:pPr>
            <w:r w:rsidRPr="004F7E3A">
              <w:rPr>
                <w:rFonts w:ascii="Times New Roman" w:hAnsi="Times New Roman"/>
                <w:snapToGrid/>
                <w:color w:val="000000"/>
                <w:sz w:val="18"/>
                <w:szCs w:val="16"/>
              </w:rPr>
              <w:t>Estimated Number of Respondents</w:t>
            </w:r>
          </w:p>
        </w:tc>
        <w:tc>
          <w:tcPr>
            <w:tcW w:w="938" w:type="dxa"/>
            <w:tcBorders>
              <w:top w:val="single" w:color="auto" w:sz="4" w:space="0"/>
              <w:left w:val="single" w:color="auto" w:sz="6" w:space="0"/>
              <w:bottom w:val="single" w:color="auto" w:sz="4" w:space="0"/>
              <w:right w:val="single" w:color="auto" w:sz="6" w:space="0"/>
            </w:tcBorders>
            <w:shd w:val="clear" w:color="000000" w:fill="D9D9D9"/>
            <w:vAlign w:val="center"/>
            <w:hideMark/>
          </w:tcPr>
          <w:p w:rsidRPr="004F7E3A" w:rsidR="00844536" w:rsidP="009B62D9" w:rsidRDefault="00844536">
            <w:pPr>
              <w:widowControl/>
              <w:jc w:val="center"/>
              <w:rPr>
                <w:rFonts w:ascii="Times New Roman" w:hAnsi="Times New Roman"/>
                <w:snapToGrid/>
                <w:color w:val="000000"/>
                <w:sz w:val="18"/>
                <w:szCs w:val="16"/>
              </w:rPr>
            </w:pPr>
            <w:r w:rsidRPr="004F7E3A">
              <w:rPr>
                <w:rFonts w:ascii="Times New Roman" w:hAnsi="Times New Roman"/>
                <w:snapToGrid/>
                <w:color w:val="000000"/>
                <w:sz w:val="18"/>
                <w:szCs w:val="16"/>
              </w:rPr>
              <w:t>Estimated Time per Response</w:t>
            </w:r>
          </w:p>
          <w:p w:rsidRPr="004F7E3A" w:rsidR="00844536" w:rsidP="009B62D9" w:rsidRDefault="00844536">
            <w:pPr>
              <w:widowControl/>
              <w:jc w:val="center"/>
              <w:rPr>
                <w:rFonts w:ascii="Times New Roman" w:hAnsi="Times New Roman"/>
                <w:snapToGrid/>
                <w:color w:val="000000"/>
                <w:sz w:val="18"/>
                <w:szCs w:val="16"/>
              </w:rPr>
            </w:pPr>
            <w:r w:rsidRPr="004F7E3A">
              <w:rPr>
                <w:rFonts w:ascii="Times New Roman" w:hAnsi="Times New Roman"/>
                <w:snapToGrid/>
                <w:color w:val="000000"/>
                <w:sz w:val="18"/>
                <w:szCs w:val="16"/>
              </w:rPr>
              <w:t>(</w:t>
            </w:r>
            <w:r>
              <w:rPr>
                <w:rFonts w:ascii="Times New Roman" w:hAnsi="Times New Roman"/>
                <w:snapToGrid/>
                <w:color w:val="000000"/>
                <w:sz w:val="18"/>
                <w:szCs w:val="16"/>
              </w:rPr>
              <w:t>Minutes</w:t>
            </w:r>
            <w:r w:rsidRPr="004F7E3A">
              <w:rPr>
                <w:rFonts w:ascii="Times New Roman" w:hAnsi="Times New Roman"/>
                <w:snapToGrid/>
                <w:color w:val="000000"/>
                <w:sz w:val="18"/>
                <w:szCs w:val="16"/>
              </w:rPr>
              <w:t>)</w:t>
            </w:r>
          </w:p>
        </w:tc>
        <w:tc>
          <w:tcPr>
            <w:tcW w:w="1225" w:type="dxa"/>
            <w:tcBorders>
              <w:top w:val="single" w:color="auto" w:sz="4" w:space="0"/>
              <w:left w:val="single" w:color="auto" w:sz="6" w:space="0"/>
              <w:bottom w:val="single" w:color="auto" w:sz="4" w:space="0"/>
              <w:right w:val="single" w:color="auto" w:sz="6" w:space="0"/>
            </w:tcBorders>
            <w:shd w:val="clear" w:color="000000" w:fill="D9D9D9"/>
            <w:vAlign w:val="center"/>
            <w:hideMark/>
          </w:tcPr>
          <w:p w:rsidRPr="004F7E3A" w:rsidR="00844536" w:rsidP="009B62D9" w:rsidRDefault="00844536">
            <w:pPr>
              <w:widowControl/>
              <w:jc w:val="center"/>
              <w:rPr>
                <w:rFonts w:ascii="Times New Roman" w:hAnsi="Times New Roman"/>
                <w:snapToGrid/>
                <w:color w:val="000000"/>
                <w:sz w:val="18"/>
                <w:szCs w:val="16"/>
              </w:rPr>
            </w:pPr>
            <w:r w:rsidRPr="004F7E3A">
              <w:rPr>
                <w:rFonts w:ascii="Times New Roman" w:hAnsi="Times New Roman"/>
                <w:snapToGrid/>
                <w:color w:val="000000"/>
                <w:sz w:val="18"/>
                <w:szCs w:val="16"/>
              </w:rPr>
              <w:t>Frequency of Response</w:t>
            </w:r>
          </w:p>
        </w:tc>
        <w:tc>
          <w:tcPr>
            <w:tcW w:w="1016" w:type="dxa"/>
            <w:tcBorders>
              <w:top w:val="single" w:color="auto" w:sz="4" w:space="0"/>
              <w:left w:val="single" w:color="auto" w:sz="6" w:space="0"/>
              <w:bottom w:val="single" w:color="auto" w:sz="4" w:space="0"/>
            </w:tcBorders>
            <w:shd w:val="clear" w:color="000000" w:fill="D9D9D9"/>
            <w:vAlign w:val="center"/>
            <w:hideMark/>
          </w:tcPr>
          <w:p w:rsidRPr="004F7E3A" w:rsidR="00844536" w:rsidP="009B62D9" w:rsidRDefault="00844536">
            <w:pPr>
              <w:widowControl/>
              <w:jc w:val="center"/>
              <w:rPr>
                <w:rFonts w:ascii="Times New Roman" w:hAnsi="Times New Roman"/>
                <w:snapToGrid/>
                <w:color w:val="000000"/>
                <w:sz w:val="18"/>
                <w:szCs w:val="16"/>
              </w:rPr>
            </w:pPr>
            <w:r w:rsidRPr="004F7E3A">
              <w:rPr>
                <w:rFonts w:ascii="Times New Roman" w:hAnsi="Times New Roman"/>
                <w:snapToGrid/>
                <w:color w:val="000000"/>
                <w:sz w:val="18"/>
                <w:szCs w:val="16"/>
              </w:rPr>
              <w:t>Total Estimated Annual Burden</w:t>
            </w:r>
          </w:p>
          <w:p w:rsidRPr="004F7E3A" w:rsidR="00844536" w:rsidP="009B62D9" w:rsidRDefault="00844536">
            <w:pPr>
              <w:widowControl/>
              <w:jc w:val="center"/>
              <w:rPr>
                <w:rFonts w:ascii="Times New Roman" w:hAnsi="Times New Roman"/>
                <w:snapToGrid/>
                <w:color w:val="000000"/>
                <w:sz w:val="18"/>
                <w:szCs w:val="16"/>
              </w:rPr>
            </w:pPr>
            <w:r w:rsidRPr="004F7E3A">
              <w:rPr>
                <w:rFonts w:ascii="Times New Roman" w:hAnsi="Times New Roman"/>
                <w:snapToGrid/>
                <w:color w:val="000000"/>
                <w:sz w:val="18"/>
                <w:szCs w:val="16"/>
              </w:rPr>
              <w:t>(Hours)</w:t>
            </w:r>
          </w:p>
        </w:tc>
      </w:tr>
      <w:tr w:rsidRPr="004F7E3A" w:rsidR="00844536" w:rsidTr="00BD64F8">
        <w:trPr>
          <w:trHeight w:val="576"/>
        </w:trPr>
        <w:tc>
          <w:tcPr>
            <w:tcW w:w="2983" w:type="dxa"/>
            <w:tcBorders>
              <w:left w:val="single" w:color="auto" w:sz="8" w:space="0"/>
              <w:bottom w:val="nil"/>
              <w:right w:val="single" w:color="auto" w:sz="6" w:space="0"/>
            </w:tcBorders>
            <w:shd w:val="clear" w:color="auto" w:fill="auto"/>
            <w:vAlign w:val="center"/>
          </w:tcPr>
          <w:p w:rsidRPr="004F7E3A" w:rsidR="00844536" w:rsidP="009B62D9" w:rsidRDefault="00844536">
            <w:pPr>
              <w:widowControl/>
              <w:rPr>
                <w:rFonts w:ascii="Times New Roman" w:hAnsi="Times New Roman"/>
                <w:bCs/>
                <w:i/>
                <w:snapToGrid/>
                <w:color w:val="000000"/>
                <w:sz w:val="20"/>
              </w:rPr>
            </w:pPr>
            <w:r>
              <w:rPr>
                <w:rFonts w:ascii="Times New Roman" w:hAnsi="Times New Roman"/>
                <w:iCs/>
                <w:snapToGrid/>
                <w:color w:val="000000"/>
                <w:sz w:val="20"/>
              </w:rPr>
              <w:t>Quarterly Certified Statement Invoice for Deposit Insurance Assessment (FDIC Form 6420/07)</w:t>
            </w:r>
          </w:p>
        </w:tc>
        <w:tc>
          <w:tcPr>
            <w:tcW w:w="1348" w:type="dxa"/>
            <w:tcBorders>
              <w:left w:val="single" w:color="auto" w:sz="6" w:space="0"/>
              <w:bottom w:val="single" w:color="auto" w:sz="8" w:space="0"/>
              <w:right w:val="single" w:color="auto" w:sz="6" w:space="0"/>
            </w:tcBorders>
            <w:shd w:val="clear" w:color="auto" w:fill="auto"/>
            <w:vAlign w:val="center"/>
            <w:hideMark/>
          </w:tcPr>
          <w:p w:rsidRPr="004F7E3A" w:rsidR="00844536" w:rsidP="009B62D9" w:rsidRDefault="00844536">
            <w:pPr>
              <w:widowControl/>
              <w:jc w:val="center"/>
              <w:rPr>
                <w:rFonts w:ascii="Times New Roman" w:hAnsi="Times New Roman"/>
                <w:snapToGrid/>
                <w:color w:val="000000"/>
                <w:sz w:val="18"/>
                <w:szCs w:val="16"/>
              </w:rPr>
            </w:pPr>
            <w:r w:rsidRPr="004F7E3A">
              <w:rPr>
                <w:rFonts w:ascii="Times New Roman" w:hAnsi="Times New Roman"/>
                <w:snapToGrid/>
                <w:color w:val="000000"/>
                <w:sz w:val="18"/>
                <w:szCs w:val="16"/>
              </w:rPr>
              <w:t>Reporting</w:t>
            </w:r>
          </w:p>
        </w:tc>
        <w:tc>
          <w:tcPr>
            <w:tcW w:w="1170" w:type="dxa"/>
            <w:tcBorders>
              <w:left w:val="single" w:color="auto" w:sz="6" w:space="0"/>
              <w:bottom w:val="single" w:color="auto" w:sz="8" w:space="0"/>
              <w:right w:val="single" w:color="auto" w:sz="6" w:space="0"/>
            </w:tcBorders>
            <w:shd w:val="clear" w:color="auto" w:fill="auto"/>
            <w:vAlign w:val="center"/>
            <w:hideMark/>
          </w:tcPr>
          <w:p w:rsidRPr="004F7E3A" w:rsidR="00844536" w:rsidP="009B62D9" w:rsidRDefault="00844536">
            <w:pPr>
              <w:widowControl/>
              <w:jc w:val="center"/>
              <w:rPr>
                <w:rFonts w:ascii="Times New Roman" w:hAnsi="Times New Roman"/>
                <w:snapToGrid/>
                <w:color w:val="000000"/>
                <w:sz w:val="18"/>
                <w:szCs w:val="16"/>
              </w:rPr>
            </w:pPr>
            <w:r>
              <w:rPr>
                <w:rFonts w:ascii="Times New Roman" w:hAnsi="Times New Roman"/>
                <w:snapToGrid/>
                <w:color w:val="000000"/>
                <w:sz w:val="18"/>
                <w:szCs w:val="16"/>
              </w:rPr>
              <w:t>Mandatory</w:t>
            </w:r>
          </w:p>
        </w:tc>
        <w:tc>
          <w:tcPr>
            <w:tcW w:w="1170" w:type="dxa"/>
            <w:tcBorders>
              <w:left w:val="single" w:color="auto" w:sz="6" w:space="0"/>
              <w:bottom w:val="single" w:color="auto" w:sz="8" w:space="0"/>
              <w:right w:val="single" w:color="auto" w:sz="6" w:space="0"/>
            </w:tcBorders>
            <w:shd w:val="clear" w:color="auto" w:fill="auto"/>
            <w:vAlign w:val="center"/>
            <w:hideMark/>
          </w:tcPr>
          <w:p w:rsidRPr="004F7E3A" w:rsidR="00844536" w:rsidP="009B62D9" w:rsidRDefault="00844536">
            <w:pPr>
              <w:widowControl/>
              <w:jc w:val="center"/>
              <w:rPr>
                <w:rFonts w:ascii="Times New Roman" w:hAnsi="Times New Roman"/>
                <w:snapToGrid/>
                <w:color w:val="000000"/>
                <w:sz w:val="18"/>
                <w:szCs w:val="16"/>
              </w:rPr>
            </w:pPr>
            <w:r>
              <w:rPr>
                <w:rFonts w:ascii="Times New Roman" w:hAnsi="Times New Roman"/>
                <w:snapToGrid/>
                <w:color w:val="000000"/>
                <w:sz w:val="18"/>
                <w:szCs w:val="16"/>
              </w:rPr>
              <w:t>5,258</w:t>
            </w:r>
          </w:p>
        </w:tc>
        <w:tc>
          <w:tcPr>
            <w:tcW w:w="938" w:type="dxa"/>
            <w:tcBorders>
              <w:left w:val="single" w:color="auto" w:sz="6" w:space="0"/>
              <w:bottom w:val="single" w:color="auto" w:sz="8" w:space="0"/>
              <w:right w:val="single" w:color="auto" w:sz="6" w:space="0"/>
            </w:tcBorders>
            <w:shd w:val="clear" w:color="auto" w:fill="auto"/>
            <w:vAlign w:val="center"/>
            <w:hideMark/>
          </w:tcPr>
          <w:p w:rsidRPr="004F7E3A" w:rsidR="00844536" w:rsidP="009B62D9" w:rsidRDefault="00844536">
            <w:pPr>
              <w:widowControl/>
              <w:jc w:val="center"/>
              <w:rPr>
                <w:rFonts w:ascii="Times New Roman" w:hAnsi="Times New Roman"/>
                <w:snapToGrid/>
                <w:color w:val="000000"/>
                <w:sz w:val="18"/>
                <w:szCs w:val="16"/>
              </w:rPr>
            </w:pPr>
            <w:r>
              <w:rPr>
                <w:rFonts w:ascii="Times New Roman" w:hAnsi="Times New Roman"/>
                <w:snapToGrid/>
                <w:color w:val="000000"/>
                <w:sz w:val="18"/>
                <w:szCs w:val="16"/>
              </w:rPr>
              <w:t>20</w:t>
            </w:r>
          </w:p>
        </w:tc>
        <w:tc>
          <w:tcPr>
            <w:tcW w:w="1225" w:type="dxa"/>
            <w:tcBorders>
              <w:left w:val="single" w:color="auto" w:sz="6" w:space="0"/>
              <w:bottom w:val="single" w:color="auto" w:sz="8" w:space="0"/>
              <w:right w:val="single" w:color="auto" w:sz="6" w:space="0"/>
            </w:tcBorders>
            <w:shd w:val="clear" w:color="auto" w:fill="auto"/>
            <w:vAlign w:val="center"/>
            <w:hideMark/>
          </w:tcPr>
          <w:p w:rsidRPr="004F7E3A" w:rsidR="00844536" w:rsidP="009B62D9" w:rsidRDefault="00844536">
            <w:pPr>
              <w:widowControl/>
              <w:jc w:val="center"/>
              <w:rPr>
                <w:rFonts w:ascii="Times New Roman" w:hAnsi="Times New Roman"/>
                <w:snapToGrid/>
                <w:color w:val="000000"/>
                <w:sz w:val="18"/>
                <w:szCs w:val="16"/>
              </w:rPr>
            </w:pPr>
            <w:r>
              <w:rPr>
                <w:rFonts w:ascii="Times New Roman" w:hAnsi="Times New Roman"/>
                <w:snapToGrid/>
                <w:color w:val="000000"/>
                <w:sz w:val="18"/>
                <w:szCs w:val="16"/>
              </w:rPr>
              <w:t>Quarterly</w:t>
            </w:r>
          </w:p>
        </w:tc>
        <w:tc>
          <w:tcPr>
            <w:tcW w:w="1016" w:type="dxa"/>
            <w:tcBorders>
              <w:left w:val="single" w:color="auto" w:sz="6" w:space="0"/>
              <w:bottom w:val="single" w:color="auto" w:sz="8" w:space="0"/>
              <w:right w:val="single" w:color="auto" w:sz="8" w:space="0"/>
            </w:tcBorders>
            <w:shd w:val="clear" w:color="auto" w:fill="auto"/>
            <w:vAlign w:val="center"/>
          </w:tcPr>
          <w:p w:rsidRPr="004F7E3A" w:rsidR="00844536" w:rsidP="009B62D9" w:rsidRDefault="00151C75">
            <w:pPr>
              <w:widowControl/>
              <w:jc w:val="center"/>
              <w:rPr>
                <w:rFonts w:ascii="Times New Roman" w:hAnsi="Times New Roman"/>
                <w:snapToGrid/>
                <w:color w:val="000000"/>
                <w:sz w:val="18"/>
                <w:szCs w:val="16"/>
              </w:rPr>
            </w:pPr>
            <w:r>
              <w:rPr>
                <w:rFonts w:ascii="Times New Roman" w:hAnsi="Times New Roman"/>
                <w:snapToGrid/>
                <w:color w:val="000000"/>
                <w:sz w:val="18"/>
                <w:szCs w:val="16"/>
              </w:rPr>
              <w:t>7,011</w:t>
            </w:r>
          </w:p>
        </w:tc>
      </w:tr>
      <w:tr w:rsidRPr="004F7E3A" w:rsidR="00844536" w:rsidTr="00BD64F8">
        <w:trPr>
          <w:trHeight w:val="340"/>
        </w:trPr>
        <w:tc>
          <w:tcPr>
            <w:tcW w:w="8834" w:type="dxa"/>
            <w:gridSpan w:val="6"/>
            <w:tcBorders>
              <w:left w:val="single" w:color="auto" w:sz="8" w:space="0"/>
              <w:bottom w:val="single" w:color="auto" w:sz="8" w:space="0"/>
              <w:right w:val="single" w:color="auto" w:sz="8" w:space="0"/>
            </w:tcBorders>
            <w:shd w:val="clear" w:color="auto" w:fill="auto"/>
            <w:vAlign w:val="center"/>
          </w:tcPr>
          <w:p w:rsidRPr="004F7E3A" w:rsidR="00844536" w:rsidP="00844536" w:rsidRDefault="00844536">
            <w:pPr>
              <w:widowControl/>
              <w:jc w:val="center"/>
              <w:rPr>
                <w:rFonts w:ascii="Times New Roman" w:hAnsi="Times New Roman"/>
                <w:snapToGrid/>
                <w:color w:val="000000"/>
                <w:sz w:val="18"/>
                <w:szCs w:val="16"/>
              </w:rPr>
            </w:pPr>
            <w:r>
              <w:rPr>
                <w:rFonts w:ascii="Times New Roman" w:hAnsi="Times New Roman"/>
                <w:snapToGrid/>
                <w:color w:val="000000"/>
                <w:sz w:val="18"/>
                <w:szCs w:val="16"/>
              </w:rPr>
              <w:t>Total Estimated Annual Burden</w:t>
            </w:r>
          </w:p>
        </w:tc>
        <w:tc>
          <w:tcPr>
            <w:tcW w:w="1016" w:type="dxa"/>
            <w:tcBorders>
              <w:left w:val="single" w:color="auto" w:sz="6" w:space="0"/>
              <w:bottom w:val="single" w:color="auto" w:sz="8" w:space="0"/>
              <w:right w:val="single" w:color="auto" w:sz="8" w:space="0"/>
            </w:tcBorders>
            <w:shd w:val="clear" w:color="auto" w:fill="auto"/>
            <w:vAlign w:val="center"/>
          </w:tcPr>
          <w:p w:rsidRPr="004F7E3A" w:rsidR="00844536" w:rsidP="00844536" w:rsidRDefault="00151C75">
            <w:pPr>
              <w:widowControl/>
              <w:jc w:val="center"/>
              <w:rPr>
                <w:rFonts w:ascii="Times New Roman" w:hAnsi="Times New Roman"/>
                <w:snapToGrid/>
                <w:color w:val="000000"/>
                <w:sz w:val="18"/>
                <w:szCs w:val="16"/>
              </w:rPr>
            </w:pPr>
            <w:r>
              <w:rPr>
                <w:rFonts w:ascii="Times New Roman" w:hAnsi="Times New Roman"/>
                <w:snapToGrid/>
                <w:color w:val="000000"/>
                <w:sz w:val="18"/>
                <w:szCs w:val="16"/>
              </w:rPr>
              <w:t>7,011</w:t>
            </w:r>
          </w:p>
        </w:tc>
      </w:tr>
    </w:tbl>
    <w:p w:rsidR="007B6C63" w:rsidRDefault="007B6C63">
      <w:pPr>
        <w:rPr>
          <w:rFonts w:ascii="Times New Roman" w:hAnsi="Times New Roman"/>
        </w:rPr>
      </w:pPr>
    </w:p>
    <w:p w:rsidR="00881712" w:rsidP="00881712" w:rsidRDefault="00881712">
      <w:pPr>
        <w:tabs>
          <w:tab w:val="left" w:pos="-1440"/>
        </w:tabs>
        <w:ind w:firstLine="720"/>
        <w:rPr>
          <w:rFonts w:ascii="Times New Roman" w:hAnsi="Times New Roman"/>
        </w:rPr>
      </w:pPr>
      <w:r w:rsidRPr="00881712">
        <w:rPr>
          <w:rFonts w:ascii="Times New Roman" w:hAnsi="Times New Roman"/>
          <w:bCs/>
          <w:i/>
          <w:iCs/>
          <w:szCs w:val="24"/>
        </w:rPr>
        <w:t>Annualized</w:t>
      </w:r>
      <w:r w:rsidRPr="00D64624">
        <w:rPr>
          <w:rFonts w:ascii="Times New Roman" w:hAnsi="Times New Roman"/>
          <w:i/>
          <w:szCs w:val="24"/>
        </w:rPr>
        <w:t xml:space="preserve"> Cost of Internal Hourly Burd</w:t>
      </w:r>
      <w:r w:rsidR="00BD64F8">
        <w:rPr>
          <w:rFonts w:ascii="Times New Roman" w:hAnsi="Times New Roman"/>
          <w:i/>
          <w:szCs w:val="24"/>
        </w:rPr>
        <w:t>en</w:t>
      </w:r>
      <w:r w:rsidRPr="00D64624">
        <w:rPr>
          <w:rFonts w:ascii="Times New Roman" w:hAnsi="Times New Roman"/>
          <w:i/>
          <w:szCs w:val="24"/>
        </w:rPr>
        <w:t>:</w:t>
      </w:r>
    </w:p>
    <w:p w:rsidR="00881712" w:rsidRDefault="00881712">
      <w:pPr>
        <w:rPr>
          <w:rFonts w:ascii="Times New Roman" w:hAnsi="Times New Roman"/>
        </w:rPr>
      </w:pPr>
    </w:p>
    <w:p w:rsidRPr="002A5F6B" w:rsidR="002A5F6B" w:rsidP="002A5F6B" w:rsidRDefault="002A5F6B">
      <w:pPr>
        <w:ind w:left="720"/>
        <w:rPr>
          <w:rFonts w:ascii="Times New Roman" w:hAnsi="Times New Roman"/>
          <w:snapToGrid/>
          <w:szCs w:val="24"/>
        </w:rPr>
      </w:pPr>
      <w:r w:rsidRPr="002A5F6B">
        <w:rPr>
          <w:rFonts w:ascii="Times New Roman" w:hAnsi="Times New Roman"/>
          <w:snapToGrid/>
          <w:szCs w:val="24"/>
        </w:rPr>
        <w:t xml:space="preserve">To estimate the weighted average hourly cost of compensation, </w:t>
      </w:r>
      <w:r>
        <w:rPr>
          <w:rFonts w:ascii="Times New Roman" w:hAnsi="Times New Roman"/>
          <w:snapToGrid/>
          <w:szCs w:val="24"/>
        </w:rPr>
        <w:t>FDIC</w:t>
      </w:r>
      <w:r w:rsidRPr="002A5F6B">
        <w:rPr>
          <w:rFonts w:ascii="Times New Roman" w:hAnsi="Times New Roman"/>
          <w:snapToGrid/>
          <w:szCs w:val="24"/>
        </w:rPr>
        <w:t xml:space="preserve"> use</w:t>
      </w:r>
      <w:r>
        <w:rPr>
          <w:rFonts w:ascii="Times New Roman" w:hAnsi="Times New Roman"/>
          <w:snapToGrid/>
          <w:szCs w:val="24"/>
        </w:rPr>
        <w:t>s</w:t>
      </w:r>
      <w:r w:rsidRPr="002A5F6B">
        <w:rPr>
          <w:rFonts w:ascii="Times New Roman" w:hAnsi="Times New Roman"/>
          <w:snapToGrid/>
          <w:szCs w:val="24"/>
        </w:rPr>
        <w:t xml:space="preserve"> the 75</w:t>
      </w:r>
      <w:r w:rsidRPr="002A5F6B">
        <w:rPr>
          <w:rFonts w:ascii="Times New Roman" w:hAnsi="Times New Roman"/>
          <w:snapToGrid/>
          <w:szCs w:val="24"/>
          <w:vertAlign w:val="superscript"/>
        </w:rPr>
        <w:t>th</w:t>
      </w:r>
      <w:r w:rsidRPr="002A5F6B">
        <w:rPr>
          <w:rFonts w:ascii="Times New Roman" w:hAnsi="Times New Roman"/>
          <w:snapToGrid/>
          <w:szCs w:val="24"/>
        </w:rPr>
        <w:t xml:space="preserve"> percentile hourly wages </w:t>
      </w:r>
      <w:r w:rsidRPr="002A5F6B">
        <w:rPr>
          <w:rFonts w:ascii="Times New Roman" w:hAnsi="Times New Roman"/>
          <w:snapToGrid/>
        </w:rPr>
        <w:t>reported</w:t>
      </w:r>
      <w:r w:rsidRPr="002A5F6B">
        <w:rPr>
          <w:rFonts w:ascii="Times New Roman" w:hAnsi="Times New Roman"/>
          <w:snapToGrid/>
          <w:szCs w:val="24"/>
        </w:rPr>
        <w:t xml:space="preserve"> by the Bureau of Labor Statistics (BLS) National Industry-Specific Occupational Employment and Wage Estimates for the relevant occupations in the Depository Credit Intermediation sector, as of September 2019. </w:t>
      </w:r>
    </w:p>
    <w:p w:rsidRPr="002A5F6B" w:rsidR="002A5F6B" w:rsidP="002A5F6B" w:rsidRDefault="002A5F6B">
      <w:pPr>
        <w:widowControl/>
        <w:rPr>
          <w:rFonts w:ascii="Times New Roman" w:hAnsi="Times New Roman"/>
          <w:snapToGrid/>
          <w:szCs w:val="24"/>
        </w:rPr>
      </w:pPr>
    </w:p>
    <w:p w:rsidRPr="002A5F6B" w:rsidR="002A5F6B" w:rsidP="002A5F6B" w:rsidRDefault="002A5F6B">
      <w:pPr>
        <w:ind w:left="720"/>
        <w:rPr>
          <w:rFonts w:ascii="Times New Roman" w:hAnsi="Times New Roman"/>
          <w:snapToGrid/>
          <w:szCs w:val="24"/>
        </w:rPr>
      </w:pPr>
      <w:r w:rsidRPr="002A5F6B">
        <w:rPr>
          <w:rFonts w:ascii="Times New Roman" w:hAnsi="Times New Roman"/>
          <w:snapToGrid/>
          <w:szCs w:val="24"/>
        </w:rPr>
        <w:t>The hourly wage rates reported do not include non-monetary compensation. According to the September 2019 Employer Cost of Employee Compensation data, compensation rates for health and other benefits are 33.8 percent of total compensation. To account for non-monetary compensation, </w:t>
      </w:r>
      <w:r w:rsidR="00A26153">
        <w:rPr>
          <w:rFonts w:ascii="Times New Roman" w:hAnsi="Times New Roman"/>
          <w:snapToGrid/>
          <w:szCs w:val="24"/>
        </w:rPr>
        <w:t>FDIC</w:t>
      </w:r>
      <w:r w:rsidRPr="002A5F6B">
        <w:rPr>
          <w:rFonts w:ascii="Times New Roman" w:hAnsi="Times New Roman"/>
          <w:snapToGrid/>
          <w:szCs w:val="24"/>
        </w:rPr>
        <w:t xml:space="preserve"> adjust</w:t>
      </w:r>
      <w:r w:rsidR="00A26153">
        <w:rPr>
          <w:rFonts w:ascii="Times New Roman" w:hAnsi="Times New Roman"/>
          <w:snapToGrid/>
          <w:szCs w:val="24"/>
        </w:rPr>
        <w:t>s</w:t>
      </w:r>
      <w:r w:rsidRPr="002A5F6B">
        <w:rPr>
          <w:rFonts w:ascii="Times New Roman" w:hAnsi="Times New Roman"/>
          <w:snapToGrid/>
          <w:szCs w:val="24"/>
        </w:rPr>
        <w:t xml:space="preserve"> the hourly wage rates reported by BLS by that percentage. </w:t>
      </w:r>
      <w:r w:rsidR="00A26153">
        <w:rPr>
          <w:rFonts w:ascii="Times New Roman" w:hAnsi="Times New Roman"/>
          <w:snapToGrid/>
          <w:szCs w:val="24"/>
        </w:rPr>
        <w:t>T</w:t>
      </w:r>
      <w:r w:rsidRPr="002A5F6B" w:rsidR="00A26153">
        <w:rPr>
          <w:rFonts w:ascii="Times New Roman" w:hAnsi="Times New Roman"/>
          <w:snapToGrid/>
          <w:szCs w:val="24"/>
        </w:rPr>
        <w:t>o account for inflation and ensure that the wage information is contemporaneous with the non-monetary compensation statistic</w:t>
      </w:r>
      <w:r w:rsidR="00A26153">
        <w:rPr>
          <w:rFonts w:ascii="Times New Roman" w:hAnsi="Times New Roman"/>
          <w:snapToGrid/>
          <w:szCs w:val="24"/>
        </w:rPr>
        <w:t>, FDIC</w:t>
      </w:r>
      <w:r w:rsidRPr="002A5F6B">
        <w:rPr>
          <w:rFonts w:ascii="Times New Roman" w:hAnsi="Times New Roman"/>
          <w:snapToGrid/>
          <w:szCs w:val="24"/>
        </w:rPr>
        <w:t xml:space="preserve"> also adjust</w:t>
      </w:r>
      <w:r w:rsidR="00A26153">
        <w:rPr>
          <w:rFonts w:ascii="Times New Roman" w:hAnsi="Times New Roman"/>
          <w:snapToGrid/>
          <w:szCs w:val="24"/>
        </w:rPr>
        <w:t>s</w:t>
      </w:r>
      <w:r w:rsidRPr="002A5F6B">
        <w:rPr>
          <w:rFonts w:ascii="Times New Roman" w:hAnsi="Times New Roman"/>
          <w:snapToGrid/>
          <w:szCs w:val="24"/>
        </w:rPr>
        <w:t xml:space="preserve"> the hourly </w:t>
      </w:r>
      <w:r w:rsidRPr="002A5F6B">
        <w:rPr>
          <w:rFonts w:ascii="Times New Roman" w:hAnsi="Times New Roman"/>
          <w:snapToGrid/>
        </w:rPr>
        <w:t>wage</w:t>
      </w:r>
      <w:r w:rsidRPr="002A5F6B">
        <w:rPr>
          <w:rFonts w:ascii="Times New Roman" w:hAnsi="Times New Roman"/>
          <w:snapToGrid/>
          <w:szCs w:val="24"/>
        </w:rPr>
        <w:t xml:space="preserve"> by 2.28 percent</w:t>
      </w:r>
      <w:r w:rsidR="00A26153">
        <w:rPr>
          <w:rFonts w:ascii="Times New Roman" w:hAnsi="Times New Roman"/>
          <w:snapToGrid/>
          <w:szCs w:val="24"/>
        </w:rPr>
        <w:t>,</w:t>
      </w:r>
      <w:r w:rsidRPr="002A5F6B">
        <w:rPr>
          <w:rFonts w:ascii="Times New Roman" w:hAnsi="Times New Roman"/>
          <w:snapToGrid/>
          <w:szCs w:val="24"/>
        </w:rPr>
        <w:t> based on changes in the Consumer Price Index for Urban Consumers (CPI-U) from May</w:t>
      </w:r>
      <w:r w:rsidR="00A26153">
        <w:rPr>
          <w:rFonts w:ascii="Times New Roman" w:hAnsi="Times New Roman"/>
          <w:snapToGrid/>
          <w:szCs w:val="24"/>
        </w:rPr>
        <w:t xml:space="preserve"> </w:t>
      </w:r>
      <w:r w:rsidRPr="002A5F6B">
        <w:rPr>
          <w:rFonts w:ascii="Times New Roman" w:hAnsi="Times New Roman"/>
          <w:snapToGrid/>
          <w:szCs w:val="24"/>
        </w:rPr>
        <w:t>2018 to September 2019</w:t>
      </w:r>
      <w:r w:rsidR="00A26153">
        <w:rPr>
          <w:rFonts w:ascii="Times New Roman" w:hAnsi="Times New Roman"/>
          <w:snapToGrid/>
          <w:szCs w:val="24"/>
        </w:rPr>
        <w:t>.</w:t>
      </w:r>
    </w:p>
    <w:p w:rsidRPr="002A5F6B" w:rsidR="002A5F6B" w:rsidP="002A5F6B" w:rsidRDefault="002A5F6B">
      <w:pPr>
        <w:widowControl/>
        <w:rPr>
          <w:rFonts w:ascii="Times New Roman" w:hAnsi="Times New Roman"/>
          <w:snapToGrid/>
          <w:szCs w:val="24"/>
        </w:rPr>
      </w:pPr>
    </w:p>
    <w:p w:rsidRPr="002A5F6B" w:rsidR="002A5F6B" w:rsidP="002A5F6B" w:rsidRDefault="002A5F6B">
      <w:pPr>
        <w:ind w:left="720"/>
        <w:rPr>
          <w:rFonts w:ascii="Times New Roman" w:hAnsi="Times New Roman"/>
          <w:snapToGrid/>
          <w:szCs w:val="24"/>
        </w:rPr>
      </w:pPr>
      <w:r w:rsidRPr="002A5F6B">
        <w:rPr>
          <w:rFonts w:ascii="Times New Roman" w:hAnsi="Times New Roman"/>
          <w:snapToGrid/>
          <w:szCs w:val="24"/>
        </w:rPr>
        <w:t xml:space="preserve">After calculating these adjustments, </w:t>
      </w:r>
      <w:r w:rsidR="00A26153">
        <w:rPr>
          <w:rFonts w:ascii="Times New Roman" w:hAnsi="Times New Roman"/>
          <w:snapToGrid/>
          <w:szCs w:val="24"/>
        </w:rPr>
        <w:t>FDIC</w:t>
      </w:r>
      <w:r w:rsidRPr="002A5F6B">
        <w:rPr>
          <w:rFonts w:ascii="Times New Roman" w:hAnsi="Times New Roman"/>
          <w:snapToGrid/>
          <w:szCs w:val="24"/>
        </w:rPr>
        <w:t xml:space="preserve"> then weight</w:t>
      </w:r>
      <w:r w:rsidR="00A26153">
        <w:rPr>
          <w:rFonts w:ascii="Times New Roman" w:hAnsi="Times New Roman"/>
          <w:snapToGrid/>
          <w:szCs w:val="24"/>
        </w:rPr>
        <w:t>s</w:t>
      </w:r>
      <w:r w:rsidRPr="002A5F6B">
        <w:rPr>
          <w:rFonts w:ascii="Times New Roman" w:hAnsi="Times New Roman"/>
          <w:snapToGrid/>
          <w:szCs w:val="24"/>
        </w:rPr>
        <w:t xml:space="preserve"> the total hourly compensation for the three occupations (Executives and Managers, Compliance Officer, and Financial Analysts) using the estimated </w:t>
      </w:r>
      <w:r w:rsidRPr="002A5F6B">
        <w:rPr>
          <w:rFonts w:ascii="Times New Roman" w:hAnsi="Times New Roman"/>
          <w:snapToGrid/>
        </w:rPr>
        <w:t>allocation</w:t>
      </w:r>
      <w:r w:rsidRPr="002A5F6B">
        <w:rPr>
          <w:rFonts w:ascii="Times New Roman" w:hAnsi="Times New Roman"/>
          <w:snapToGrid/>
          <w:szCs w:val="24"/>
        </w:rPr>
        <w:t xml:space="preserve"> of labor </w:t>
      </w:r>
      <w:r w:rsidR="00A26153">
        <w:rPr>
          <w:rFonts w:ascii="Times New Roman" w:hAnsi="Times New Roman"/>
          <w:snapToGrid/>
          <w:szCs w:val="24"/>
        </w:rPr>
        <w:t xml:space="preserve">shown below </w:t>
      </w:r>
      <w:r w:rsidRPr="002A5F6B">
        <w:rPr>
          <w:rFonts w:ascii="Times New Roman" w:hAnsi="Times New Roman"/>
          <w:snapToGrid/>
          <w:szCs w:val="24"/>
        </w:rPr>
        <w:t xml:space="preserve">to </w:t>
      </w:r>
      <w:r w:rsidR="00A26153">
        <w:rPr>
          <w:rFonts w:ascii="Times New Roman" w:hAnsi="Times New Roman"/>
          <w:snapToGrid/>
          <w:szCs w:val="24"/>
        </w:rPr>
        <w:t>arrive at</w:t>
      </w:r>
      <w:r w:rsidRPr="002A5F6B">
        <w:rPr>
          <w:rFonts w:ascii="Times New Roman" w:hAnsi="Times New Roman"/>
          <w:snapToGrid/>
          <w:szCs w:val="24"/>
        </w:rPr>
        <w:t xml:space="preserve"> the estimated </w:t>
      </w:r>
      <w:r w:rsidR="00A26153">
        <w:rPr>
          <w:rFonts w:ascii="Times New Roman" w:hAnsi="Times New Roman"/>
          <w:snapToGrid/>
          <w:szCs w:val="24"/>
        </w:rPr>
        <w:t xml:space="preserve">labor </w:t>
      </w:r>
      <w:r w:rsidRPr="002A5F6B">
        <w:rPr>
          <w:rFonts w:ascii="Times New Roman" w:hAnsi="Times New Roman"/>
          <w:snapToGrid/>
          <w:szCs w:val="24"/>
        </w:rPr>
        <w:t xml:space="preserve">cost </w:t>
      </w:r>
      <w:r w:rsidR="00A26153">
        <w:rPr>
          <w:rFonts w:ascii="Times New Roman" w:hAnsi="Times New Roman"/>
          <w:snapToGrid/>
          <w:szCs w:val="24"/>
        </w:rPr>
        <w:t>of the estimated hourly burden</w:t>
      </w:r>
      <w:r w:rsidRPr="002A5F6B">
        <w:rPr>
          <w:rFonts w:ascii="Times New Roman" w:hAnsi="Times New Roman"/>
          <w:snapToGrid/>
          <w:szCs w:val="24"/>
        </w:rPr>
        <w:t>.</w:t>
      </w:r>
    </w:p>
    <w:p w:rsidRPr="002A5F6B" w:rsidR="002A5F6B" w:rsidP="002A5F6B" w:rsidRDefault="002A5F6B">
      <w:pPr>
        <w:widowControl/>
        <w:rPr>
          <w:rFonts w:ascii="Times New Roman" w:hAnsi="Times New Roman"/>
          <w:snapToGrid/>
        </w:rPr>
      </w:pPr>
    </w:p>
    <w:p w:rsidRPr="002A5F6B" w:rsidR="002A5F6B" w:rsidP="002A5F6B" w:rsidRDefault="002A5F6B">
      <w:pPr>
        <w:widowControl/>
        <w:jc w:val="center"/>
        <w:rPr>
          <w:rFonts w:ascii="Times New Roman" w:hAnsi="Times New Roman"/>
          <w:b/>
          <w:snapToGrid/>
        </w:rPr>
      </w:pPr>
      <w:r w:rsidRPr="002A5F6B">
        <w:rPr>
          <w:rFonts w:ascii="Times New Roman" w:hAnsi="Times New Roman"/>
          <w:b/>
          <w:snapToGrid/>
        </w:rPr>
        <w:t>Summary of Hourly Burden Cost Estimate (3064-0057)</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75"/>
        <w:gridCol w:w="2160"/>
        <w:gridCol w:w="2160"/>
        <w:gridCol w:w="2155"/>
      </w:tblGrid>
      <w:tr w:rsidRPr="002A5F6B" w:rsidR="002A5F6B" w:rsidTr="00686F68">
        <w:tc>
          <w:tcPr>
            <w:tcW w:w="2875" w:type="dxa"/>
            <w:shd w:val="clear" w:color="auto" w:fill="auto"/>
            <w:vAlign w:val="center"/>
          </w:tcPr>
          <w:p w:rsidRPr="002A5F6B" w:rsidR="002A5F6B" w:rsidP="00686F68" w:rsidRDefault="002A5F6B">
            <w:pPr>
              <w:widowControl/>
              <w:jc w:val="center"/>
              <w:rPr>
                <w:rFonts w:ascii="Times New Roman" w:hAnsi="Times New Roman" w:eastAsia="Calibri"/>
                <w:snapToGrid/>
                <w:sz w:val="22"/>
                <w:szCs w:val="24"/>
              </w:rPr>
            </w:pPr>
            <w:r w:rsidRPr="002A5F6B">
              <w:rPr>
                <w:rFonts w:ascii="Times New Roman" w:hAnsi="Times New Roman" w:eastAsia="Calibri"/>
                <w:snapToGrid/>
                <w:color w:val="000000"/>
                <w:sz w:val="20"/>
                <w:szCs w:val="22"/>
              </w:rPr>
              <w:t>Estimated Category of Personnel Responsible for Complying with the PRA Burden</w:t>
            </w:r>
          </w:p>
        </w:tc>
        <w:tc>
          <w:tcPr>
            <w:tcW w:w="2160" w:type="dxa"/>
            <w:shd w:val="clear" w:color="auto" w:fill="auto"/>
            <w:vAlign w:val="center"/>
          </w:tcPr>
          <w:p w:rsidRPr="002A5F6B" w:rsidR="002A5F6B" w:rsidP="00686F68" w:rsidRDefault="002A5F6B">
            <w:pPr>
              <w:widowControl/>
              <w:jc w:val="center"/>
              <w:rPr>
                <w:rFonts w:ascii="Times New Roman" w:hAnsi="Times New Roman" w:eastAsia="Calibri"/>
                <w:snapToGrid/>
                <w:sz w:val="22"/>
                <w:szCs w:val="24"/>
              </w:rPr>
            </w:pPr>
            <w:r w:rsidRPr="002A5F6B">
              <w:rPr>
                <w:rFonts w:ascii="Times New Roman" w:hAnsi="Times New Roman" w:eastAsia="Calibri"/>
                <w:snapToGrid/>
                <w:color w:val="000000"/>
                <w:sz w:val="20"/>
                <w:szCs w:val="22"/>
              </w:rPr>
              <w:t>Total Estimated Hourly Compensation</w:t>
            </w:r>
          </w:p>
        </w:tc>
        <w:tc>
          <w:tcPr>
            <w:tcW w:w="2160" w:type="dxa"/>
            <w:shd w:val="clear" w:color="auto" w:fill="auto"/>
            <w:vAlign w:val="center"/>
          </w:tcPr>
          <w:p w:rsidRPr="002A5F6B" w:rsidR="002A5F6B" w:rsidP="00686F68" w:rsidRDefault="002A5F6B">
            <w:pPr>
              <w:widowControl/>
              <w:jc w:val="center"/>
              <w:rPr>
                <w:rFonts w:ascii="Times New Roman" w:hAnsi="Times New Roman" w:eastAsia="Calibri"/>
                <w:snapToGrid/>
                <w:sz w:val="22"/>
                <w:szCs w:val="24"/>
              </w:rPr>
            </w:pPr>
            <w:r w:rsidRPr="002A5F6B">
              <w:rPr>
                <w:rFonts w:ascii="Times New Roman" w:hAnsi="Times New Roman" w:eastAsia="Calibri"/>
                <w:snapToGrid/>
                <w:color w:val="000000"/>
                <w:sz w:val="20"/>
                <w:szCs w:val="22"/>
              </w:rPr>
              <w:t>Estimated Weights</w:t>
            </w:r>
          </w:p>
        </w:tc>
        <w:tc>
          <w:tcPr>
            <w:tcW w:w="2155" w:type="dxa"/>
            <w:shd w:val="clear" w:color="auto" w:fill="auto"/>
            <w:vAlign w:val="center"/>
          </w:tcPr>
          <w:p w:rsidRPr="002A5F6B" w:rsidR="002A5F6B" w:rsidP="00686F68" w:rsidRDefault="002A5F6B">
            <w:pPr>
              <w:widowControl/>
              <w:jc w:val="center"/>
              <w:rPr>
                <w:rFonts w:ascii="Times New Roman" w:hAnsi="Times New Roman" w:eastAsia="Calibri"/>
                <w:snapToGrid/>
                <w:sz w:val="22"/>
                <w:szCs w:val="24"/>
              </w:rPr>
            </w:pPr>
            <w:r w:rsidRPr="002A5F6B">
              <w:rPr>
                <w:rFonts w:ascii="Times New Roman" w:hAnsi="Times New Roman" w:eastAsia="Calibri"/>
                <w:snapToGrid/>
                <w:color w:val="000000"/>
                <w:sz w:val="20"/>
                <w:szCs w:val="22"/>
              </w:rPr>
              <w:t>Weighted Hourly Wage</w:t>
            </w:r>
          </w:p>
        </w:tc>
      </w:tr>
      <w:tr w:rsidRPr="002A5F6B" w:rsidR="002A5F6B" w:rsidTr="00686F68">
        <w:tc>
          <w:tcPr>
            <w:tcW w:w="2875" w:type="dxa"/>
            <w:shd w:val="clear" w:color="auto" w:fill="auto"/>
            <w:vAlign w:val="center"/>
          </w:tcPr>
          <w:p w:rsidRPr="002A5F6B" w:rsidR="002A5F6B" w:rsidP="00686F68" w:rsidRDefault="002A5F6B">
            <w:pPr>
              <w:widowControl/>
              <w:rPr>
                <w:rFonts w:ascii="Times New Roman" w:hAnsi="Times New Roman" w:eastAsia="Calibri"/>
                <w:snapToGrid/>
                <w:sz w:val="22"/>
                <w:szCs w:val="24"/>
              </w:rPr>
            </w:pPr>
            <w:r w:rsidRPr="002A5F6B">
              <w:rPr>
                <w:rFonts w:ascii="Times New Roman" w:hAnsi="Times New Roman" w:eastAsia="Calibri"/>
                <w:snapToGrid/>
                <w:color w:val="000000"/>
                <w:sz w:val="20"/>
                <w:szCs w:val="22"/>
              </w:rPr>
              <w:t>Executives &amp; Managers</w:t>
            </w:r>
            <w:r w:rsidRPr="00686F68">
              <w:rPr>
                <w:rFonts w:ascii="Times New Roman" w:hAnsi="Times New Roman" w:eastAsia="Calibri"/>
                <w:snapToGrid/>
                <w:color w:val="000000"/>
                <w:sz w:val="20"/>
                <w:szCs w:val="22"/>
                <w:vertAlign w:val="superscript"/>
              </w:rPr>
              <w:footnoteReference w:id="5"/>
            </w:r>
          </w:p>
        </w:tc>
        <w:tc>
          <w:tcPr>
            <w:tcW w:w="2160" w:type="dxa"/>
            <w:shd w:val="clear" w:color="auto" w:fill="auto"/>
            <w:vAlign w:val="center"/>
          </w:tcPr>
          <w:p w:rsidRPr="002A5F6B" w:rsidR="002A5F6B" w:rsidP="00686F68" w:rsidRDefault="002A5F6B">
            <w:pPr>
              <w:widowControl/>
              <w:jc w:val="center"/>
              <w:rPr>
                <w:rFonts w:ascii="Times New Roman" w:hAnsi="Times New Roman" w:eastAsia="Calibri"/>
                <w:snapToGrid/>
                <w:sz w:val="22"/>
                <w:szCs w:val="24"/>
              </w:rPr>
            </w:pPr>
            <w:r w:rsidRPr="002A5F6B">
              <w:rPr>
                <w:rFonts w:ascii="Times New Roman" w:hAnsi="Times New Roman" w:eastAsia="Calibri"/>
                <w:snapToGrid/>
                <w:color w:val="000000"/>
                <w:sz w:val="20"/>
                <w:szCs w:val="22"/>
              </w:rPr>
              <w:t>$120.90</w:t>
            </w:r>
          </w:p>
        </w:tc>
        <w:tc>
          <w:tcPr>
            <w:tcW w:w="2160" w:type="dxa"/>
            <w:shd w:val="clear" w:color="auto" w:fill="auto"/>
            <w:vAlign w:val="center"/>
          </w:tcPr>
          <w:p w:rsidRPr="002A5F6B" w:rsidR="002A5F6B" w:rsidP="00686F68" w:rsidRDefault="002A5F6B">
            <w:pPr>
              <w:widowControl/>
              <w:jc w:val="center"/>
              <w:rPr>
                <w:rFonts w:ascii="Times New Roman" w:hAnsi="Times New Roman" w:eastAsia="Calibri"/>
                <w:snapToGrid/>
                <w:sz w:val="22"/>
                <w:szCs w:val="24"/>
              </w:rPr>
            </w:pPr>
            <w:r w:rsidRPr="002A5F6B">
              <w:rPr>
                <w:rFonts w:ascii="Times New Roman" w:hAnsi="Times New Roman" w:eastAsia="Calibri"/>
                <w:snapToGrid/>
                <w:color w:val="000000"/>
                <w:sz w:val="20"/>
                <w:szCs w:val="22"/>
              </w:rPr>
              <w:t>40%</w:t>
            </w:r>
          </w:p>
        </w:tc>
        <w:tc>
          <w:tcPr>
            <w:tcW w:w="2155" w:type="dxa"/>
            <w:shd w:val="clear" w:color="auto" w:fill="auto"/>
            <w:vAlign w:val="center"/>
          </w:tcPr>
          <w:p w:rsidRPr="002A5F6B" w:rsidR="002A5F6B" w:rsidP="00686F68" w:rsidRDefault="002A5F6B">
            <w:pPr>
              <w:widowControl/>
              <w:jc w:val="center"/>
              <w:rPr>
                <w:rFonts w:ascii="Times New Roman" w:hAnsi="Times New Roman" w:eastAsia="Calibri"/>
                <w:snapToGrid/>
                <w:sz w:val="22"/>
                <w:szCs w:val="24"/>
              </w:rPr>
            </w:pPr>
            <w:r w:rsidRPr="002A5F6B">
              <w:rPr>
                <w:rFonts w:ascii="Times New Roman" w:hAnsi="Times New Roman" w:eastAsia="Calibri"/>
                <w:snapToGrid/>
                <w:color w:val="000000"/>
                <w:sz w:val="20"/>
                <w:szCs w:val="22"/>
              </w:rPr>
              <w:t>$48.36</w:t>
            </w:r>
          </w:p>
        </w:tc>
      </w:tr>
      <w:tr w:rsidRPr="002A5F6B" w:rsidR="002A5F6B" w:rsidTr="00686F68">
        <w:tc>
          <w:tcPr>
            <w:tcW w:w="2875" w:type="dxa"/>
            <w:shd w:val="clear" w:color="auto" w:fill="auto"/>
            <w:vAlign w:val="center"/>
          </w:tcPr>
          <w:p w:rsidRPr="002A5F6B" w:rsidR="002A5F6B" w:rsidP="00686F68" w:rsidRDefault="002A5F6B">
            <w:pPr>
              <w:widowControl/>
              <w:rPr>
                <w:rFonts w:ascii="Times New Roman" w:hAnsi="Times New Roman" w:eastAsia="Calibri"/>
                <w:snapToGrid/>
                <w:sz w:val="22"/>
                <w:szCs w:val="24"/>
              </w:rPr>
            </w:pPr>
            <w:r w:rsidRPr="002A5F6B">
              <w:rPr>
                <w:rFonts w:ascii="Times New Roman" w:hAnsi="Times New Roman" w:eastAsia="Calibri"/>
                <w:snapToGrid/>
                <w:color w:val="000000"/>
                <w:sz w:val="20"/>
                <w:szCs w:val="22"/>
              </w:rPr>
              <w:t>Compliance Officer</w:t>
            </w:r>
            <w:r w:rsidRPr="00686F68">
              <w:rPr>
                <w:rFonts w:ascii="Times New Roman" w:hAnsi="Times New Roman" w:eastAsia="Calibri"/>
                <w:snapToGrid/>
                <w:color w:val="000000"/>
                <w:sz w:val="20"/>
                <w:szCs w:val="22"/>
                <w:vertAlign w:val="superscript"/>
              </w:rPr>
              <w:footnoteReference w:id="6"/>
            </w:r>
          </w:p>
        </w:tc>
        <w:tc>
          <w:tcPr>
            <w:tcW w:w="2160" w:type="dxa"/>
            <w:shd w:val="clear" w:color="auto" w:fill="auto"/>
            <w:vAlign w:val="center"/>
          </w:tcPr>
          <w:p w:rsidRPr="002A5F6B" w:rsidR="002A5F6B" w:rsidP="00686F68" w:rsidRDefault="002A5F6B">
            <w:pPr>
              <w:widowControl/>
              <w:jc w:val="center"/>
              <w:rPr>
                <w:rFonts w:ascii="Times New Roman" w:hAnsi="Times New Roman" w:eastAsia="Calibri"/>
                <w:snapToGrid/>
                <w:sz w:val="22"/>
                <w:szCs w:val="24"/>
              </w:rPr>
            </w:pPr>
            <w:r w:rsidRPr="002A5F6B">
              <w:rPr>
                <w:rFonts w:ascii="Times New Roman" w:hAnsi="Times New Roman" w:eastAsia="Calibri"/>
                <w:snapToGrid/>
                <w:color w:val="000000"/>
                <w:sz w:val="20"/>
                <w:szCs w:val="22"/>
              </w:rPr>
              <w:t>$64.89</w:t>
            </w:r>
          </w:p>
        </w:tc>
        <w:tc>
          <w:tcPr>
            <w:tcW w:w="2160" w:type="dxa"/>
            <w:shd w:val="clear" w:color="auto" w:fill="auto"/>
            <w:vAlign w:val="center"/>
          </w:tcPr>
          <w:p w:rsidRPr="002A5F6B" w:rsidR="002A5F6B" w:rsidP="00686F68" w:rsidRDefault="002A5F6B">
            <w:pPr>
              <w:widowControl/>
              <w:jc w:val="center"/>
              <w:rPr>
                <w:rFonts w:ascii="Times New Roman" w:hAnsi="Times New Roman" w:eastAsia="Calibri"/>
                <w:snapToGrid/>
                <w:sz w:val="22"/>
                <w:szCs w:val="24"/>
              </w:rPr>
            </w:pPr>
            <w:r w:rsidRPr="002A5F6B">
              <w:rPr>
                <w:rFonts w:ascii="Times New Roman" w:hAnsi="Times New Roman" w:eastAsia="Calibri"/>
                <w:snapToGrid/>
                <w:color w:val="000000"/>
                <w:sz w:val="20"/>
                <w:szCs w:val="22"/>
              </w:rPr>
              <w:t>30%</w:t>
            </w:r>
          </w:p>
        </w:tc>
        <w:tc>
          <w:tcPr>
            <w:tcW w:w="2155" w:type="dxa"/>
            <w:shd w:val="clear" w:color="auto" w:fill="auto"/>
            <w:vAlign w:val="center"/>
          </w:tcPr>
          <w:p w:rsidRPr="002A5F6B" w:rsidR="002A5F6B" w:rsidP="00686F68" w:rsidRDefault="002A5F6B">
            <w:pPr>
              <w:widowControl/>
              <w:jc w:val="center"/>
              <w:rPr>
                <w:rFonts w:ascii="Times New Roman" w:hAnsi="Times New Roman" w:eastAsia="Calibri"/>
                <w:snapToGrid/>
                <w:sz w:val="22"/>
                <w:szCs w:val="24"/>
              </w:rPr>
            </w:pPr>
            <w:r w:rsidRPr="002A5F6B">
              <w:rPr>
                <w:rFonts w:ascii="Times New Roman" w:hAnsi="Times New Roman" w:eastAsia="Calibri"/>
                <w:snapToGrid/>
                <w:color w:val="000000"/>
                <w:sz w:val="20"/>
                <w:szCs w:val="22"/>
              </w:rPr>
              <w:t>$19.47</w:t>
            </w:r>
          </w:p>
        </w:tc>
      </w:tr>
      <w:tr w:rsidRPr="002A5F6B" w:rsidR="002A5F6B" w:rsidTr="00686F68">
        <w:tc>
          <w:tcPr>
            <w:tcW w:w="2875" w:type="dxa"/>
            <w:shd w:val="clear" w:color="auto" w:fill="auto"/>
            <w:vAlign w:val="center"/>
          </w:tcPr>
          <w:p w:rsidRPr="002A5F6B" w:rsidR="002A5F6B" w:rsidP="00686F68" w:rsidRDefault="002A5F6B">
            <w:pPr>
              <w:widowControl/>
              <w:rPr>
                <w:rFonts w:ascii="Times New Roman" w:hAnsi="Times New Roman" w:eastAsia="Calibri"/>
                <w:snapToGrid/>
                <w:sz w:val="22"/>
                <w:szCs w:val="24"/>
              </w:rPr>
            </w:pPr>
            <w:r w:rsidRPr="002A5F6B">
              <w:rPr>
                <w:rFonts w:ascii="Times New Roman" w:hAnsi="Times New Roman" w:eastAsia="Calibri"/>
                <w:snapToGrid/>
                <w:color w:val="000000"/>
                <w:sz w:val="20"/>
                <w:szCs w:val="22"/>
              </w:rPr>
              <w:t>Financial Analysts</w:t>
            </w:r>
            <w:r w:rsidRPr="00686F68">
              <w:rPr>
                <w:rFonts w:ascii="Times New Roman" w:hAnsi="Times New Roman" w:eastAsia="Calibri"/>
                <w:snapToGrid/>
                <w:color w:val="000000"/>
                <w:sz w:val="20"/>
                <w:szCs w:val="22"/>
                <w:vertAlign w:val="superscript"/>
              </w:rPr>
              <w:footnoteReference w:id="7"/>
            </w:r>
          </w:p>
        </w:tc>
        <w:tc>
          <w:tcPr>
            <w:tcW w:w="2160" w:type="dxa"/>
            <w:shd w:val="clear" w:color="auto" w:fill="auto"/>
            <w:vAlign w:val="center"/>
          </w:tcPr>
          <w:p w:rsidRPr="002A5F6B" w:rsidR="002A5F6B" w:rsidP="00686F68" w:rsidRDefault="002A5F6B">
            <w:pPr>
              <w:widowControl/>
              <w:jc w:val="center"/>
              <w:rPr>
                <w:rFonts w:ascii="Times New Roman" w:hAnsi="Times New Roman" w:eastAsia="Calibri"/>
                <w:snapToGrid/>
                <w:sz w:val="22"/>
                <w:szCs w:val="24"/>
              </w:rPr>
            </w:pPr>
            <w:r w:rsidRPr="002A5F6B">
              <w:rPr>
                <w:rFonts w:ascii="Times New Roman" w:hAnsi="Times New Roman" w:eastAsia="Calibri"/>
                <w:snapToGrid/>
                <w:color w:val="000000"/>
                <w:sz w:val="20"/>
                <w:szCs w:val="22"/>
              </w:rPr>
              <w:t>$83.96</w:t>
            </w:r>
          </w:p>
        </w:tc>
        <w:tc>
          <w:tcPr>
            <w:tcW w:w="2160" w:type="dxa"/>
            <w:shd w:val="clear" w:color="auto" w:fill="auto"/>
            <w:vAlign w:val="center"/>
          </w:tcPr>
          <w:p w:rsidRPr="002A5F6B" w:rsidR="002A5F6B" w:rsidP="00686F68" w:rsidRDefault="002A5F6B">
            <w:pPr>
              <w:widowControl/>
              <w:jc w:val="center"/>
              <w:rPr>
                <w:rFonts w:ascii="Times New Roman" w:hAnsi="Times New Roman" w:eastAsia="Calibri"/>
                <w:snapToGrid/>
                <w:sz w:val="22"/>
                <w:szCs w:val="24"/>
              </w:rPr>
            </w:pPr>
            <w:r w:rsidRPr="002A5F6B">
              <w:rPr>
                <w:rFonts w:ascii="Times New Roman" w:hAnsi="Times New Roman" w:eastAsia="Calibri"/>
                <w:snapToGrid/>
                <w:color w:val="000000"/>
                <w:sz w:val="20"/>
                <w:szCs w:val="22"/>
              </w:rPr>
              <w:t>30%</w:t>
            </w:r>
          </w:p>
        </w:tc>
        <w:tc>
          <w:tcPr>
            <w:tcW w:w="2155" w:type="dxa"/>
            <w:shd w:val="clear" w:color="auto" w:fill="auto"/>
            <w:vAlign w:val="center"/>
          </w:tcPr>
          <w:p w:rsidRPr="002A5F6B" w:rsidR="002A5F6B" w:rsidP="00686F68" w:rsidRDefault="002A5F6B">
            <w:pPr>
              <w:widowControl/>
              <w:jc w:val="center"/>
              <w:rPr>
                <w:rFonts w:ascii="Times New Roman" w:hAnsi="Times New Roman" w:eastAsia="Calibri"/>
                <w:snapToGrid/>
                <w:sz w:val="22"/>
                <w:szCs w:val="24"/>
              </w:rPr>
            </w:pPr>
            <w:r w:rsidRPr="002A5F6B">
              <w:rPr>
                <w:rFonts w:ascii="Times New Roman" w:hAnsi="Times New Roman" w:eastAsia="Calibri"/>
                <w:snapToGrid/>
                <w:color w:val="000000"/>
                <w:sz w:val="20"/>
                <w:szCs w:val="22"/>
              </w:rPr>
              <w:t>$25.19</w:t>
            </w:r>
          </w:p>
        </w:tc>
      </w:tr>
      <w:tr w:rsidRPr="002A5F6B" w:rsidR="002A5F6B" w:rsidTr="00686F68">
        <w:tc>
          <w:tcPr>
            <w:tcW w:w="2875" w:type="dxa"/>
            <w:shd w:val="clear" w:color="auto" w:fill="auto"/>
            <w:vAlign w:val="bottom"/>
          </w:tcPr>
          <w:p w:rsidRPr="002A5F6B" w:rsidR="002A5F6B" w:rsidP="00686F68" w:rsidRDefault="002A5F6B">
            <w:pPr>
              <w:widowControl/>
              <w:rPr>
                <w:rFonts w:ascii="Times New Roman" w:hAnsi="Times New Roman" w:eastAsia="Calibri"/>
                <w:snapToGrid/>
                <w:sz w:val="22"/>
                <w:szCs w:val="24"/>
              </w:rPr>
            </w:pPr>
            <w:r w:rsidRPr="002A5F6B">
              <w:rPr>
                <w:rFonts w:ascii="Times New Roman" w:hAnsi="Times New Roman" w:eastAsia="Calibri"/>
                <w:b/>
                <w:bCs/>
                <w:snapToGrid/>
                <w:color w:val="000000"/>
                <w:sz w:val="20"/>
                <w:szCs w:val="22"/>
              </w:rPr>
              <w:t>Weighted Average</w:t>
            </w:r>
          </w:p>
        </w:tc>
        <w:tc>
          <w:tcPr>
            <w:tcW w:w="2160" w:type="dxa"/>
            <w:shd w:val="clear" w:color="auto" w:fill="auto"/>
            <w:vAlign w:val="bottom"/>
          </w:tcPr>
          <w:p w:rsidRPr="002A5F6B" w:rsidR="002A5F6B" w:rsidP="00686F68" w:rsidRDefault="002A5F6B">
            <w:pPr>
              <w:widowControl/>
              <w:jc w:val="center"/>
              <w:rPr>
                <w:rFonts w:ascii="Times New Roman" w:hAnsi="Times New Roman" w:eastAsia="Calibri"/>
                <w:snapToGrid/>
                <w:sz w:val="22"/>
                <w:szCs w:val="24"/>
              </w:rPr>
            </w:pPr>
          </w:p>
        </w:tc>
        <w:tc>
          <w:tcPr>
            <w:tcW w:w="2160" w:type="dxa"/>
            <w:shd w:val="clear" w:color="auto" w:fill="auto"/>
            <w:vAlign w:val="center"/>
          </w:tcPr>
          <w:p w:rsidRPr="002A5F6B" w:rsidR="002A5F6B" w:rsidP="00686F68" w:rsidRDefault="002A5F6B">
            <w:pPr>
              <w:widowControl/>
              <w:jc w:val="center"/>
              <w:rPr>
                <w:rFonts w:ascii="Times New Roman" w:hAnsi="Times New Roman" w:eastAsia="Calibri"/>
                <w:snapToGrid/>
                <w:sz w:val="22"/>
                <w:szCs w:val="24"/>
              </w:rPr>
            </w:pPr>
          </w:p>
        </w:tc>
        <w:tc>
          <w:tcPr>
            <w:tcW w:w="2155" w:type="dxa"/>
            <w:shd w:val="clear" w:color="auto" w:fill="auto"/>
            <w:vAlign w:val="center"/>
          </w:tcPr>
          <w:p w:rsidRPr="002A5F6B" w:rsidR="002A5F6B" w:rsidP="00686F68" w:rsidRDefault="002A5F6B">
            <w:pPr>
              <w:widowControl/>
              <w:jc w:val="center"/>
              <w:rPr>
                <w:rFonts w:ascii="Times New Roman" w:hAnsi="Times New Roman" w:eastAsia="Calibri"/>
                <w:snapToGrid/>
                <w:sz w:val="22"/>
                <w:szCs w:val="24"/>
              </w:rPr>
            </w:pPr>
            <w:r w:rsidRPr="002A5F6B">
              <w:rPr>
                <w:rFonts w:ascii="Times New Roman" w:hAnsi="Times New Roman" w:eastAsia="Calibri"/>
                <w:snapToGrid/>
                <w:color w:val="000000"/>
                <w:sz w:val="20"/>
                <w:szCs w:val="22"/>
              </w:rPr>
              <w:t>$93.02</w:t>
            </w:r>
          </w:p>
        </w:tc>
      </w:tr>
    </w:tbl>
    <w:p w:rsidRPr="002A5F6B" w:rsidR="002A5F6B" w:rsidP="002A5F6B" w:rsidRDefault="002A5F6B">
      <w:pPr>
        <w:widowControl/>
        <w:textAlignment w:val="baseline"/>
        <w:rPr>
          <w:rFonts w:ascii="Times New Roman" w:hAnsi="Times New Roman"/>
          <w:snapToGrid/>
          <w:sz w:val="20"/>
        </w:rPr>
      </w:pPr>
      <w:r w:rsidRPr="002A5F6B">
        <w:rPr>
          <w:rFonts w:ascii="Times New Roman" w:hAnsi="Times New Roman"/>
          <w:snapToGrid/>
          <w:sz w:val="20"/>
        </w:rPr>
        <w:t>Source: Bureau of Labor Statistics: "National Industry-Specific Occupational Employment and Wage Estimates: Depository Credit Intermediation Sector" (May 2018), Employer Cost of Employee Compensation (September 2019), Consumer Price Index (September 2019).</w:t>
      </w:r>
    </w:p>
    <w:p w:rsidRPr="002A5F6B" w:rsidR="002A5F6B" w:rsidP="002A5F6B" w:rsidRDefault="002A5F6B">
      <w:pPr>
        <w:widowControl/>
        <w:rPr>
          <w:rFonts w:ascii="Times New Roman" w:hAnsi="Times New Roman"/>
          <w:snapToGrid/>
          <w:sz w:val="20"/>
        </w:rPr>
      </w:pPr>
    </w:p>
    <w:p w:rsidRPr="002A5F6B" w:rsidR="002A5F6B" w:rsidP="002A5F6B" w:rsidRDefault="002A5F6B">
      <w:pPr>
        <w:ind w:left="720"/>
        <w:rPr>
          <w:rFonts w:ascii="Times New Roman" w:hAnsi="Times New Roman"/>
          <w:i/>
          <w:snapToGrid/>
          <w:szCs w:val="24"/>
        </w:rPr>
      </w:pPr>
      <w:r w:rsidRPr="002A5F6B">
        <w:rPr>
          <w:rFonts w:ascii="Times New Roman" w:hAnsi="Times New Roman"/>
          <w:i/>
          <w:snapToGrid/>
          <w:szCs w:val="24"/>
        </w:rPr>
        <w:t>Total Estimated Cost Burden</w:t>
      </w:r>
    </w:p>
    <w:p w:rsidRPr="002A5F6B" w:rsidR="002A5F6B" w:rsidP="002A5F6B" w:rsidRDefault="002A5F6B">
      <w:pPr>
        <w:widowControl/>
        <w:rPr>
          <w:rFonts w:ascii="Times New Roman" w:hAnsi="Times New Roman"/>
          <w:b/>
          <w:snapToGrid/>
          <w:szCs w:val="24"/>
        </w:rPr>
      </w:pPr>
    </w:p>
    <w:p w:rsidRPr="002A5F6B" w:rsidR="007562B8" w:rsidP="002A5F6B" w:rsidRDefault="00A26153">
      <w:pPr>
        <w:ind w:left="720"/>
        <w:rPr>
          <w:rFonts w:ascii="Times New Roman" w:hAnsi="Times New Roman"/>
          <w:b/>
          <w:snapToGrid/>
          <w:szCs w:val="24"/>
        </w:rPr>
      </w:pPr>
      <w:r>
        <w:rPr>
          <w:rFonts w:ascii="Times New Roman" w:hAnsi="Times New Roman"/>
          <w:snapToGrid/>
        </w:rPr>
        <w:t xml:space="preserve">FDIC </w:t>
      </w:r>
      <w:r w:rsidRPr="002A5F6B" w:rsidR="002A5F6B">
        <w:rPr>
          <w:rFonts w:ascii="Times New Roman" w:hAnsi="Times New Roman"/>
          <w:snapToGrid/>
        </w:rPr>
        <w:t>estimate</w:t>
      </w:r>
      <w:r>
        <w:rPr>
          <w:rFonts w:ascii="Times New Roman" w:hAnsi="Times New Roman"/>
          <w:snapToGrid/>
        </w:rPr>
        <w:t>s</w:t>
      </w:r>
      <w:r w:rsidRPr="002A5F6B" w:rsidR="002A5F6B">
        <w:rPr>
          <w:rFonts w:ascii="Times New Roman" w:hAnsi="Times New Roman"/>
          <w:snapToGrid/>
        </w:rPr>
        <w:t xml:space="preserve"> the total annual cost burden for this </w:t>
      </w:r>
      <w:r>
        <w:rPr>
          <w:rFonts w:ascii="Times New Roman" w:hAnsi="Times New Roman"/>
          <w:snapToGrid/>
        </w:rPr>
        <w:t>information collection</w:t>
      </w:r>
      <w:r w:rsidRPr="002A5F6B" w:rsidR="002A5F6B">
        <w:rPr>
          <w:rFonts w:ascii="Times New Roman" w:hAnsi="Times New Roman"/>
          <w:snapToGrid/>
          <w:szCs w:val="24"/>
        </w:rPr>
        <w:t xml:space="preserve"> by multiplying the total </w:t>
      </w:r>
      <w:r>
        <w:rPr>
          <w:rFonts w:ascii="Times New Roman" w:hAnsi="Times New Roman"/>
          <w:snapToGrid/>
          <w:szCs w:val="24"/>
        </w:rPr>
        <w:t xml:space="preserve">estimated </w:t>
      </w:r>
      <w:r w:rsidRPr="002A5F6B" w:rsidR="002A5F6B">
        <w:rPr>
          <w:rFonts w:ascii="Times New Roman" w:hAnsi="Times New Roman"/>
          <w:snapToGrid/>
          <w:szCs w:val="24"/>
        </w:rPr>
        <w:t xml:space="preserve">annual burden </w:t>
      </w:r>
      <w:r>
        <w:rPr>
          <w:rFonts w:ascii="Times New Roman" w:hAnsi="Times New Roman"/>
          <w:snapToGrid/>
          <w:szCs w:val="24"/>
        </w:rPr>
        <w:t xml:space="preserve">of 6,941 </w:t>
      </w:r>
      <w:r w:rsidRPr="002A5F6B" w:rsidR="002A5F6B">
        <w:rPr>
          <w:rFonts w:ascii="Times New Roman" w:hAnsi="Times New Roman"/>
          <w:snapToGrid/>
          <w:szCs w:val="24"/>
        </w:rPr>
        <w:t>hours</w:t>
      </w:r>
      <w:r>
        <w:rPr>
          <w:rFonts w:ascii="Times New Roman" w:hAnsi="Times New Roman"/>
          <w:snapToGrid/>
          <w:szCs w:val="24"/>
        </w:rPr>
        <w:t>,</w:t>
      </w:r>
      <w:r w:rsidRPr="002A5F6B" w:rsidR="002A5F6B">
        <w:rPr>
          <w:rFonts w:ascii="Times New Roman" w:hAnsi="Times New Roman"/>
          <w:snapToGrid/>
          <w:szCs w:val="24"/>
        </w:rPr>
        <w:t xml:space="preserve"> by the weighted average hourly compensation estimate </w:t>
      </w:r>
      <w:r>
        <w:rPr>
          <w:rFonts w:ascii="Times New Roman" w:hAnsi="Times New Roman"/>
          <w:snapToGrid/>
          <w:szCs w:val="24"/>
        </w:rPr>
        <w:t xml:space="preserve">of $93.02 to arrive at </w:t>
      </w:r>
      <w:r>
        <w:rPr>
          <w:rFonts w:ascii="Times New Roman" w:hAnsi="Times New Roman"/>
          <w:snapToGrid/>
        </w:rPr>
        <w:t>an estimated</w:t>
      </w:r>
      <w:r w:rsidRPr="002A5F6B" w:rsidR="002A5F6B">
        <w:rPr>
          <w:rFonts w:ascii="Times New Roman" w:hAnsi="Times New Roman"/>
          <w:snapToGrid/>
          <w:szCs w:val="24"/>
        </w:rPr>
        <w:t xml:space="preserve"> </w:t>
      </w:r>
      <w:r>
        <w:rPr>
          <w:rFonts w:ascii="Times New Roman" w:hAnsi="Times New Roman"/>
          <w:snapToGrid/>
          <w:szCs w:val="24"/>
        </w:rPr>
        <w:t xml:space="preserve">labor </w:t>
      </w:r>
      <w:r w:rsidRPr="002A5F6B" w:rsidR="002A5F6B">
        <w:rPr>
          <w:rFonts w:ascii="Times New Roman" w:hAnsi="Times New Roman"/>
          <w:snapToGrid/>
          <w:szCs w:val="24"/>
        </w:rPr>
        <w:t xml:space="preserve">cost </w:t>
      </w:r>
      <w:r>
        <w:rPr>
          <w:rFonts w:ascii="Times New Roman" w:hAnsi="Times New Roman"/>
          <w:snapToGrid/>
          <w:szCs w:val="24"/>
        </w:rPr>
        <w:t>of</w:t>
      </w:r>
      <w:r w:rsidRPr="002A5F6B" w:rsidR="002A5F6B">
        <w:rPr>
          <w:rFonts w:ascii="Times New Roman" w:hAnsi="Times New Roman"/>
          <w:snapToGrid/>
          <w:szCs w:val="24"/>
        </w:rPr>
        <w:t xml:space="preserve"> $645,610.89 per year. </w:t>
      </w:r>
    </w:p>
    <w:p w:rsidR="007562B8" w:rsidRDefault="007562B8">
      <w:pPr>
        <w:rPr>
          <w:rFonts w:ascii="Times New Roman" w:hAnsi="Times New Roman"/>
        </w:rPr>
      </w:pPr>
    </w:p>
    <w:p w:rsidR="007562B8" w:rsidRDefault="007562B8">
      <w:pPr>
        <w:rPr>
          <w:rFonts w:ascii="Times New Roman" w:hAnsi="Times New Roman"/>
        </w:rPr>
      </w:pPr>
    </w:p>
    <w:p w:rsidRPr="000B0581" w:rsidR="007B6C63" w:rsidP="000B0581" w:rsidRDefault="007B6C63">
      <w:pPr>
        <w:keepNext/>
        <w:tabs>
          <w:tab w:val="left" w:pos="-1440"/>
        </w:tabs>
        <w:ind w:left="720" w:hanging="360"/>
        <w:rPr>
          <w:rFonts w:ascii="Times New Roman" w:hAnsi="Times New Roman"/>
          <w:b/>
          <w:u w:val="single"/>
        </w:rPr>
      </w:pPr>
      <w:r>
        <w:rPr>
          <w:rFonts w:ascii="Times New Roman" w:hAnsi="Times New Roman"/>
        </w:rPr>
        <w:t>13.</w:t>
      </w:r>
      <w:r>
        <w:rPr>
          <w:rFonts w:ascii="Times New Roman" w:hAnsi="Times New Roman"/>
        </w:rPr>
        <w:tab/>
      </w:r>
      <w:r w:rsidRPr="000B0581" w:rsidR="00523B22">
        <w:rPr>
          <w:rFonts w:ascii="Times New Roman" w:hAnsi="Times New Roman"/>
          <w:b/>
          <w:bCs/>
          <w:iCs/>
          <w:u w:val="single"/>
        </w:rPr>
        <w:t>Estimate</w:t>
      </w:r>
      <w:r w:rsidRPr="000B0581" w:rsidR="00523B22">
        <w:rPr>
          <w:rFonts w:ascii="Times New Roman" w:hAnsi="Times New Roman"/>
          <w:b/>
          <w:bCs/>
          <w:szCs w:val="24"/>
          <w:u w:val="single"/>
        </w:rPr>
        <w:t xml:space="preserve"> of </w:t>
      </w:r>
      <w:r w:rsidRPr="000B0581" w:rsidR="00523B22">
        <w:rPr>
          <w:rFonts w:ascii="Times New Roman" w:hAnsi="Times New Roman"/>
          <w:b/>
          <w:u w:val="single"/>
        </w:rPr>
        <w:t>start</w:t>
      </w:r>
      <w:r w:rsidRPr="000B0581" w:rsidR="00523B22">
        <w:rPr>
          <w:rFonts w:ascii="Times New Roman" w:hAnsi="Times New Roman"/>
          <w:b/>
          <w:bCs/>
          <w:szCs w:val="24"/>
          <w:u w:val="single"/>
        </w:rPr>
        <w:t>-up costs to respondents:</w:t>
      </w:r>
    </w:p>
    <w:p w:rsidRPr="000B0581" w:rsidR="007B6C63" w:rsidRDefault="007B6C63">
      <w:pPr>
        <w:rPr>
          <w:rFonts w:ascii="Times New Roman" w:hAnsi="Times New Roman"/>
          <w:b/>
          <w:u w:val="single"/>
        </w:rPr>
      </w:pPr>
    </w:p>
    <w:p w:rsidR="007B6C63" w:rsidP="000B0581" w:rsidRDefault="007B6C63">
      <w:pPr>
        <w:ind w:left="720"/>
        <w:rPr>
          <w:rFonts w:ascii="Times New Roman" w:hAnsi="Times New Roman"/>
        </w:rPr>
      </w:pPr>
      <w:r>
        <w:rPr>
          <w:rFonts w:ascii="Times New Roman" w:hAnsi="Times New Roman"/>
        </w:rPr>
        <w:t>No</w:t>
      </w:r>
      <w:r w:rsidR="000B0581">
        <w:rPr>
          <w:rFonts w:ascii="Times New Roman" w:hAnsi="Times New Roman"/>
        </w:rPr>
        <w:t>ne</w:t>
      </w:r>
      <w:r>
        <w:rPr>
          <w:rFonts w:ascii="Times New Roman" w:hAnsi="Times New Roman"/>
        </w:rPr>
        <w:t>.</w:t>
      </w:r>
    </w:p>
    <w:p w:rsidR="007B6C63" w:rsidRDefault="007B6C63">
      <w:pPr>
        <w:rPr>
          <w:rFonts w:ascii="Times New Roman" w:hAnsi="Times New Roman"/>
        </w:rPr>
      </w:pPr>
    </w:p>
    <w:p w:rsidR="007B6C63" w:rsidP="00A1019D" w:rsidRDefault="007B6C63">
      <w:pPr>
        <w:tabs>
          <w:tab w:val="left" w:pos="-1440"/>
        </w:tabs>
        <w:ind w:left="720" w:hanging="360"/>
        <w:rPr>
          <w:rFonts w:ascii="Times New Roman" w:hAnsi="Times New Roman"/>
        </w:rPr>
      </w:pPr>
      <w:r>
        <w:rPr>
          <w:rFonts w:ascii="Times New Roman" w:hAnsi="Times New Roman"/>
        </w:rPr>
        <w:t>14.</w:t>
      </w:r>
      <w:r>
        <w:rPr>
          <w:rFonts w:ascii="Times New Roman" w:hAnsi="Times New Roman"/>
        </w:rPr>
        <w:tab/>
      </w:r>
      <w:r w:rsidRPr="00A1019D" w:rsidR="00523B22">
        <w:rPr>
          <w:rFonts w:ascii="Times New Roman" w:hAnsi="Times New Roman"/>
          <w:b/>
          <w:bCs/>
          <w:iCs/>
          <w:u w:val="single"/>
        </w:rPr>
        <w:t>Estimate</w:t>
      </w:r>
      <w:r w:rsidRPr="00D64624" w:rsidR="00523B22">
        <w:rPr>
          <w:rFonts w:ascii="Times New Roman" w:hAnsi="Times New Roman"/>
          <w:b/>
          <w:bCs/>
          <w:iCs/>
          <w:szCs w:val="24"/>
          <w:u w:val="single"/>
        </w:rPr>
        <w:t xml:space="preserve"> of annualized costs to the government:</w:t>
      </w:r>
    </w:p>
    <w:p w:rsidR="007B6C63" w:rsidRDefault="007B6C63">
      <w:pPr>
        <w:ind w:firstLine="720"/>
        <w:rPr>
          <w:rFonts w:ascii="Times New Roman" w:hAnsi="Times New Roman"/>
        </w:rPr>
      </w:pPr>
    </w:p>
    <w:p w:rsidR="007B6C63" w:rsidP="000B0581" w:rsidRDefault="00243D0C">
      <w:pPr>
        <w:ind w:left="720"/>
        <w:rPr>
          <w:rFonts w:ascii="Times New Roman" w:hAnsi="Times New Roman"/>
        </w:rPr>
      </w:pPr>
      <w:r w:rsidRPr="000B0581">
        <w:rPr>
          <w:rFonts w:ascii="Times New Roman" w:hAnsi="Times New Roman"/>
          <w:szCs w:val="24"/>
        </w:rPr>
        <w:t>None</w:t>
      </w:r>
      <w:r>
        <w:rPr>
          <w:rFonts w:ascii="Times New Roman" w:hAnsi="Times New Roman"/>
        </w:rPr>
        <w:t>.</w:t>
      </w:r>
    </w:p>
    <w:p w:rsidR="007B6C63" w:rsidRDefault="007B6C63">
      <w:pPr>
        <w:rPr>
          <w:rFonts w:ascii="Times New Roman" w:hAnsi="Times New Roman"/>
        </w:rPr>
      </w:pPr>
    </w:p>
    <w:p w:rsidR="007B6C63" w:rsidP="00B61AD2" w:rsidRDefault="007B6C63">
      <w:pPr>
        <w:keepNext/>
        <w:tabs>
          <w:tab w:val="left" w:pos="-1440"/>
        </w:tabs>
        <w:ind w:left="720" w:hanging="360"/>
        <w:rPr>
          <w:rFonts w:ascii="Times New Roman" w:hAnsi="Times New Roman"/>
        </w:rPr>
      </w:pPr>
      <w:r>
        <w:rPr>
          <w:rFonts w:ascii="Times New Roman" w:hAnsi="Times New Roman"/>
        </w:rPr>
        <w:t>15.</w:t>
      </w:r>
      <w:r>
        <w:rPr>
          <w:rFonts w:ascii="Times New Roman" w:hAnsi="Times New Roman"/>
        </w:rPr>
        <w:tab/>
      </w:r>
      <w:r w:rsidRPr="000B0581" w:rsidR="00523B22">
        <w:rPr>
          <w:rFonts w:ascii="Times New Roman" w:hAnsi="Times New Roman"/>
          <w:b/>
          <w:bCs/>
          <w:iCs/>
          <w:u w:val="single"/>
        </w:rPr>
        <w:t>Analysis</w:t>
      </w:r>
      <w:r w:rsidRPr="000B0581" w:rsidR="00523B22">
        <w:rPr>
          <w:rFonts w:ascii="Times New Roman" w:hAnsi="Times New Roman"/>
          <w:b/>
          <w:bCs/>
          <w:iCs/>
          <w:szCs w:val="24"/>
          <w:u w:val="single"/>
        </w:rPr>
        <w:t xml:space="preserve"> </w:t>
      </w:r>
      <w:r w:rsidRPr="000B0581" w:rsidR="00523B22">
        <w:rPr>
          <w:rFonts w:ascii="Times New Roman" w:hAnsi="Times New Roman"/>
          <w:b/>
          <w:u w:val="single"/>
        </w:rPr>
        <w:t>of</w:t>
      </w:r>
      <w:r w:rsidRPr="000B0581" w:rsidR="00523B22">
        <w:rPr>
          <w:rFonts w:ascii="Times New Roman" w:hAnsi="Times New Roman"/>
          <w:b/>
          <w:bCs/>
          <w:iCs/>
          <w:szCs w:val="24"/>
          <w:u w:val="single"/>
        </w:rPr>
        <w:t xml:space="preserve"> change in burden:</w:t>
      </w:r>
    </w:p>
    <w:p w:rsidR="007B6C63" w:rsidP="00B61AD2" w:rsidRDefault="007B6C63">
      <w:pPr>
        <w:keepNext/>
        <w:rPr>
          <w:rFonts w:ascii="Times New Roman" w:hAnsi="Times New Roman"/>
        </w:rPr>
      </w:pPr>
    </w:p>
    <w:p w:rsidR="007B6C63" w:rsidP="00B61AD2" w:rsidRDefault="00B61AD2">
      <w:pPr>
        <w:keepNext/>
        <w:ind w:left="720"/>
        <w:rPr>
          <w:rFonts w:ascii="Times New Roman" w:hAnsi="Times New Roman"/>
        </w:rPr>
      </w:pPr>
      <w:r>
        <w:rPr>
          <w:rFonts w:ascii="Times New Roman" w:hAnsi="Times New Roman"/>
        </w:rPr>
        <w:t xml:space="preserve">There is no change in the substance or methodology of this information collection. </w:t>
      </w:r>
      <w:r w:rsidR="00243D0C">
        <w:rPr>
          <w:rFonts w:ascii="Times New Roman" w:hAnsi="Times New Roman"/>
        </w:rPr>
        <w:t xml:space="preserve">The change in burden is due </w:t>
      </w:r>
      <w:r>
        <w:rPr>
          <w:rFonts w:ascii="Times New Roman" w:hAnsi="Times New Roman"/>
        </w:rPr>
        <w:t xml:space="preserve">solely </w:t>
      </w:r>
      <w:r w:rsidR="00243D0C">
        <w:rPr>
          <w:rFonts w:ascii="Times New Roman" w:hAnsi="Times New Roman"/>
        </w:rPr>
        <w:t xml:space="preserve">to </w:t>
      </w:r>
      <w:r>
        <w:rPr>
          <w:rFonts w:ascii="Times New Roman" w:hAnsi="Times New Roman"/>
        </w:rPr>
        <w:t xml:space="preserve">the </w:t>
      </w:r>
      <w:r w:rsidR="003E3404">
        <w:rPr>
          <w:rFonts w:ascii="Times New Roman" w:hAnsi="Times New Roman"/>
        </w:rPr>
        <w:t>decrease</w:t>
      </w:r>
      <w:r>
        <w:rPr>
          <w:rFonts w:ascii="Times New Roman" w:hAnsi="Times New Roman"/>
        </w:rPr>
        <w:t xml:space="preserve"> in the estimated number of respondents </w:t>
      </w:r>
      <w:r>
        <w:rPr>
          <w:rFonts w:ascii="Times New Roman" w:hAnsi="Times New Roman"/>
          <w:snapToGrid/>
        </w:rPr>
        <w:t>by</w:t>
      </w:r>
      <w:r w:rsidRPr="00B61AD2">
        <w:rPr>
          <w:rFonts w:ascii="Times New Roman" w:hAnsi="Times New Roman"/>
          <w:snapToGrid/>
        </w:rPr>
        <w:t xml:space="preserve"> 823 from the estimated 6,081 annual respondents in the </w:t>
      </w:r>
      <w:r>
        <w:rPr>
          <w:rFonts w:ascii="Times New Roman" w:hAnsi="Times New Roman"/>
          <w:snapToGrid/>
        </w:rPr>
        <w:t>currently-approved information collection</w:t>
      </w:r>
      <w:r w:rsidR="003E3404">
        <w:rPr>
          <w:rFonts w:ascii="Times New Roman" w:hAnsi="Times New Roman"/>
          <w:snapToGrid/>
        </w:rPr>
        <w:t xml:space="preserve"> to the current estimate of 5,258</w:t>
      </w:r>
      <w:r w:rsidRPr="00B61AD2">
        <w:rPr>
          <w:rFonts w:ascii="Times New Roman" w:hAnsi="Times New Roman"/>
          <w:snapToGrid/>
        </w:rPr>
        <w:t xml:space="preserve">. </w:t>
      </w:r>
      <w:r>
        <w:rPr>
          <w:rFonts w:ascii="Times New Roman" w:hAnsi="Times New Roman"/>
          <w:snapToGrid/>
        </w:rPr>
        <w:t>T</w:t>
      </w:r>
      <w:r w:rsidRPr="00B61AD2">
        <w:rPr>
          <w:rFonts w:ascii="Times New Roman" w:hAnsi="Times New Roman"/>
          <w:snapToGrid/>
        </w:rPr>
        <w:t xml:space="preserve">he decrease in estimated respondents is </w:t>
      </w:r>
      <w:r>
        <w:rPr>
          <w:rFonts w:ascii="Times New Roman" w:hAnsi="Times New Roman"/>
          <w:snapToGrid/>
        </w:rPr>
        <w:t>the</w:t>
      </w:r>
      <w:r w:rsidRPr="00B61AD2">
        <w:rPr>
          <w:rFonts w:ascii="Times New Roman" w:hAnsi="Times New Roman"/>
          <w:snapToGrid/>
        </w:rPr>
        <w:t xml:space="preserve"> result of the drop in </w:t>
      </w:r>
      <w:r>
        <w:rPr>
          <w:rFonts w:ascii="Times New Roman" w:hAnsi="Times New Roman"/>
          <w:snapToGrid/>
        </w:rPr>
        <w:t xml:space="preserve">the </w:t>
      </w:r>
      <w:r w:rsidRPr="00B61AD2">
        <w:rPr>
          <w:rFonts w:ascii="Times New Roman" w:hAnsi="Times New Roman"/>
          <w:snapToGrid/>
        </w:rPr>
        <w:t xml:space="preserve">total number of </w:t>
      </w:r>
      <w:r>
        <w:rPr>
          <w:rFonts w:ascii="Times New Roman" w:hAnsi="Times New Roman"/>
          <w:snapToGrid/>
        </w:rPr>
        <w:t>insured depository institutions.</w:t>
      </w:r>
    </w:p>
    <w:p w:rsidRPr="00A1019D" w:rsidR="00D35001" w:rsidP="00A1019D" w:rsidRDefault="00D35001">
      <w:pPr>
        <w:tabs>
          <w:tab w:val="left" w:pos="-1440"/>
        </w:tabs>
        <w:ind w:left="720" w:hanging="360"/>
        <w:rPr>
          <w:rFonts w:ascii="Times New Roman" w:hAnsi="Times New Roman"/>
          <w:b/>
          <w:bCs/>
          <w:iCs/>
          <w:u w:val="single"/>
        </w:rPr>
      </w:pPr>
    </w:p>
    <w:p w:rsidRPr="00D64624" w:rsidR="00937218" w:rsidP="00A1019D" w:rsidRDefault="007B6C63">
      <w:pPr>
        <w:tabs>
          <w:tab w:val="left" w:pos="-1440"/>
        </w:tabs>
        <w:ind w:left="720" w:hanging="360"/>
        <w:rPr>
          <w:rFonts w:ascii="Times New Roman" w:hAnsi="Times New Roman"/>
          <w:b/>
          <w:szCs w:val="24"/>
          <w:u w:val="single"/>
        </w:rPr>
      </w:pPr>
      <w:r>
        <w:rPr>
          <w:rFonts w:ascii="Times New Roman" w:hAnsi="Times New Roman"/>
        </w:rPr>
        <w:t>16.</w:t>
      </w:r>
      <w:r>
        <w:rPr>
          <w:rFonts w:ascii="Times New Roman" w:hAnsi="Times New Roman"/>
        </w:rPr>
        <w:tab/>
      </w:r>
      <w:r w:rsidRPr="00A1019D" w:rsidR="00937218">
        <w:rPr>
          <w:rFonts w:ascii="Times New Roman" w:hAnsi="Times New Roman"/>
          <w:b/>
          <w:bCs/>
          <w:iCs/>
          <w:u w:val="single"/>
        </w:rPr>
        <w:t>Information</w:t>
      </w:r>
      <w:r w:rsidRPr="00D64624" w:rsidR="00937218">
        <w:rPr>
          <w:rFonts w:ascii="Times New Roman" w:hAnsi="Times New Roman"/>
          <w:b/>
          <w:szCs w:val="24"/>
          <w:u w:val="single"/>
        </w:rPr>
        <w:t xml:space="preserve"> regarding collections whose results are planned to be published for statistical use:</w:t>
      </w:r>
    </w:p>
    <w:p w:rsidR="007B6C63" w:rsidRDefault="007B6C63">
      <w:pPr>
        <w:rPr>
          <w:rFonts w:ascii="Times New Roman" w:hAnsi="Times New Roman"/>
        </w:rPr>
      </w:pPr>
    </w:p>
    <w:p w:rsidR="007B6C63" w:rsidP="000B0581" w:rsidRDefault="007B6C63">
      <w:pPr>
        <w:ind w:left="720"/>
        <w:rPr>
          <w:rFonts w:ascii="Times New Roman" w:hAnsi="Times New Roman"/>
        </w:rPr>
      </w:pPr>
      <w:r>
        <w:rPr>
          <w:rFonts w:ascii="Times New Roman" w:hAnsi="Times New Roman"/>
        </w:rPr>
        <w:t>The information collected is for internal FDIC use only and is not published.  Aggregate assessment information is published in financial reports.</w:t>
      </w:r>
    </w:p>
    <w:p w:rsidR="007B6C63" w:rsidRDefault="007B6C63">
      <w:pPr>
        <w:rPr>
          <w:rFonts w:ascii="Times New Roman" w:hAnsi="Times New Roman"/>
        </w:rPr>
      </w:pPr>
    </w:p>
    <w:p w:rsidR="007B6C63" w:rsidP="00A1019D" w:rsidRDefault="007B6C63">
      <w:pPr>
        <w:tabs>
          <w:tab w:val="left" w:pos="-1440"/>
        </w:tabs>
        <w:ind w:left="720" w:hanging="360"/>
        <w:rPr>
          <w:rFonts w:ascii="Times New Roman" w:hAnsi="Times New Roman"/>
        </w:rPr>
      </w:pPr>
      <w:r>
        <w:rPr>
          <w:rFonts w:ascii="Times New Roman" w:hAnsi="Times New Roman"/>
        </w:rPr>
        <w:t>17.</w:t>
      </w:r>
      <w:r>
        <w:rPr>
          <w:rFonts w:ascii="Times New Roman" w:hAnsi="Times New Roman"/>
        </w:rPr>
        <w:tab/>
      </w:r>
      <w:r w:rsidRPr="00A1019D" w:rsidR="00937218">
        <w:rPr>
          <w:rFonts w:ascii="Times New Roman" w:hAnsi="Times New Roman"/>
          <w:b/>
          <w:bCs/>
          <w:iCs/>
          <w:u w:val="single"/>
        </w:rPr>
        <w:t>Display</w:t>
      </w:r>
      <w:r w:rsidRPr="00937218" w:rsidR="00937218">
        <w:rPr>
          <w:rFonts w:ascii="Times New Roman" w:hAnsi="Times New Roman"/>
          <w:b/>
          <w:u w:val="single"/>
        </w:rPr>
        <w:t xml:space="preserve"> of expiration d</w:t>
      </w:r>
      <w:r w:rsidRPr="00937218">
        <w:rPr>
          <w:rFonts w:ascii="Times New Roman" w:hAnsi="Times New Roman"/>
          <w:b/>
          <w:u w:val="single"/>
        </w:rPr>
        <w:t>ate</w:t>
      </w:r>
      <w:r w:rsidRPr="00937218" w:rsidR="00937218">
        <w:rPr>
          <w:rFonts w:ascii="Times New Roman" w:hAnsi="Times New Roman"/>
          <w:b/>
          <w:u w:val="single"/>
        </w:rPr>
        <w:t>:</w:t>
      </w:r>
    </w:p>
    <w:p w:rsidR="007B6C63" w:rsidRDefault="007B6C63">
      <w:pPr>
        <w:rPr>
          <w:rFonts w:ascii="Times New Roman" w:hAnsi="Times New Roman"/>
        </w:rPr>
      </w:pPr>
    </w:p>
    <w:p w:rsidR="007B6C63" w:rsidP="000B0581" w:rsidRDefault="00937218">
      <w:pPr>
        <w:ind w:left="720"/>
        <w:rPr>
          <w:rFonts w:ascii="Times New Roman" w:hAnsi="Times New Roman"/>
        </w:rPr>
      </w:pPr>
      <w:r w:rsidRPr="00D64624">
        <w:rPr>
          <w:rFonts w:ascii="Times New Roman" w:hAnsi="Times New Roman"/>
          <w:szCs w:val="24"/>
        </w:rPr>
        <w:t xml:space="preserve">Not applicable.  </w:t>
      </w:r>
      <w:r>
        <w:rPr>
          <w:rFonts w:ascii="Times New Roman" w:hAnsi="Times New Roman"/>
          <w:szCs w:val="24"/>
        </w:rPr>
        <w:t xml:space="preserve">The FDIC does not seek approval to not display the expiration date for </w:t>
      </w:r>
      <w:r w:rsidRPr="000B0581">
        <w:rPr>
          <w:rFonts w:ascii="Times New Roman" w:hAnsi="Times New Roman"/>
        </w:rPr>
        <w:t>OMB</w:t>
      </w:r>
      <w:r>
        <w:rPr>
          <w:rFonts w:ascii="Times New Roman" w:hAnsi="Times New Roman"/>
          <w:szCs w:val="24"/>
        </w:rPr>
        <w:t xml:space="preserve"> approval for the information collection.  </w:t>
      </w:r>
      <w:r w:rsidRPr="006D69AE">
        <w:rPr>
          <w:rFonts w:ascii="Times New Roman" w:hAnsi="Times New Roman"/>
        </w:rPr>
        <w:t xml:space="preserve">The OMB control number and expiration date will be displayed on the </w:t>
      </w:r>
      <w:r w:rsidR="00655078">
        <w:rPr>
          <w:rFonts w:ascii="Times New Roman" w:hAnsi="Times New Roman"/>
        </w:rPr>
        <w:t>Quarterly Certified Statement Invoice for Deposit Insurance Assessment form</w:t>
      </w:r>
      <w:r>
        <w:rPr>
          <w:rFonts w:ascii="Times New Roman" w:hAnsi="Times New Roman"/>
        </w:rPr>
        <w:t xml:space="preserve"> (FDIC Form 6420/07). </w:t>
      </w:r>
    </w:p>
    <w:p w:rsidR="007B6C63" w:rsidRDefault="007B6C63">
      <w:pPr>
        <w:rPr>
          <w:rFonts w:ascii="Times New Roman" w:hAnsi="Times New Roman"/>
        </w:rPr>
      </w:pPr>
    </w:p>
    <w:p w:rsidR="007B6C63" w:rsidP="00A1019D" w:rsidRDefault="007B6C63">
      <w:pPr>
        <w:tabs>
          <w:tab w:val="left" w:pos="-1440"/>
        </w:tabs>
        <w:ind w:left="720" w:hanging="360"/>
        <w:rPr>
          <w:rFonts w:ascii="Times New Roman" w:hAnsi="Times New Roman"/>
        </w:rPr>
      </w:pPr>
      <w:r>
        <w:rPr>
          <w:rFonts w:ascii="Times New Roman" w:hAnsi="Times New Roman"/>
        </w:rPr>
        <w:t>18.</w:t>
      </w:r>
      <w:r>
        <w:rPr>
          <w:rFonts w:ascii="Times New Roman" w:hAnsi="Times New Roman"/>
        </w:rPr>
        <w:tab/>
      </w:r>
      <w:r w:rsidRPr="00A1019D" w:rsidR="00937218">
        <w:rPr>
          <w:rFonts w:ascii="Times New Roman" w:hAnsi="Times New Roman"/>
          <w:b/>
          <w:bCs/>
          <w:iCs/>
          <w:u w:val="single"/>
        </w:rPr>
        <w:t>Exceptions</w:t>
      </w:r>
      <w:r w:rsidRPr="00937218" w:rsidR="00937218">
        <w:rPr>
          <w:rFonts w:ascii="Times New Roman" w:hAnsi="Times New Roman"/>
          <w:b/>
          <w:u w:val="single"/>
        </w:rPr>
        <w:t xml:space="preserve"> to c</w:t>
      </w:r>
      <w:r w:rsidRPr="00937218">
        <w:rPr>
          <w:rFonts w:ascii="Times New Roman" w:hAnsi="Times New Roman"/>
          <w:b/>
          <w:u w:val="single"/>
        </w:rPr>
        <w:t>ertification</w:t>
      </w:r>
      <w:r w:rsidRPr="00937218" w:rsidR="00937218">
        <w:rPr>
          <w:rFonts w:ascii="Times New Roman" w:hAnsi="Times New Roman"/>
          <w:b/>
          <w:u w:val="single"/>
        </w:rPr>
        <w:t>:</w:t>
      </w:r>
    </w:p>
    <w:p w:rsidR="007B6C63" w:rsidP="00FC41DF" w:rsidRDefault="007B6C63">
      <w:pPr>
        <w:tabs>
          <w:tab w:val="left" w:pos="-1440"/>
        </w:tabs>
        <w:ind w:firstLine="360"/>
        <w:rPr>
          <w:rFonts w:ascii="Times New Roman" w:hAnsi="Times New Roman"/>
        </w:rPr>
      </w:pPr>
    </w:p>
    <w:p w:rsidR="007B6C63" w:rsidP="000B0581" w:rsidRDefault="007B6C63">
      <w:pPr>
        <w:ind w:left="720"/>
        <w:rPr>
          <w:rFonts w:ascii="Times New Roman" w:hAnsi="Times New Roman"/>
        </w:rPr>
      </w:pPr>
      <w:r w:rsidRPr="000B0581">
        <w:rPr>
          <w:rFonts w:ascii="Times New Roman" w:hAnsi="Times New Roman"/>
          <w:szCs w:val="24"/>
        </w:rPr>
        <w:t>None</w:t>
      </w:r>
      <w:r>
        <w:rPr>
          <w:rFonts w:ascii="Times New Roman" w:hAnsi="Times New Roman"/>
        </w:rPr>
        <w:t>.</w:t>
      </w:r>
    </w:p>
    <w:p w:rsidR="007B6C63" w:rsidP="000B0581" w:rsidRDefault="007B6C63">
      <w:pPr>
        <w:ind w:left="720"/>
        <w:rPr>
          <w:rFonts w:ascii="Times New Roman" w:hAnsi="Times New Roman"/>
        </w:rPr>
      </w:pPr>
    </w:p>
    <w:p w:rsidR="007B6C63" w:rsidRDefault="007B6C63">
      <w:pPr>
        <w:tabs>
          <w:tab w:val="left" w:pos="-1440"/>
        </w:tabs>
        <w:rPr>
          <w:rFonts w:ascii="Times New Roman" w:hAnsi="Times New Roman"/>
        </w:rPr>
      </w:pPr>
      <w:r>
        <w:rPr>
          <w:rFonts w:ascii="Times New Roman" w:hAnsi="Times New Roman"/>
        </w:rPr>
        <w:t>B.</w:t>
      </w:r>
      <w:r>
        <w:rPr>
          <w:rFonts w:ascii="Times New Roman" w:hAnsi="Times New Roman"/>
        </w:rPr>
        <w:tab/>
      </w:r>
      <w:r w:rsidR="00937218">
        <w:rPr>
          <w:rFonts w:ascii="Times New Roman" w:hAnsi="Times New Roman"/>
          <w:b/>
          <w:szCs w:val="24"/>
        </w:rPr>
        <w:t>COLLECTION OF INFORMATION EMPLOYING STATISTICAL METHODS</w:t>
      </w:r>
    </w:p>
    <w:p w:rsidR="007B6C63" w:rsidRDefault="007B6C63">
      <w:pPr>
        <w:rPr>
          <w:rFonts w:ascii="Times New Roman" w:hAnsi="Times New Roman"/>
        </w:rPr>
      </w:pPr>
    </w:p>
    <w:p w:rsidR="007B6C63" w:rsidP="000B0581" w:rsidRDefault="007B6C63">
      <w:pPr>
        <w:ind w:left="720"/>
        <w:rPr>
          <w:rFonts w:ascii="Times New Roman" w:hAnsi="Times New Roman"/>
        </w:rPr>
      </w:pPr>
      <w:r>
        <w:rPr>
          <w:rFonts w:ascii="Times New Roman" w:hAnsi="Times New Roman"/>
        </w:rPr>
        <w:t>Not applicable.</w:t>
      </w:r>
    </w:p>
    <w:p w:rsidR="007B6C63" w:rsidRDefault="007B6C63">
      <w:pPr>
        <w:rPr>
          <w:rFonts w:ascii="Times New Roman" w:hAnsi="Times New Roman"/>
        </w:rPr>
      </w:pPr>
    </w:p>
    <w:p w:rsidR="007B6C63" w:rsidRDefault="007B6C63">
      <w:pPr>
        <w:rPr>
          <w:rFonts w:ascii="Times New Roman" w:hAnsi="Times New Roman"/>
        </w:rPr>
      </w:pPr>
    </w:p>
    <w:sectPr w:rsidR="007B6C63">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F68" w:rsidRDefault="00686F68">
      <w:r>
        <w:separator/>
      </w:r>
    </w:p>
  </w:endnote>
  <w:endnote w:type="continuationSeparator" w:id="0">
    <w:p w:rsidR="00686F68" w:rsidRDefault="0068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PS">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C63" w:rsidRDefault="007B6C63">
    <w:pPr>
      <w:spacing w:line="240" w:lineRule="exact"/>
    </w:pPr>
  </w:p>
  <w:p w:rsidR="007B6C63" w:rsidRDefault="007B6C63">
    <w:pPr>
      <w:framePr w:w="936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747C61">
      <w:rPr>
        <w:rFonts w:ascii="Times New Roman" w:hAnsi="Times New Roman"/>
        <w:noProof/>
      </w:rPr>
      <w:t>5</w:t>
    </w:r>
    <w:r>
      <w:rPr>
        <w:rFonts w:ascii="Times New Roman" w:hAnsi="Times New Roman"/>
      </w:rPr>
      <w:fldChar w:fldCharType="end"/>
    </w:r>
  </w:p>
  <w:p w:rsidR="007B6C63" w:rsidRDefault="007B6C6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F68" w:rsidRDefault="00686F68">
      <w:r>
        <w:separator/>
      </w:r>
    </w:p>
  </w:footnote>
  <w:footnote w:type="continuationSeparator" w:id="0">
    <w:p w:rsidR="00686F68" w:rsidRDefault="00686F68">
      <w:r>
        <w:continuationSeparator/>
      </w:r>
    </w:p>
  </w:footnote>
  <w:footnote w:id="1">
    <w:p w:rsidR="00177720" w:rsidRDefault="00177720">
      <w:pPr>
        <w:pStyle w:val="FootnoteText"/>
      </w:pPr>
      <w:r w:rsidRPr="00177720">
        <w:rPr>
          <w:rStyle w:val="FootnoteReference"/>
          <w:rFonts w:ascii="Times New Roman" w:hAnsi="Times New Roman"/>
          <w:vertAlign w:val="superscript"/>
        </w:rPr>
        <w:footnoteRef/>
      </w:r>
      <w:r>
        <w:t xml:space="preserve"> </w:t>
      </w:r>
      <w:r>
        <w:rPr>
          <w:rFonts w:ascii="Times New Roman" w:hAnsi="Times New Roman"/>
        </w:rPr>
        <w:t>The Small Business Administration considers banking institutions with total assets of $600 Million or less to be small entities.</w:t>
      </w:r>
    </w:p>
  </w:footnote>
  <w:footnote w:id="2">
    <w:p w:rsidR="000855E4" w:rsidRPr="00236C6F" w:rsidRDefault="000855E4" w:rsidP="000855E4">
      <w:pPr>
        <w:pStyle w:val="FootnoteText"/>
      </w:pPr>
      <w:r w:rsidRPr="00177720">
        <w:rPr>
          <w:rStyle w:val="FootnoteReference"/>
          <w:rFonts w:ascii="Times New Roman" w:hAnsi="Times New Roman"/>
          <w:vertAlign w:val="superscript"/>
        </w:rPr>
        <w:footnoteRef/>
      </w:r>
      <w:r>
        <w:t xml:space="preserve"> </w:t>
      </w:r>
      <w:r w:rsidRPr="00177720">
        <w:rPr>
          <w:rFonts w:ascii="Times New Roman" w:hAnsi="Times New Roman"/>
        </w:rPr>
        <w:t>FDIC Call Report Data for the 12 quarters ending March 31, 2017 through December 31, 2019.</w:t>
      </w:r>
    </w:p>
  </w:footnote>
  <w:footnote w:id="3">
    <w:p w:rsidR="00DD29EA" w:rsidRDefault="00DD29EA" w:rsidP="00DD29EA">
      <w:pPr>
        <w:pStyle w:val="FootnoteText"/>
      </w:pPr>
      <w:r w:rsidRPr="00DD29EA">
        <w:rPr>
          <w:rStyle w:val="FootnoteReference"/>
          <w:rFonts w:ascii="Times New Roman" w:hAnsi="Times New Roman"/>
          <w:vertAlign w:val="superscript"/>
        </w:rPr>
        <w:footnoteRef/>
      </w:r>
      <w:r>
        <w:t xml:space="preserve"> </w:t>
      </w:r>
      <w:r w:rsidRPr="00DD29EA">
        <w:rPr>
          <w:rFonts w:ascii="Times New Roman" w:hAnsi="Times New Roman"/>
        </w:rPr>
        <w:t>FDI</w:t>
      </w:r>
      <w:r w:rsidR="00D0274E">
        <w:rPr>
          <w:rFonts w:ascii="Times New Roman" w:hAnsi="Times New Roman"/>
        </w:rPr>
        <w:t xml:space="preserve">C </w:t>
      </w:r>
      <w:r w:rsidRPr="00DD29EA">
        <w:rPr>
          <w:rFonts w:ascii="Times New Roman" w:hAnsi="Times New Roman"/>
        </w:rPr>
        <w:t>Call Report Data, December 31, 2019.</w:t>
      </w:r>
      <w:r>
        <w:t xml:space="preserve"> </w:t>
      </w:r>
    </w:p>
  </w:footnote>
  <w:footnote w:id="4">
    <w:p w:rsidR="00151C75" w:rsidRPr="00181FFF" w:rsidRDefault="00151C75" w:rsidP="00151C75">
      <w:pPr>
        <w:pStyle w:val="FootnoteText"/>
      </w:pPr>
      <w:r w:rsidRPr="00151C75">
        <w:rPr>
          <w:rStyle w:val="FootnoteReference"/>
          <w:rFonts w:ascii="Times New Roman" w:hAnsi="Times New Roman"/>
          <w:vertAlign w:val="superscript"/>
        </w:rPr>
        <w:footnoteRef/>
      </w:r>
      <w:r>
        <w:t xml:space="preserve"> </w:t>
      </w:r>
      <w:r w:rsidRPr="00151C75">
        <w:rPr>
          <w:rFonts w:ascii="Times New Roman" w:hAnsi="Times New Roman"/>
        </w:rPr>
        <w:t>This average is taken from the 12 quarters ending March 31, 2017 through December 31, 2019.</w:t>
      </w:r>
      <w:r>
        <w:t xml:space="preserve"> </w:t>
      </w:r>
    </w:p>
  </w:footnote>
  <w:footnote w:id="5">
    <w:p w:rsidR="002A5F6B" w:rsidRPr="00A26153" w:rsidRDefault="002A5F6B" w:rsidP="002A5F6B">
      <w:pPr>
        <w:pStyle w:val="FootnoteText"/>
        <w:rPr>
          <w:rFonts w:ascii="Times New Roman" w:hAnsi="Times New Roman"/>
        </w:rPr>
      </w:pPr>
      <w:r w:rsidRPr="00A26153">
        <w:rPr>
          <w:rStyle w:val="FootnoteReference"/>
          <w:rFonts w:ascii="Times New Roman" w:hAnsi="Times New Roman"/>
          <w:vertAlign w:val="superscript"/>
        </w:rPr>
        <w:footnoteRef/>
      </w:r>
      <w:r w:rsidRPr="00A26153">
        <w:rPr>
          <w:rFonts w:ascii="Times New Roman" w:hAnsi="Times New Roman"/>
          <w:vertAlign w:val="superscript"/>
        </w:rPr>
        <w:t xml:space="preserve"> </w:t>
      </w:r>
      <w:r w:rsidRPr="00A26153">
        <w:rPr>
          <w:rFonts w:ascii="Times New Roman" w:hAnsi="Times New Roman"/>
        </w:rPr>
        <w:t>Occupation (SOC Code): Management Occupations (110000).</w:t>
      </w:r>
    </w:p>
  </w:footnote>
  <w:footnote w:id="6">
    <w:p w:rsidR="002A5F6B" w:rsidRPr="00A26153" w:rsidRDefault="002A5F6B" w:rsidP="002A5F6B">
      <w:pPr>
        <w:pStyle w:val="FootnoteText"/>
        <w:rPr>
          <w:rFonts w:ascii="Times New Roman" w:hAnsi="Times New Roman"/>
        </w:rPr>
      </w:pPr>
      <w:r w:rsidRPr="00A26153">
        <w:rPr>
          <w:rStyle w:val="FootnoteReference"/>
          <w:rFonts w:ascii="Times New Roman" w:hAnsi="Times New Roman"/>
          <w:vertAlign w:val="superscript"/>
        </w:rPr>
        <w:footnoteRef/>
      </w:r>
      <w:r w:rsidRPr="00A26153">
        <w:rPr>
          <w:rFonts w:ascii="Times New Roman" w:hAnsi="Times New Roman"/>
          <w:vertAlign w:val="superscript"/>
        </w:rPr>
        <w:t xml:space="preserve"> </w:t>
      </w:r>
      <w:r w:rsidRPr="00A26153">
        <w:rPr>
          <w:rFonts w:ascii="Times New Roman" w:hAnsi="Times New Roman"/>
        </w:rPr>
        <w:t>Occupation (SOC Code): Compliance Officers (131041).</w:t>
      </w:r>
    </w:p>
  </w:footnote>
  <w:footnote w:id="7">
    <w:p w:rsidR="002A5F6B" w:rsidRPr="00A26153" w:rsidRDefault="002A5F6B" w:rsidP="002A5F6B">
      <w:pPr>
        <w:pStyle w:val="FootnoteText"/>
        <w:rPr>
          <w:rFonts w:ascii="Times New Roman" w:hAnsi="Times New Roman"/>
        </w:rPr>
      </w:pPr>
      <w:r w:rsidRPr="00A26153">
        <w:rPr>
          <w:rStyle w:val="FootnoteReference"/>
          <w:rFonts w:ascii="Times New Roman" w:hAnsi="Times New Roman"/>
          <w:vertAlign w:val="superscript"/>
        </w:rPr>
        <w:footnoteRef/>
      </w:r>
      <w:r w:rsidRPr="00A26153">
        <w:rPr>
          <w:rFonts w:ascii="Times New Roman" w:hAnsi="Times New Roman"/>
          <w:vertAlign w:val="superscript"/>
        </w:rPr>
        <w:t xml:space="preserve"> </w:t>
      </w:r>
      <w:r w:rsidRPr="00A26153">
        <w:rPr>
          <w:rFonts w:ascii="Times New Roman" w:hAnsi="Times New Roman"/>
        </w:rPr>
        <w:t xml:space="preserve">Occupation (SOC Code): Financial Analyst (132051).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3CFC"/>
    <w:multiLevelType w:val="hybridMultilevel"/>
    <w:tmpl w:val="2FF4FEAA"/>
    <w:lvl w:ilvl="0" w:tplc="1A885AFE">
      <w:start w:val="1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A5A7B"/>
    <w:multiLevelType w:val="hybridMultilevel"/>
    <w:tmpl w:val="4F6C3130"/>
    <w:lvl w:ilvl="0" w:tplc="89805D78">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88721FE"/>
    <w:multiLevelType w:val="singleLevel"/>
    <w:tmpl w:val="6F94DAD4"/>
    <w:lvl w:ilvl="0">
      <w:start w:val="3"/>
      <w:numFmt w:val="decimal"/>
      <w:lvlText w:val="%1."/>
      <w:lvlJc w:val="left"/>
      <w:pPr>
        <w:tabs>
          <w:tab w:val="num" w:pos="720"/>
        </w:tabs>
        <w:ind w:left="72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F79"/>
    <w:rsid w:val="000002C9"/>
    <w:rsid w:val="000855E4"/>
    <w:rsid w:val="00093D0F"/>
    <w:rsid w:val="000B0581"/>
    <w:rsid w:val="00151C75"/>
    <w:rsid w:val="00175893"/>
    <w:rsid w:val="00177720"/>
    <w:rsid w:val="001778A3"/>
    <w:rsid w:val="001D78D3"/>
    <w:rsid w:val="00217B22"/>
    <w:rsid w:val="00243D0C"/>
    <w:rsid w:val="002A35F4"/>
    <w:rsid w:val="002A5F6B"/>
    <w:rsid w:val="002B1AFA"/>
    <w:rsid w:val="002F26D8"/>
    <w:rsid w:val="00386C94"/>
    <w:rsid w:val="003B3219"/>
    <w:rsid w:val="003E3404"/>
    <w:rsid w:val="003E5901"/>
    <w:rsid w:val="003F2FF8"/>
    <w:rsid w:val="00435A15"/>
    <w:rsid w:val="00454007"/>
    <w:rsid w:val="0048245A"/>
    <w:rsid w:val="004C5B45"/>
    <w:rsid w:val="00523B22"/>
    <w:rsid w:val="005B79C4"/>
    <w:rsid w:val="005C5B63"/>
    <w:rsid w:val="005E62DB"/>
    <w:rsid w:val="00615BAD"/>
    <w:rsid w:val="00633585"/>
    <w:rsid w:val="0063734B"/>
    <w:rsid w:val="00653821"/>
    <w:rsid w:val="00655078"/>
    <w:rsid w:val="00686F68"/>
    <w:rsid w:val="006B0048"/>
    <w:rsid w:val="00747C61"/>
    <w:rsid w:val="007562B8"/>
    <w:rsid w:val="007B6C63"/>
    <w:rsid w:val="007C46E4"/>
    <w:rsid w:val="0080546E"/>
    <w:rsid w:val="00820F79"/>
    <w:rsid w:val="00844536"/>
    <w:rsid w:val="00866DB2"/>
    <w:rsid w:val="00881712"/>
    <w:rsid w:val="008B2102"/>
    <w:rsid w:val="00937218"/>
    <w:rsid w:val="009B62D9"/>
    <w:rsid w:val="009B7A15"/>
    <w:rsid w:val="009C2BFF"/>
    <w:rsid w:val="00A1019D"/>
    <w:rsid w:val="00A26153"/>
    <w:rsid w:val="00A81BD7"/>
    <w:rsid w:val="00B17BBF"/>
    <w:rsid w:val="00B61AD2"/>
    <w:rsid w:val="00BD64F8"/>
    <w:rsid w:val="00C14D80"/>
    <w:rsid w:val="00C750AB"/>
    <w:rsid w:val="00C8275D"/>
    <w:rsid w:val="00CB2ED5"/>
    <w:rsid w:val="00CC7A55"/>
    <w:rsid w:val="00D0274E"/>
    <w:rsid w:val="00D1720C"/>
    <w:rsid w:val="00D35001"/>
    <w:rsid w:val="00D50914"/>
    <w:rsid w:val="00D55074"/>
    <w:rsid w:val="00D804A5"/>
    <w:rsid w:val="00DD29EA"/>
    <w:rsid w:val="00DE2D0B"/>
    <w:rsid w:val="00F34CBE"/>
    <w:rsid w:val="00F8783F"/>
    <w:rsid w:val="00F9430B"/>
    <w:rsid w:val="00FC41DF"/>
    <w:rsid w:val="00FC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635F2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12,Style 19,Style 16,Style 35"/>
    <w:uiPriority w:val="99"/>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unhideWhenUsed/>
    <w:qFormat/>
    <w:rsid w:val="00386C94"/>
    <w:pPr>
      <w:widowControl/>
    </w:pPr>
    <w:rPr>
      <w:rFonts w:ascii="Arial Narrow" w:hAnsi="Arial Narrow"/>
      <w:snapToGrid/>
      <w:u w:val="single"/>
    </w:rPr>
  </w:style>
  <w:style w:type="character" w:customStyle="1" w:styleId="BodyTextChar">
    <w:name w:val="Body Text Char"/>
    <w:link w:val="BodyText"/>
    <w:rsid w:val="00386C94"/>
    <w:rPr>
      <w:rFonts w:ascii="Arial Narrow" w:hAnsi="Arial Narrow"/>
      <w:sz w:val="24"/>
      <w:u w:val="single"/>
    </w:rPr>
  </w:style>
  <w:style w:type="paragraph" w:styleId="FootnoteText">
    <w:name w:val="footnote text"/>
    <w:aliases w:val="Footnote Text Char Char,ft,fn,Footnote Text Char Char Char Char Char Char Char Char Char Char Char Char Char Char Char Char Char,Footnote Text Char1 Char Char,Footnote Text Char Char Char Char,Style 15,Car,ALTS FOOTNOTE"/>
    <w:basedOn w:val="Normal"/>
    <w:link w:val="FootnoteTextChar"/>
    <w:uiPriority w:val="99"/>
    <w:rsid w:val="00881712"/>
    <w:pPr>
      <w:autoSpaceDE w:val="0"/>
      <w:autoSpaceDN w:val="0"/>
      <w:adjustRightInd w:val="0"/>
    </w:pPr>
    <w:rPr>
      <w:rFonts w:ascii="CourierPS" w:hAnsi="CourierPS"/>
      <w:snapToGrid/>
      <w:sz w:val="20"/>
    </w:rPr>
  </w:style>
  <w:style w:type="character" w:customStyle="1" w:styleId="FootnoteTextChar">
    <w:name w:val="Footnote Text Char"/>
    <w:aliases w:val="Footnote Text Char Char Char,ft Char,fn Char,Footnote Text Char Char Char Char Char Char Char Char Char Char Char Char Char Char Char Char Char Char,Footnote Text Char1 Char Char Char,Footnote Text Char Char Char Char Char,Car Char"/>
    <w:link w:val="FootnoteText"/>
    <w:uiPriority w:val="99"/>
    <w:rsid w:val="00881712"/>
    <w:rPr>
      <w:rFonts w:ascii="CourierPS" w:hAnsi="CourierPS"/>
    </w:rPr>
  </w:style>
  <w:style w:type="character" w:styleId="Hyperlink">
    <w:name w:val="Hyperlink"/>
    <w:uiPriority w:val="99"/>
    <w:unhideWhenUsed/>
    <w:rsid w:val="00881712"/>
    <w:rPr>
      <w:color w:val="0000FF"/>
      <w:u w:val="single"/>
    </w:rPr>
  </w:style>
  <w:style w:type="table" w:styleId="TableGrid">
    <w:name w:val="Table Grid"/>
    <w:basedOn w:val="TableNormal"/>
    <w:uiPriority w:val="39"/>
    <w:rsid w:val="002A5F6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459E2-5222-4643-877E-EF9753E1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1534</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2020-04-14T12:55:00Z</dcterms:created>
  <dcterms:modified xsi:type="dcterms:W3CDTF">2020-05-18T14:13:00Z</dcterms:modified>
</cp:coreProperties>
</file>