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P="004A5959" w:rsidRDefault="00D1720C">
      <w:pPr>
        <w:tabs>
          <w:tab w:val="center" w:pos="4680"/>
        </w:tabs>
        <w:jc w:val="center"/>
        <w:rPr>
          <w:rFonts w:ascii="Times New Roman" w:hAnsi="Times New Roman"/>
          <w:b/>
        </w:rPr>
      </w:pPr>
      <w:r w:rsidRPr="00FC41DF">
        <w:rPr>
          <w:rFonts w:ascii="Calibri" w:hAnsi="Calibri" w:cs="Calibri"/>
          <w:b/>
          <w:color w:val="000000"/>
        </w:rPr>
        <w:t>S</w:t>
      </w:r>
      <w:r w:rsidRPr="00FC41DF" w:rsidR="007B6C63">
        <w:rPr>
          <w:rFonts w:ascii="Times New Roman" w:hAnsi="Times New Roman"/>
          <w:b/>
        </w:rPr>
        <w:t>UPPORTING STATEMENT</w:t>
      </w:r>
    </w:p>
    <w:p w:rsidRPr="004A5959" w:rsidR="004A5959" w:rsidP="004A5959" w:rsidRDefault="004A5959">
      <w:pPr>
        <w:jc w:val="center"/>
        <w:rPr>
          <w:rFonts w:ascii="Times New Roman" w:hAnsi="Times New Roman"/>
          <w:b/>
        </w:rPr>
      </w:pPr>
      <w:r w:rsidRPr="004A5959">
        <w:rPr>
          <w:rFonts w:ascii="Times New Roman" w:hAnsi="Times New Roman"/>
          <w:b/>
        </w:rPr>
        <w:t>REAL ESTATE LENDING STANDARDS</w:t>
      </w:r>
    </w:p>
    <w:p w:rsidRPr="004A5959" w:rsidR="004A5959" w:rsidP="004A5959" w:rsidRDefault="004A5959">
      <w:pPr>
        <w:jc w:val="center"/>
        <w:rPr>
          <w:rFonts w:ascii="Times New Roman" w:hAnsi="Times New Roman"/>
          <w:b/>
        </w:rPr>
      </w:pPr>
      <w:r w:rsidRPr="004A5959">
        <w:rPr>
          <w:rFonts w:ascii="Times New Roman" w:hAnsi="Times New Roman"/>
          <w:b/>
        </w:rPr>
        <w:t>(OMB No. 3064-0112)</w:t>
      </w:r>
    </w:p>
    <w:p w:rsidR="007B6C63" w:rsidRDefault="007B6C63">
      <w:pPr>
        <w:rPr>
          <w:rFonts w:ascii="Times New Roman" w:hAnsi="Times New Roman"/>
        </w:rPr>
      </w:pPr>
    </w:p>
    <w:p w:rsidRPr="004C5B45" w:rsidR="007B6C63" w:rsidRDefault="007B6C63">
      <w:pPr>
        <w:rPr>
          <w:rFonts w:ascii="Times New Roman" w:hAnsi="Times New Roman"/>
          <w:b/>
        </w:rPr>
      </w:pPr>
      <w:r w:rsidRPr="004C5B45">
        <w:rPr>
          <w:rFonts w:ascii="Times New Roman" w:hAnsi="Times New Roman"/>
          <w:b/>
        </w:rPr>
        <w:t>INTRODUCTION</w:t>
      </w:r>
    </w:p>
    <w:p w:rsidR="007B6C63" w:rsidRDefault="007B6C63">
      <w:pPr>
        <w:rPr>
          <w:rFonts w:ascii="Times New Roman" w:hAnsi="Times New Roman"/>
        </w:rPr>
      </w:pPr>
    </w:p>
    <w:p w:rsidR="007B6C63" w:rsidRDefault="007B6C63">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without change,</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entitled “</w:t>
      </w:r>
      <w:r w:rsidR="00DA5092">
        <w:rPr>
          <w:rFonts w:ascii="Times New Roman" w:hAnsi="Times New Roman"/>
        </w:rPr>
        <w:t>Real Estate Lending Standards</w:t>
      </w:r>
      <w:r w:rsidR="00655078">
        <w:rPr>
          <w:rFonts w:ascii="Times New Roman" w:hAnsi="Times New Roman"/>
        </w:rPr>
        <w:t>” (OMB Control No. 3064-0</w:t>
      </w:r>
      <w:r w:rsidR="00DA5092">
        <w:rPr>
          <w:rFonts w:ascii="Times New Roman" w:hAnsi="Times New Roman"/>
        </w:rPr>
        <w:t>112</w:t>
      </w:r>
      <w:r w:rsidR="00655078">
        <w:rPr>
          <w:rFonts w:ascii="Times New Roman" w:hAnsi="Times New Roman"/>
        </w:rPr>
        <w:t>)</w:t>
      </w:r>
      <w:r w:rsidR="00182279">
        <w:rPr>
          <w:rFonts w:ascii="Times New Roman" w:hAnsi="Times New Roman"/>
        </w:rPr>
        <w:t xml:space="preserve"> </w:t>
      </w:r>
      <w:r w:rsidR="00182279">
        <w:rPr>
          <w:rFonts w:ascii="Times New Roman" w:hAnsi="Times New Roman"/>
          <w:spacing w:val="-3"/>
        </w:rPr>
        <w:t xml:space="preserve">which consists of recordkeeping requirements contained in the FDIC Rules and Regulations at 12 CFR </w:t>
      </w:r>
      <w:r w:rsidR="00FB759A">
        <w:rPr>
          <w:rFonts w:ascii="Times New Roman" w:hAnsi="Times New Roman"/>
          <w:spacing w:val="-3"/>
        </w:rPr>
        <w:t xml:space="preserve">Part </w:t>
      </w:r>
      <w:r w:rsidR="00182279">
        <w:rPr>
          <w:rFonts w:ascii="Times New Roman" w:hAnsi="Times New Roman"/>
          <w:spacing w:val="-3"/>
        </w:rPr>
        <w:t>365. There is no change in the method or substance of the collection</w:t>
      </w:r>
      <w:r w:rsidR="00655078">
        <w:rPr>
          <w:rFonts w:ascii="Times New Roman" w:hAnsi="Times New Roman"/>
        </w:rPr>
        <w:t xml:space="preserve"> which currently expires o</w:t>
      </w:r>
      <w:r w:rsidR="00DA5092">
        <w:rPr>
          <w:rFonts w:ascii="Times New Roman" w:hAnsi="Times New Roman"/>
        </w:rPr>
        <w:t>n</w:t>
      </w:r>
      <w:r w:rsidR="00655078">
        <w:rPr>
          <w:rFonts w:ascii="Times New Roman" w:hAnsi="Times New Roman"/>
        </w:rPr>
        <w:t xml:space="preserve"> Ju</w:t>
      </w:r>
      <w:r w:rsidR="00DA5092">
        <w:rPr>
          <w:rFonts w:ascii="Times New Roman" w:hAnsi="Times New Roman"/>
        </w:rPr>
        <w:t>ly</w:t>
      </w:r>
      <w:r w:rsidR="00655078">
        <w:rPr>
          <w:rFonts w:ascii="Times New Roman" w:hAnsi="Times New Roman"/>
        </w:rPr>
        <w:t xml:space="preserve"> 3</w:t>
      </w:r>
      <w:r w:rsidR="00DA5092">
        <w:rPr>
          <w:rFonts w:ascii="Times New Roman" w:hAnsi="Times New Roman"/>
        </w:rPr>
        <w:t>1</w:t>
      </w:r>
      <w:r w:rsidR="00655078">
        <w:rPr>
          <w:rFonts w:ascii="Times New Roman" w:hAnsi="Times New Roman"/>
        </w:rPr>
        <w:t>,</w:t>
      </w:r>
      <w:r>
        <w:rPr>
          <w:rFonts w:ascii="Times New Roman" w:hAnsi="Times New Roman"/>
        </w:rPr>
        <w:t xml:space="preserve"> </w:t>
      </w:r>
      <w:r w:rsidR="00FB759A">
        <w:rPr>
          <w:rFonts w:ascii="Times New Roman" w:hAnsi="Times New Roman"/>
        </w:rPr>
        <w:t>2020.</w:t>
      </w:r>
    </w:p>
    <w:p w:rsidR="007B6C63" w:rsidRDefault="007B6C63">
      <w:pPr>
        <w:rPr>
          <w:rFonts w:ascii="Times New Roman" w:hAnsi="Times New Roman"/>
        </w:rPr>
      </w:pPr>
    </w:p>
    <w:p w:rsidR="007B6C63" w:rsidRDefault="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rsidRDefault="007B6C63">
      <w:pPr>
        <w:rPr>
          <w:rFonts w:ascii="Times New Roman" w:hAnsi="Times New Roman"/>
        </w:rPr>
      </w:pPr>
    </w:p>
    <w:p w:rsidR="007B6C63" w:rsidP="000B0581" w:rsidRDefault="00FB759A">
      <w:pPr>
        <w:ind w:left="720"/>
        <w:rPr>
          <w:rFonts w:ascii="Times New Roman" w:hAnsi="Times New Roman"/>
        </w:rPr>
      </w:pPr>
      <w:r>
        <w:rPr>
          <w:rFonts w:ascii="Times New Roman" w:hAnsi="Times New Roman"/>
          <w:spacing w:val="-3"/>
        </w:rPr>
        <w:t>Section 1828(o) of the Federal Deposit Insurance Act requires each federal banking agency to adopt uniform regulations prescribing real estate lending standards.  Part 365 of the FDIC Rules and Regulations, which implements section 1828(o), requires institutions to have real estate lending policies that include (a) limits and standards consistent with safe and sound banking practices; (b) prudent underwriting standards, including loan-to-value ratio (LTV) limits that are clear and measurable; (c) loan administration policies; (d) documentation, approval and reporting requirements; and (e) a requirement for annual review and approval by the board of directors.  The rule also establishes supervisory LTV limits and other underwriting considerations in the form of guidelines.  Since FDIC-supervised banks and savings associations generally have written policies on real estate lending, the additional burden imposed by this regulation is limited to modifications to existing policies necessary to bring those policies into compliance with the regulation and the development of a system to report loans in excess of the guidelines to the board of directors.</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rsidRDefault="007B6C63">
      <w:pPr>
        <w:rPr>
          <w:rFonts w:ascii="Times New Roman" w:hAnsi="Times New Roman"/>
        </w:rPr>
      </w:pPr>
    </w:p>
    <w:p w:rsidR="007B6C63" w:rsidP="000B0581" w:rsidRDefault="00B17F71">
      <w:pPr>
        <w:ind w:left="720"/>
        <w:rPr>
          <w:rFonts w:ascii="Times New Roman" w:hAnsi="Times New Roman"/>
        </w:rPr>
      </w:pPr>
      <w:r>
        <w:rPr>
          <w:rFonts w:ascii="Times New Roman" w:hAnsi="Times New Roman"/>
          <w:spacing w:val="-3"/>
        </w:rPr>
        <w:t>Institutions will use the lending policies to guide their lending operations in a manner that is consistent with safe and sound banking practices and appropriate to their size and nature and scope of their operations.  These policies should address certain lending considerations, including loan-to-value limits, loan administration policies, portfolio diversification standards, and documentation, approval, and reporting requirements.  The agencies will use this information in their examination of institutions to ensure that the real estate loans made by those institutions are consistent with existing statutory and regulatory criteria, with principles of safety and soundness, and with relevant institution lending standards policy.</w:t>
      </w:r>
    </w:p>
    <w:p w:rsidR="007B6C63" w:rsidRDefault="007B6C63">
      <w:pPr>
        <w:ind w:left="720"/>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RDefault="007B6C63">
      <w:pPr>
        <w:rPr>
          <w:rFonts w:ascii="Times New Roman" w:hAnsi="Times New Roman"/>
        </w:rPr>
      </w:pPr>
    </w:p>
    <w:p w:rsidR="000855E4" w:rsidP="000B0581" w:rsidRDefault="00BD7F95">
      <w:pPr>
        <w:ind w:left="720"/>
        <w:rPr>
          <w:rFonts w:ascii="Times New Roman" w:hAnsi="Times New Roman"/>
        </w:rPr>
      </w:pPr>
      <w:r>
        <w:rPr>
          <w:rFonts w:ascii="Times New Roman" w:hAnsi="Times New Roman"/>
        </w:rPr>
        <w:t>FDIC-supervised institutions may use any technology they wish in order to lessen the burden of meeting this recordkeeping requirement.</w:t>
      </w:r>
    </w:p>
    <w:p w:rsidR="007B6C63" w:rsidRDefault="007B6C63">
      <w:pPr>
        <w:ind w:left="1440"/>
        <w:rPr>
          <w:rFonts w:ascii="Times New Roman" w:hAnsi="Times New Roman"/>
        </w:rPr>
      </w:pP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RDefault="000855E4">
      <w:pPr>
        <w:ind w:left="1440"/>
        <w:rPr>
          <w:rFonts w:ascii="Times New Roman" w:hAnsi="Times New Roman"/>
        </w:rPr>
      </w:pPr>
    </w:p>
    <w:p w:rsidR="007B6C63" w:rsidP="000B0581" w:rsidRDefault="000855E4">
      <w:pPr>
        <w:ind w:left="720"/>
        <w:rPr>
          <w:rFonts w:ascii="Times New Roman" w:hAnsi="Times New Roman"/>
        </w:rPr>
      </w:pPr>
      <w:r>
        <w:rPr>
          <w:rFonts w:ascii="Times New Roman" w:hAnsi="Times New Roman"/>
        </w:rPr>
        <w:t xml:space="preserve">There is no duplication.  </w:t>
      </w:r>
      <w:r w:rsidR="00003E86">
        <w:rPr>
          <w:rFonts w:ascii="Times New Roman" w:hAnsi="Times New Roman"/>
        </w:rPr>
        <w:t>Each FDIC-supervised institution must adopt lending standards and policies tailored to their particular lending operations.</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All </w:t>
      </w:r>
      <w:r w:rsidR="00003E86">
        <w:rPr>
          <w:rFonts w:ascii="Times New Roman" w:hAnsi="Times New Roman"/>
        </w:rPr>
        <w:t>FDIC-supervised</w:t>
      </w:r>
      <w:r>
        <w:rPr>
          <w:rFonts w:ascii="Times New Roman" w:hAnsi="Times New Roman"/>
        </w:rPr>
        <w:t xml:space="preserve"> institutions, large and small, are subject to the same </w:t>
      </w:r>
      <w:r w:rsidR="00003E86">
        <w:rPr>
          <w:rFonts w:ascii="Times New Roman" w:hAnsi="Times New Roman"/>
        </w:rPr>
        <w:t xml:space="preserve">statutory </w:t>
      </w:r>
      <w:r>
        <w:rPr>
          <w:rFonts w:ascii="Times New Roman" w:hAnsi="Times New Roman"/>
        </w:rPr>
        <w:t>requirements</w:t>
      </w:r>
      <w:r w:rsidR="000855E4">
        <w:rPr>
          <w:rFonts w:ascii="Times New Roman" w:hAnsi="Times New Roman"/>
        </w:rPr>
        <w:t xml:space="preserve">. </w:t>
      </w:r>
      <w:r w:rsidR="00003E86">
        <w:rPr>
          <w:rFonts w:ascii="Times New Roman" w:hAnsi="Times New Roman"/>
          <w:spacing w:val="-3"/>
        </w:rPr>
        <w:t>Small insured state nonmember banks and state savings associations generally have a narrower range of real estate loan products and a less complex loan portfolio and loan approval process.  The loan policy required is commensurate with the type and complexity of the loans granted by the institutions.</w:t>
      </w:r>
    </w:p>
    <w:p w:rsidR="007B6C63" w:rsidRDefault="007B6C63">
      <w:pPr>
        <w:rPr>
          <w:rFonts w:ascii="Times New Roman" w:hAnsi="Times New Roman"/>
        </w:rPr>
      </w:pPr>
    </w:p>
    <w:p w:rsidRPr="00FC41DF" w:rsidR="007B6C63" w:rsidP="00A1019D" w:rsidRDefault="007B6C63">
      <w:pPr>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Less frequent collection would </w:t>
      </w:r>
      <w:r w:rsidR="009557A1">
        <w:rPr>
          <w:rFonts w:ascii="Times New Roman" w:hAnsi="Times New Roman"/>
        </w:rPr>
        <w:t>hinder the FDIC’s ability to assess the safety and soundness of FDIC-supervised institutions and take corrective action as needed.</w:t>
      </w:r>
    </w:p>
    <w:p w:rsidRPr="00386C94" w:rsidR="007B6C63" w:rsidRDefault="007B6C63">
      <w:pPr>
        <w:rPr>
          <w:rFonts w:ascii="Times New Roman" w:hAnsi="Times New Roman"/>
        </w:rPr>
      </w:pPr>
    </w:p>
    <w:p w:rsidRPr="00386C94" w:rsidR="00386C94" w:rsidP="00A1019D" w:rsidRDefault="007B6C63">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sidR="00386C94">
        <w:rPr>
          <w:rFonts w:ascii="Times New Roman" w:hAnsi="Times New Roman"/>
          <w:b/>
          <w:bCs/>
          <w:iCs/>
          <w:u w:val="single"/>
        </w:rPr>
        <w:t>Special circumstances necessitating collection inconsistent with 5 CFR Part 1320.5(d)(2):</w:t>
      </w:r>
    </w:p>
    <w:p w:rsidR="007B6C63" w:rsidRDefault="007B6C63">
      <w:pPr>
        <w:rPr>
          <w:rFonts w:ascii="Times New Roman" w:hAnsi="Times New Roman"/>
        </w:rPr>
      </w:pPr>
    </w:p>
    <w:p w:rsidR="007B6C63" w:rsidP="000B0581" w:rsidRDefault="00386C94">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B0581" w:rsidR="00DE2D0B">
        <w:rPr>
          <w:rFonts w:ascii="Times New Roman" w:hAnsi="Times New Roman"/>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D55074">
        <w:rPr>
          <w:rFonts w:ascii="Times New Roman" w:hAnsi="Times New Roman"/>
        </w:rPr>
        <w:t>March 17, 2020</w:t>
      </w:r>
      <w:r w:rsidR="00DE2D0B">
        <w:rPr>
          <w:rFonts w:ascii="Times New Roman" w:hAnsi="Times New Roman"/>
        </w:rPr>
        <w:t xml:space="preserve"> (</w:t>
      </w:r>
      <w:r w:rsidR="00D55074">
        <w:rPr>
          <w:rFonts w:ascii="Times New Roman" w:hAnsi="Times New Roman"/>
        </w:rPr>
        <w:t>85</w:t>
      </w:r>
      <w:r w:rsidR="00DE2D0B">
        <w:rPr>
          <w:rFonts w:ascii="Times New Roman" w:hAnsi="Times New Roman"/>
        </w:rPr>
        <w:t xml:space="preserve"> FR </w:t>
      </w:r>
      <w:r w:rsidR="00D55074">
        <w:rPr>
          <w:rFonts w:ascii="Times New Roman" w:hAnsi="Times New Roman"/>
        </w:rPr>
        <w:t>15172</w:t>
      </w:r>
      <w:r w:rsidR="00DE2D0B">
        <w:rPr>
          <w:rFonts w:ascii="Times New Roman" w:hAnsi="Times New Roman"/>
        </w:rPr>
        <w:t>)</w:t>
      </w:r>
      <w:r>
        <w:rPr>
          <w:rFonts w:ascii="Times New Roman" w:hAnsi="Times New Roman"/>
        </w:rPr>
        <w:t>.  No comments were received.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None.</w:t>
      </w:r>
    </w:p>
    <w:p w:rsidR="007B6C63" w:rsidRDefault="007B6C63">
      <w:pPr>
        <w:ind w:left="720" w:firstLine="720"/>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RDefault="007B6C63">
      <w:pPr>
        <w:rPr>
          <w:rFonts w:ascii="Times New Roman" w:hAnsi="Times New Roman"/>
        </w:rPr>
      </w:pPr>
    </w:p>
    <w:p w:rsidR="00881712" w:rsidP="000B0581" w:rsidRDefault="00881712">
      <w:pPr>
        <w:ind w:left="720"/>
        <w:rPr>
          <w:rFonts w:ascii="Times New Roman" w:hAnsi="Times New Roman"/>
        </w:rPr>
      </w:pPr>
      <w:r>
        <w:rPr>
          <w:rFonts w:ascii="Times New Roman" w:hAnsi="Times New Roman"/>
        </w:rPr>
        <w:t>Information is kept private to the extent allowed by law.</w:t>
      </w:r>
    </w:p>
    <w:p w:rsidR="007B6C63" w:rsidRDefault="007B6C63">
      <w:pPr>
        <w:ind w:left="720" w:firstLine="720"/>
        <w:rPr>
          <w:rFonts w:ascii="Times New Roman" w:hAnsi="Times New Roman"/>
        </w:rPr>
      </w:pPr>
    </w:p>
    <w:p w:rsidRPr="00F04445" w:rsidR="00881712" w:rsidP="00A1019D" w:rsidRDefault="007B6C63">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2A5F6B" w:rsidR="00881712">
        <w:rPr>
          <w:rFonts w:ascii="Times New Roman" w:hAnsi="Times New Roman"/>
          <w:b/>
          <w:bCs/>
          <w:iCs/>
          <w:u w:val="single"/>
        </w:rPr>
        <w:t>Justification</w:t>
      </w:r>
      <w:r w:rsidRPr="002A5F6B" w:rsidR="00881712">
        <w:rPr>
          <w:rFonts w:ascii="Times New Roman" w:hAnsi="Times New Roman"/>
          <w:b/>
          <w:bCs/>
          <w:spacing w:val="-1"/>
          <w:szCs w:val="24"/>
          <w:u w:val="single"/>
        </w:rPr>
        <w:t xml:space="preserve"> </w:t>
      </w:r>
      <w:r w:rsidRPr="00FC0D5A" w:rsidR="00881712">
        <w:rPr>
          <w:rFonts w:ascii="Times New Roman" w:hAnsi="Times New Roman"/>
          <w:b/>
          <w:u w:val="single"/>
        </w:rPr>
        <w:t>for</w:t>
      </w:r>
      <w:r w:rsidRPr="00FC0D5A" w:rsidR="00881712">
        <w:rPr>
          <w:rFonts w:ascii="Times New Roman" w:hAnsi="Times New Roman"/>
          <w:b/>
          <w:bCs/>
          <w:spacing w:val="-1"/>
          <w:szCs w:val="24"/>
          <w:u w:val="single"/>
        </w:rPr>
        <w:t xml:space="preserve"> </w:t>
      </w:r>
      <w:r w:rsidRPr="002A5F6B" w:rsidR="00881712">
        <w:rPr>
          <w:rFonts w:ascii="Times New Roman" w:hAnsi="Times New Roman"/>
          <w:b/>
          <w:bCs/>
          <w:spacing w:val="-1"/>
          <w:szCs w:val="24"/>
          <w:u w:val="single"/>
        </w:rPr>
        <w:t>questions of a sensitive nature:</w:t>
      </w:r>
      <w:bookmarkStart w:name="_GoBack" w:id="0"/>
      <w:bookmarkEnd w:id="0"/>
    </w:p>
    <w:p w:rsidR="007B6C63" w:rsidRDefault="007B6C63">
      <w:pPr>
        <w:tabs>
          <w:tab w:val="left" w:pos="-1440"/>
        </w:tabs>
        <w:ind w:firstLine="720"/>
        <w:rPr>
          <w:rFonts w:ascii="Times New Roman" w:hAnsi="Times New Roman"/>
        </w:rPr>
      </w:pPr>
    </w:p>
    <w:p w:rsidR="007B6C63" w:rsidP="009557A1" w:rsidRDefault="00881712">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615BAD" w:rsidRDefault="00615BAD">
      <w:pPr>
        <w:rPr>
          <w:rFonts w:ascii="Times New Roman" w:hAnsi="Times New Roman"/>
        </w:rPr>
      </w:pPr>
    </w:p>
    <w:p w:rsidR="00285D59" w:rsidP="00285D59" w:rsidRDefault="007B6C63">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285D59" w:rsidP="00285D59" w:rsidRDefault="00285D59">
      <w:pPr>
        <w:keepNext/>
        <w:tabs>
          <w:tab w:val="left" w:pos="-1440"/>
        </w:tabs>
        <w:ind w:firstLine="720"/>
        <w:rPr>
          <w:rFonts w:ascii="Times New Roman" w:hAnsi="Times New Roman"/>
          <w:b/>
          <w:bCs/>
          <w:iCs/>
          <w:szCs w:val="24"/>
          <w:u w:val="single"/>
        </w:rPr>
      </w:pPr>
    </w:p>
    <w:p w:rsidRPr="00881712" w:rsidR="00881712" w:rsidP="00285D59" w:rsidRDefault="005B79C4">
      <w:pPr>
        <w:keepNext/>
        <w:ind w:left="720"/>
        <w:rPr>
          <w:rFonts w:ascii="Times New Roman" w:hAnsi="Times New Roman"/>
          <w:i/>
        </w:rPr>
      </w:pPr>
      <w:r>
        <w:rPr>
          <w:rFonts w:ascii="Times New Roman" w:hAnsi="Times New Roman"/>
          <w:bCs/>
          <w:i/>
          <w:iCs/>
          <w:szCs w:val="24"/>
        </w:rPr>
        <w:tab/>
      </w:r>
      <w:r w:rsidRPr="000B0581" w:rsidR="00881712">
        <w:rPr>
          <w:rFonts w:ascii="Times New Roman" w:hAnsi="Times New Roman"/>
        </w:rPr>
        <w:t>Estimated</w:t>
      </w:r>
      <w:r w:rsidR="00881712">
        <w:rPr>
          <w:rFonts w:ascii="Times New Roman" w:hAnsi="Times New Roman"/>
          <w:bCs/>
          <w:i/>
          <w:iCs/>
          <w:szCs w:val="24"/>
        </w:rPr>
        <w:t xml:space="preserve"> Annual Burden</w:t>
      </w:r>
      <w:r>
        <w:rPr>
          <w:rFonts w:ascii="Times New Roman" w:hAnsi="Times New Roman"/>
          <w:bCs/>
          <w:i/>
          <w:iCs/>
          <w:szCs w:val="24"/>
        </w:rPr>
        <w:t>:</w:t>
      </w:r>
    </w:p>
    <w:p w:rsidR="005B79C4" w:rsidP="00285D59" w:rsidRDefault="005B79C4">
      <w:pPr>
        <w:keepNext/>
        <w:rPr>
          <w:rFonts w:ascii="Times New Roman" w:hAnsi="Times New Roman"/>
          <w:snapToGrid/>
        </w:rPr>
      </w:pPr>
    </w:p>
    <w:p w:rsidR="000B0581" w:rsidP="00285D59" w:rsidRDefault="00C772BC">
      <w:pPr>
        <w:keepNext/>
        <w:ind w:left="720"/>
        <w:rPr>
          <w:rFonts w:ascii="Times New Roman" w:hAnsi="Times New Roman"/>
          <w:snapToGrid/>
          <w:szCs w:val="24"/>
        </w:rPr>
      </w:pPr>
      <w:r>
        <w:rPr>
          <w:rFonts w:ascii="Times New Roman" w:hAnsi="Times New Roman"/>
          <w:snapToGrid/>
          <w:szCs w:val="24"/>
        </w:rPr>
        <w:t>All FDIC-supervised institutions must comply with the recordkeeping requirements of this information collection.  As of December 30, 2019, the FDIC-supervised 3,344 institutions.</w:t>
      </w:r>
      <w:r w:rsidRPr="00C772BC">
        <w:rPr>
          <w:rStyle w:val="FootnoteReference"/>
          <w:rFonts w:ascii="Times New Roman" w:hAnsi="Times New Roman"/>
          <w:snapToGrid/>
          <w:szCs w:val="24"/>
          <w:vertAlign w:val="superscript"/>
        </w:rPr>
        <w:footnoteReference w:id="1"/>
      </w:r>
      <w:r>
        <w:rPr>
          <w:rFonts w:ascii="Times New Roman" w:hAnsi="Times New Roman"/>
          <w:snapToGrid/>
          <w:szCs w:val="24"/>
        </w:rPr>
        <w:t xml:space="preserve"> Accordingly, the estimated number of respondents fort this information collection is 3,344.</w:t>
      </w:r>
    </w:p>
    <w:p w:rsidR="00C772BC" w:rsidP="000B0581" w:rsidRDefault="00C772BC">
      <w:pPr>
        <w:ind w:left="720"/>
        <w:rPr>
          <w:rFonts w:ascii="Times New Roman" w:hAnsi="Times New Roman"/>
          <w:snapToGrid/>
          <w:szCs w:val="24"/>
        </w:rPr>
      </w:pPr>
    </w:p>
    <w:p w:rsidRPr="00285D59" w:rsidR="000B0581" w:rsidP="00285D59" w:rsidRDefault="00C772BC">
      <w:pPr>
        <w:ind w:left="720"/>
        <w:rPr>
          <w:rFonts w:ascii="Times New Roman" w:hAnsi="Times New Roman"/>
          <w:snapToGrid/>
          <w:szCs w:val="24"/>
        </w:rPr>
      </w:pPr>
      <w:r>
        <w:rPr>
          <w:rFonts w:ascii="Times New Roman" w:hAnsi="Times New Roman"/>
          <w:spacing w:val="-3"/>
        </w:rPr>
        <w:t xml:space="preserve">Part 365 of the FDIC Rules and Regulations requires FDIC-supervised institutions to have real estate lending policies that include (a) limits and standards consistent with safe and sound banking practices; (b) prudent underwriting standards, including loan-to-value ratio (LTV) limits that are clear and measurable; (c) loan administration policies; (d) documentation, approval and reporting requirements; and (e) a requirement for annual review and approval by the board of directors.  The rule also establishes supervisory LTV limits and other underwriting considerations in the form of guidelines.  Since FDIC-supervised banks and savings associations, in the ordinary course of their business, generally have written policies on real estate lending, the additional burden imposed by this regulation is limited to </w:t>
      </w:r>
      <w:r w:rsidR="00285D59">
        <w:rPr>
          <w:rFonts w:ascii="Times New Roman" w:hAnsi="Times New Roman"/>
          <w:spacing w:val="-3"/>
        </w:rPr>
        <w:t xml:space="preserve">annual </w:t>
      </w:r>
      <w:r>
        <w:rPr>
          <w:rFonts w:ascii="Times New Roman" w:hAnsi="Times New Roman"/>
          <w:spacing w:val="-3"/>
        </w:rPr>
        <w:t>modifications</w:t>
      </w:r>
      <w:r w:rsidR="00285D59">
        <w:rPr>
          <w:rFonts w:ascii="Times New Roman" w:hAnsi="Times New Roman"/>
          <w:spacing w:val="-3"/>
        </w:rPr>
        <w:t>, if needed,</w:t>
      </w:r>
      <w:r>
        <w:rPr>
          <w:rFonts w:ascii="Times New Roman" w:hAnsi="Times New Roman"/>
          <w:spacing w:val="-3"/>
        </w:rPr>
        <w:t xml:space="preserve"> to existing policies necessary to bring those policies into compliance with the regulation and the development of a system to report loans in excess of the guidelines to the board of directors.</w:t>
      </w:r>
      <w:r w:rsidR="00285D59">
        <w:rPr>
          <w:rFonts w:ascii="Times New Roman" w:hAnsi="Times New Roman"/>
          <w:spacing w:val="-3"/>
        </w:rPr>
        <w:t xml:space="preserve">  FDIC estimates that the annual recordkeeping burden related to the foregoing would be approximately 20 hours per institution, whether for initial set-up or on an ongoing basis.</w:t>
      </w:r>
    </w:p>
    <w:p w:rsidR="00FC41DF" w:rsidP="000B0581" w:rsidRDefault="00FC41DF">
      <w:pPr>
        <w:ind w:left="720"/>
        <w:rPr>
          <w:rFonts w:ascii="Times New Roman" w:hAnsi="Times New Roman"/>
        </w:rPr>
      </w:pPr>
    </w:p>
    <w:tbl>
      <w:tblPr>
        <w:tblW w:w="9850" w:type="dxa"/>
        <w:tblInd w:w="-250"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348"/>
        <w:gridCol w:w="1170"/>
        <w:gridCol w:w="1170"/>
        <w:gridCol w:w="938"/>
        <w:gridCol w:w="1225"/>
        <w:gridCol w:w="1016"/>
      </w:tblGrid>
      <w:tr w:rsidRPr="004F7E3A" w:rsidR="00844536" w:rsidTr="00BD64F8">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4F7E3A" w:rsidR="00844536" w:rsidP="009B62D9" w:rsidRDefault="00844536">
            <w:pPr>
              <w:widowControl/>
              <w:jc w:val="center"/>
              <w:rPr>
                <w:rFonts w:ascii="Times New Roman" w:hAnsi="Times New Roman"/>
                <w:b/>
                <w:bCs/>
                <w:snapToGrid/>
                <w:color w:val="000000"/>
                <w:sz w:val="18"/>
                <w:szCs w:val="16"/>
              </w:rPr>
            </w:pPr>
            <w:r w:rsidRPr="004F7E3A">
              <w:rPr>
                <w:rFonts w:ascii="Times New Roman" w:hAnsi="Times New Roman"/>
                <w:b/>
                <w:bCs/>
                <w:snapToGrid/>
                <w:color w:val="000000"/>
                <w:sz w:val="18"/>
                <w:szCs w:val="16"/>
              </w:rPr>
              <w:t>Information Collection (IC) Description</w:t>
            </w:r>
          </w:p>
        </w:tc>
        <w:tc>
          <w:tcPr>
            <w:tcW w:w="134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Type of Burden</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Obligation to Respond</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Respondents</w:t>
            </w:r>
          </w:p>
        </w:tc>
        <w:tc>
          <w:tcPr>
            <w:tcW w:w="93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Time per Response</w:t>
            </w:r>
          </w:p>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w:t>
            </w:r>
            <w:r w:rsidR="009557A1">
              <w:rPr>
                <w:rFonts w:ascii="Times New Roman" w:hAnsi="Times New Roman"/>
                <w:snapToGrid/>
                <w:color w:val="000000"/>
                <w:sz w:val="18"/>
                <w:szCs w:val="16"/>
              </w:rPr>
              <w:t>Hours</w:t>
            </w:r>
            <w:r w:rsidRPr="004F7E3A">
              <w:rPr>
                <w:rFonts w:ascii="Times New Roman" w:hAnsi="Times New Roman"/>
                <w:snapToGrid/>
                <w:color w:val="000000"/>
                <w:sz w:val="18"/>
                <w:szCs w:val="16"/>
              </w:rPr>
              <w:t>)</w:t>
            </w:r>
          </w:p>
        </w:tc>
        <w:tc>
          <w:tcPr>
            <w:tcW w:w="1225"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Frequency of Response</w:t>
            </w:r>
          </w:p>
        </w:tc>
        <w:tc>
          <w:tcPr>
            <w:tcW w:w="1016" w:type="dxa"/>
            <w:tcBorders>
              <w:top w:val="single" w:color="auto" w:sz="4" w:space="0"/>
              <w:left w:val="single" w:color="auto" w:sz="6" w:space="0"/>
              <w:bottom w:val="single" w:color="auto" w:sz="4"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Total Estimated Annual Burden</w:t>
            </w:r>
          </w:p>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r>
      <w:tr w:rsidRPr="004F7E3A" w:rsidR="00844536" w:rsidTr="00BD64F8">
        <w:trPr>
          <w:trHeight w:val="576"/>
        </w:trPr>
        <w:tc>
          <w:tcPr>
            <w:tcW w:w="2983" w:type="dxa"/>
            <w:tcBorders>
              <w:left w:val="single" w:color="auto" w:sz="8" w:space="0"/>
              <w:bottom w:val="nil"/>
              <w:right w:val="single" w:color="auto" w:sz="6" w:space="0"/>
            </w:tcBorders>
            <w:shd w:val="clear" w:color="auto" w:fill="auto"/>
            <w:vAlign w:val="center"/>
          </w:tcPr>
          <w:p w:rsidRPr="004F7E3A" w:rsidR="00844536" w:rsidP="009B62D9" w:rsidRDefault="009557A1">
            <w:pPr>
              <w:widowControl/>
              <w:rPr>
                <w:rFonts w:ascii="Times New Roman" w:hAnsi="Times New Roman"/>
                <w:bCs/>
                <w:i/>
                <w:snapToGrid/>
                <w:color w:val="000000"/>
                <w:sz w:val="20"/>
              </w:rPr>
            </w:pPr>
            <w:r>
              <w:rPr>
                <w:rFonts w:ascii="Times New Roman" w:hAnsi="Times New Roman"/>
                <w:iCs/>
                <w:snapToGrid/>
                <w:color w:val="000000"/>
                <w:sz w:val="20"/>
              </w:rPr>
              <w:t>Real Estate Lending Standards (12 CFR Part 365)</w:t>
            </w:r>
          </w:p>
        </w:tc>
        <w:tc>
          <w:tcPr>
            <w:tcW w:w="134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9557A1">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9557A1">
            <w:pPr>
              <w:widowControl/>
              <w:jc w:val="center"/>
              <w:rPr>
                <w:rFonts w:ascii="Times New Roman" w:hAnsi="Times New Roman"/>
                <w:snapToGrid/>
                <w:color w:val="000000"/>
                <w:sz w:val="18"/>
                <w:szCs w:val="16"/>
              </w:rPr>
            </w:pPr>
            <w:r>
              <w:rPr>
                <w:rFonts w:ascii="Times New Roman" w:hAnsi="Times New Roman"/>
                <w:snapToGrid/>
                <w:color w:val="000000"/>
                <w:sz w:val="18"/>
                <w:szCs w:val="16"/>
              </w:rPr>
              <w:t>3,344</w:t>
            </w:r>
          </w:p>
        </w:tc>
        <w:tc>
          <w:tcPr>
            <w:tcW w:w="93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20</w:t>
            </w:r>
          </w:p>
        </w:tc>
        <w:tc>
          <w:tcPr>
            <w:tcW w:w="1225"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9557A1">
            <w:pPr>
              <w:widowControl/>
              <w:jc w:val="center"/>
              <w:rPr>
                <w:rFonts w:ascii="Times New Roman" w:hAnsi="Times New Roman"/>
                <w:snapToGrid/>
                <w:color w:val="000000"/>
                <w:sz w:val="18"/>
                <w:szCs w:val="16"/>
              </w:rPr>
            </w:pPr>
            <w:r>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9B62D9" w:rsidRDefault="009557A1">
            <w:pPr>
              <w:widowControl/>
              <w:jc w:val="center"/>
              <w:rPr>
                <w:rFonts w:ascii="Times New Roman" w:hAnsi="Times New Roman"/>
                <w:snapToGrid/>
                <w:color w:val="000000"/>
                <w:sz w:val="18"/>
                <w:szCs w:val="16"/>
              </w:rPr>
            </w:pPr>
            <w:r>
              <w:rPr>
                <w:rFonts w:ascii="Times New Roman" w:hAnsi="Times New Roman"/>
                <w:snapToGrid/>
                <w:color w:val="000000"/>
                <w:sz w:val="18"/>
                <w:szCs w:val="16"/>
              </w:rPr>
              <w:t>66,880</w:t>
            </w:r>
          </w:p>
        </w:tc>
      </w:tr>
      <w:tr w:rsidRPr="004F7E3A" w:rsidR="00844536" w:rsidTr="00BD64F8">
        <w:trPr>
          <w:trHeight w:val="340"/>
        </w:trPr>
        <w:tc>
          <w:tcPr>
            <w:tcW w:w="8834" w:type="dxa"/>
            <w:gridSpan w:val="6"/>
            <w:tcBorders>
              <w:left w:val="single" w:color="auto" w:sz="8" w:space="0"/>
              <w:bottom w:val="single" w:color="auto" w:sz="8" w:space="0"/>
              <w:right w:val="single" w:color="auto" w:sz="8" w:space="0"/>
            </w:tcBorders>
            <w:shd w:val="clear" w:color="auto" w:fill="auto"/>
            <w:vAlign w:val="center"/>
          </w:tcPr>
          <w:p w:rsidRPr="004F7E3A" w:rsidR="00844536" w:rsidP="00844536"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Total Estimated Annual Burden</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844536" w:rsidRDefault="009557A1">
            <w:pPr>
              <w:widowControl/>
              <w:jc w:val="center"/>
              <w:rPr>
                <w:rFonts w:ascii="Times New Roman" w:hAnsi="Times New Roman"/>
                <w:snapToGrid/>
                <w:color w:val="000000"/>
                <w:sz w:val="18"/>
                <w:szCs w:val="16"/>
              </w:rPr>
            </w:pPr>
            <w:r>
              <w:rPr>
                <w:rFonts w:ascii="Times New Roman" w:hAnsi="Times New Roman"/>
                <w:snapToGrid/>
                <w:color w:val="000000"/>
                <w:sz w:val="18"/>
                <w:szCs w:val="16"/>
              </w:rPr>
              <w:t>66,880</w:t>
            </w:r>
          </w:p>
        </w:tc>
      </w:tr>
    </w:tbl>
    <w:p w:rsidR="007B6C63" w:rsidRDefault="007B6C63">
      <w:pPr>
        <w:rPr>
          <w:rFonts w:ascii="Times New Roman" w:hAnsi="Times New Roman"/>
        </w:rPr>
      </w:pPr>
    </w:p>
    <w:p w:rsidR="00881712" w:rsidP="00881712" w:rsidRDefault="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rsidRDefault="00881712">
      <w:pPr>
        <w:rPr>
          <w:rFonts w:ascii="Times New Roman" w:hAnsi="Times New Roman"/>
        </w:rPr>
      </w:pPr>
    </w:p>
    <w:p w:rsidR="00285D59" w:rsidP="002A5F6B" w:rsidRDefault="00285D59">
      <w:pPr>
        <w:ind w:left="720"/>
        <w:rPr>
          <w:rFonts w:ascii="Times New Roman" w:hAnsi="Times New Roman"/>
          <w:snapToGrid/>
          <w:szCs w:val="24"/>
        </w:rPr>
      </w:pPr>
      <w:r>
        <w:rPr>
          <w:rFonts w:ascii="Times New Roman" w:hAnsi="Times New Roman"/>
          <w:snapToGrid/>
          <w:szCs w:val="24"/>
        </w:rPr>
        <w:t>FDIC estimates that 50% of the work related to responding to the recordkeeping requirements of this information collection will be performed by Executives and Managers; 30% percent will be performed by Clerical occupations; 10% will be performed by IT Specialists; and the remaining 10% will be performed by Financial Analysts.  A reasonable estimate of the weighted average hourly labor cost to the respondent institutions is $88.31</w:t>
      </w:r>
      <w:r w:rsidRPr="005709AF" w:rsidR="005709AF">
        <w:rPr>
          <w:rStyle w:val="FootnoteReference"/>
          <w:rFonts w:ascii="Times New Roman" w:hAnsi="Times New Roman"/>
          <w:snapToGrid/>
          <w:szCs w:val="24"/>
          <w:vertAlign w:val="superscript"/>
        </w:rPr>
        <w:footnoteReference w:id="2"/>
      </w:r>
    </w:p>
    <w:p w:rsidRPr="002A5F6B" w:rsidR="002A5F6B" w:rsidP="002A5F6B" w:rsidRDefault="002A5F6B">
      <w:pPr>
        <w:widowControl/>
        <w:rPr>
          <w:rFonts w:ascii="Times New Roman" w:hAnsi="Times New Roman"/>
          <w:snapToGrid/>
          <w:sz w:val="20"/>
        </w:rPr>
      </w:pPr>
    </w:p>
    <w:p w:rsidRPr="002A5F6B" w:rsidR="002A5F6B" w:rsidP="002A5F6B" w:rsidRDefault="002A5F6B">
      <w:pPr>
        <w:ind w:left="720"/>
        <w:rPr>
          <w:rFonts w:ascii="Times New Roman" w:hAnsi="Times New Roman"/>
          <w:i/>
          <w:snapToGrid/>
          <w:szCs w:val="24"/>
        </w:rPr>
      </w:pPr>
      <w:r w:rsidRPr="002A5F6B">
        <w:rPr>
          <w:rFonts w:ascii="Times New Roman" w:hAnsi="Times New Roman"/>
          <w:i/>
          <w:snapToGrid/>
          <w:szCs w:val="24"/>
        </w:rPr>
        <w:t>Total Estimated Cost Burden</w:t>
      </w:r>
    </w:p>
    <w:p w:rsidRPr="002A5F6B" w:rsidR="002A5F6B" w:rsidP="002A5F6B" w:rsidRDefault="002A5F6B">
      <w:pPr>
        <w:widowControl/>
        <w:rPr>
          <w:rFonts w:ascii="Times New Roman" w:hAnsi="Times New Roman"/>
          <w:b/>
          <w:snapToGrid/>
          <w:szCs w:val="24"/>
        </w:rPr>
      </w:pPr>
    </w:p>
    <w:p w:rsidRPr="005709AF" w:rsidR="007562B8" w:rsidP="005709AF" w:rsidRDefault="00A26153">
      <w:pPr>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of 6</w:t>
      </w:r>
      <w:r w:rsidR="00C772BC">
        <w:rPr>
          <w:rFonts w:ascii="Times New Roman" w:hAnsi="Times New Roman"/>
          <w:snapToGrid/>
          <w:szCs w:val="24"/>
        </w:rPr>
        <w:t>6,880</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weighted average hourly compensation estimate </w:t>
      </w:r>
      <w:r>
        <w:rPr>
          <w:rFonts w:ascii="Times New Roman" w:hAnsi="Times New Roman"/>
          <w:snapToGrid/>
          <w:szCs w:val="24"/>
        </w:rPr>
        <w:t>of $</w:t>
      </w:r>
      <w:r w:rsidR="00C772BC">
        <w:rPr>
          <w:rFonts w:ascii="Times New Roman" w:hAnsi="Times New Roman"/>
          <w:snapToGrid/>
          <w:szCs w:val="24"/>
        </w:rPr>
        <w:t>88.31</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Pr="002A5F6B" w:rsidR="002A5F6B">
        <w:rPr>
          <w:rFonts w:ascii="Times New Roman" w:hAnsi="Times New Roman"/>
          <w:snapToGrid/>
          <w:szCs w:val="24"/>
        </w:rPr>
        <w:t xml:space="preserve"> $</w:t>
      </w:r>
      <w:r w:rsidR="00C772BC">
        <w:rPr>
          <w:rFonts w:ascii="Times New Roman" w:hAnsi="Times New Roman"/>
          <w:snapToGrid/>
          <w:szCs w:val="24"/>
        </w:rPr>
        <w:t>5,906,172.80</w:t>
      </w:r>
      <w:r w:rsidRPr="002A5F6B" w:rsidR="002A5F6B">
        <w:rPr>
          <w:rFonts w:ascii="Times New Roman" w:hAnsi="Times New Roman"/>
          <w:snapToGrid/>
          <w:szCs w:val="24"/>
        </w:rPr>
        <w:t xml:space="preserve"> per year. </w:t>
      </w:r>
    </w:p>
    <w:p w:rsidR="007562B8" w:rsidRDefault="007562B8">
      <w:pPr>
        <w:rPr>
          <w:rFonts w:ascii="Times New Roman" w:hAnsi="Times New Roman"/>
        </w:rPr>
      </w:pPr>
    </w:p>
    <w:p w:rsidRPr="000B0581" w:rsidR="007B6C63" w:rsidP="000B0581" w:rsidRDefault="007B6C63">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Pr="000B0581" w:rsidR="007B6C63" w:rsidRDefault="007B6C63">
      <w:pPr>
        <w:rPr>
          <w:rFonts w:ascii="Times New Roman" w:hAnsi="Times New Roman"/>
          <w:b/>
          <w:u w:val="single"/>
        </w:rPr>
      </w:pPr>
    </w:p>
    <w:p w:rsidR="007B6C63" w:rsidP="000B0581" w:rsidRDefault="007B6C63">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rsidRDefault="007B6C63">
      <w:pPr>
        <w:ind w:firstLine="720"/>
        <w:rPr>
          <w:rFonts w:ascii="Times New Roman" w:hAnsi="Times New Roman"/>
        </w:rPr>
      </w:pPr>
    </w:p>
    <w:p w:rsidR="007B6C63" w:rsidP="000B0581" w:rsidRDefault="00243D0C">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RDefault="007B6C63">
      <w:pPr>
        <w:rPr>
          <w:rFonts w:ascii="Times New Roman" w:hAnsi="Times New Roman"/>
        </w:rPr>
      </w:pPr>
    </w:p>
    <w:p w:rsidR="007B6C63" w:rsidP="00B61AD2" w:rsidRDefault="007B6C63">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rsidRDefault="007B6C63">
      <w:pPr>
        <w:keepNext/>
        <w:rPr>
          <w:rFonts w:ascii="Times New Roman" w:hAnsi="Times New Roman"/>
        </w:rPr>
      </w:pPr>
    </w:p>
    <w:p w:rsidR="007B6C63" w:rsidP="00B61AD2" w:rsidRDefault="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 xml:space="preserve">The change in burden is due </w:t>
      </w:r>
      <w:r>
        <w:rPr>
          <w:rFonts w:ascii="Times New Roman" w:hAnsi="Times New Roman"/>
        </w:rPr>
        <w:t xml:space="preserve">solely </w:t>
      </w:r>
      <w:r w:rsidR="00243D0C">
        <w:rPr>
          <w:rFonts w:ascii="Times New Roman" w:hAnsi="Times New Roman"/>
        </w:rPr>
        <w:t xml:space="preserve">to </w:t>
      </w:r>
      <w:r>
        <w:rPr>
          <w:rFonts w:ascii="Times New Roman" w:hAnsi="Times New Roman"/>
        </w:rPr>
        <w:t xml:space="preserve">the </w:t>
      </w:r>
      <w:r w:rsidR="003E3404">
        <w:rPr>
          <w:rFonts w:ascii="Times New Roman" w:hAnsi="Times New Roman"/>
        </w:rPr>
        <w:t>decrease</w:t>
      </w:r>
      <w:r>
        <w:rPr>
          <w:rFonts w:ascii="Times New Roman" w:hAnsi="Times New Roman"/>
        </w:rPr>
        <w:t xml:space="preserve"> in the estimated number of respondents </w:t>
      </w:r>
      <w:r>
        <w:rPr>
          <w:rFonts w:ascii="Times New Roman" w:hAnsi="Times New Roman"/>
          <w:snapToGrid/>
        </w:rPr>
        <w:t>by</w:t>
      </w:r>
      <w:r w:rsidRPr="00B61AD2">
        <w:rPr>
          <w:rFonts w:ascii="Times New Roman" w:hAnsi="Times New Roman"/>
          <w:snapToGrid/>
        </w:rPr>
        <w:t xml:space="preserve"> </w:t>
      </w:r>
      <w:r w:rsidR="00A270BF">
        <w:rPr>
          <w:rFonts w:ascii="Times New Roman" w:hAnsi="Times New Roman"/>
          <w:snapToGrid/>
        </w:rPr>
        <w:t>534</w:t>
      </w:r>
      <w:r w:rsidRPr="00B61AD2">
        <w:rPr>
          <w:rFonts w:ascii="Times New Roman" w:hAnsi="Times New Roman"/>
          <w:snapToGrid/>
        </w:rPr>
        <w:t xml:space="preserve"> from the estimated </w:t>
      </w:r>
      <w:r w:rsidR="00A270BF">
        <w:rPr>
          <w:rFonts w:ascii="Times New Roman" w:hAnsi="Times New Roman"/>
          <w:snapToGrid/>
        </w:rPr>
        <w:t>3,878</w:t>
      </w:r>
      <w:r w:rsidRPr="00B61AD2">
        <w:rPr>
          <w:rFonts w:ascii="Times New Roman" w:hAnsi="Times New Roman"/>
          <w:snapToGrid/>
        </w:rPr>
        <w:t xml:space="preserve"> annual respondents in the </w:t>
      </w:r>
      <w:r>
        <w:rPr>
          <w:rFonts w:ascii="Times New Roman" w:hAnsi="Times New Roman"/>
          <w:snapToGrid/>
        </w:rPr>
        <w:t>currently-approved information collection</w:t>
      </w:r>
      <w:r w:rsidR="003E3404">
        <w:rPr>
          <w:rFonts w:ascii="Times New Roman" w:hAnsi="Times New Roman"/>
          <w:snapToGrid/>
        </w:rPr>
        <w:t xml:space="preserve"> to the current estimate of </w:t>
      </w:r>
      <w:r w:rsidR="00A270BF">
        <w:rPr>
          <w:rFonts w:ascii="Times New Roman" w:hAnsi="Times New Roman"/>
          <w:snapToGrid/>
        </w:rPr>
        <w:t>3,344</w:t>
      </w:r>
      <w:r w:rsidRPr="00B61AD2">
        <w:rPr>
          <w:rFonts w:ascii="Times New Roman" w:hAnsi="Times New Roman"/>
          <w:snapToGrid/>
        </w:rPr>
        <w:t xml:space="preserve">. </w:t>
      </w:r>
      <w:r>
        <w:rPr>
          <w:rFonts w:ascii="Times New Roman" w:hAnsi="Times New Roman"/>
          <w:snapToGrid/>
        </w:rPr>
        <w:t>T</w:t>
      </w:r>
      <w:r w:rsidRPr="00B61AD2">
        <w:rPr>
          <w:rFonts w:ascii="Times New Roman" w:hAnsi="Times New Roman"/>
          <w:snapToGrid/>
        </w:rPr>
        <w:t xml:space="preserve">he decrease in estimated respondents is </w:t>
      </w:r>
      <w:r>
        <w:rPr>
          <w:rFonts w:ascii="Times New Roman" w:hAnsi="Times New Roman"/>
          <w:snapToGrid/>
        </w:rPr>
        <w:t>the</w:t>
      </w:r>
      <w:r w:rsidRPr="00B61AD2">
        <w:rPr>
          <w:rFonts w:ascii="Times New Roman" w:hAnsi="Times New Roman"/>
          <w:snapToGrid/>
        </w:rPr>
        <w:t xml:space="preserve"> result of the drop in </w:t>
      </w:r>
      <w:r>
        <w:rPr>
          <w:rFonts w:ascii="Times New Roman" w:hAnsi="Times New Roman"/>
          <w:snapToGrid/>
        </w:rPr>
        <w:t xml:space="preserve">the </w:t>
      </w:r>
      <w:r w:rsidRPr="00B61AD2">
        <w:rPr>
          <w:rFonts w:ascii="Times New Roman" w:hAnsi="Times New Roman"/>
          <w:snapToGrid/>
        </w:rPr>
        <w:t xml:space="preserve">total number of </w:t>
      </w:r>
      <w:r w:rsidR="00A270BF">
        <w:rPr>
          <w:rFonts w:ascii="Times New Roman" w:hAnsi="Times New Roman"/>
          <w:snapToGrid/>
        </w:rPr>
        <w:t>FDIC-supervised</w:t>
      </w:r>
      <w:r>
        <w:rPr>
          <w:rFonts w:ascii="Times New Roman" w:hAnsi="Times New Roman"/>
          <w:snapToGrid/>
        </w:rPr>
        <w:t xml:space="preserve"> institutions.</w:t>
      </w:r>
    </w:p>
    <w:p w:rsidRPr="00A1019D" w:rsidR="00D35001" w:rsidP="00A1019D" w:rsidRDefault="00D35001">
      <w:pPr>
        <w:tabs>
          <w:tab w:val="left" w:pos="-1440"/>
        </w:tabs>
        <w:ind w:left="720" w:hanging="360"/>
        <w:rPr>
          <w:rFonts w:ascii="Times New Roman" w:hAnsi="Times New Roman"/>
          <w:b/>
          <w:bCs/>
          <w:iCs/>
          <w:u w:val="single"/>
        </w:rPr>
      </w:pPr>
    </w:p>
    <w:p w:rsidRPr="00D64624" w:rsidR="00937218" w:rsidP="00A1019D" w:rsidRDefault="007B6C63">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sidR="00937218">
        <w:rPr>
          <w:rFonts w:ascii="Times New Roman" w:hAnsi="Times New Roman"/>
          <w:b/>
          <w:bCs/>
          <w:iCs/>
          <w:u w:val="single"/>
        </w:rPr>
        <w:t>Information</w:t>
      </w:r>
      <w:r w:rsidRPr="00D64624" w:rsidR="00937218">
        <w:rPr>
          <w:rFonts w:ascii="Times New Roman" w:hAnsi="Times New Roman"/>
          <w:b/>
          <w:szCs w:val="24"/>
          <w:u w:val="single"/>
        </w:rPr>
        <w:t xml:space="preserve"> regarding collections whose results are planned to be published for statistical use:</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The information collected is for internal FDIC use only and is not published.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rsidRDefault="007B6C63">
      <w:pPr>
        <w:rPr>
          <w:rFonts w:ascii="Times New Roman" w:hAnsi="Times New Roman"/>
        </w:rPr>
      </w:pPr>
    </w:p>
    <w:p w:rsidR="007B6C63" w:rsidP="000B0581" w:rsidRDefault="00937218">
      <w:pPr>
        <w:ind w:left="720"/>
        <w:rPr>
          <w:rFonts w:ascii="Times New Roman" w:hAnsi="Times New Roman"/>
        </w:rPr>
      </w:pPr>
      <w:r>
        <w:rPr>
          <w:rFonts w:ascii="Times New Roman" w:hAnsi="Times New Roman"/>
          <w:szCs w:val="24"/>
        </w:rPr>
        <w:t>Th</w:t>
      </w:r>
      <w:r w:rsidR="00B76DC2">
        <w:rPr>
          <w:rFonts w:ascii="Times New Roman" w:hAnsi="Times New Roman"/>
          <w:szCs w:val="24"/>
        </w:rPr>
        <w:t xml:space="preserve">is information collection involves recordkeeping requirements only. </w:t>
      </w:r>
      <w:r>
        <w:rPr>
          <w:rFonts w:ascii="Times New Roman" w:hAnsi="Times New Roman"/>
          <w:szCs w:val="24"/>
        </w:rPr>
        <w:t xml:space="preserve"> </w:t>
      </w:r>
      <w:r w:rsidR="00B76DC2">
        <w:rPr>
          <w:rFonts w:ascii="Times New Roman" w:hAnsi="Times New Roman"/>
        </w:rPr>
        <w:t xml:space="preserve">The expiration date of the information collection is readily available at </w:t>
      </w:r>
      <w:hyperlink w:history="1" r:id="rId8">
        <w:r w:rsidRPr="00DD71EB" w:rsidR="00B76DC2">
          <w:rPr>
            <w:rStyle w:val="Hyperlink"/>
            <w:rFonts w:ascii="Times New Roman" w:hAnsi="Times New Roman"/>
          </w:rPr>
          <w:t>www.reginfo.gov</w:t>
        </w:r>
      </w:hyperlink>
      <w:r w:rsidRPr="00B76DC2" w:rsidR="00B76DC2">
        <w:rPr>
          <w:rStyle w:val="FootnoteReference"/>
          <w:rFonts w:ascii="Times New Roman" w:hAnsi="Times New Roman"/>
          <w:vertAlign w:val="superscript"/>
        </w:rPr>
        <w:footnoteReference w:id="3"/>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rsidRDefault="007B6C63">
      <w:pPr>
        <w:tabs>
          <w:tab w:val="left" w:pos="-1440"/>
        </w:tabs>
        <w:ind w:firstLine="360"/>
        <w:rPr>
          <w:rFonts w:ascii="Times New Roman" w:hAnsi="Times New Roman"/>
        </w:rPr>
      </w:pPr>
    </w:p>
    <w:p w:rsidR="007B6C63" w:rsidP="000B0581" w:rsidRDefault="007B6C63">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rsidRDefault="007B6C63">
      <w:pPr>
        <w:ind w:left="720"/>
        <w:rPr>
          <w:rFonts w:ascii="Times New Roman" w:hAnsi="Times New Roman"/>
        </w:rPr>
      </w:pPr>
    </w:p>
    <w:p w:rsidR="007B6C63" w:rsidP="004B7E98" w:rsidRDefault="007B6C63">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4B7E98" w:rsidRDefault="007B6C63">
      <w:pPr>
        <w:keepNext/>
        <w:rPr>
          <w:rFonts w:ascii="Times New Roman" w:hAnsi="Times New Roman"/>
        </w:rPr>
      </w:pPr>
    </w:p>
    <w:p w:rsidR="007B6C63" w:rsidP="004B7E98" w:rsidRDefault="007B6C63">
      <w:pPr>
        <w:keepNext/>
        <w:ind w:left="720"/>
        <w:rPr>
          <w:rFonts w:ascii="Times New Roman" w:hAnsi="Times New Roman"/>
        </w:rPr>
      </w:pPr>
      <w:r>
        <w:rPr>
          <w:rFonts w:ascii="Times New Roman" w:hAnsi="Times New Roman"/>
        </w:rPr>
        <w:t>Not applicable.</w:t>
      </w:r>
    </w:p>
    <w:p w:rsidR="007B6C63" w:rsidP="004B7E98" w:rsidRDefault="007B6C63">
      <w:pPr>
        <w:keepNext/>
        <w:rPr>
          <w:rFonts w:ascii="Times New Roman" w:hAnsi="Times New Roman"/>
        </w:rPr>
      </w:pPr>
    </w:p>
    <w:p w:rsidR="007B6C63" w:rsidRDefault="007B6C63">
      <w:pPr>
        <w:rPr>
          <w:rFonts w:ascii="Times New Roman" w:hAnsi="Times New Roman"/>
        </w:rPr>
      </w:pPr>
    </w:p>
    <w:sectPr w:rsidR="007B6C6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97" w:rsidRDefault="00240097">
      <w:r>
        <w:separator/>
      </w:r>
    </w:p>
  </w:endnote>
  <w:endnote w:type="continuationSeparator" w:id="0">
    <w:p w:rsidR="00240097" w:rsidRDefault="0024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63" w:rsidRDefault="007B6C63">
    <w:pPr>
      <w:spacing w:line="240" w:lineRule="exact"/>
    </w:pPr>
  </w:p>
  <w:p w:rsidR="007B6C63" w:rsidRDefault="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C0D5A">
      <w:rPr>
        <w:rFonts w:ascii="Times New Roman" w:hAnsi="Times New Roman"/>
        <w:noProof/>
      </w:rPr>
      <w:t>2</w:t>
    </w:r>
    <w:r>
      <w:rPr>
        <w:rFonts w:ascii="Times New Roman" w:hAnsi="Times New Roman"/>
      </w:rPr>
      <w:fldChar w:fldCharType="end"/>
    </w:r>
  </w:p>
  <w:p w:rsidR="007B6C63" w:rsidRDefault="007B6C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97" w:rsidRDefault="00240097">
      <w:r>
        <w:separator/>
      </w:r>
    </w:p>
  </w:footnote>
  <w:footnote w:type="continuationSeparator" w:id="0">
    <w:p w:rsidR="00240097" w:rsidRDefault="00240097">
      <w:r>
        <w:continuationSeparator/>
      </w:r>
    </w:p>
  </w:footnote>
  <w:footnote w:id="1">
    <w:p w:rsidR="00C772BC" w:rsidRPr="00C772BC" w:rsidRDefault="00C772BC">
      <w:pPr>
        <w:pStyle w:val="FootnoteText"/>
        <w:rPr>
          <w:rFonts w:ascii="Times New Roman" w:hAnsi="Times New Roman"/>
        </w:rPr>
      </w:pPr>
      <w:r w:rsidRPr="00C772BC">
        <w:rPr>
          <w:rStyle w:val="FootnoteReference"/>
          <w:rFonts w:ascii="Times New Roman" w:hAnsi="Times New Roman"/>
          <w:vertAlign w:val="superscript"/>
        </w:rPr>
        <w:footnoteRef/>
      </w:r>
      <w:r w:rsidRPr="00C772BC">
        <w:rPr>
          <w:rFonts w:ascii="Times New Roman" w:hAnsi="Times New Roman"/>
        </w:rPr>
        <w:t xml:space="preserve"> FDIC Call Report data, December 30, 2019.</w:t>
      </w:r>
    </w:p>
  </w:footnote>
  <w:footnote w:id="2">
    <w:p w:rsidR="005709AF" w:rsidRPr="005709AF" w:rsidRDefault="005709AF" w:rsidP="005709AF">
      <w:pPr>
        <w:widowControl/>
        <w:rPr>
          <w:rStyle w:val="FootnoteReference"/>
          <w:rFonts w:ascii="Times New Roman" w:hAnsi="Times New Roman"/>
          <w:snapToGrid/>
          <w:sz w:val="20"/>
        </w:rPr>
      </w:pPr>
      <w:r w:rsidRPr="005709AF">
        <w:rPr>
          <w:rStyle w:val="FootnoteReference"/>
          <w:rFonts w:ascii="Times New Roman" w:hAnsi="Times New Roman"/>
          <w:vertAlign w:val="superscript"/>
        </w:rPr>
        <w:footnoteRef/>
      </w:r>
      <w:r w:rsidRPr="005709AF">
        <w:rPr>
          <w:rStyle w:val="FootnoteReference"/>
          <w:rFonts w:ascii="Times New Roman" w:hAnsi="Times New Roman"/>
          <w:vertAlign w:val="superscript"/>
        </w:rPr>
        <w:t xml:space="preserve"> </w:t>
      </w:r>
      <w:r w:rsidRPr="005709AF">
        <w:rPr>
          <w:rFonts w:ascii="Times New Roman" w:hAnsi="Times New Roman"/>
          <w:snapToGrid/>
          <w:sz w:val="20"/>
        </w:rPr>
        <w:t>The estimate includes the May 2018 75th percentile hourly wage rate for Management Occupations ($78.25), Office and Administrative Support Occupations ($20.92), Computer and Mathematical Occupations ($58.58), and Financial Analysts ($54.34) reported by the Bureau of Labor Statistics, National Industry-Specific Occupational Employment, and Wage Estimates. These wage rates have been adjusted for changes in the Consumer Price Index for all Urban Consumers between May 2018 and December 2019 (3.11 percent) and grossed up by 51 percent to account for non-monetary compensation as reported by the December 2019 Employer Costs for Employee Compensation Data. The calculation assumes that Management Occupations would conduct 50 percent of the hourly burden associated with this collection, Office and Administrative Support Occupations would conduct 30 percent, Computer and Mathematical Occupations would conduct 10 percent, and Financial Analysts would conduct 10 percent. The hourly cost estimate is calculated as (0.50*$121.88 + 0.30*$32.59 + 0.10*$91.24 + 0.10*$84.64 = $88.31).</w:t>
      </w:r>
    </w:p>
  </w:footnote>
  <w:footnote w:id="3">
    <w:p w:rsidR="00B76DC2" w:rsidRDefault="00B76DC2">
      <w:pPr>
        <w:pStyle w:val="FootnoteText"/>
      </w:pPr>
      <w:r w:rsidRPr="00B76DC2">
        <w:rPr>
          <w:rStyle w:val="FootnoteReference"/>
          <w:vertAlign w:val="superscript"/>
        </w:rPr>
        <w:footnoteRef/>
      </w:r>
      <w:r>
        <w:t xml:space="preserve"> </w:t>
      </w:r>
      <w:hyperlink r:id="rId1" w:history="1">
        <w:r w:rsidRPr="00DD71EB">
          <w:rPr>
            <w:rStyle w:val="Hyperlink"/>
            <w:rFonts w:ascii="Times New Roman" w:hAnsi="Times New Roman"/>
          </w:rPr>
          <w:t>https://www.reginfo.gov/public/Forward?SearchTarget=PRA&amp;textfield=3064-0112</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855E4"/>
    <w:rsid w:val="00093D0F"/>
    <w:rsid w:val="000B0581"/>
    <w:rsid w:val="00175893"/>
    <w:rsid w:val="00177720"/>
    <w:rsid w:val="001778A3"/>
    <w:rsid w:val="00182279"/>
    <w:rsid w:val="001D78D3"/>
    <w:rsid w:val="00240097"/>
    <w:rsid w:val="00243D0C"/>
    <w:rsid w:val="0025784A"/>
    <w:rsid w:val="00285D59"/>
    <w:rsid w:val="002A35F4"/>
    <w:rsid w:val="002A5F6B"/>
    <w:rsid w:val="002B1AFA"/>
    <w:rsid w:val="002F26D8"/>
    <w:rsid w:val="00304C3E"/>
    <w:rsid w:val="00386C94"/>
    <w:rsid w:val="003B3219"/>
    <w:rsid w:val="003E3404"/>
    <w:rsid w:val="003E5901"/>
    <w:rsid w:val="003F2FF8"/>
    <w:rsid w:val="00426153"/>
    <w:rsid w:val="00435A15"/>
    <w:rsid w:val="00454007"/>
    <w:rsid w:val="0048245A"/>
    <w:rsid w:val="004A5959"/>
    <w:rsid w:val="004B7E98"/>
    <w:rsid w:val="004B7F1A"/>
    <w:rsid w:val="004C5B45"/>
    <w:rsid w:val="00523B22"/>
    <w:rsid w:val="005709AF"/>
    <w:rsid w:val="005B79C4"/>
    <w:rsid w:val="005C5B63"/>
    <w:rsid w:val="005E62DB"/>
    <w:rsid w:val="00615BAD"/>
    <w:rsid w:val="0063734B"/>
    <w:rsid w:val="00653821"/>
    <w:rsid w:val="00655078"/>
    <w:rsid w:val="00686F68"/>
    <w:rsid w:val="006B0048"/>
    <w:rsid w:val="007562B8"/>
    <w:rsid w:val="007B6C63"/>
    <w:rsid w:val="0080546E"/>
    <w:rsid w:val="00820F79"/>
    <w:rsid w:val="00826F32"/>
    <w:rsid w:val="00844536"/>
    <w:rsid w:val="00881712"/>
    <w:rsid w:val="008B2102"/>
    <w:rsid w:val="00921EFB"/>
    <w:rsid w:val="00937218"/>
    <w:rsid w:val="009557A1"/>
    <w:rsid w:val="0096157F"/>
    <w:rsid w:val="009B62D9"/>
    <w:rsid w:val="009B7A15"/>
    <w:rsid w:val="009C2BFF"/>
    <w:rsid w:val="00A1019D"/>
    <w:rsid w:val="00A26153"/>
    <w:rsid w:val="00A270BF"/>
    <w:rsid w:val="00A81BD7"/>
    <w:rsid w:val="00B17BBF"/>
    <w:rsid w:val="00B17F71"/>
    <w:rsid w:val="00B61AD2"/>
    <w:rsid w:val="00B76DC2"/>
    <w:rsid w:val="00BD64F8"/>
    <w:rsid w:val="00BD7F95"/>
    <w:rsid w:val="00C14D80"/>
    <w:rsid w:val="00C750AB"/>
    <w:rsid w:val="00C772BC"/>
    <w:rsid w:val="00C8275D"/>
    <w:rsid w:val="00CB2ED5"/>
    <w:rsid w:val="00CC7A55"/>
    <w:rsid w:val="00D0274E"/>
    <w:rsid w:val="00D1720C"/>
    <w:rsid w:val="00D35001"/>
    <w:rsid w:val="00D50914"/>
    <w:rsid w:val="00D55074"/>
    <w:rsid w:val="00D804A5"/>
    <w:rsid w:val="00DA5092"/>
    <w:rsid w:val="00DD29EA"/>
    <w:rsid w:val="00DE2D0B"/>
    <w:rsid w:val="00F34CBE"/>
    <w:rsid w:val="00F9430B"/>
    <w:rsid w:val="00FB759A"/>
    <w:rsid w:val="00FC0D5A"/>
    <w:rsid w:val="00FC41DF"/>
    <w:rsid w:val="00FC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Forward?SearchTarget=PRA&amp;textfield=3064-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2636-7FE4-4FEE-BC73-5B5A0277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Links>
    <vt:vector size="12" baseType="variant">
      <vt:variant>
        <vt:i4>3014779</vt:i4>
      </vt:variant>
      <vt:variant>
        <vt:i4>0</vt:i4>
      </vt:variant>
      <vt:variant>
        <vt:i4>0</vt:i4>
      </vt:variant>
      <vt:variant>
        <vt:i4>5</vt:i4>
      </vt:variant>
      <vt:variant>
        <vt:lpwstr>http://www.reginfo.gov/</vt:lpwstr>
      </vt:variant>
      <vt:variant>
        <vt:lpwstr/>
      </vt:variant>
      <vt:variant>
        <vt:i4>7340074</vt:i4>
      </vt:variant>
      <vt:variant>
        <vt:i4>0</vt:i4>
      </vt:variant>
      <vt:variant>
        <vt:i4>0</vt:i4>
      </vt:variant>
      <vt:variant>
        <vt:i4>5</vt:i4>
      </vt:variant>
      <vt:variant>
        <vt:lpwstr>https://www.reginfo.gov/public/Forward?SearchTarget=PRA&amp;textfield=3064-0112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2020-04-15T14:11:00Z</dcterms:created>
  <dcterms:modified xsi:type="dcterms:W3CDTF">2020-04-20T12:56:00Z</dcterms:modified>
</cp:coreProperties>
</file>