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60117" w:rsidR="00F60117" w:rsidP="00F60117" w:rsidRDefault="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Pr>
          <w:rFonts w:eastAsia="Times New Roman"/>
          <w:color w:val="auto"/>
          <w:szCs w:val="20"/>
        </w:rPr>
        <w:tab/>
      </w:r>
      <w:r w:rsidR="00610ACE">
        <w:rPr>
          <w:rFonts w:eastAsia="Times New Roman"/>
          <w:color w:val="auto"/>
          <w:szCs w:val="20"/>
        </w:rPr>
        <w:t>September 2</w:t>
      </w:r>
      <w:bookmarkStart w:name="_GoBack" w:id="0"/>
      <w:bookmarkEnd w:id="0"/>
      <w:r w:rsidR="00A31229">
        <w:rPr>
          <w:rFonts w:eastAsia="Times New Roman"/>
          <w:color w:val="auto"/>
          <w:szCs w:val="20"/>
        </w:rPr>
        <w:t>, 2020</w:t>
      </w:r>
    </w:p>
    <w:p w:rsidRPr="00F60117" w:rsidR="00F60117" w:rsidP="00F60117" w:rsidRDefault="00F60117">
      <w:pPr>
        <w:rPr>
          <w:rFonts w:eastAsia="Times New Roman"/>
          <w:color w:val="auto"/>
          <w:szCs w:val="20"/>
        </w:rPr>
      </w:pPr>
    </w:p>
    <w:p w:rsidRPr="00F60117" w:rsidR="00F60117" w:rsidP="00F60117" w:rsidRDefault="00F60117">
      <w:pPr>
        <w:rPr>
          <w:rFonts w:eastAsia="Times New Roman"/>
          <w:color w:val="auto"/>
          <w:szCs w:val="20"/>
        </w:rPr>
      </w:pPr>
      <w:r w:rsidRPr="00F60117">
        <w:rPr>
          <w:rFonts w:eastAsia="Times New Roman"/>
          <w:color w:val="auto"/>
          <w:szCs w:val="20"/>
        </w:rPr>
        <w:t> </w:t>
      </w:r>
    </w:p>
    <w:p w:rsidRPr="00F60117" w:rsidR="00F60117" w:rsidP="00F60117" w:rsidRDefault="00F60117">
      <w:pPr>
        <w:rPr>
          <w:rFonts w:eastAsia="Times New Roman"/>
          <w:color w:val="auto"/>
          <w:szCs w:val="20"/>
        </w:rPr>
      </w:pPr>
      <w:r w:rsidRPr="00F60117">
        <w:rPr>
          <w:rFonts w:eastAsia="Times New Roman"/>
          <w:color w:val="auto"/>
          <w:szCs w:val="20"/>
        </w:rPr>
        <w:t>Memorandum to:</w:t>
      </w:r>
      <w:r w:rsidRPr="00F60117">
        <w:rPr>
          <w:rFonts w:eastAsia="Times New Roman"/>
          <w:color w:val="auto"/>
          <w:szCs w:val="20"/>
        </w:rPr>
        <w:tab/>
      </w:r>
      <w:r>
        <w:rPr>
          <w:rFonts w:eastAsia="Times New Roman"/>
          <w:color w:val="auto"/>
          <w:szCs w:val="20"/>
        </w:rPr>
        <w:t>William E. Bestani</w:t>
      </w:r>
    </w:p>
    <w:p w:rsidRPr="00F60117" w:rsidR="00F60117" w:rsidP="00F60117" w:rsidRDefault="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Policy Analyst</w:t>
      </w:r>
    </w:p>
    <w:p w:rsidR="00F60117" w:rsidP="00F60117" w:rsidRDefault="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Office of Information and Regulatory Affairs</w:t>
      </w:r>
    </w:p>
    <w:p w:rsidR="00F60117" w:rsidP="00F60117" w:rsidRDefault="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Office of Management and Budget</w:t>
      </w:r>
    </w:p>
    <w:p w:rsidRPr="00F60117" w:rsidR="00F60117" w:rsidP="00F60117" w:rsidRDefault="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Executive Office of the President</w:t>
      </w:r>
      <w:r w:rsidRPr="00F60117">
        <w:rPr>
          <w:rFonts w:eastAsia="Times New Roman"/>
          <w:color w:val="auto"/>
          <w:szCs w:val="20"/>
        </w:rPr>
        <w:t>                            </w:t>
      </w:r>
      <w:r w:rsidRPr="00F60117">
        <w:rPr>
          <w:rFonts w:eastAsia="Times New Roman"/>
          <w:color w:val="auto"/>
          <w:szCs w:val="20"/>
        </w:rPr>
        <w:tab/>
      </w:r>
    </w:p>
    <w:p w:rsidRPr="00F60117" w:rsidR="00F60117" w:rsidP="00F60117" w:rsidRDefault="00F60117">
      <w:pPr>
        <w:rPr>
          <w:rFonts w:eastAsia="Times New Roman"/>
          <w:color w:val="auto"/>
          <w:szCs w:val="20"/>
        </w:rPr>
      </w:pPr>
      <w:r w:rsidRPr="00F60117">
        <w:rPr>
          <w:rFonts w:eastAsia="Times New Roman"/>
          <w:color w:val="auto"/>
          <w:szCs w:val="20"/>
        </w:rPr>
        <w:t>                                    </w:t>
      </w:r>
    </w:p>
    <w:p w:rsidR="00F60117" w:rsidP="00F60117" w:rsidRDefault="00F60117">
      <w:pPr>
        <w:rPr>
          <w:rFonts w:eastAsia="Times New Roman"/>
          <w:color w:val="auto"/>
          <w:szCs w:val="20"/>
        </w:rPr>
      </w:pPr>
      <w:r w:rsidRPr="00F60117">
        <w:rPr>
          <w:rFonts w:eastAsia="Times New Roman"/>
          <w:color w:val="auto"/>
          <w:szCs w:val="20"/>
        </w:rPr>
        <w:t>From:</w:t>
      </w: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Manny Cabeza</w:t>
      </w:r>
    </w:p>
    <w:p w:rsidRPr="00F60117" w:rsidR="00F60117" w:rsidP="00F60117" w:rsidRDefault="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Regulatory Counsel</w:t>
      </w:r>
    </w:p>
    <w:p w:rsidR="00F60117" w:rsidP="00F60117" w:rsidRDefault="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r>
      <w:r>
        <w:rPr>
          <w:rFonts w:eastAsia="Times New Roman"/>
          <w:color w:val="auto"/>
          <w:szCs w:val="20"/>
        </w:rPr>
        <w:t>Assessments and Legislation Group</w:t>
      </w:r>
    </w:p>
    <w:p w:rsidR="00F60117" w:rsidP="00F60117" w:rsidRDefault="00F60117">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Legal Division</w:t>
      </w:r>
    </w:p>
    <w:p w:rsidRPr="00F60117" w:rsidR="00F60117" w:rsidP="00F60117" w:rsidRDefault="00F60117">
      <w:pPr>
        <w:ind w:left="1440" w:firstLine="720"/>
        <w:rPr>
          <w:rFonts w:eastAsia="Times New Roman"/>
          <w:color w:val="auto"/>
          <w:szCs w:val="20"/>
        </w:rPr>
      </w:pPr>
      <w:r>
        <w:rPr>
          <w:rFonts w:eastAsia="Times New Roman"/>
          <w:color w:val="auto"/>
          <w:szCs w:val="20"/>
        </w:rPr>
        <w:t>Federal Deposit Insurance Corporation</w:t>
      </w:r>
      <w:r w:rsidRPr="00F60117">
        <w:rPr>
          <w:rFonts w:eastAsia="Times New Roman"/>
          <w:color w:val="auto"/>
          <w:szCs w:val="20"/>
        </w:rPr>
        <w:t>      </w:t>
      </w:r>
    </w:p>
    <w:p w:rsidRPr="00F60117" w:rsidR="00F60117" w:rsidP="00F60117" w:rsidRDefault="00F60117">
      <w:pPr>
        <w:rPr>
          <w:rFonts w:eastAsia="Times New Roman"/>
          <w:color w:val="auto"/>
          <w:szCs w:val="20"/>
        </w:rPr>
      </w:pPr>
      <w:r w:rsidRPr="00F60117">
        <w:rPr>
          <w:rFonts w:eastAsia="Times New Roman"/>
          <w:color w:val="auto"/>
          <w:szCs w:val="20"/>
        </w:rPr>
        <w:tab/>
      </w:r>
      <w:r w:rsidRPr="00F60117">
        <w:rPr>
          <w:rFonts w:eastAsia="Times New Roman"/>
          <w:color w:val="auto"/>
          <w:szCs w:val="20"/>
        </w:rPr>
        <w:tab/>
      </w:r>
      <w:r w:rsidRPr="00F60117">
        <w:rPr>
          <w:rFonts w:eastAsia="Times New Roman"/>
          <w:color w:val="auto"/>
          <w:szCs w:val="20"/>
        </w:rPr>
        <w:tab/>
        <w:t xml:space="preserve">      </w:t>
      </w:r>
    </w:p>
    <w:p w:rsidRPr="00F60117" w:rsidR="00F60117" w:rsidP="00F60117" w:rsidRDefault="00F60117">
      <w:pPr>
        <w:rPr>
          <w:rFonts w:eastAsia="Times New Roman"/>
          <w:color w:val="auto"/>
          <w:szCs w:val="20"/>
        </w:rPr>
      </w:pPr>
    </w:p>
    <w:p w:rsidR="00F60117" w:rsidP="00B46249" w:rsidRDefault="00F60117">
      <w:pPr>
        <w:ind w:left="720" w:hanging="720"/>
        <w:rPr>
          <w:rFonts w:eastAsia="Times New Roman"/>
          <w:color w:val="auto"/>
          <w:szCs w:val="20"/>
          <w:u w:val="single"/>
        </w:rPr>
      </w:pPr>
      <w:r w:rsidRPr="00F60117">
        <w:rPr>
          <w:rFonts w:eastAsia="Times New Roman"/>
          <w:color w:val="auto"/>
          <w:szCs w:val="20"/>
        </w:rPr>
        <w:t xml:space="preserve">RE:  </w:t>
      </w:r>
      <w:r w:rsidR="00B46249">
        <w:rPr>
          <w:rFonts w:eastAsia="Times New Roman"/>
          <w:color w:val="auto"/>
          <w:szCs w:val="20"/>
        </w:rPr>
        <w:tab/>
      </w:r>
      <w:r w:rsidR="00A31229">
        <w:rPr>
          <w:rFonts w:hAnsi="Calibri" w:eastAsia="Calibri"/>
          <w:u w:val="single"/>
        </w:rPr>
        <w:t>Community Affairs Event Evaluation Form</w:t>
      </w:r>
    </w:p>
    <w:p w:rsidRPr="00F60117" w:rsidR="00F60117" w:rsidP="00F60117" w:rsidRDefault="00F60117">
      <w:pPr>
        <w:rPr>
          <w:rFonts w:eastAsia="Times New Roman"/>
          <w:color w:val="auto"/>
          <w:szCs w:val="20"/>
        </w:rPr>
      </w:pPr>
    </w:p>
    <w:p w:rsidRPr="0003290E" w:rsidR="0003290E" w:rsidP="0003290E" w:rsidRDefault="0003290E">
      <w:pPr>
        <w:rPr>
          <w:rFonts w:eastAsiaTheme="minorHAnsi"/>
          <w:color w:val="auto"/>
        </w:rPr>
      </w:pPr>
      <w:r w:rsidRPr="0003290E">
        <w:rPr>
          <w:color w:val="auto"/>
        </w:rPr>
        <w:t xml:space="preserve">The FDIC Division of Compliance and Consumer Protection (DCP) Community Affairs Section </w:t>
      </w:r>
      <w:r w:rsidRPr="0003290E">
        <w:rPr>
          <w:color w:val="auto"/>
          <w:shd w:val="clear" w:color="auto" w:fill="FFFFFF"/>
        </w:rPr>
        <w:t xml:space="preserve">assists financial institutions in developing strategies that are responsive to the credit, service and investment needs of their communities.  FDIC Community Affairs staffs conduct outreach events, including economic inclusion forum, community development conferences, </w:t>
      </w:r>
      <w:proofErr w:type="gramStart"/>
      <w:r w:rsidRPr="0003290E">
        <w:rPr>
          <w:color w:val="auto"/>
          <w:shd w:val="clear" w:color="auto" w:fill="FFFFFF"/>
        </w:rPr>
        <w:t>bankers</w:t>
      </w:r>
      <w:proofErr w:type="gramEnd"/>
      <w:r w:rsidRPr="0003290E">
        <w:rPr>
          <w:color w:val="auto"/>
          <w:shd w:val="clear" w:color="auto" w:fill="FFFFFF"/>
        </w:rPr>
        <w:t xml:space="preserve"> roundtables, Community Reinvestment Act (CRA) and financial education workshops to banks, credit unions, nonprofits, foundations, and community-based organizations across the nation.  The evaluation form helps the Community Affairs Section assess the success of the outreach events, survey interest of community development topics and improve the quality of subsequent outreach events.     </w:t>
      </w:r>
    </w:p>
    <w:p w:rsidRPr="0003290E" w:rsidR="0003290E" w:rsidP="0003290E" w:rsidRDefault="0003290E">
      <w:pPr>
        <w:rPr>
          <w:color w:val="auto"/>
        </w:rPr>
      </w:pPr>
    </w:p>
    <w:p w:rsidRPr="0003290E" w:rsidR="008A64E6" w:rsidP="0003290E" w:rsidRDefault="0003290E">
      <w:pPr>
        <w:rPr>
          <w:color w:val="auto"/>
        </w:rPr>
      </w:pPr>
      <w:r w:rsidRPr="0003290E">
        <w:rPr>
          <w:color w:val="auto"/>
        </w:rPr>
        <w:t>FDIC provides e</w:t>
      </w:r>
      <w:r w:rsidRPr="0003290E" w:rsidR="008A64E6">
        <w:rPr>
          <w:color w:val="auto"/>
        </w:rPr>
        <w:t xml:space="preserve">vents participants a link to submit their feedback/evaluation electronically after the outreach event.  (All events are currently conducted via webinar so electronic means are used.  When groups are permitted to gather in person after the COVID-19 pandemic, we will continue the use of electronic feedback/evaluation submission, and/or the use of paper forms if the event is conducted in person.) </w:t>
      </w:r>
      <w:r w:rsidRPr="0003290E">
        <w:rPr>
          <w:color w:val="auto"/>
        </w:rPr>
        <w:t xml:space="preserve"> </w:t>
      </w:r>
      <w:r w:rsidRPr="0003290E" w:rsidR="008A64E6">
        <w:rPr>
          <w:color w:val="auto"/>
        </w:rPr>
        <w:t>The link to</w:t>
      </w:r>
      <w:r w:rsidRPr="0003290E">
        <w:rPr>
          <w:color w:val="auto"/>
        </w:rPr>
        <w:t xml:space="preserve"> o</w:t>
      </w:r>
      <w:r w:rsidRPr="0003290E" w:rsidR="008A64E6">
        <w:rPr>
          <w:color w:val="auto"/>
        </w:rPr>
        <w:t>r physical copy of the evaluation form is provided to the outreach event participants upon the completion of the events.  FDIC Community Affairs hosts outreach events throughout the year across the regions.   </w:t>
      </w:r>
    </w:p>
    <w:p w:rsidRPr="0003290E" w:rsidR="0003290E" w:rsidP="00F60117" w:rsidRDefault="0003290E">
      <w:pPr>
        <w:rPr>
          <w:rFonts w:eastAsia="Times New Roman"/>
          <w:color w:val="auto"/>
          <w:szCs w:val="20"/>
        </w:rPr>
      </w:pPr>
    </w:p>
    <w:p w:rsidRPr="0003290E" w:rsidR="008A64E6" w:rsidP="00F60117" w:rsidRDefault="00F60117">
      <w:pPr>
        <w:rPr>
          <w:rFonts w:eastAsia="Times New Roman"/>
          <w:color w:val="auto"/>
          <w:szCs w:val="20"/>
        </w:rPr>
      </w:pPr>
      <w:r w:rsidRPr="0003290E">
        <w:rPr>
          <w:rFonts w:eastAsia="Times New Roman"/>
          <w:color w:val="auto"/>
          <w:szCs w:val="20"/>
        </w:rPr>
        <w:t xml:space="preserve">The FDIC estimates that </w:t>
      </w:r>
      <w:r w:rsidRPr="0003290E" w:rsidR="008A64E6">
        <w:rPr>
          <w:rFonts w:eastAsia="Times New Roman"/>
          <w:color w:val="auto"/>
          <w:szCs w:val="20"/>
        </w:rPr>
        <w:t xml:space="preserve">its Community Affairs Section will conduct </w:t>
      </w:r>
      <w:r w:rsidR="003F1E68">
        <w:rPr>
          <w:rFonts w:eastAsia="Times New Roman"/>
          <w:color w:val="auto"/>
          <w:szCs w:val="20"/>
        </w:rPr>
        <w:t>approximately 57 events during the fourth quarter of 2020 and approximately 228 events during calendar year 201</w:t>
      </w:r>
      <w:r w:rsidRPr="0003290E" w:rsidR="008A64E6">
        <w:rPr>
          <w:rFonts w:eastAsia="Times New Roman"/>
          <w:color w:val="auto"/>
          <w:szCs w:val="20"/>
        </w:rPr>
        <w:t>.</w:t>
      </w:r>
      <w:r w:rsidR="003F1E68">
        <w:rPr>
          <w:rFonts w:eastAsia="Times New Roman"/>
          <w:color w:val="auto"/>
          <w:szCs w:val="20"/>
        </w:rPr>
        <w:t xml:space="preserve">  </w:t>
      </w:r>
      <w:r w:rsidR="00647C50">
        <w:rPr>
          <w:rFonts w:eastAsia="Times New Roman"/>
          <w:color w:val="auto"/>
          <w:szCs w:val="20"/>
        </w:rPr>
        <w:t>FDIC estimates that there will be an</w:t>
      </w:r>
      <w:r w:rsidR="003F1E68">
        <w:rPr>
          <w:rFonts w:eastAsia="Times New Roman"/>
          <w:color w:val="auto"/>
          <w:szCs w:val="20"/>
        </w:rPr>
        <w:t xml:space="preserve"> average of </w:t>
      </w:r>
      <w:r w:rsidR="00647C50">
        <w:rPr>
          <w:rFonts w:eastAsia="Times New Roman"/>
          <w:color w:val="auto"/>
          <w:szCs w:val="20"/>
        </w:rPr>
        <w:t>40 respondents per event.  The estimated average time to complete the evaluation form is five minutes.</w:t>
      </w:r>
    </w:p>
    <w:p w:rsidRPr="0003290E" w:rsidR="0003290E" w:rsidP="00F60117" w:rsidRDefault="0003290E">
      <w:pPr>
        <w:rPr>
          <w:rFonts w:eastAsia="Times New Roman"/>
          <w:color w:val="auto"/>
          <w:szCs w:val="20"/>
        </w:rPr>
      </w:pPr>
    </w:p>
    <w:p w:rsidRPr="0003290E" w:rsidR="00F60117" w:rsidP="00F60117" w:rsidRDefault="00127DF3">
      <w:pPr>
        <w:rPr>
          <w:rFonts w:eastAsia="Times New Roman"/>
          <w:color w:val="auto"/>
          <w:szCs w:val="20"/>
        </w:rPr>
      </w:pPr>
      <w:r w:rsidRPr="0003290E">
        <w:rPr>
          <w:rFonts w:eastAsia="Times New Roman"/>
          <w:color w:val="auto"/>
          <w:szCs w:val="20"/>
        </w:rPr>
        <w:t>The estimated annual burden is as follows:</w:t>
      </w:r>
      <w:r w:rsidRPr="0003290E" w:rsidR="00F60117">
        <w:rPr>
          <w:rFonts w:eastAsia="Times New Roman"/>
          <w:color w:val="auto"/>
          <w:szCs w:val="20"/>
        </w:rPr>
        <w:t xml:space="preserve">  </w:t>
      </w:r>
    </w:p>
    <w:p w:rsidRPr="0003290E" w:rsidR="00F60117" w:rsidP="00F60117" w:rsidRDefault="00F60117">
      <w:pPr>
        <w:rPr>
          <w:rFonts w:eastAsia="Times New Roman"/>
          <w:color w:val="auto"/>
          <w:szCs w:val="20"/>
        </w:rPr>
      </w:pPr>
    </w:p>
    <w:p w:rsidR="008A64E6" w:rsidP="008A64E6" w:rsidRDefault="008A64E6">
      <w:pPr>
        <w:rPr>
          <w:rFonts w:eastAsia="Times New Roman"/>
          <w:i/>
          <w:color w:val="auto"/>
          <w:szCs w:val="20"/>
        </w:rPr>
      </w:pPr>
      <w:r>
        <w:rPr>
          <w:rFonts w:eastAsia="Times New Roman"/>
          <w:i/>
          <w:color w:val="auto"/>
          <w:szCs w:val="20"/>
        </w:rPr>
        <w:lastRenderedPageBreak/>
        <w:tab/>
      </w:r>
    </w:p>
    <w:p w:rsidR="00647C50" w:rsidP="00703633" w:rsidRDefault="00647C50">
      <w:pPr>
        <w:rPr>
          <w:rFonts w:eastAsia="Times New Roman"/>
          <w:i/>
          <w:color w:val="auto"/>
          <w:szCs w:val="20"/>
        </w:rPr>
      </w:pPr>
      <w:r>
        <w:rPr>
          <w:rFonts w:eastAsia="Times New Roman"/>
          <w:i/>
          <w:color w:val="auto"/>
          <w:szCs w:val="20"/>
        </w:rPr>
        <w:t>Estimated Number of Annual Outreach Events</w:t>
      </w:r>
      <w:r>
        <w:rPr>
          <w:rFonts w:eastAsia="Times New Roman"/>
          <w:i/>
          <w:color w:val="auto"/>
          <w:szCs w:val="20"/>
        </w:rPr>
        <w:tab/>
      </w:r>
      <w:r>
        <w:rPr>
          <w:rFonts w:eastAsia="Times New Roman"/>
          <w:i/>
          <w:color w:val="auto"/>
          <w:szCs w:val="20"/>
        </w:rPr>
        <w:tab/>
      </w:r>
      <w:r>
        <w:rPr>
          <w:rFonts w:eastAsia="Times New Roman"/>
          <w:i/>
          <w:color w:val="auto"/>
          <w:szCs w:val="20"/>
        </w:rPr>
        <w:tab/>
        <w:t>228</w:t>
      </w:r>
    </w:p>
    <w:p w:rsidR="00647C50" w:rsidP="00703633" w:rsidRDefault="00647C50">
      <w:pPr>
        <w:rPr>
          <w:rFonts w:eastAsia="Times New Roman"/>
          <w:i/>
          <w:color w:val="auto"/>
          <w:szCs w:val="20"/>
        </w:rPr>
      </w:pPr>
      <w:r>
        <w:rPr>
          <w:rFonts w:eastAsia="Times New Roman"/>
          <w:i/>
          <w:color w:val="auto"/>
          <w:szCs w:val="20"/>
        </w:rPr>
        <w:t>Estimated Average Number of Respondents per Event</w:t>
      </w:r>
      <w:r>
        <w:rPr>
          <w:rFonts w:eastAsia="Times New Roman"/>
          <w:i/>
          <w:color w:val="auto"/>
          <w:szCs w:val="20"/>
        </w:rPr>
        <w:tab/>
      </w:r>
      <w:r>
        <w:rPr>
          <w:rFonts w:eastAsia="Times New Roman"/>
          <w:i/>
          <w:color w:val="auto"/>
          <w:szCs w:val="20"/>
        </w:rPr>
        <w:tab/>
        <w:t xml:space="preserve"> 40</w:t>
      </w:r>
    </w:p>
    <w:p w:rsidR="00647C50" w:rsidP="00703633" w:rsidRDefault="00647C50">
      <w:pPr>
        <w:rPr>
          <w:rFonts w:eastAsia="Times New Roman"/>
          <w:i/>
          <w:color w:val="auto"/>
          <w:szCs w:val="20"/>
        </w:rPr>
      </w:pPr>
      <w:r>
        <w:rPr>
          <w:rFonts w:eastAsia="Times New Roman"/>
          <w:i/>
          <w:color w:val="auto"/>
          <w:szCs w:val="20"/>
        </w:rPr>
        <w:t>Estimated Average Time to Respond</w:t>
      </w:r>
      <w:r>
        <w:rPr>
          <w:rFonts w:eastAsia="Times New Roman"/>
          <w:i/>
          <w:color w:val="auto"/>
          <w:szCs w:val="20"/>
        </w:rPr>
        <w:tab/>
      </w:r>
      <w:r>
        <w:rPr>
          <w:rFonts w:eastAsia="Times New Roman"/>
          <w:i/>
          <w:color w:val="auto"/>
          <w:szCs w:val="20"/>
        </w:rPr>
        <w:tab/>
      </w:r>
      <w:r>
        <w:rPr>
          <w:rFonts w:eastAsia="Times New Roman"/>
          <w:i/>
          <w:color w:val="auto"/>
          <w:szCs w:val="20"/>
        </w:rPr>
        <w:tab/>
      </w:r>
      <w:r>
        <w:rPr>
          <w:rFonts w:eastAsia="Times New Roman"/>
          <w:i/>
          <w:color w:val="auto"/>
          <w:szCs w:val="20"/>
        </w:rPr>
        <w:tab/>
      </w:r>
      <w:r>
        <w:rPr>
          <w:rFonts w:eastAsia="Times New Roman"/>
          <w:i/>
          <w:color w:val="auto"/>
          <w:szCs w:val="20"/>
        </w:rPr>
        <w:tab/>
        <w:t>5 minutes</w:t>
      </w:r>
    </w:p>
    <w:p w:rsidRPr="00F60117" w:rsidR="00F60117" w:rsidP="00703633" w:rsidRDefault="00E8127F">
      <w:pPr>
        <w:rPr>
          <w:rFonts w:eastAsia="Times New Roman"/>
          <w:i/>
          <w:color w:val="auto"/>
          <w:szCs w:val="20"/>
        </w:rPr>
      </w:pPr>
      <w:r>
        <w:rPr>
          <w:rFonts w:eastAsia="Times New Roman"/>
          <w:i/>
          <w:color w:val="auto"/>
          <w:szCs w:val="20"/>
        </w:rPr>
        <w:t>Total Estimated Annual Burden:</w:t>
      </w:r>
      <w:r>
        <w:rPr>
          <w:rFonts w:eastAsia="Times New Roman"/>
          <w:i/>
          <w:color w:val="auto"/>
          <w:szCs w:val="20"/>
        </w:rPr>
        <w:tab/>
      </w:r>
      <w:r>
        <w:rPr>
          <w:rFonts w:eastAsia="Times New Roman"/>
          <w:i/>
          <w:color w:val="auto"/>
          <w:szCs w:val="20"/>
        </w:rPr>
        <w:tab/>
      </w:r>
      <w:r>
        <w:rPr>
          <w:rFonts w:eastAsia="Times New Roman"/>
          <w:i/>
          <w:color w:val="auto"/>
          <w:szCs w:val="20"/>
        </w:rPr>
        <w:tab/>
      </w:r>
      <w:r w:rsidR="0003290E">
        <w:rPr>
          <w:rFonts w:eastAsia="Times New Roman"/>
          <w:i/>
          <w:color w:val="auto"/>
          <w:szCs w:val="20"/>
        </w:rPr>
        <w:tab/>
      </w:r>
      <w:r w:rsidR="0003290E">
        <w:rPr>
          <w:rFonts w:eastAsia="Times New Roman"/>
          <w:i/>
          <w:color w:val="auto"/>
          <w:szCs w:val="20"/>
        </w:rPr>
        <w:tab/>
      </w:r>
      <w:r w:rsidR="00647C50">
        <w:rPr>
          <w:rFonts w:ascii="Times New Roman Italic" w:hAnsi="Times New Roman Italic" w:eastAsia="Times New Roman"/>
          <w:i/>
          <w:color w:val="auto"/>
          <w:szCs w:val="20"/>
          <w:u w:val="double"/>
        </w:rPr>
        <w:t>760</w:t>
      </w:r>
      <w:r w:rsidR="00647C50">
        <w:rPr>
          <w:rFonts w:eastAsia="Times New Roman"/>
          <w:i/>
          <w:color w:val="auto"/>
          <w:szCs w:val="20"/>
        </w:rPr>
        <w:t xml:space="preserve"> </w:t>
      </w:r>
      <w:r>
        <w:rPr>
          <w:rFonts w:eastAsia="Times New Roman"/>
          <w:i/>
          <w:color w:val="auto"/>
          <w:szCs w:val="20"/>
        </w:rPr>
        <w:t>hours</w:t>
      </w:r>
    </w:p>
    <w:p w:rsidRPr="00F60117" w:rsidR="00F60117" w:rsidP="00F60117" w:rsidRDefault="00F60117">
      <w:pPr>
        <w:rPr>
          <w:rFonts w:eastAsia="Times New Roman"/>
          <w:color w:val="auto"/>
          <w:szCs w:val="20"/>
        </w:rPr>
      </w:pPr>
    </w:p>
    <w:p w:rsidRPr="00F60117" w:rsidR="00F60117" w:rsidP="00F60117" w:rsidRDefault="00F60117">
      <w:pPr>
        <w:rPr>
          <w:rFonts w:eastAsia="Times New Roman"/>
          <w:color w:val="auto"/>
          <w:szCs w:val="20"/>
        </w:rPr>
      </w:pPr>
      <w:r w:rsidRPr="00F60117">
        <w:rPr>
          <w:rFonts w:eastAsia="Times New Roman"/>
          <w:color w:val="auto"/>
          <w:szCs w:val="20"/>
        </w:rPr>
        <w:t xml:space="preserve">Total estimated </w:t>
      </w:r>
      <w:r w:rsidR="004A23D5">
        <w:rPr>
          <w:rFonts w:eastAsia="Times New Roman"/>
          <w:color w:val="auto"/>
          <w:szCs w:val="20"/>
        </w:rPr>
        <w:t xml:space="preserve">annual </w:t>
      </w:r>
      <w:r w:rsidRPr="00F60117">
        <w:rPr>
          <w:rFonts w:eastAsia="Times New Roman"/>
          <w:color w:val="auto"/>
          <w:szCs w:val="20"/>
        </w:rPr>
        <w:t xml:space="preserve">burden for the </w:t>
      </w:r>
      <w:r w:rsidR="0003290E">
        <w:rPr>
          <w:rFonts w:eastAsia="Times New Roman"/>
          <w:color w:val="auto"/>
          <w:szCs w:val="20"/>
        </w:rPr>
        <w:t xml:space="preserve">evaluation form is </w:t>
      </w:r>
      <w:r w:rsidR="00647C50">
        <w:rPr>
          <w:rFonts w:eastAsia="Times New Roman"/>
          <w:color w:val="auto"/>
          <w:szCs w:val="20"/>
        </w:rPr>
        <w:t>760</w:t>
      </w:r>
      <w:r w:rsidRPr="00F60117">
        <w:rPr>
          <w:rFonts w:eastAsia="Times New Roman"/>
          <w:color w:val="auto"/>
          <w:szCs w:val="20"/>
        </w:rPr>
        <w:t xml:space="preserve"> hours.  If you have any questions, please let me know.  Thank you for your consideration.</w:t>
      </w:r>
    </w:p>
    <w:p w:rsidRPr="00F60117" w:rsidR="00BF402E" w:rsidP="00F60117" w:rsidRDefault="00BF402E"/>
    <w:sectPr w:rsidRPr="00F60117" w:rsidR="00BF402E">
      <w:headerReference w:type="even" r:id="rId7"/>
      <w:headerReference w:type="default" r:id="rId8"/>
      <w:footerReference w:type="even" r:id="rId9"/>
      <w:footerReference w:type="default" r:id="rId10"/>
      <w:headerReference w:type="first" r:id="rId11"/>
      <w:footerReference w:type="first" r:id="rId12"/>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551" w:rsidRDefault="00ED1551">
      <w:r>
        <w:separator/>
      </w:r>
    </w:p>
  </w:endnote>
  <w:endnote w:type="continuationSeparator" w:id="0">
    <w:p w:rsidR="00ED1551" w:rsidRDefault="00ED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auto"/>
    <w:pitch w:val="variable"/>
    <w:sig w:usb0="00000000" w:usb1="4000207B" w:usb2="00000000" w:usb3="00000000" w:csb0="FFFFFF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Italic">
    <w:panose1 w:val="02020503050405090304"/>
    <w:charset w:val="00"/>
    <w:family w:val="auto"/>
    <w:pitch w:val="variable"/>
    <w:sig w:usb0="A00002EF" w:usb1="4000207B" w:usb2="00000000" w:usb3="00000000" w:csb0="FFFFFFFF" w:csb1="00000000"/>
  </w:font>
  <w:font w:name="Arial Bold">
    <w:panose1 w:val="020B0704020202020204"/>
    <w:charset w:val="00"/>
    <w:family w:val="auto"/>
    <w:pitch w:val="variable"/>
    <w:sig w:usb0="A00002EF" w:usb1="4000207B" w:usb2="00000000" w:usb3="00000000" w:csb0="FFFFFF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3C" w:rsidRDefault="00140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3C" w:rsidRDefault="00140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3C" w:rsidRDefault="00140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551" w:rsidRDefault="00ED1551">
      <w:r>
        <w:separator/>
      </w:r>
    </w:p>
  </w:footnote>
  <w:footnote w:type="continuationSeparator" w:id="0">
    <w:p w:rsidR="00ED1551" w:rsidRDefault="00ED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5F882"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">
              <w10:wrap anchorx="page" anchory="page"/>
            </v:line>
          </w:pict>
        </mc:Fallback>
      </mc:AlternateContent>
    </w:r>
    <w:r>
      <w:rPr>
        <w:noProof/>
      </w:rPr>
      <w:drawing>
        <wp:anchor distT="0" distB="0" distL="114300" distR="114300" simplePos="0" relativeHeight="251659776" behindDoc="1" locked="0" layoutInCell="1" allowOverlap="1">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984559"/>
    <w:multiLevelType w:val="hybridMultilevel"/>
    <w:tmpl w:val="35A09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EF"/>
    <w:rsid w:val="0003290E"/>
    <w:rsid w:val="00041821"/>
    <w:rsid w:val="00091AAF"/>
    <w:rsid w:val="000A1EA8"/>
    <w:rsid w:val="000B59D1"/>
    <w:rsid w:val="001011DA"/>
    <w:rsid w:val="00103D4D"/>
    <w:rsid w:val="00124D94"/>
    <w:rsid w:val="00127DF3"/>
    <w:rsid w:val="00132618"/>
    <w:rsid w:val="0014073C"/>
    <w:rsid w:val="0018506F"/>
    <w:rsid w:val="001A2298"/>
    <w:rsid w:val="001B770C"/>
    <w:rsid w:val="001C77DF"/>
    <w:rsid w:val="001F0C8F"/>
    <w:rsid w:val="002151CA"/>
    <w:rsid w:val="00217C61"/>
    <w:rsid w:val="00234034"/>
    <w:rsid w:val="00235E11"/>
    <w:rsid w:val="00294C85"/>
    <w:rsid w:val="002969EF"/>
    <w:rsid w:val="002A24F1"/>
    <w:rsid w:val="002F4CF1"/>
    <w:rsid w:val="00360D9B"/>
    <w:rsid w:val="003A31E1"/>
    <w:rsid w:val="003C01EF"/>
    <w:rsid w:val="003D321B"/>
    <w:rsid w:val="003E0A8A"/>
    <w:rsid w:val="003F1E68"/>
    <w:rsid w:val="00401028"/>
    <w:rsid w:val="00423511"/>
    <w:rsid w:val="00471558"/>
    <w:rsid w:val="004A15B5"/>
    <w:rsid w:val="004A23D5"/>
    <w:rsid w:val="004A2C97"/>
    <w:rsid w:val="004A3101"/>
    <w:rsid w:val="004A49E7"/>
    <w:rsid w:val="004D08A6"/>
    <w:rsid w:val="004D377C"/>
    <w:rsid w:val="00506AFA"/>
    <w:rsid w:val="005523B4"/>
    <w:rsid w:val="005712A5"/>
    <w:rsid w:val="00572D23"/>
    <w:rsid w:val="00592AE6"/>
    <w:rsid w:val="005B4878"/>
    <w:rsid w:val="005D7477"/>
    <w:rsid w:val="00610ACE"/>
    <w:rsid w:val="006135A6"/>
    <w:rsid w:val="0062607F"/>
    <w:rsid w:val="00634775"/>
    <w:rsid w:val="00647C50"/>
    <w:rsid w:val="006949F9"/>
    <w:rsid w:val="006D7A10"/>
    <w:rsid w:val="00700560"/>
    <w:rsid w:val="00703633"/>
    <w:rsid w:val="00737C13"/>
    <w:rsid w:val="00752659"/>
    <w:rsid w:val="007C7CD8"/>
    <w:rsid w:val="007E6ADD"/>
    <w:rsid w:val="008231A1"/>
    <w:rsid w:val="008A64E6"/>
    <w:rsid w:val="008D19B9"/>
    <w:rsid w:val="008D303D"/>
    <w:rsid w:val="00920DEE"/>
    <w:rsid w:val="00936FDF"/>
    <w:rsid w:val="00995B1D"/>
    <w:rsid w:val="00997D46"/>
    <w:rsid w:val="009A28D8"/>
    <w:rsid w:val="009B2F12"/>
    <w:rsid w:val="009B787B"/>
    <w:rsid w:val="009E4BF9"/>
    <w:rsid w:val="009F7DE9"/>
    <w:rsid w:val="00A026B6"/>
    <w:rsid w:val="00A1338E"/>
    <w:rsid w:val="00A21AFE"/>
    <w:rsid w:val="00A31229"/>
    <w:rsid w:val="00A34542"/>
    <w:rsid w:val="00A95EBD"/>
    <w:rsid w:val="00AC7767"/>
    <w:rsid w:val="00AD2CDD"/>
    <w:rsid w:val="00B320F6"/>
    <w:rsid w:val="00B44100"/>
    <w:rsid w:val="00B46249"/>
    <w:rsid w:val="00B61B73"/>
    <w:rsid w:val="00BA4D29"/>
    <w:rsid w:val="00BC7FFB"/>
    <w:rsid w:val="00BF402E"/>
    <w:rsid w:val="00C33312"/>
    <w:rsid w:val="00C46A38"/>
    <w:rsid w:val="00C55694"/>
    <w:rsid w:val="00CD0E8C"/>
    <w:rsid w:val="00D2432A"/>
    <w:rsid w:val="00D24551"/>
    <w:rsid w:val="00D43735"/>
    <w:rsid w:val="00D90B94"/>
    <w:rsid w:val="00D91F61"/>
    <w:rsid w:val="00DF0133"/>
    <w:rsid w:val="00E05068"/>
    <w:rsid w:val="00E07CD5"/>
    <w:rsid w:val="00E21631"/>
    <w:rsid w:val="00E64FC7"/>
    <w:rsid w:val="00E8127F"/>
    <w:rsid w:val="00EA4629"/>
    <w:rsid w:val="00EC7D3E"/>
    <w:rsid w:val="00ED1551"/>
    <w:rsid w:val="00ED2B9D"/>
    <w:rsid w:val="00EF1957"/>
    <w:rsid w:val="00EF4558"/>
    <w:rsid w:val="00F06A97"/>
    <w:rsid w:val="00F13331"/>
    <w:rsid w:val="00F46D50"/>
    <w:rsid w:val="00F529DB"/>
    <w:rsid w:val="00F60117"/>
    <w:rsid w:val="00F8182E"/>
    <w:rsid w:val="00FC1FB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201D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8A64E6"/>
    <w:pPr>
      <w:ind w:left="720"/>
    </w:pPr>
    <w:rPr>
      <w:rFonts w:ascii="Calibri" w:eastAsiaTheme="minorHAnsi" w:hAnsi="Calibri" w:cs="Calibri"/>
      <w:color w:val="auto"/>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21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2020-09-02T15:53:00Z</dcterms:created>
  <dcterms:modified xsi:type="dcterms:W3CDTF">2020-09-02T15:55:00Z</dcterms:modified>
</cp:coreProperties>
</file>