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7AFF" w:rsidR="00587AFF" w:rsidP="00587AFF" w:rsidRDefault="00166691">
      <w:r>
        <w:tab/>
      </w:r>
      <w:r>
        <w:tab/>
      </w:r>
      <w:r>
        <w:tab/>
      </w:r>
      <w:r>
        <w:tab/>
      </w:r>
      <w:r>
        <w:tab/>
      </w:r>
      <w:r>
        <w:tab/>
      </w:r>
      <w:r>
        <w:tab/>
      </w:r>
      <w:r>
        <w:tab/>
      </w:r>
      <w:r>
        <w:tab/>
      </w:r>
      <w:r w:rsidR="00BF2886">
        <w:t>September 2</w:t>
      </w:r>
      <w:r w:rsidR="00636C99">
        <w:t>, 2020</w:t>
      </w:r>
    </w:p>
    <w:p w:rsidRPr="00587AFF" w:rsidR="00587AFF" w:rsidP="00587AFF" w:rsidRDefault="00587AFF"/>
    <w:p w:rsidRPr="00587AFF" w:rsidR="00587AFF" w:rsidP="00587AFF" w:rsidRDefault="00587AFF">
      <w:r w:rsidRPr="00587AFF">
        <w:t> Memorandum to:</w:t>
      </w:r>
      <w:r w:rsidRPr="00587AFF">
        <w:tab/>
      </w:r>
      <w:r w:rsidR="0058683A">
        <w:t>William E. Bestani</w:t>
      </w:r>
    </w:p>
    <w:p w:rsidRPr="00587AFF" w:rsidR="00587AFF" w:rsidP="00587AFF" w:rsidRDefault="00587AFF">
      <w:r w:rsidRPr="00587AFF">
        <w:tab/>
      </w:r>
      <w:r w:rsidRPr="00587AFF">
        <w:tab/>
      </w:r>
      <w:r w:rsidRPr="00587AFF">
        <w:tab/>
        <w:t>Policy Analyst</w:t>
      </w:r>
    </w:p>
    <w:p w:rsidRPr="00587AFF" w:rsidR="00587AFF" w:rsidP="00587AFF" w:rsidRDefault="00587AFF">
      <w:r w:rsidRPr="00587AFF">
        <w:tab/>
      </w:r>
      <w:r w:rsidRPr="00587AFF">
        <w:tab/>
      </w:r>
      <w:r w:rsidRPr="00587AFF">
        <w:tab/>
        <w:t>Office of Information and Regulatory Affairs</w:t>
      </w:r>
    </w:p>
    <w:p w:rsidRPr="00587AFF" w:rsidR="00587AFF" w:rsidP="00587AFF" w:rsidRDefault="00587AFF">
      <w:r w:rsidRPr="00587AFF">
        <w:tab/>
      </w:r>
      <w:r w:rsidRPr="00587AFF">
        <w:tab/>
      </w:r>
      <w:r w:rsidRPr="00587AFF">
        <w:tab/>
        <w:t>Office of Management and Budget</w:t>
      </w:r>
    </w:p>
    <w:p w:rsidRPr="00587AFF" w:rsidR="00587AFF" w:rsidP="00587AFF" w:rsidRDefault="00587AFF">
      <w:r w:rsidRPr="00587AFF">
        <w:tab/>
      </w:r>
      <w:r w:rsidRPr="00587AFF">
        <w:tab/>
      </w:r>
      <w:r w:rsidRPr="00587AFF">
        <w:tab/>
        <w:t>Executive Office of the President                            </w:t>
      </w:r>
      <w:r w:rsidRPr="00587AFF">
        <w:tab/>
      </w:r>
    </w:p>
    <w:p w:rsidR="00BF2886" w:rsidP="0058683A" w:rsidRDefault="00587AFF">
      <w:r w:rsidRPr="00587AFF">
        <w:t>                                    </w:t>
      </w:r>
    </w:p>
    <w:p w:rsidRPr="00587AFF" w:rsidR="0058683A" w:rsidP="0058683A" w:rsidRDefault="00BF2886">
      <w:r w:rsidRPr="008854AD">
        <w:t>From:</w:t>
      </w:r>
      <w:r>
        <w:t xml:space="preserve"> </w:t>
      </w:r>
      <w:r>
        <w:tab/>
      </w:r>
      <w:r>
        <w:tab/>
      </w:r>
      <w:r>
        <w:tab/>
      </w:r>
      <w:r w:rsidRPr="00587AFF" w:rsidR="0058683A">
        <w:t>Manny Cabeza</w:t>
      </w:r>
    </w:p>
    <w:p w:rsidRPr="00587AFF" w:rsidR="0058683A" w:rsidP="0058683A" w:rsidRDefault="0058683A">
      <w:r w:rsidRPr="00587AFF">
        <w:tab/>
      </w:r>
      <w:r w:rsidRPr="00587AFF">
        <w:tab/>
      </w:r>
      <w:r w:rsidRPr="00587AFF">
        <w:tab/>
        <w:t>Regulatory Counsel</w:t>
      </w:r>
    </w:p>
    <w:p w:rsidRPr="00587AFF" w:rsidR="0058683A" w:rsidP="0058683A" w:rsidRDefault="0058683A">
      <w:r w:rsidRPr="00587AFF">
        <w:tab/>
      </w:r>
      <w:r w:rsidRPr="00587AFF">
        <w:tab/>
      </w:r>
      <w:r w:rsidRPr="00587AFF">
        <w:tab/>
        <w:t>Assessments and Legislation Group</w:t>
      </w:r>
    </w:p>
    <w:p w:rsidRPr="00587AFF" w:rsidR="0058683A" w:rsidP="0058683A" w:rsidRDefault="0058683A">
      <w:r w:rsidRPr="00587AFF">
        <w:tab/>
      </w:r>
      <w:r w:rsidRPr="00587AFF">
        <w:tab/>
      </w:r>
      <w:r w:rsidRPr="00587AFF">
        <w:tab/>
        <w:t>Legal Division</w:t>
      </w:r>
    </w:p>
    <w:p w:rsidR="0058683A" w:rsidP="0058683A" w:rsidRDefault="0058683A">
      <w:pPr>
        <w:ind w:left="1440" w:firstLine="720"/>
      </w:pPr>
      <w:r w:rsidRPr="00587AFF">
        <w:t>Federal Deposit Insurance Corporation </w:t>
      </w:r>
    </w:p>
    <w:p w:rsidR="00BF2886" w:rsidP="0058683A" w:rsidRDefault="00BF2886"/>
    <w:p w:rsidR="007362D5" w:rsidP="00BF2886" w:rsidRDefault="007362D5"/>
    <w:p w:rsidR="00712E09" w:rsidP="00BF2886" w:rsidRDefault="00EF4558">
      <w:pPr>
        <w:rPr>
          <w:rFonts w:eastAsia="Calibri"/>
          <w:color w:val="auto"/>
        </w:rPr>
      </w:pPr>
      <w:r w:rsidRPr="00EF4558">
        <w:rPr>
          <w:rFonts w:eastAsia="Calibri"/>
          <w:color w:val="auto"/>
        </w:rPr>
        <w:t xml:space="preserve">RE:  </w:t>
      </w:r>
      <w:r w:rsidR="00712E09">
        <w:rPr>
          <w:rFonts w:eastAsia="Calibri"/>
          <w:color w:val="auto"/>
        </w:rPr>
        <w:t xml:space="preserve">2020 </w:t>
      </w:r>
      <w:r w:rsidR="00636C99">
        <w:rPr>
          <w:rFonts w:eastAsia="Calibri"/>
          <w:color w:val="auto"/>
        </w:rPr>
        <w:t>San Francisco</w:t>
      </w:r>
      <w:r w:rsidR="00BF66F8">
        <w:rPr>
          <w:rFonts w:eastAsia="Calibri"/>
          <w:color w:val="auto"/>
        </w:rPr>
        <w:t xml:space="preserve"> Minority Depository Institution (MDI) </w:t>
      </w:r>
      <w:r w:rsidR="00636C99">
        <w:rPr>
          <w:rFonts w:eastAsia="Calibri"/>
          <w:color w:val="auto"/>
        </w:rPr>
        <w:t>Virtual Roundtable Feedback Survey</w:t>
      </w:r>
      <w:r w:rsidRPr="006726B6" w:rsidR="00712E09">
        <w:rPr>
          <w:rFonts w:eastAsia="Calibri"/>
          <w:color w:val="auto"/>
        </w:rPr>
        <w:t xml:space="preserve">  </w:t>
      </w:r>
    </w:p>
    <w:p w:rsidR="004822DC" w:rsidP="00712E09" w:rsidRDefault="004822DC">
      <w:pPr>
        <w:spacing w:before="240"/>
        <w:rPr>
          <w:rFonts w:eastAsia="Times New Roman"/>
          <w:color w:val="auto"/>
        </w:rPr>
      </w:pPr>
      <w:r w:rsidRPr="004822DC">
        <w:rPr>
          <w:rFonts w:eastAsia="Times New Roman"/>
          <w:color w:val="auto"/>
        </w:rPr>
        <w:t>Under the generic clearance entitled, “Occasional Qualitative Surveys” (3064-0127), the FDIC hereby submits for OMB review the generic survey “</w:t>
      </w:r>
      <w:r>
        <w:rPr>
          <w:rFonts w:eastAsia="Calibri"/>
          <w:color w:val="auto"/>
        </w:rPr>
        <w:t>2020 San Francisco Minority Depository Institution (MDI) Virtual Roundtable Feedback Survey.</w:t>
      </w:r>
      <w:r w:rsidRPr="004822DC">
        <w:rPr>
          <w:rFonts w:eastAsia="Times New Roman"/>
          <w:color w:val="auto"/>
        </w:rPr>
        <w:t>”</w:t>
      </w:r>
    </w:p>
    <w:p w:rsidRPr="00F80D27" w:rsidR="00712E09" w:rsidP="00712E09" w:rsidRDefault="00712E09">
      <w:pPr>
        <w:spacing w:before="240"/>
        <w:rPr>
          <w:rFonts w:eastAsia="Calibri"/>
          <w:color w:val="auto"/>
        </w:rPr>
      </w:pPr>
      <w:r w:rsidRPr="00F80D27">
        <w:rPr>
          <w:rFonts w:eastAsia="Times New Roman"/>
          <w:color w:val="auto"/>
        </w:rPr>
        <w:t xml:space="preserve">The purpose of the survey is to receive feedback from </w:t>
      </w:r>
      <w:r w:rsidR="00636C99">
        <w:rPr>
          <w:rFonts w:eastAsia="Times New Roman"/>
          <w:color w:val="auto"/>
        </w:rPr>
        <w:t>the approximately 30</w:t>
      </w:r>
      <w:r>
        <w:rPr>
          <w:rFonts w:eastAsia="Times New Roman"/>
          <w:color w:val="auto"/>
        </w:rPr>
        <w:t xml:space="preserve"> MDIs for which the FDIC is the primary regulator, </w:t>
      </w:r>
      <w:r w:rsidRPr="00F80D27">
        <w:rPr>
          <w:rFonts w:eastAsia="Times New Roman"/>
          <w:color w:val="auto"/>
        </w:rPr>
        <w:t xml:space="preserve">to ensure that </w:t>
      </w:r>
      <w:r w:rsidR="00636C99">
        <w:rPr>
          <w:rFonts w:eastAsia="Times New Roman"/>
          <w:color w:val="auto"/>
        </w:rPr>
        <w:t xml:space="preserve">the event </w:t>
      </w:r>
      <w:r>
        <w:rPr>
          <w:rFonts w:eastAsia="Times New Roman"/>
          <w:color w:val="auto"/>
        </w:rPr>
        <w:t>is effective at</w:t>
      </w:r>
      <w:r w:rsidRPr="00F80D27">
        <w:rPr>
          <w:rFonts w:eastAsia="Times New Roman"/>
          <w:color w:val="auto"/>
        </w:rPr>
        <w:t xml:space="preserve"> providing </w:t>
      </w:r>
      <w:r>
        <w:rPr>
          <w:rFonts w:eastAsia="Times New Roman"/>
          <w:color w:val="auto"/>
        </w:rPr>
        <w:t>tools and resources for MDIs to promote and preserve their institutions.  The convenience sampling employed for this survey does not produce statistically valid and reliable estimates for the entire population of FDIC insured regulatory institutions.  Instead, the survey will yield anecdotal information about the experiences and opinions of the MDIs who respond to the survey.</w:t>
      </w:r>
    </w:p>
    <w:p w:rsidRPr="00C10D18" w:rsidR="00712E09" w:rsidP="00C10D18" w:rsidRDefault="00C10D18">
      <w:pPr>
        <w:spacing w:before="240"/>
        <w:rPr>
          <w:rFonts w:eastAsia="Times New Roman"/>
          <w:color w:val="auto"/>
        </w:rPr>
      </w:pPr>
      <w:r>
        <w:rPr>
          <w:rFonts w:eastAsia="Times New Roman"/>
          <w:color w:val="auto"/>
        </w:rPr>
        <w:t>FDIC</w:t>
      </w:r>
      <w:r w:rsidRPr="00F80D27" w:rsidR="00712E09">
        <w:rPr>
          <w:rFonts w:eastAsia="Times New Roman"/>
          <w:color w:val="auto"/>
        </w:rPr>
        <w:t xml:space="preserve"> will use the </w:t>
      </w:r>
      <w:r w:rsidR="00712E09">
        <w:rPr>
          <w:rFonts w:eastAsia="Times New Roman"/>
          <w:color w:val="auto"/>
        </w:rPr>
        <w:t>results</w:t>
      </w:r>
      <w:r w:rsidRPr="00F80D27" w:rsidR="00712E09">
        <w:rPr>
          <w:rFonts w:eastAsia="Times New Roman"/>
          <w:color w:val="auto"/>
        </w:rPr>
        <w:t xml:space="preserve"> from this survey to</w:t>
      </w:r>
      <w:r w:rsidR="00712E09">
        <w:rPr>
          <w:rFonts w:eastAsia="Times New Roman"/>
          <w:color w:val="auto"/>
        </w:rPr>
        <w:t xml:space="preserve"> compile general observations of the effectiveness</w:t>
      </w:r>
      <w:r w:rsidR="00636C99">
        <w:rPr>
          <w:rFonts w:eastAsia="Times New Roman"/>
          <w:color w:val="auto"/>
        </w:rPr>
        <w:t xml:space="preserve"> of the training and outreach</w:t>
      </w:r>
      <w:r w:rsidR="00712E09">
        <w:rPr>
          <w:rFonts w:eastAsia="Times New Roman"/>
          <w:color w:val="auto"/>
        </w:rPr>
        <w:t>.  The survey will also identify any best practices to build upon or any potential are</w:t>
      </w:r>
      <w:r>
        <w:rPr>
          <w:rFonts w:eastAsia="Times New Roman"/>
          <w:color w:val="auto"/>
        </w:rPr>
        <w:t xml:space="preserve">as that may require attention.  </w:t>
      </w:r>
      <w:r w:rsidR="00636C99">
        <w:rPr>
          <w:rFonts w:eastAsia="Calibri"/>
        </w:rPr>
        <w:t>The survey includes 10</w:t>
      </w:r>
      <w:r w:rsidR="00712E09">
        <w:rPr>
          <w:rFonts w:eastAsia="Calibri"/>
        </w:rPr>
        <w:t xml:space="preserve"> questions </w:t>
      </w:r>
      <w:r w:rsidR="00636C99">
        <w:rPr>
          <w:rFonts w:eastAsia="Calibri"/>
        </w:rPr>
        <w:t xml:space="preserve">focused on the </w:t>
      </w:r>
      <w:r w:rsidR="00712E09">
        <w:rPr>
          <w:rFonts w:eastAsia="Calibri"/>
        </w:rPr>
        <w:t xml:space="preserve">usefulness of </w:t>
      </w:r>
      <w:r w:rsidR="00636C99">
        <w:rPr>
          <w:rFonts w:eastAsia="Calibri"/>
        </w:rPr>
        <w:t>education/training provided during the roundtable</w:t>
      </w:r>
      <w:r w:rsidR="00712E09">
        <w:rPr>
          <w:rFonts w:eastAsia="Calibri"/>
        </w:rPr>
        <w:t xml:space="preserve"> </w:t>
      </w:r>
      <w:r w:rsidR="00636C99">
        <w:rPr>
          <w:rFonts w:eastAsia="Calibri"/>
        </w:rPr>
        <w:t xml:space="preserve">and </w:t>
      </w:r>
      <w:r w:rsidR="00712E09">
        <w:rPr>
          <w:rFonts w:eastAsia="Calibri"/>
        </w:rPr>
        <w:t>what aspects of the technical assistance, education and training, and outreach efforts could be improved</w:t>
      </w:r>
      <w:r w:rsidR="00636C99">
        <w:rPr>
          <w:rFonts w:eastAsia="Calibri"/>
        </w:rPr>
        <w:t xml:space="preserve"> within the region</w:t>
      </w:r>
      <w:r w:rsidRPr="00F80D27" w:rsidR="00712E09">
        <w:rPr>
          <w:rFonts w:eastAsia="Calibri"/>
        </w:rPr>
        <w:t xml:space="preserve">. </w:t>
      </w:r>
    </w:p>
    <w:p w:rsidR="00712E09" w:rsidP="00712E09" w:rsidRDefault="00712E09"/>
    <w:p w:rsidRPr="00EF4558" w:rsidR="00712E09" w:rsidP="00712E09" w:rsidRDefault="00712E09">
      <w:r>
        <w:t xml:space="preserve">To get timely feedback from the minority depository institutions, </w:t>
      </w:r>
      <w:r w:rsidR="00636C99">
        <w:t xml:space="preserve">the survey will be sent out electronically and bankers will access the survey </w:t>
      </w:r>
      <w:r>
        <w:t xml:space="preserve">via </w:t>
      </w:r>
      <w:r w:rsidR="00636C99">
        <w:t xml:space="preserve">a link on </w:t>
      </w:r>
      <w:r>
        <w:t xml:space="preserve">the MDI Program external website.  </w:t>
      </w:r>
    </w:p>
    <w:p w:rsidRPr="006D7A10" w:rsidR="00712E09" w:rsidP="00712E09" w:rsidRDefault="00636C99">
      <w:pPr>
        <w:rPr>
          <w:i/>
        </w:rPr>
      </w:pPr>
      <w:r>
        <w:tab/>
      </w:r>
      <w:r>
        <w:tab/>
      </w:r>
      <w:r w:rsidRPr="006D7A10" w:rsidR="00712E09">
        <w:rPr>
          <w:rFonts w:ascii="Times New Roman Italic" w:hAnsi="Times New Roman Italic"/>
          <w:i/>
        </w:rPr>
        <w:t xml:space="preserve">Estimated Number of </w:t>
      </w:r>
      <w:r w:rsidR="00712E09">
        <w:rPr>
          <w:rFonts w:ascii="Times New Roman Italic" w:hAnsi="Times New Roman Italic"/>
          <w:i/>
        </w:rPr>
        <w:t>respondents</w:t>
      </w:r>
      <w:r w:rsidRPr="006D7A10" w:rsidR="00712E09">
        <w:rPr>
          <w:rFonts w:ascii="Times New Roman Italic" w:hAnsi="Times New Roman Italic"/>
          <w:i/>
        </w:rPr>
        <w:t>:</w:t>
      </w:r>
      <w:r w:rsidRPr="006D7A10" w:rsidR="00712E09">
        <w:rPr>
          <w:i/>
        </w:rPr>
        <w:t xml:space="preserve">  </w:t>
      </w:r>
      <w:r w:rsidR="00712E09">
        <w:rPr>
          <w:i/>
        </w:rPr>
        <w:tab/>
      </w:r>
      <w:r w:rsidR="00712E09">
        <w:rPr>
          <w:i/>
        </w:rPr>
        <w:tab/>
      </w:r>
      <w:r w:rsidR="00712E09">
        <w:rPr>
          <w:i/>
        </w:rPr>
        <w:tab/>
      </w:r>
      <w:r w:rsidR="00712E09">
        <w:rPr>
          <w:i/>
        </w:rPr>
        <w:tab/>
      </w:r>
      <w:r>
        <w:rPr>
          <w:i/>
        </w:rPr>
        <w:tab/>
        <w:t>30</w:t>
      </w:r>
    </w:p>
    <w:p w:rsidRPr="006D7A10" w:rsidR="00712E09" w:rsidP="00712E09" w:rsidRDefault="00712E09">
      <w:pPr>
        <w:rPr>
          <w:i/>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 xml:space="preserve">Estimated Time per </w:t>
      </w:r>
      <w:r>
        <w:rPr>
          <w:rFonts w:ascii="Times New Roman Italic" w:hAnsi="Times New Roman Italic"/>
          <w:i/>
        </w:rPr>
        <w:t>response</w:t>
      </w:r>
      <w:r w:rsidRPr="006D7A10">
        <w:rPr>
          <w:rFonts w:ascii="Times New Roman Italic" w:hAnsi="Times New Roman Italic"/>
          <w:i/>
        </w:rPr>
        <w:t>:</w:t>
      </w:r>
      <w:r w:rsidRPr="006D7A10">
        <w:rPr>
          <w:i/>
        </w:rPr>
        <w:t xml:space="preserve"> </w:t>
      </w:r>
      <w:r w:rsidR="008D7A77">
        <w:rPr>
          <w:i/>
        </w:rPr>
        <w:tab/>
      </w:r>
      <w:r w:rsidR="008D7A77">
        <w:rPr>
          <w:i/>
        </w:rPr>
        <w:tab/>
      </w:r>
      <w:r w:rsidR="008D7A77">
        <w:rPr>
          <w:i/>
        </w:rPr>
        <w:tab/>
        <w:t xml:space="preserve">                         </w:t>
      </w:r>
      <w:r w:rsidR="00636C99">
        <w:rPr>
          <w:i/>
          <w:u w:val="single"/>
        </w:rPr>
        <w:t>7</w:t>
      </w:r>
      <w:r w:rsidRPr="008237A1">
        <w:rPr>
          <w:i/>
          <w:u w:val="single"/>
        </w:rPr>
        <w:t xml:space="preserve"> </w:t>
      </w:r>
      <w:r w:rsidRPr="005B4878">
        <w:rPr>
          <w:i/>
          <w:u w:val="single"/>
        </w:rPr>
        <w:t>minutes</w:t>
      </w:r>
    </w:p>
    <w:p w:rsidRPr="006D7A10" w:rsidR="00712E09" w:rsidP="00712E09" w:rsidRDefault="00712E09">
      <w:pPr>
        <w:rPr>
          <w:rFonts w:eastAsia="Times New Roman"/>
          <w:i/>
          <w:color w:val="auto"/>
          <w:szCs w:val="20"/>
        </w:rPr>
      </w:pPr>
      <w:r w:rsidRPr="006D7A10">
        <w:rPr>
          <w:rFonts w:ascii="Times New Roman Italic" w:hAnsi="Times New Roman Italic"/>
          <w:i/>
        </w:rPr>
        <w:tab/>
      </w:r>
      <w:r>
        <w:rPr>
          <w:rFonts w:ascii="Times New Roman Italic" w:hAnsi="Times New Roman Italic"/>
          <w:i/>
        </w:rPr>
        <w:tab/>
      </w:r>
      <w:r w:rsidR="00636C99">
        <w:rPr>
          <w:rFonts w:ascii="Times New Roman Italic" w:hAnsi="Times New Roman Italic"/>
          <w:i/>
        </w:rPr>
        <w:t>Total Estimated</w:t>
      </w:r>
      <w:r w:rsidRPr="006D7A10">
        <w:rPr>
          <w:rFonts w:ascii="Times New Roman Italic" w:hAnsi="Times New Roman Italic"/>
          <w:i/>
        </w:rPr>
        <w:t xml:space="preserve"> Burden:</w:t>
      </w:r>
      <w:r w:rsidRPr="006D7A10">
        <w:rPr>
          <w:i/>
        </w:rPr>
        <w:t xml:space="preserve">  </w:t>
      </w:r>
      <w:r w:rsidR="008D7A77">
        <w:rPr>
          <w:i/>
        </w:rPr>
        <w:tab/>
      </w:r>
      <w:r w:rsidR="008D7A77">
        <w:rPr>
          <w:i/>
        </w:rPr>
        <w:tab/>
      </w:r>
      <w:r w:rsidR="008D7A77">
        <w:rPr>
          <w:i/>
        </w:rPr>
        <w:tab/>
      </w:r>
      <w:r w:rsidR="008D7A77">
        <w:rPr>
          <w:i/>
        </w:rPr>
        <w:tab/>
      </w:r>
      <w:r w:rsidR="00C10D18">
        <w:rPr>
          <w:i/>
        </w:rPr>
        <w:tab/>
      </w:r>
      <w:r w:rsidR="00C10D18">
        <w:rPr>
          <w:i/>
        </w:rPr>
        <w:tab/>
      </w:r>
      <w:r w:rsidR="00051DFC">
        <w:rPr>
          <w:i/>
        </w:rPr>
        <w:t>3</w:t>
      </w:r>
      <w:r w:rsidR="00636C99">
        <w:rPr>
          <w:i/>
        </w:rPr>
        <w:t xml:space="preserve"> </w:t>
      </w:r>
      <w:r w:rsidRPr="006D7A10">
        <w:rPr>
          <w:i/>
        </w:rPr>
        <w:t>hours</w:t>
      </w:r>
    </w:p>
    <w:p w:rsidR="00712E09" w:rsidP="00712E09" w:rsidRDefault="00712E09">
      <w:pPr>
        <w:spacing w:before="200"/>
        <w:rPr>
          <w:rFonts w:eastAsia="Times New Roman"/>
          <w:color w:val="auto"/>
          <w:szCs w:val="20"/>
        </w:rPr>
      </w:pPr>
      <w:r>
        <w:rPr>
          <w:rFonts w:eastAsia="Times New Roman"/>
          <w:color w:val="auto"/>
          <w:szCs w:val="20"/>
        </w:rPr>
        <w:t>Total estimated annual burden for the coll</w:t>
      </w:r>
      <w:r w:rsidR="00051DFC">
        <w:rPr>
          <w:rFonts w:eastAsia="Times New Roman"/>
          <w:color w:val="auto"/>
          <w:szCs w:val="20"/>
        </w:rPr>
        <w:t>ection of this information is 3</w:t>
      </w:r>
      <w:bookmarkStart w:name="_GoBack" w:id="0"/>
      <w:bookmarkEnd w:id="0"/>
      <w:r>
        <w:rPr>
          <w:rFonts w:eastAsia="Times New Roman"/>
          <w:color w:val="auto"/>
          <w:szCs w:val="20"/>
        </w:rPr>
        <w:t xml:space="preserve"> hours.</w:t>
      </w:r>
    </w:p>
    <w:p w:rsidR="00BF402E" w:rsidP="00712E09" w:rsidRDefault="00712E09">
      <w:pPr>
        <w:spacing w:before="240"/>
        <w:rPr>
          <w:rFonts w:eastAsia="Times New Roman"/>
          <w:color w:val="auto"/>
          <w:sz w:val="20"/>
          <w:lang w:bidi="x-none"/>
        </w:rPr>
      </w:pPr>
      <w:r w:rsidRPr="00EF4558">
        <w:rPr>
          <w:rFonts w:eastAsia="Times New Roman"/>
          <w:color w:val="auto"/>
          <w:szCs w:val="20"/>
        </w:rPr>
        <w:t>If you have any questions, please let me know.  Thank you for your consideration.</w:t>
      </w:r>
    </w:p>
    <w:sectPr w:rsidR="00BF402E">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A91" w:rsidRDefault="004C5A91">
      <w:r>
        <w:separator/>
      </w:r>
    </w:p>
  </w:endnote>
  <w:endnote w:type="continuationSeparator" w:id="0">
    <w:p w:rsidR="004C5A91" w:rsidRDefault="004C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C32" w:rsidRDefault="00E75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C32" w:rsidRDefault="00E75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C32" w:rsidRDefault="00E75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A91" w:rsidRDefault="004C5A91">
      <w:r>
        <w:separator/>
      </w:r>
    </w:p>
  </w:footnote>
  <w:footnote w:type="continuationSeparator" w:id="0">
    <w:p w:rsidR="004C5A91" w:rsidRDefault="004C5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BD0D9"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636C99">
                          <w:pPr>
                            <w:rPr>
                              <w:rFonts w:eastAsia="Times New Roman"/>
                              <w:color w:val="auto"/>
                              <w:sz w:val="20"/>
                              <w:lang w:bidi="x-none"/>
                            </w:rPr>
                          </w:pPr>
                          <w:r>
                            <w:rPr>
                              <w:rFonts w:ascii="Arial Narrow" w:hAnsi="Arial Narrow"/>
                              <w:sz w:val="18"/>
                            </w:rPr>
                            <w:t>25 Jessie Street, San Francisco, CA 94105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636C99">
                    <w:pPr>
                      <w:rPr>
                        <w:rFonts w:eastAsia="Times New Roman"/>
                        <w:color w:val="auto"/>
                        <w:sz w:val="20"/>
                        <w:lang w:bidi="x-none"/>
                      </w:rPr>
                    </w:pPr>
                    <w:r>
                      <w:rPr>
                        <w:rFonts w:ascii="Arial Narrow" w:hAnsi="Arial Narrow"/>
                        <w:sz w:val="18"/>
                      </w:rPr>
                      <w:t>25 Jessie Street, San Francisco, CA 94105</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00BFD"/>
    <w:rsid w:val="00041821"/>
    <w:rsid w:val="00051DFC"/>
    <w:rsid w:val="00061DA6"/>
    <w:rsid w:val="00091AAF"/>
    <w:rsid w:val="000A1EA8"/>
    <w:rsid w:val="000A36C5"/>
    <w:rsid w:val="000B53DE"/>
    <w:rsid w:val="000B59D1"/>
    <w:rsid w:val="001011DA"/>
    <w:rsid w:val="0012079F"/>
    <w:rsid w:val="00124D94"/>
    <w:rsid w:val="00166691"/>
    <w:rsid w:val="00170E7D"/>
    <w:rsid w:val="001756AE"/>
    <w:rsid w:val="0018506F"/>
    <w:rsid w:val="001A2298"/>
    <w:rsid w:val="001A3D76"/>
    <w:rsid w:val="001B3C5D"/>
    <w:rsid w:val="001B770C"/>
    <w:rsid w:val="001C77DF"/>
    <w:rsid w:val="00212EFB"/>
    <w:rsid w:val="002151CA"/>
    <w:rsid w:val="00217C61"/>
    <w:rsid w:val="00234034"/>
    <w:rsid w:val="0026714F"/>
    <w:rsid w:val="00294C85"/>
    <w:rsid w:val="002969EF"/>
    <w:rsid w:val="002C31A6"/>
    <w:rsid w:val="002E764C"/>
    <w:rsid w:val="003151EA"/>
    <w:rsid w:val="00360D9B"/>
    <w:rsid w:val="003A31E1"/>
    <w:rsid w:val="003D321B"/>
    <w:rsid w:val="003E0A8A"/>
    <w:rsid w:val="00423511"/>
    <w:rsid w:val="00441F6B"/>
    <w:rsid w:val="004555DD"/>
    <w:rsid w:val="00471558"/>
    <w:rsid w:val="004822DC"/>
    <w:rsid w:val="004A1DF7"/>
    <w:rsid w:val="004A2C97"/>
    <w:rsid w:val="004A3101"/>
    <w:rsid w:val="004A49E7"/>
    <w:rsid w:val="004B6760"/>
    <w:rsid w:val="004C5A91"/>
    <w:rsid w:val="004D08A6"/>
    <w:rsid w:val="004F18DC"/>
    <w:rsid w:val="00517DC1"/>
    <w:rsid w:val="005312F5"/>
    <w:rsid w:val="005523B4"/>
    <w:rsid w:val="00565DEF"/>
    <w:rsid w:val="005712A5"/>
    <w:rsid w:val="00572D23"/>
    <w:rsid w:val="0058683A"/>
    <w:rsid w:val="00587AFF"/>
    <w:rsid w:val="00592AE6"/>
    <w:rsid w:val="00593067"/>
    <w:rsid w:val="005B4878"/>
    <w:rsid w:val="006135A6"/>
    <w:rsid w:val="006150BA"/>
    <w:rsid w:val="0062607F"/>
    <w:rsid w:val="00634775"/>
    <w:rsid w:val="00636C99"/>
    <w:rsid w:val="006726B6"/>
    <w:rsid w:val="0067544B"/>
    <w:rsid w:val="006A3CDA"/>
    <w:rsid w:val="006D7A10"/>
    <w:rsid w:val="00712E09"/>
    <w:rsid w:val="007310F6"/>
    <w:rsid w:val="007362D5"/>
    <w:rsid w:val="00737C13"/>
    <w:rsid w:val="00752659"/>
    <w:rsid w:val="007658DE"/>
    <w:rsid w:val="007668E0"/>
    <w:rsid w:val="007827F0"/>
    <w:rsid w:val="007C7CD8"/>
    <w:rsid w:val="007D3106"/>
    <w:rsid w:val="007E6ADD"/>
    <w:rsid w:val="007F5D8F"/>
    <w:rsid w:val="008231A1"/>
    <w:rsid w:val="008237A1"/>
    <w:rsid w:val="008C32FF"/>
    <w:rsid w:val="008D19B9"/>
    <w:rsid w:val="008D303D"/>
    <w:rsid w:val="008D7A77"/>
    <w:rsid w:val="008F7A2F"/>
    <w:rsid w:val="009318CA"/>
    <w:rsid w:val="00936FDF"/>
    <w:rsid w:val="00956682"/>
    <w:rsid w:val="00977F67"/>
    <w:rsid w:val="00995B1D"/>
    <w:rsid w:val="00997D46"/>
    <w:rsid w:val="009A28D8"/>
    <w:rsid w:val="009B2F12"/>
    <w:rsid w:val="009E4BF9"/>
    <w:rsid w:val="009F7DE9"/>
    <w:rsid w:val="00A1338E"/>
    <w:rsid w:val="00A21AFE"/>
    <w:rsid w:val="00A34542"/>
    <w:rsid w:val="00A926A1"/>
    <w:rsid w:val="00A93B56"/>
    <w:rsid w:val="00B4773A"/>
    <w:rsid w:val="00B61B73"/>
    <w:rsid w:val="00B74CD6"/>
    <w:rsid w:val="00B95AB0"/>
    <w:rsid w:val="00BA4D29"/>
    <w:rsid w:val="00BC7FFB"/>
    <w:rsid w:val="00BF2886"/>
    <w:rsid w:val="00BF402E"/>
    <w:rsid w:val="00BF66F8"/>
    <w:rsid w:val="00C10D18"/>
    <w:rsid w:val="00C33312"/>
    <w:rsid w:val="00C85103"/>
    <w:rsid w:val="00CB5D56"/>
    <w:rsid w:val="00D2432A"/>
    <w:rsid w:val="00D24551"/>
    <w:rsid w:val="00D43735"/>
    <w:rsid w:val="00D91F61"/>
    <w:rsid w:val="00DD719C"/>
    <w:rsid w:val="00DF0133"/>
    <w:rsid w:val="00DF1A62"/>
    <w:rsid w:val="00E07CD5"/>
    <w:rsid w:val="00E2107C"/>
    <w:rsid w:val="00E21631"/>
    <w:rsid w:val="00E64FC7"/>
    <w:rsid w:val="00E67D6D"/>
    <w:rsid w:val="00E75C32"/>
    <w:rsid w:val="00EA3165"/>
    <w:rsid w:val="00EA4629"/>
    <w:rsid w:val="00EC7D3E"/>
    <w:rsid w:val="00ED2B9D"/>
    <w:rsid w:val="00EF4558"/>
    <w:rsid w:val="00F06A97"/>
    <w:rsid w:val="00F21751"/>
    <w:rsid w:val="00F36314"/>
    <w:rsid w:val="00F45B22"/>
    <w:rsid w:val="00F46D50"/>
    <w:rsid w:val="00F529DB"/>
    <w:rsid w:val="00F62A6F"/>
    <w:rsid w:val="00F80D27"/>
    <w:rsid w:val="00FC1522"/>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C9A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eastAsiaTheme="minorHAnsi" w:hAnsi="Minion Pro" w:cs="Minion Pro"/>
    </w:rPr>
  </w:style>
  <w:style w:type="character" w:styleId="FollowedHyperlink">
    <w:name w:val="FollowedHyperlink"/>
    <w:basedOn w:val="DefaultParagraphFont"/>
    <w:locked/>
    <w:rsid w:val="00A93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378DD-D6AF-4154-80E9-DB8737DB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2020-09-03T14:49:00Z</dcterms:created>
  <dcterms:modified xsi:type="dcterms:W3CDTF">2020-09-03T15:05:00Z</dcterms:modified>
</cp:coreProperties>
</file>