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90" w:rsidRDefault="00A134A1">
      <w:pPr>
        <w:tabs>
          <w:tab w:val="left" w:pos="5040"/>
        </w:tabs>
        <w:rPr>
          <w:rFonts w:ascii="Times New Roman" w:hAnsi="Times New Roman" w:eastAsia="Times New Roman"/>
        </w:rPr>
      </w:pPr>
      <w:r>
        <w:rPr>
          <w:rFonts w:ascii="Times New Roman" w:hAnsi="Times New Roman" w:eastAsia="Times New Roman"/>
        </w:rPr>
        <w:tab/>
      </w:r>
      <w:r>
        <w:rPr>
          <w:rFonts w:ascii="Times New Roman" w:hAnsi="Times New Roman" w:eastAsia="Times New Roman"/>
        </w:rPr>
        <w:tab/>
      </w:r>
      <w:r w:rsidR="00F43E2F">
        <w:rPr>
          <w:rFonts w:ascii="Times New Roman" w:hAnsi="Times New Roman" w:eastAsia="Times New Roman"/>
        </w:rPr>
        <w:t xml:space="preserve">February </w:t>
      </w:r>
      <w:r w:rsidR="004B549A">
        <w:rPr>
          <w:rFonts w:ascii="Times New Roman" w:hAnsi="Times New Roman" w:eastAsia="Times New Roman"/>
        </w:rPr>
        <w:t>3</w:t>
      </w:r>
      <w:r>
        <w:rPr>
          <w:rFonts w:ascii="Times New Roman" w:hAnsi="Times New Roman" w:eastAsia="Times New Roman"/>
        </w:rPr>
        <w:t>, 20</w:t>
      </w:r>
      <w:r w:rsidR="0083021E">
        <w:rPr>
          <w:rFonts w:ascii="Times New Roman" w:hAnsi="Times New Roman" w:eastAsia="Times New Roman"/>
        </w:rPr>
        <w:t>20</w:t>
      </w:r>
    </w:p>
    <w:p w:rsidR="00E47B90" w:rsidRDefault="00E47B90">
      <w:pPr>
        <w:tabs>
          <w:tab w:val="left" w:pos="5040"/>
        </w:tabs>
        <w:rPr>
          <w:rFonts w:ascii="Times New Roman" w:hAnsi="Times New Roman" w:eastAsia="Times New Roman"/>
        </w:rPr>
      </w:pP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611E29">
      <w:pPr>
        <w:rPr>
          <w:rFonts w:ascii="Times New Roman" w:hAnsi="Times New Roman" w:eastAsia="Times New Roman"/>
        </w:rPr>
      </w:pPr>
      <w:r>
        <w:rPr>
          <w:rFonts w:ascii="Times New Roman" w:hAnsi="Times New Roman" w:eastAsia="Times New Roman"/>
        </w:rPr>
        <w:t>Memorandum to:</w:t>
      </w:r>
      <w:r>
        <w:rPr>
          <w:rFonts w:ascii="Times New Roman" w:hAnsi="Times New Roman" w:eastAsia="Times New Roman"/>
        </w:rPr>
        <w:tab/>
      </w:r>
      <w:r w:rsidRPr="002E0CD8" w:rsidR="002E0CD8">
        <w:rPr>
          <w:rFonts w:ascii="Times New Roman" w:hAnsi="Times New Roman" w:eastAsia="Times New Roman"/>
        </w:rPr>
        <w:t>Samuel Wice</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Policy Analyst </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Office of Information and Regulatory Affairs</w:t>
      </w:r>
    </w:p>
    <w:p w:rsidR="00E47B90" w:rsidP="002E0CD8" w:rsidRDefault="002E0CD8">
      <w:pPr>
        <w:rPr>
          <w:rFonts w:ascii="Times New Roman" w:hAnsi="Times New Roman" w:eastAsia="Times New Roman"/>
        </w:rPr>
      </w:pPr>
      <w:r w:rsidRPr="002E0CD8">
        <w:rPr>
          <w:rFonts w:ascii="Times New Roman" w:hAnsi="Times New Roman" w:eastAsia="Times New Roman"/>
        </w:rPr>
        <w:t>                                   </w:t>
      </w:r>
      <w:r w:rsidRPr="002E0CD8">
        <w:rPr>
          <w:rFonts w:ascii="Times New Roman" w:hAnsi="Times New Roman" w:eastAsia="Times New Roman"/>
        </w:rPr>
        <w:tab/>
        <w:t>Office of Management and Budget</w:t>
      </w:r>
      <w:r w:rsidR="00A134A1">
        <w:rPr>
          <w:rFonts w:ascii="Times New Roman" w:hAnsi="Times New Roman" w:eastAsia="Times New Roman"/>
        </w:rPr>
        <w:t>               </w:t>
      </w:r>
      <w:r w:rsidR="00A134A1">
        <w:rPr>
          <w:rFonts w:ascii="Times New Roman" w:hAnsi="Times New Roman" w:eastAsia="Times New Roman"/>
        </w:rPr>
        <w:tab/>
      </w:r>
    </w:p>
    <w:p w:rsidR="00E47B90" w:rsidRDefault="00A134A1">
      <w:pPr>
        <w:rPr>
          <w:rFonts w:ascii="Times New Roman" w:hAnsi="Times New Roman" w:eastAsia="Times New Roman"/>
        </w:rPr>
      </w:pPr>
      <w:r>
        <w:rPr>
          <w:rFonts w:ascii="Times New Roman" w:hAnsi="Times New Roman" w:eastAsia="Times New Roman"/>
        </w:rPr>
        <w:t>      </w:t>
      </w:r>
    </w:p>
    <w:p w:rsidRPr="002E0CD8" w:rsidR="002E0CD8" w:rsidP="002E0CD8" w:rsidRDefault="00A134A1">
      <w:pPr>
        <w:rPr>
          <w:rFonts w:ascii="Times New Roman" w:hAnsi="Times New Roman" w:eastAsia="Times New Roman"/>
        </w:rPr>
      </w:pPr>
      <w:r>
        <w:rPr>
          <w:rFonts w:ascii="Times New Roman" w:hAnsi="Times New Roman" w:eastAsia="Times New Roman"/>
        </w:rPr>
        <w:t>From:</w:t>
      </w:r>
      <w:r w:rsidR="00611E29">
        <w:rPr>
          <w:rFonts w:ascii="Times New Roman" w:hAnsi="Times New Roman" w:eastAsia="Times New Roman"/>
        </w:rPr>
        <w:tab/>
      </w:r>
      <w:r w:rsidR="00611E29">
        <w:rPr>
          <w:rFonts w:ascii="Times New Roman" w:hAnsi="Times New Roman" w:eastAsia="Times New Roman"/>
        </w:rPr>
        <w:tab/>
      </w:r>
      <w:r w:rsidR="00611E29">
        <w:rPr>
          <w:rFonts w:ascii="Times New Roman" w:hAnsi="Times New Roman" w:eastAsia="Times New Roman"/>
        </w:rPr>
        <w:tab/>
      </w:r>
      <w:r w:rsidRPr="002E0CD8" w:rsidR="002E0CD8">
        <w:rPr>
          <w:rFonts w:ascii="Times New Roman" w:hAnsi="Times New Roman" w:eastAsia="Times New Roman"/>
        </w:rPr>
        <w:t>Manny Cabeza</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Regulatory Counsel</w:t>
      </w:r>
    </w:p>
    <w:p w:rsidRPr="002E0CD8" w:rsidR="002E0CD8" w:rsidP="002E0CD8" w:rsidRDefault="002E0CD8">
      <w:pPr>
        <w:rPr>
          <w:rFonts w:ascii="Times New Roman" w:hAnsi="Times New Roman" w:eastAsia="Times New Roman"/>
        </w:rPr>
      </w:pPr>
      <w:r w:rsidRPr="002E0CD8">
        <w:rPr>
          <w:rFonts w:ascii="Times New Roman" w:hAnsi="Times New Roman" w:eastAsia="Times New Roman"/>
        </w:rPr>
        <w:t>                                    Federal Deposit Insurance Corporation</w:t>
      </w:r>
    </w:p>
    <w:p w:rsidR="00E47B90" w:rsidP="002E0CD8" w:rsidRDefault="002E0CD8">
      <w:pPr>
        <w:rPr>
          <w:rFonts w:ascii="Times New Roman" w:hAnsi="Times New Roman" w:eastAsia="Times New Roman"/>
        </w:rPr>
      </w:pPr>
      <w:r w:rsidRPr="002E0CD8">
        <w:rPr>
          <w:rFonts w:ascii="Times New Roman" w:hAnsi="Times New Roman" w:eastAsia="Times New Roman"/>
        </w:rPr>
        <w:tab/>
      </w:r>
      <w:r w:rsidRPr="002E0CD8">
        <w:rPr>
          <w:rFonts w:ascii="Times New Roman" w:hAnsi="Times New Roman" w:eastAsia="Times New Roman"/>
        </w:rPr>
        <w:tab/>
      </w:r>
      <w:r w:rsidRPr="002E0CD8">
        <w:rPr>
          <w:rFonts w:ascii="Times New Roman" w:hAnsi="Times New Roman" w:eastAsia="Times New Roman"/>
        </w:rPr>
        <w:tab/>
        <w:t>Legal Division</w:t>
      </w:r>
      <w:r w:rsidR="00A134A1">
        <w:rPr>
          <w:rFonts w:ascii="Times New Roman" w:hAnsi="Times New Roman" w:eastAsia="Times New Roman"/>
        </w:rPr>
        <w:t xml:space="preserve">       </w:t>
      </w:r>
    </w:p>
    <w:p w:rsidR="00EB68FE" w:rsidP="00EB68FE" w:rsidRDefault="00EB68FE">
      <w:pPr>
        <w:rPr>
          <w:rFonts w:ascii="Times New Roman" w:hAnsi="Times New Roman" w:eastAsia="Times New Roman"/>
        </w:rPr>
      </w:pPr>
    </w:p>
    <w:p w:rsidR="00E47B90" w:rsidP="00EB68FE" w:rsidRDefault="00A134A1">
      <w:pPr>
        <w:rPr>
          <w:rFonts w:ascii="Times New Roman" w:hAnsi="Calibri" w:eastAsia="Calibri"/>
        </w:rPr>
      </w:pPr>
      <w:r>
        <w:rPr>
          <w:rFonts w:ascii="Times New Roman" w:hAnsi="Calibri" w:eastAsia="Calibri"/>
        </w:rPr>
        <w:t xml:space="preserve">RE:  </w:t>
      </w:r>
      <w:r w:rsidRPr="00EB68FE">
        <w:rPr>
          <w:rFonts w:ascii="Times New Roman" w:hAnsi="Calibri" w:eastAsia="Calibri"/>
          <w:u w:val="single"/>
        </w:rPr>
        <w:t>FDIC 20</w:t>
      </w:r>
      <w:r w:rsidR="0083021E">
        <w:rPr>
          <w:rFonts w:ascii="Times New Roman" w:hAnsi="Calibri" w:eastAsia="Calibri"/>
          <w:u w:val="single"/>
        </w:rPr>
        <w:t>20</w:t>
      </w:r>
      <w:r w:rsidRPr="00EB68FE">
        <w:rPr>
          <w:rFonts w:ascii="Times New Roman" w:hAnsi="Calibri" w:eastAsia="Calibri"/>
          <w:u w:val="single"/>
        </w:rPr>
        <w:t xml:space="preserve"> Post-Examination Survey (</w:t>
      </w:r>
      <w:r w:rsidR="00E97D69">
        <w:rPr>
          <w:rFonts w:ascii="Times New Roman" w:hAnsi="Calibri" w:eastAsia="Calibri"/>
          <w:u w:val="single"/>
        </w:rPr>
        <w:t>CRA</w:t>
      </w:r>
      <w:r w:rsidR="00FD24BE">
        <w:rPr>
          <w:rFonts w:ascii="Times New Roman" w:hAnsi="Calibri" w:eastAsia="Calibri"/>
          <w:u w:val="single"/>
        </w:rPr>
        <w:t xml:space="preserve"> Examination</w:t>
      </w:r>
      <w:r w:rsidRPr="00EB68FE">
        <w:rPr>
          <w:rFonts w:ascii="Times New Roman" w:hAnsi="Calibri" w:eastAsia="Calibri"/>
          <w:u w:val="single"/>
        </w:rPr>
        <w:t>)</w:t>
      </w:r>
    </w:p>
    <w:p w:rsidR="00E47B90" w:rsidRDefault="008760E7">
      <w:pPr>
        <w:spacing w:before="240"/>
        <w:rPr>
          <w:rFonts w:ascii="Times New Roman" w:hAnsi="Calibri" w:eastAsia="Calibri"/>
        </w:rPr>
      </w:pPr>
      <w:r w:rsidRPr="008760E7">
        <w:rPr>
          <w:rFonts w:ascii="Times New Roman" w:hAnsi="Calibri" w:eastAsia="Calibri"/>
        </w:rPr>
        <w:t xml:space="preserve">Under the generic clearance entitled, </w:t>
      </w:r>
      <w:r w:rsidRPr="008760E7">
        <w:rPr>
          <w:rFonts w:ascii="Times New Roman" w:hAnsi="Calibri" w:eastAsia="Calibri"/>
        </w:rPr>
        <w:t>“</w:t>
      </w:r>
      <w:r w:rsidRPr="008760E7">
        <w:rPr>
          <w:rFonts w:ascii="Times New Roman" w:hAnsi="Calibri" w:eastAsia="Calibri"/>
        </w:rPr>
        <w:t>Information Collection for Qualitative Research</w:t>
      </w:r>
      <w:r w:rsidRPr="008760E7">
        <w:rPr>
          <w:rFonts w:ascii="Times New Roman" w:hAnsi="Calibri" w:eastAsia="Calibri"/>
        </w:rPr>
        <w:t>”</w:t>
      </w:r>
      <w:r w:rsidRPr="008760E7">
        <w:rPr>
          <w:rFonts w:ascii="Times New Roman" w:hAnsi="Calibri" w:eastAsia="Calibri"/>
        </w:rPr>
        <w:t xml:space="preserve"> (3064-0127), the FDIC hereby submits for OMB review the generic survey</w:t>
      </w:r>
      <w:r w:rsidR="00A134A1">
        <w:rPr>
          <w:rFonts w:ascii="Times New Roman" w:hAnsi="Calibri" w:eastAsia="Calibri"/>
        </w:rPr>
        <w:t xml:space="preserve"> </w:t>
      </w:r>
      <w:r w:rsidR="00A134A1">
        <w:rPr>
          <w:rFonts w:ascii="Times New Roman" w:hAnsi="Calibri" w:eastAsia="Calibri"/>
        </w:rPr>
        <w:t>“</w:t>
      </w:r>
      <w:r w:rsidR="00A134A1">
        <w:rPr>
          <w:rFonts w:ascii="Times New Roman" w:hAnsi="Calibri" w:eastAsia="Calibri"/>
        </w:rPr>
        <w:t>FDIC 20</w:t>
      </w:r>
      <w:r w:rsidR="0083021E">
        <w:rPr>
          <w:rFonts w:ascii="Times New Roman" w:hAnsi="Calibri" w:eastAsia="Calibri"/>
        </w:rPr>
        <w:t>20</w:t>
      </w:r>
      <w:r w:rsidR="00A134A1">
        <w:rPr>
          <w:rFonts w:ascii="Times New Roman" w:hAnsi="Calibri" w:eastAsia="Calibri"/>
        </w:rPr>
        <w:t xml:space="preserve"> Post-Examination Survey.</w:t>
      </w:r>
      <w:r w:rsidR="00A134A1">
        <w:rPr>
          <w:rFonts w:ascii="Times New Roman" w:hAnsi="Calibri" w:eastAsia="Calibri"/>
        </w:rPr>
        <w:t>”</w:t>
      </w:r>
      <w:r w:rsidR="00A134A1">
        <w:rPr>
          <w:rFonts w:ascii="Times New Roman" w:hAnsi="Calibri" w:eastAsia="Calibri"/>
        </w:rPr>
        <w:t xml:space="preserve">  This survey will be transmitted to each financial institution after FDIC</w:t>
      </w:r>
      <w:r w:rsidR="00A134A1">
        <w:rPr>
          <w:rFonts w:ascii="Times New Roman" w:hAnsi="Calibri" w:eastAsia="Calibri"/>
        </w:rPr>
        <w:t>’</w:t>
      </w:r>
      <w:r w:rsidR="00A134A1">
        <w:rPr>
          <w:rFonts w:ascii="Times New Roman" w:hAnsi="Calibri" w:eastAsia="Calibri"/>
        </w:rPr>
        <w:t xml:space="preserve">s completion of a </w:t>
      </w:r>
      <w:r w:rsidR="00E97D69">
        <w:rPr>
          <w:rFonts w:ascii="Times New Roman" w:hAnsi="Calibri" w:eastAsia="Calibri"/>
        </w:rPr>
        <w:t>CRA</w:t>
      </w:r>
      <w:r w:rsidR="00A134A1">
        <w:rPr>
          <w:rFonts w:ascii="Times New Roman" w:hAnsi="Calibri" w:eastAsia="Calibri"/>
        </w:rPr>
        <w:t xml:space="preserve"> examination to obtain feedback from these financial institutions regarding the examination process.  The survey will be sent to</w:t>
      </w:r>
      <w:r w:rsidR="00810270">
        <w:rPr>
          <w:rFonts w:ascii="Times New Roman" w:hAnsi="Calibri" w:eastAsia="Calibri"/>
        </w:rPr>
        <w:t xml:space="preserve"> </w:t>
      </w:r>
      <w:r w:rsidR="00CC5CFB">
        <w:rPr>
          <w:rFonts w:ascii="Times New Roman" w:hAnsi="Calibri" w:eastAsia="Calibri"/>
        </w:rPr>
        <w:t xml:space="preserve">a </w:t>
      </w:r>
      <w:r w:rsidR="00A134A1">
        <w:rPr>
          <w:rFonts w:ascii="Times New Roman" w:hAnsi="Calibri" w:eastAsia="Calibri"/>
        </w:rPr>
        <w:t>senior bank offic</w:t>
      </w:r>
      <w:r w:rsidR="00CC5CFB">
        <w:rPr>
          <w:rFonts w:ascii="Times New Roman" w:hAnsi="Calibri" w:eastAsia="Calibri"/>
        </w:rPr>
        <w:t>ial</w:t>
      </w:r>
      <w:r w:rsidR="00A134A1">
        <w:rPr>
          <w:rFonts w:ascii="Times New Roman" w:hAnsi="Calibri" w:eastAsia="Calibri"/>
        </w:rPr>
        <w:t xml:space="preserve"> after the examination is conducted.</w:t>
      </w:r>
      <w:r w:rsidR="000F763B">
        <w:rPr>
          <w:rFonts w:ascii="Times New Roman" w:hAnsi="Calibri" w:eastAsia="Calibri"/>
        </w:rPr>
        <w:t xml:space="preserve">  </w:t>
      </w:r>
      <w:r w:rsidRPr="000F763B" w:rsidR="000F763B">
        <w:rPr>
          <w:rFonts w:ascii="Times New Roman" w:hAnsi="Calibri" w:eastAsia="Calibri"/>
        </w:rPr>
        <w:t>The survey will be deployed quarterly throughout the year 2020.</w:t>
      </w:r>
    </w:p>
    <w:p w:rsidR="00E47B90" w:rsidRDefault="00A134A1">
      <w:pPr>
        <w:spacing w:before="240"/>
        <w:rPr>
          <w:rFonts w:ascii="Times New Roman" w:hAnsi="Calibri" w:eastAsia="Calibri"/>
        </w:rPr>
      </w:pPr>
      <w:r>
        <w:rPr>
          <w:rFonts w:ascii="Times New Roman" w:hAnsi="Calibri" w:eastAsia="Calibri"/>
        </w:rPr>
        <w:t>The purpose of the survey is to gauge bankers</w:t>
      </w:r>
      <w:r>
        <w:rPr>
          <w:rFonts w:ascii="Times New Roman" w:hAnsi="Calibri" w:eastAsia="Calibri"/>
        </w:rPr>
        <w:t>’</w:t>
      </w:r>
      <w:r>
        <w:rPr>
          <w:rFonts w:ascii="Times New Roman" w:hAnsi="Calibri" w:eastAsia="Calibri"/>
        </w:rPr>
        <w:t xml:space="preserve"> views on the effectiveness and quality of the examination, as well as to identify ways to improve the examination process.</w:t>
      </w:r>
    </w:p>
    <w:p w:rsidR="00E47B90" w:rsidRDefault="00A134A1">
      <w:pPr>
        <w:spacing w:before="240"/>
        <w:rPr>
          <w:rFonts w:ascii="Times New Roman" w:hAnsi="Calibri" w:eastAsia="Calibri"/>
        </w:rPr>
      </w:pPr>
      <w:r>
        <w:rPr>
          <w:rFonts w:ascii="Times New Roman" w:hAnsi="Calibri" w:eastAsia="Calibri"/>
        </w:rPr>
        <w:t>Bankers will be asked to rate the efficiency of the pre-examination process; examiners</w:t>
      </w:r>
      <w:r>
        <w:rPr>
          <w:rFonts w:ascii="Times New Roman" w:hAnsi="Calibri" w:eastAsia="Calibri"/>
        </w:rPr>
        <w:t>’</w:t>
      </w:r>
      <w:r>
        <w:rPr>
          <w:rFonts w:ascii="Times New Roman" w:hAnsi="Calibri" w:eastAsia="Calibri"/>
        </w:rPr>
        <w:t xml:space="preserve"> professionalism and their understanding of the laws and regulations; examination process; and examination report quality.</w:t>
      </w:r>
      <w:r w:rsidR="0079378B">
        <w:rPr>
          <w:rFonts w:ascii="Times New Roman" w:hAnsi="Calibri" w:eastAsia="Calibri"/>
        </w:rPr>
        <w:t xml:space="preserve"> </w:t>
      </w:r>
      <w:r>
        <w:rPr>
          <w:rFonts w:ascii="Times New Roman" w:hAnsi="Calibri" w:eastAsia="Calibri"/>
        </w:rPr>
        <w:t xml:space="preserve"> Bankers will also be allowed to provide feedback on any areas for improvement and will be given an option to have someone from the FDIC Office of the Ombudsman to contact the institution </w:t>
      </w:r>
      <w:r w:rsidRPr="001611EC" w:rsidR="001611EC">
        <w:rPr>
          <w:rFonts w:ascii="Times New Roman" w:hAnsi="Calibri" w:eastAsia="Calibri"/>
        </w:rPr>
        <w:t xml:space="preserve">confidentially </w:t>
      </w:r>
      <w:r>
        <w:rPr>
          <w:rFonts w:ascii="Times New Roman" w:hAnsi="Calibri" w:eastAsia="Calibri"/>
        </w:rPr>
        <w:t>about its recent examination or any other matters.</w:t>
      </w:r>
    </w:p>
    <w:p w:rsidR="00E47B90" w:rsidRDefault="00E47B90">
      <w:pPr>
        <w:rPr>
          <w:rFonts w:ascii="Times New Roman" w:hAnsi="ヒラギノ角ゴ Pro W3"/>
        </w:rPr>
      </w:pPr>
    </w:p>
    <w:p w:rsidRPr="0065581D" w:rsidR="00E47B90" w:rsidP="0065581D" w:rsidRDefault="00A134A1">
      <w:pPr>
        <w:pStyle w:val="NoSpacing"/>
        <w:rPr>
          <w:rFonts w:ascii="Times New Roman" w:hAnsi="Times New Roman"/>
        </w:rPr>
      </w:pPr>
      <w:r w:rsidRPr="0065581D">
        <w:rPr>
          <w:rFonts w:ascii="Times New Roman" w:hAnsi="Times New Roman"/>
        </w:rPr>
        <w:t>The FDIC estimates that there will be approximately</w:t>
      </w:r>
      <w:r w:rsidRPr="0065581D" w:rsidR="00FD24BE">
        <w:rPr>
          <w:rFonts w:ascii="Times New Roman" w:hAnsi="Times New Roman"/>
        </w:rPr>
        <w:t xml:space="preserve"> </w:t>
      </w:r>
      <w:r w:rsidR="00E97D69">
        <w:rPr>
          <w:rFonts w:ascii="Times New Roman" w:hAnsi="Times New Roman"/>
        </w:rPr>
        <w:t>1</w:t>
      </w:r>
      <w:r w:rsidRPr="0065581D" w:rsidR="00FD24BE">
        <w:rPr>
          <w:rFonts w:ascii="Times New Roman" w:hAnsi="Times New Roman"/>
        </w:rPr>
        <w:t xml:space="preserve"> </w:t>
      </w:r>
      <w:r w:rsidRPr="0065581D">
        <w:rPr>
          <w:rFonts w:ascii="Times New Roman" w:hAnsi="Times New Roman"/>
        </w:rPr>
        <w:t xml:space="preserve">response per quarter based on </w:t>
      </w:r>
      <w:r w:rsidRPr="0065581D" w:rsidR="000452A7">
        <w:rPr>
          <w:rFonts w:ascii="Times New Roman" w:hAnsi="Times New Roman"/>
        </w:rPr>
        <w:t xml:space="preserve">examination’s </w:t>
      </w:r>
      <w:r w:rsidRPr="0065581D" w:rsidR="00FD24BE">
        <w:rPr>
          <w:rFonts w:ascii="Times New Roman" w:hAnsi="Times New Roman"/>
        </w:rPr>
        <w:t>historical data</w:t>
      </w:r>
      <w:r w:rsidRPr="0065581D">
        <w:rPr>
          <w:rFonts w:ascii="Times New Roman" w:hAnsi="Times New Roman"/>
        </w:rPr>
        <w:t xml:space="preserve">.  </w:t>
      </w:r>
    </w:p>
    <w:p w:rsidR="00E47B90" w:rsidRDefault="00E47B90">
      <w:pPr>
        <w:rPr>
          <w:rFonts w:ascii="Times New Roman" w:hAnsi="ヒラギノ角ゴ Pro W3"/>
        </w:rPr>
      </w:pPr>
    </w:p>
    <w:p w:rsidR="00E47B90" w:rsidRDefault="00153DBE">
      <w:pPr>
        <w:rPr>
          <w:rFonts w:ascii="Times New Roman" w:hAnsi="ヒラギノ角ゴ Pro W3"/>
          <w:i/>
        </w:rPr>
      </w:pPr>
      <w:r>
        <w:rPr>
          <w:rFonts w:ascii="Times New Roman" w:hAnsi="ヒラギノ角ゴ Pro W3"/>
        </w:rPr>
        <w:tab/>
      </w:r>
      <w:r>
        <w:rPr>
          <w:rFonts w:ascii="Times New Roman" w:hAnsi="ヒラギノ角ゴ Pro W3"/>
        </w:rPr>
        <w:tab/>
      </w:r>
      <w:r w:rsidR="00A134A1">
        <w:rPr>
          <w:rFonts w:ascii="Times New Roman" w:hAnsi="ヒラギノ角ゴ Pro W3"/>
          <w:i/>
        </w:rPr>
        <w:t xml:space="preserve">Annual </w:t>
      </w:r>
      <w:r w:rsidR="00A134A1">
        <w:rPr>
          <w:rFonts w:ascii="Times New Roman Italic" w:hAnsi="Times New Roman Italic" w:eastAsia="Times New Roman Italic"/>
          <w:i/>
        </w:rPr>
        <w:t>Estimated Number of respondents:</w:t>
      </w:r>
      <w:r w:rsidR="00FD24BE">
        <w:rPr>
          <w:rFonts w:ascii="Times New Roman Italic" w:hAnsi="Times New Roman Italic" w:eastAsia="Times New Roman Italic"/>
          <w:i/>
        </w:rPr>
        <w:t xml:space="preserve"> </w:t>
      </w:r>
      <w:r w:rsidR="00E97D69">
        <w:rPr>
          <w:rFonts w:ascii="Times New Roman Italic" w:hAnsi="Times New Roman Italic" w:eastAsia="Times New Roman Italic"/>
          <w:i/>
        </w:rPr>
        <w:t xml:space="preserve">     3</w:t>
      </w:r>
      <w:r w:rsidR="00A134A1">
        <w:rPr>
          <w:rFonts w:ascii="Times New Roman" w:hAnsi="ヒラギノ角ゴ Pro W3"/>
          <w:i/>
        </w:rPr>
        <w:t xml:space="preserve">  </w:t>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r w:rsidR="00A134A1">
        <w:rPr>
          <w:rFonts w:ascii="Times New Roman" w:hAnsi="ヒラギノ角ゴ Pro W3"/>
          <w:i/>
        </w:rPr>
        <w:tab/>
      </w:r>
    </w:p>
    <w:p w:rsidR="00E47B90" w:rsidRDefault="00A134A1">
      <w:pPr>
        <w:rPr>
          <w:rFonts w:ascii="Times New Roman" w:hAnsi="ヒラギノ角ゴ Pro W3"/>
          <w:i/>
        </w:rPr>
      </w:pPr>
      <w:r>
        <w:rPr>
          <w:rFonts w:ascii="Times New Roman Italic" w:hAnsi="Times New Roman Italic" w:eastAsia="Times New Roman Italic"/>
          <w:i/>
        </w:rPr>
        <w:tab/>
      </w:r>
      <w:r>
        <w:rPr>
          <w:rFonts w:ascii="Times New Roman Italic" w:hAnsi="Times New Roman Italic" w:eastAsia="Times New Roman Italic"/>
          <w:i/>
        </w:rPr>
        <w:tab/>
        <w:t>Estimated Time per response:</w:t>
      </w:r>
      <w:r w:rsidR="00FD24BE">
        <w:rPr>
          <w:rFonts w:ascii="Times New Roman Italic" w:hAnsi="Times New Roman Italic" w:eastAsia="Times New Roman Italic"/>
          <w:i/>
        </w:rPr>
        <w:t xml:space="preserve">                          </w:t>
      </w:r>
      <w:r w:rsidRPr="000452A7" w:rsidR="00FD24BE">
        <w:rPr>
          <w:rFonts w:ascii="Times New Roman Italic" w:hAnsi="Times New Roman Italic" w:eastAsia="Times New Roman Italic"/>
          <w:i/>
          <w:u w:val="single"/>
        </w:rPr>
        <w:t>45</w:t>
      </w:r>
      <w:r w:rsidRPr="000452A7" w:rsidR="000452A7">
        <w:rPr>
          <w:rFonts w:ascii="Times New Roman Italic" w:hAnsi="Times New Roman Italic" w:eastAsia="Times New Roman Italic"/>
          <w:i/>
          <w:u w:val="single"/>
        </w:rPr>
        <w:t xml:space="preserve"> minutes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A134A1">
      <w:pPr>
        <w:rPr>
          <w:rFonts w:ascii="Times New Roman" w:hAnsi="Times New Roman" w:eastAsia="Times New Roman"/>
          <w:i/>
        </w:rPr>
      </w:pPr>
      <w:r>
        <w:rPr>
          <w:rFonts w:ascii="Times New Roman Italic" w:hAnsi="Times New Roman Italic" w:eastAsia="Times New Roman Italic"/>
          <w:i/>
        </w:rPr>
        <w:tab/>
      </w:r>
      <w:r>
        <w:rPr>
          <w:rFonts w:ascii="Times New Roman Italic" w:hAnsi="Times New Roman Italic" w:eastAsia="Times New Roman Italic"/>
          <w:i/>
        </w:rPr>
        <w:tab/>
        <w:t>Total Estimated Annual Burden:</w:t>
      </w:r>
      <w:r>
        <w:rPr>
          <w:rFonts w:ascii="Times New Roman" w:hAnsi="ヒラギノ角ゴ Pro W3"/>
          <w:i/>
        </w:rPr>
        <w:t xml:space="preserve">  </w:t>
      </w:r>
      <w:r>
        <w:rPr>
          <w:rFonts w:ascii="Times New Roman" w:hAnsi="ヒラギノ角ゴ Pro W3"/>
          <w:i/>
        </w:rPr>
        <w:tab/>
      </w:r>
      <w:r w:rsidR="00FD24BE">
        <w:rPr>
          <w:rFonts w:ascii="Times New Roman" w:hAnsi="ヒラギノ角ゴ Pro W3"/>
          <w:i/>
        </w:rPr>
        <w:t xml:space="preserve">        </w:t>
      </w:r>
      <w:r w:rsidR="0079378B">
        <w:rPr>
          <w:rFonts w:ascii="Times New Roman" w:hAnsi="ヒラギノ角ゴ Pro W3"/>
          <w:i/>
        </w:rPr>
        <w:t xml:space="preserve"> </w:t>
      </w:r>
      <w:r w:rsidR="00E97D69">
        <w:rPr>
          <w:rFonts w:ascii="Times New Roman" w:hAnsi="ヒラギノ角ゴ Pro W3"/>
          <w:i/>
        </w:rPr>
        <w:t xml:space="preserve">    2</w:t>
      </w:r>
      <w:r w:rsidR="000452A7">
        <w:rPr>
          <w:rFonts w:ascii="Times New Roman" w:hAnsi="ヒラギノ角ゴ Pro W3"/>
          <w:i/>
        </w:rPr>
        <w:t xml:space="preserve"> hours</w:t>
      </w:r>
      <w:r>
        <w:rPr>
          <w:rFonts w:ascii="Times New Roman" w:hAnsi="ヒラギノ角ゴ Pro W3"/>
          <w:i/>
        </w:rPr>
        <w:tab/>
      </w:r>
      <w:r>
        <w:rPr>
          <w:rFonts w:ascii="Times New Roman" w:hAnsi="ヒラギノ角ゴ Pro W3"/>
          <w:i/>
        </w:rPr>
        <w:tab/>
      </w:r>
      <w:r>
        <w:rPr>
          <w:rFonts w:ascii="Times New Roman" w:hAnsi="ヒラギノ角ゴ Pro W3"/>
          <w:i/>
        </w:rPr>
        <w:tab/>
      </w:r>
      <w:r>
        <w:rPr>
          <w:rFonts w:ascii="Times New Roman" w:hAnsi="ヒラギノ角ゴ Pro W3"/>
          <w:i/>
        </w:rPr>
        <w:tab/>
      </w:r>
    </w:p>
    <w:p w:rsidR="00E47B90" w:rsidRDefault="00E47B90">
      <w:pPr>
        <w:rPr>
          <w:rFonts w:ascii="Times New Roman" w:hAnsi="ヒラギノ角ゴ Pro W3"/>
        </w:rPr>
      </w:pPr>
    </w:p>
    <w:p w:rsidR="00E47B90" w:rsidRDefault="00A134A1">
      <w:pPr>
        <w:spacing w:before="200"/>
        <w:rPr>
          <w:rFonts w:ascii="Times New Roman" w:hAnsi="Times New Roman" w:eastAsia="Times New Roman"/>
        </w:rPr>
      </w:pPr>
      <w:r>
        <w:rPr>
          <w:rFonts w:ascii="Times New Roman" w:hAnsi="Times New Roman" w:eastAsia="Times New Roman"/>
        </w:rPr>
        <w:t>Total estimated burden for the annual collection of this information is</w:t>
      </w:r>
      <w:r w:rsidR="003C3000">
        <w:rPr>
          <w:rFonts w:ascii="Times New Roman" w:hAnsi="Times New Roman" w:eastAsia="Times New Roman"/>
        </w:rPr>
        <w:t xml:space="preserve"> </w:t>
      </w:r>
      <w:r w:rsidR="00E97D69">
        <w:rPr>
          <w:rFonts w:ascii="Times New Roman" w:hAnsi="Times New Roman" w:eastAsia="Times New Roman"/>
        </w:rPr>
        <w:t>2</w:t>
      </w:r>
      <w:bookmarkStart w:name="_GoBack" w:id="0"/>
      <w:bookmarkEnd w:id="0"/>
      <w:r>
        <w:rPr>
          <w:rFonts w:ascii="Times New Roman" w:hAnsi="Times New Roman" w:eastAsia="Times New Roman"/>
        </w:rPr>
        <w:t xml:space="preserve"> hours.  If you have any questions, please let me know.  Thank you for your consideration.</w:t>
      </w:r>
    </w:p>
    <w:sectPr w:rsidR="00E47B90">
      <w:headerReference w:type="even" r:id="rId7"/>
      <w:headerReference w:type="default" r:id="rId8"/>
      <w:headerReference w:type="first" r:id="rId9"/>
      <w:pgSz w:w="12240" w:h="15840"/>
      <w:pgMar w:top="1872"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AD" w:rsidRDefault="00BE76AD">
      <w:r>
        <w:separator/>
      </w:r>
    </w:p>
  </w:endnote>
  <w:endnote w:type="continuationSeparator" w:id="0">
    <w:p w:rsidR="00BE76AD" w:rsidRDefault="00BE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AD" w:rsidRDefault="00BE76AD">
      <w:r>
        <w:separator/>
      </w:r>
    </w:p>
  </w:footnote>
  <w:footnote w:type="continuationSeparator" w:id="0">
    <w:p w:rsidR="00BE76AD" w:rsidRDefault="00BE7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3"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3" type="#_x0000_t1" style="position:absolute;left:0;margin-left:65pt;mso-position-horizontal:absolute;mso-position-horizontal-relative:page;margin-top:72pt;mso-position-vertical:absolute;mso-position-vertical-relative:page;width:196.0pt;height:21.6pt;z-index:-251624967" stroked="f" filled="f">
              <v:textbox style="" inset="3pt,3pt,3pt,3pt">
                <w:txbxContent>
                  <w:p>
                    <w:pPr>
                      <w:numPr>
                        <w:ilvl w:val="0"/>
                        <w:numId w:val="0"/>
                      </w:numPr>
                      <w:jc w:val="lef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r>
      <w:rPr>
        <w:noProof/>
        <w:sz w:val="20"/>
      </w:rPr>
      <mc:AlternateContent>
        <mc:Choice Requires="wps">
          <w:drawing>
            <wp:anchor distT="0" distB="0" distL="114300" distR="114300" simplePos="0" relativeHeight="251624954"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E47B90">
                          <w:pPr>
                            <w:jc w:val="right"/>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4" type="#_x0000_t1" style="position:absolute;left:0;margin-left:418pt;mso-position-horizontal:absolute;mso-position-horizontal-relative:page;margin-top:72pt;mso-position-vertical:absolute;mso-position-vertical-relative:page;width:116.0pt;height:20.0pt;z-index:-251624966" stroked="f" filled="f">
              <v:textbox style="" inset="3pt,3pt,3pt,3pt">
                <w:txbxContent>
                  <w:p>
                    <w:pPr>
                      <w:numPr>
                        <w:ilvl w:val="0"/>
                        <w:numId w:val="0"/>
                      </w:numPr>
                      <w:jc w:val="righ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E47B90">
    <w:pPr>
      <w:pStyle w:val="Header1"/>
      <w:rPr>
        <w:rFonts w:ascii="Times New Roman" w:hAnsi="ヒラギノ角ゴ Pro W3"/>
      </w:rPr>
    </w:pPr>
  </w:p>
  <w:p w:rsidR="00E47B90" w:rsidRDefault="00A134A1">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1" behindDoc="1" locked="0" layoutInCell="1" allowOverlap="1">
              <wp:simplePos x="0" y="0"/>
              <wp:positionH relativeFrom="page">
                <wp:posOffset>822330</wp:posOffset>
              </wp:positionH>
              <wp:positionV relativeFrom="page">
                <wp:posOffset>914404</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835" cy="274955"/>
                      </a:xfrm>
                      <a:prstGeom prst="rect">
                        <a:avLst/>
                      </a:prstGeom>
                      <a:noFill/>
                      <a:ln cap="flat">
                        <a:noFill/>
                      </a:ln>
                    </wps:spPr>
                    <wps:txbx>
                      <w:txbxContent>
                        <w:p w:rsidR="00E47B90" w:rsidRDefault="00E47B90">
                          <w:pPr>
                            <w:rPr>
                              <w:rFonts w:ascii="Times New Roman" w:eastAsia="Times New Roman" w:hAnsi="Times New Roman"/>
                              <w:sz w:val="20"/>
                              <w:szCs w:val="20"/>
                            </w:rPr>
                          </w:pP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6" type="#_x0000_t1" style="position:absolute;left:0;margin-left:65pt;mso-position-horizontal:absolute;mso-position-horizontal-relative:page;margin-top:72pt;mso-position-vertical:absolute;mso-position-vertical-relative:page;width:196.0pt;height:21.6pt;z-index:-251624969" stroked="f" filled="f">
              <v:textbox style="" inset="3pt,3pt,3pt,3pt">
                <w:txbxContent>
                  <w:p>
                    <w:pPr>
                      <w:numPr>
                        <w:ilvl w:val="0"/>
                        <w:numId w:val="0"/>
                      </w:numPr>
                      <w:jc w:val="left"/>
                      <w:spacing w:lineRule="auto" w:line="240" w:before="0" w:after="0"/>
                      <w:ind w:right="0" w:firstLine="0"/>
                      <w:rPr>
                        <w:position w:val="0"/>
                        <w:sz w:val="20"/>
                        <w:szCs w:val="20"/>
                        <w:rFonts w:ascii="Times New Roman" w:eastAsia="Times New Roman" w:hAnsi="Times New Roman" w:hint="default"/>
                      </w:rPr>
                    </w:pPr>
                  </w:p>
                </w:txbxContent>
              </v:textbox>
            </v:rect>
          </w:pict>
        </mc:Fallback>
      </mc:AlternateContent>
    </w:r>
    <w:r>
      <w:rPr>
        <w:noProof/>
        <w:sz w:val="20"/>
      </w:rPr>
      <mc:AlternateContent>
        <mc:Choice Requires="wps">
          <w:drawing>
            <wp:anchor distT="0" distB="0" distL="114300" distR="114300" simplePos="0" relativeHeight="251624952" behindDoc="1" locked="0" layoutInCell="1" allowOverlap="1">
              <wp:simplePos x="0" y="0"/>
              <wp:positionH relativeFrom="page">
                <wp:posOffset>5306064</wp:posOffset>
              </wp:positionH>
              <wp:positionV relativeFrom="page">
                <wp:posOffset>914404</wp:posOffset>
              </wp:positionV>
              <wp:extent cx="1473200" cy="254000"/>
              <wp:effectExtent l="635" t="0" r="2540" b="31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835" cy="254635"/>
                      </a:xfrm>
                      <a:prstGeom prst="rect">
                        <a:avLst/>
                      </a:prstGeom>
                      <a:noFill/>
                      <a:ln cap="flat">
                        <a:noFill/>
                      </a:ln>
                    </wps:spPr>
                    <wps:txbx>
                      <w:txbxContent>
                        <w:p w:rsidR="00E47B90" w:rsidRDefault="00A134A1">
                          <w:pPr>
                            <w:jc w:val="right"/>
                            <w:rPr>
                              <w:rFonts w:ascii="Times New Roman" w:eastAsia="Times New Roman" w:hAnsi="Times New Roman"/>
                              <w:sz w:val="20"/>
                              <w:szCs w:val="20"/>
                            </w:rPr>
                          </w:pPr>
                          <w:r>
                            <w:rPr>
                              <w:rFonts w:ascii="Times New Roman" w:hAnsi="ヒラギノ角ゴ Pro W3"/>
                            </w:rPr>
                            <w:t>May 7, 2014</w:t>
                          </w:r>
                        </w:p>
                      </w:txbxContent>
                    </wps:txbx>
                    <wps:bodyPr rot="0" spcFirstLastPara="0" vertOverflow="overflow" horzOverflow="overflow" vert="horz" wrap="square" lIns="38100" tIns="38100" rIns="38100" bIns="3810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7" type="#_x0000_t1" style="position:absolute;left:0;margin-left:418pt;mso-position-horizontal:absolute;mso-position-horizontal-relative:page;margin-top:72pt;mso-position-vertical:absolute;mso-position-vertical-relative:page;width:116.0pt;height:20.0pt;z-index:-251624968" stroked="f" filled="f">
              <v:textbox style="" inset="3pt,3pt,3pt,3pt">
                <w:txbxContent>
                  <w:p>
                    <w:pPr>
                      <w:numPr>
                        <w:ilvl w:val="0"/>
                        <w:numId w:val="0"/>
                      </w:numPr>
                      <w:jc w:val="right"/>
                      <w:spacing w:lineRule="auto" w:line="240" w:before="0" w:after="0"/>
                      <w:ind w:right="0" w:firstLine="0"/>
                      <w:rPr>
                        <w:position w:val="0"/>
                        <w:sz w:val="20"/>
                        <w:szCs w:val="20"/>
                        <w:rFonts w:ascii="Times New Roman" w:eastAsia="Times New Roman" w:hAnsi="Times New Roman" w:hint="default"/>
                      </w:rPr>
                    </w:pPr>
                    <w:r>
                      <w:rPr>
                        <w:color w:val="000000"/>
                        <w:position w:val="0"/>
                        <w:sz w:val="24"/>
                        <w:szCs w:val="24"/>
                        <w:rFonts w:ascii="Times New Roman" w:eastAsia="ヒラギノ角ゴ Pro W3" w:hAnsi="ヒラギノ角ゴ Pro W3" w:hint="default"/>
                      </w:rPr>
                      <w:t xml:space="preserve">May 7, 2014</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B90" w:rsidRDefault="00EB68FE">
    <w:pPr>
      <w:spacing w:line="203" w:lineRule="auto"/>
      <w:rPr>
        <w:rFonts w:ascii="Times New Roman" w:hAnsi="ヒラギノ角ゴ Pro W3"/>
      </w:rPr>
    </w:pPr>
    <w:r>
      <w:rPr>
        <w:noProof/>
        <w:sz w:val="20"/>
      </w:rPr>
      <w:drawing>
        <wp:anchor distT="0" distB="0" distL="114300" distR="114300" simplePos="0" relativeHeight="251624957" behindDoc="1" locked="0" layoutInCell="1" allowOverlap="1" wp14:anchorId="2CA5E618" wp14:editId="73790400">
          <wp:simplePos x="0" y="0"/>
          <wp:positionH relativeFrom="page">
            <wp:posOffset>821690</wp:posOffset>
          </wp:positionH>
          <wp:positionV relativeFrom="page">
            <wp:posOffset>266700</wp:posOffset>
          </wp:positionV>
          <wp:extent cx="914400" cy="368300"/>
          <wp:effectExtent l="19050" t="19050" r="19050" b="12700"/>
          <wp:wrapNone/>
          <wp:docPr id="1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6D100ABB-EDE6-4B59-BEFE-D91C4F34A922/tmp/Polaris/image1.png"/>
                  <pic:cNvPicPr preferRelativeResize="0">
                    <a:picLocks noChangeAspect="1" noChangeArrowheads="1"/>
                  </pic:cNvPicPr>
                </pic:nvPicPr>
                <pic:blipFill>
                  <a:blip r:embed="rId1">
                    <a:lum bright="37000" contrast="-47000"/>
                    <a:extLst>
                      <a:ext uri="{28A0092B-C50C-407E-A947-70E740481C1C}">
                        <a14:useLocalDpi xmlns:a14="http://schemas.microsoft.com/office/drawing/2010/main" val="0"/>
                      </a:ext>
                    </a:extLst>
                  </a:blip>
                  <a:srcRect/>
                  <a:stretch>
                    <a:fillRect/>
                  </a:stretch>
                </pic:blipFill>
                <pic:spPr>
                  <a:xfrm>
                    <a:off x="0" y="0"/>
                    <a:ext cx="914400" cy="368300"/>
                  </a:xfrm>
                  <a:prstGeom prst="rect">
                    <a:avLst/>
                  </a:prstGeom>
                  <a:solidFill>
                    <a:srgbClr val="FFFFFF"/>
                  </a:solidFill>
                  <a:ln w="9525" cap="flat" cmpd="sng">
                    <a:solidFill>
                      <a:srgbClr val="7F7F7F"/>
                    </a:solidFill>
                    <a:prstDash val="solid"/>
                    <a:round/>
                    <a:tailEnd type="none" w="med" len="med"/>
                  </a:ln>
                </pic:spPr>
              </pic:pic>
            </a:graphicData>
          </a:graphic>
        </wp:anchor>
      </w:drawing>
    </w:r>
  </w:p>
  <w:p w:rsidR="00E47B90" w:rsidRDefault="00E47B90">
    <w:pPr>
      <w:spacing w:line="203" w:lineRule="auto"/>
      <w:rPr>
        <w:rFonts w:ascii="Times New Roman" w:hAnsi="ヒラギノ角ゴ Pro W3"/>
      </w:rPr>
    </w:pPr>
  </w:p>
  <w:p w:rsidR="00E47B90" w:rsidRDefault="00E47B90">
    <w:pPr>
      <w:pStyle w:val="Header1"/>
      <w:rPr>
        <w:rFonts w:ascii="Arial Bold" w:eastAsia="Arial Bold" w:hAnsi="Arial Bold"/>
      </w:rPr>
    </w:pPr>
  </w:p>
  <w:p w:rsidR="00E47B90" w:rsidRDefault="00E47B90">
    <w:pPr>
      <w:pStyle w:val="Header1"/>
      <w:rPr>
        <w:rFonts w:ascii="Arial Bold" w:eastAsia="Arial Bold" w:hAnsi="Arial Bold"/>
      </w:rPr>
    </w:pPr>
  </w:p>
  <w:p w:rsidR="00E47B90" w:rsidRDefault="00EB68FE">
    <w:pPr>
      <w:pStyle w:val="Header1"/>
      <w:rPr>
        <w:rFonts w:ascii="Times New Roman" w:eastAsia="Times New Roman" w:hAnsi="Times New Roman"/>
        <w:sz w:val="20"/>
        <w:szCs w:val="20"/>
      </w:rPr>
    </w:pPr>
    <w:r>
      <w:rPr>
        <w:noProof/>
        <w:sz w:val="20"/>
      </w:rPr>
      <mc:AlternateContent>
        <mc:Choice Requires="wps">
          <w:drawing>
            <wp:anchor distT="0" distB="0" distL="114300" distR="114300" simplePos="0" relativeHeight="251624956" behindDoc="1" locked="0" layoutInCell="1" allowOverlap="1" wp14:anchorId="6C92942D" wp14:editId="4E4B7E21">
              <wp:simplePos x="0" y="0"/>
              <wp:positionH relativeFrom="page">
                <wp:posOffset>825690</wp:posOffset>
              </wp:positionH>
              <wp:positionV relativeFrom="page">
                <wp:posOffset>975815</wp:posOffset>
              </wp:positionV>
              <wp:extent cx="6046375" cy="33020"/>
              <wp:effectExtent l="0" t="0" r="12065" b="2413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6375" cy="33020"/>
                      </a:xfrm>
                      <a:prstGeom prst="line">
                        <a:avLst/>
                      </a:prstGeom>
                      <a:noFill/>
                      <a:ln w="9525" cap="flat" cmpd="sng">
                        <a:solidFill>
                          <a:prstClr val="black"/>
                        </a:solidFill>
                        <a:prstDash val="solid"/>
                        <a:round/>
                      </a:ln>
                    </wps:spPr>
                    <wps:bodyPr/>
                  </wps:wsp>
                </a:graphicData>
              </a:graphic>
              <wp14:sizeRelH relativeFrom="margin">
                <wp14:pctWidth>0</wp14:pctWidth>
              </wp14:sizeRelH>
              <wp14:sizeRelV relativeFrom="margin">
                <wp14:pctHeight>0</wp14:pctHeight>
              </wp14:sizeRelV>
            </wp:anchor>
          </w:drawing>
        </mc:Choice>
        <mc:Fallback>
          <w:pict>
            <v:line id="Line 6" o:spid="_x0000_s1026" style="position:absolute;z-index:-251691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pt,76.85pt" to="541.1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">
              <o:lock v:ext="edit" shapetype="f"/>
              <w10:wrap anchorx="page" anchory="page"/>
            </v:line>
          </w:pict>
        </mc:Fallback>
      </mc:AlternateContent>
    </w:r>
    <w:r w:rsidR="00A134A1">
      <w:rPr>
        <w:noProof/>
        <w:sz w:val="20"/>
      </w:rPr>
      <mc:AlternateContent>
        <mc:Choice Requires="wps">
          <w:drawing>
            <wp:anchor distT="0" distB="0" distL="114300" distR="114300" simplePos="0" relativeHeight="251624955" behindDoc="1" locked="0" layoutInCell="1" allowOverlap="1" wp14:anchorId="6BAC6A8C" wp14:editId="50807EF0">
              <wp:simplePos x="0" y="0"/>
              <wp:positionH relativeFrom="page">
                <wp:posOffset>822965</wp:posOffset>
              </wp:positionH>
              <wp:positionV relativeFrom="page">
                <wp:posOffset>676914</wp:posOffset>
              </wp:positionV>
              <wp:extent cx="3187700" cy="139700"/>
              <wp:effectExtent l="3810" t="635" r="0" b="25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335" cy="140335"/>
                      </a:xfrm>
                      <a:prstGeom prst="rect">
                        <a:avLst/>
                      </a:prstGeom>
                      <a:noFill/>
                      <a:ln cap="flat">
                        <a:noFill/>
                      </a:ln>
                    </wps:spPr>
                    <wps:txbx>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5" o:spid="_x0000_s1030" style="position:absolute;margin-left:64.8pt;margin-top:53.3pt;width:251pt;height:11pt;z-index:-25169152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" filled="f" stroked="f">
              <v:path arrowok="t"/>
              <v:textbox inset="0,0,0,0">
                <w:txbxContent>
                  <w:p w:rsidR="00E47B90" w:rsidRDefault="00A134A1">
                    <w:pPr>
                      <w:rPr>
                        <w:rFonts w:ascii="Times New Roman" w:eastAsia="Times New Roman" w:hAnsi="Times New Roman"/>
                        <w:sz w:val="20"/>
                        <w:szCs w:val="20"/>
                      </w:rPr>
                    </w:pPr>
                    <w:r>
                      <w:rPr>
                        <w:rFonts w:ascii="Arial Bold" w:eastAsia="Arial Bold" w:hAnsi="Arial Bold"/>
                        <w:sz w:val="20"/>
                        <w:szCs w:val="20"/>
                      </w:rPr>
                      <w:t>Federal Deposit Insurance Corporation</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8" behindDoc="1" locked="0" layoutInCell="1" allowOverlap="1">
              <wp:simplePos x="0" y="0"/>
              <wp:positionH relativeFrom="page">
                <wp:posOffset>822965</wp:posOffset>
              </wp:positionH>
              <wp:positionV relativeFrom="page">
                <wp:posOffset>822330</wp:posOffset>
              </wp:positionV>
              <wp:extent cx="3578860" cy="137160"/>
              <wp:effectExtent l="3810" t="3175" r="0" b="254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9495" cy="137795"/>
                      </a:xfrm>
                      <a:prstGeom prst="rect">
                        <a:avLst/>
                      </a:prstGeom>
                      <a:solidFill>
                        <a:prstClr val="white"/>
                      </a:solidFill>
                      <a:ln cap="flat">
                        <a:noFill/>
                      </a:ln>
                    </wps:spPr>
                    <wps:txbx>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8" o:spid="_x0000_s1031" style="position:absolute;margin-left:64.8pt;margin-top:64.75pt;width:281.8pt;height:10.8pt;z-index:-25169152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" stroked="f">
              <v:path arrowok="t"/>
              <v:textbox inset="0,0,0,0">
                <w:txbxContent>
                  <w:p w:rsidR="00E47B90" w:rsidRDefault="00EB68FE">
                    <w:pPr>
                      <w:rPr>
                        <w:rFonts w:ascii="Times New Roman" w:eastAsia="Times New Roman" w:hAnsi="Times New Roman"/>
                        <w:sz w:val="20"/>
                        <w:szCs w:val="20"/>
                      </w:rPr>
                    </w:pPr>
                    <w:r>
                      <w:rPr>
                        <w:rFonts w:ascii="Arial Narrow" w:eastAsia="Arial Narrow" w:hAnsi="Arial Narrow"/>
                        <w:sz w:val="18"/>
                        <w:szCs w:val="18"/>
                      </w:rPr>
                      <w:t>3501 Fairfax Drive, Arlington, VA  22226-3500</w:t>
                    </w:r>
                  </w:p>
                </w:txbxContent>
              </v:textbox>
              <w10:wrap anchorx="page" anchory="page"/>
            </v:rect>
          </w:pict>
        </mc:Fallback>
      </mc:AlternateContent>
    </w:r>
    <w:r w:rsidR="00A134A1">
      <w:rPr>
        <w:noProof/>
        <w:sz w:val="20"/>
      </w:rPr>
      <mc:AlternateContent>
        <mc:Choice Requires="wps">
          <w:drawing>
            <wp:anchor distT="0" distB="0" distL="114300" distR="114300" simplePos="0" relativeHeight="251624959" behindDoc="1" locked="0" layoutInCell="1" allowOverlap="1">
              <wp:simplePos x="0" y="0"/>
              <wp:positionH relativeFrom="page">
                <wp:posOffset>4297684</wp:posOffset>
              </wp:positionH>
              <wp:positionV relativeFrom="page">
                <wp:posOffset>840745</wp:posOffset>
              </wp:positionV>
              <wp:extent cx="2573020" cy="137160"/>
              <wp:effectExtent l="1905" t="2540" r="0" b="317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37795"/>
                      </a:xfrm>
                      <a:prstGeom prst="rect">
                        <a:avLst/>
                      </a:prstGeom>
                      <a:solidFill>
                        <a:prstClr val="white"/>
                      </a:solidFill>
                      <a:ln cap="flat">
                        <a:noFill/>
                      </a:ln>
                    </wps:spPr>
                    <wps:txbx>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rect id="Rectangle 9" o:spid="_x0000_s1032" style="position:absolute;margin-left:338.4pt;margin-top:66.2pt;width:202.6pt;height:10.8pt;z-index:-25169152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" stroked="f">
              <v:path arrowok="t"/>
              <v:textbox inset="0,0,0,0">
                <w:txbxContent>
                  <w:p w:rsidR="00E47B90" w:rsidRDefault="00EB68FE" w:rsidP="00EB68FE">
                    <w:pPr>
                      <w:jc w:val="right"/>
                      <w:rPr>
                        <w:rFonts w:ascii="Times New Roman" w:eastAsia="Times New Roman" w:hAnsi="Times New Roman"/>
                        <w:sz w:val="20"/>
                        <w:szCs w:val="20"/>
                      </w:rPr>
                    </w:pPr>
                    <w:r>
                      <w:rPr>
                        <w:rFonts w:ascii="Arial Narrow" w:eastAsia="Arial Narrow" w:hAnsi="Arial Narrow"/>
                        <w:sz w:val="18"/>
                        <w:szCs w:val="18"/>
                      </w:rPr>
                      <w:t>Office of the Ombudsman</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balanceSingleByteDoubleByteWidth/>
    <w:doNotExpandShiftReturn/>
    <w:compatSetting w:name="compatibilityMode" w:uri="http://schemas.microsoft.com/office/word" w:val="14"/>
  </w:compat>
  <w:rsids>
    <w:rsidRoot w:val="00E47B90"/>
    <w:rsid w:val="000452A7"/>
    <w:rsid w:val="000F763B"/>
    <w:rsid w:val="00153DBE"/>
    <w:rsid w:val="001611EC"/>
    <w:rsid w:val="001A5864"/>
    <w:rsid w:val="00247721"/>
    <w:rsid w:val="0025633B"/>
    <w:rsid w:val="002E0CD8"/>
    <w:rsid w:val="003A7F44"/>
    <w:rsid w:val="003C3000"/>
    <w:rsid w:val="00444C70"/>
    <w:rsid w:val="00456377"/>
    <w:rsid w:val="0045698F"/>
    <w:rsid w:val="004A6D08"/>
    <w:rsid w:val="004B549A"/>
    <w:rsid w:val="005E22E5"/>
    <w:rsid w:val="005F2866"/>
    <w:rsid w:val="00611E29"/>
    <w:rsid w:val="0065581D"/>
    <w:rsid w:val="00666705"/>
    <w:rsid w:val="0079378B"/>
    <w:rsid w:val="00810270"/>
    <w:rsid w:val="0083021E"/>
    <w:rsid w:val="0083099D"/>
    <w:rsid w:val="00846A0B"/>
    <w:rsid w:val="0085296C"/>
    <w:rsid w:val="008543D9"/>
    <w:rsid w:val="00873E2F"/>
    <w:rsid w:val="008760E7"/>
    <w:rsid w:val="008C1135"/>
    <w:rsid w:val="00933505"/>
    <w:rsid w:val="0099775A"/>
    <w:rsid w:val="00A134A1"/>
    <w:rsid w:val="00B32D37"/>
    <w:rsid w:val="00BE76AD"/>
    <w:rsid w:val="00C85214"/>
    <w:rsid w:val="00CC5CFB"/>
    <w:rsid w:val="00D31413"/>
    <w:rsid w:val="00D476FD"/>
    <w:rsid w:val="00E47B90"/>
    <w:rsid w:val="00E97D69"/>
    <w:rsid w:val="00EB68FE"/>
    <w:rsid w:val="00F43E2F"/>
    <w:rsid w:val="00F464F3"/>
    <w:rsid w:val="00FC5E0F"/>
    <w:rsid w:val="00FD24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ヒラギノ角ゴ Pro W3" w:hAnsi="Arial"/>
      <w:color w:val="000000"/>
      <w:sz w:val="24"/>
      <w:szCs w:val="24"/>
    </w:rPr>
  </w:style>
  <w:style w:type="paragraph" w:styleId="Heading1">
    <w:name w:val="heading 1"/>
    <w:basedOn w:val="Normal"/>
    <w:next w:val="Normal"/>
    <w:link w:val="Heading1Char"/>
    <w:uiPriority w:val="7"/>
    <w:qFormat/>
    <w:pPr>
      <w:keepNext/>
      <w:outlineLvl w:val="0"/>
    </w:pPr>
    <w:rPr>
      <w:rFonts w:ascii="Cambria" w:eastAsia="Times New Roman" w:hAnsi="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Arial" w:eastAsia="ヒラギノ角ゴ Pro W3" w:hAnsi="Arial"/>
      <w:color w:val="000000"/>
      <w:sz w:val="24"/>
      <w:szCs w:val="24"/>
    </w:rPr>
  </w:style>
  <w:style w:type="paragraph" w:customStyle="1" w:styleId="FreeForm">
    <w:name w:val="Free Form"/>
    <w:rPr>
      <w:rFonts w:ascii="Arial" w:eastAsia="ヒラギノ角ゴ Pro W3" w:hAnsi="Arial"/>
      <w:color w:val="000000"/>
    </w:rPr>
  </w:style>
  <w:style w:type="character" w:customStyle="1" w:styleId="Heading1Char">
    <w:name w:val="Heading 1 Char"/>
    <w:link w:val="Heading1"/>
    <w:rPr>
      <w:rFonts w:ascii="Cambria" w:eastAsia="Times New Roman" w:hAnsi="Cambria"/>
      <w:b/>
      <w:color w:val="000000"/>
      <w:w w:val="100"/>
      <w:sz w:val="32"/>
      <w:szCs w:val="32"/>
      <w:shd w:val="clear" w:color="auto" w:fill="auto"/>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link w:val="BalloonText"/>
    <w:rPr>
      <w:rFonts w:ascii="Tahoma" w:eastAsia="Tahoma" w:hAnsi="Tahoma"/>
      <w:color w:val="000000"/>
      <w:w w:val="100"/>
      <w:sz w:val="16"/>
      <w:szCs w:val="16"/>
      <w:shd w:val="clear" w:color="auto" w:fill="auto"/>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eastAsia="ヒラギノ角ゴ Pro W3" w:hAnsi="Arial"/>
      <w:color w:val="000000"/>
      <w:w w:val="100"/>
      <w:sz w:val="24"/>
      <w:szCs w:val="24"/>
      <w:shd w:val="clear" w:color="auto" w:fill="auto"/>
    </w:rPr>
  </w:style>
  <w:style w:type="character" w:styleId="CommentReference">
    <w:name w:val="annotation reference"/>
    <w:basedOn w:val="DefaultParagraphFont"/>
    <w:rPr>
      <w:w w:val="100"/>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ヒラギノ角ゴ Pro W3" w:hAnsi="Arial"/>
      <w:color w:val="000000"/>
      <w:w w:val="100"/>
      <w:sz w:val="20"/>
      <w:szCs w:val="20"/>
      <w:shd w:val="clear" w:color="auto" w:fill="auto"/>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Arial" w:eastAsia="ヒラギノ角ゴ Pro W3" w:hAnsi="Arial"/>
      <w:b/>
      <w:color w:val="000000"/>
      <w:w w:val="100"/>
      <w:sz w:val="20"/>
      <w:szCs w:val="20"/>
      <w:shd w:val="clear" w:color="auto" w:fill="auto"/>
    </w:rPr>
  </w:style>
  <w:style w:type="paragraph" w:styleId="Revision">
    <w:name w:val="Revision"/>
    <w:semiHidden/>
    <w:rPr>
      <w:rFonts w:ascii="Arial" w:eastAsia="ヒラギノ角ゴ Pro W3" w:hAnsi="Arial"/>
      <w:color w:val="000000"/>
      <w:sz w:val="24"/>
      <w:szCs w:val="24"/>
    </w:rPr>
  </w:style>
  <w:style w:type="paragraph" w:styleId="NoSpacing">
    <w:name w:val="No Spacing"/>
    <w:uiPriority w:val="1"/>
    <w:qFormat/>
    <w:rsid w:val="0065581D"/>
    <w:rPr>
      <w:rFonts w:ascii="Arial" w:eastAsia="ヒラギノ角ゴ Pro W3"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1845</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FDIC</Company>
  <LinksUpToDate>false</LinksUpToDate>
  <CharactersWithSpaces>2117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Amy B.</dc:creator>
  <cp:lastModifiedBy>Lok, David T.</cp:lastModifiedBy>
  <cp:revision>3</cp:revision>
  <cp:lastPrinted>2019-06-05T17:20:00Z</cp:lastPrinted>
  <dcterms:created xsi:type="dcterms:W3CDTF">2020-02-03T13:15:00Z</dcterms:created>
  <dcterms:modified xsi:type="dcterms:W3CDTF">2020-02-03T13:23:00Z</dcterms:modified>
</cp:coreProperties>
</file>