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051B52">
      <w:pPr>
        <w:tabs>
          <w:tab w:val="center" w:pos="4680"/>
        </w:tabs>
        <w:jc w:val="center"/>
        <w:rPr>
          <w:rFonts w:ascii="Times New Roman" w:hAnsi="Times New Roman"/>
          <w:b/>
        </w:rPr>
      </w:pPr>
      <w:r>
        <w:rPr>
          <w:rFonts w:ascii="Times New Roman" w:hAnsi="Times New Roman"/>
          <w:b/>
        </w:rPr>
        <w:t>SU</w:t>
      </w:r>
      <w:r w:rsidRPr="00FC41DF" w:rsidR="007B6C63">
        <w:rPr>
          <w:rFonts w:ascii="Times New Roman" w:hAnsi="Times New Roman"/>
          <w:b/>
        </w:rPr>
        <w:t>PPORTING STATEMENT</w:t>
      </w:r>
    </w:p>
    <w:p w:rsidRPr="0071052F" w:rsidR="0071052F" w:rsidP="0071052F" w:rsidRDefault="006D6487">
      <w:pPr>
        <w:jc w:val="center"/>
        <w:rPr>
          <w:rFonts w:ascii="Times New Roman" w:hAnsi="Times New Roman"/>
          <w:b/>
          <w:bCs/>
        </w:rPr>
      </w:pPr>
      <w:r>
        <w:rPr>
          <w:rFonts w:ascii="Times New Roman" w:hAnsi="Times New Roman"/>
          <w:b/>
          <w:bCs/>
        </w:rPr>
        <w:t>INSURANCE SALES CONSUMER PROTECTION</w:t>
      </w:r>
    </w:p>
    <w:p w:rsidRPr="004A5959" w:rsidR="004A5959" w:rsidP="0071052F" w:rsidRDefault="0071052F">
      <w:pPr>
        <w:jc w:val="center"/>
        <w:rPr>
          <w:rFonts w:ascii="Times New Roman" w:hAnsi="Times New Roman"/>
          <w:b/>
        </w:rPr>
      </w:pPr>
      <w:r w:rsidRPr="0071052F">
        <w:rPr>
          <w:rFonts w:ascii="Times New Roman" w:hAnsi="Times New Roman"/>
          <w:b/>
          <w:bCs/>
        </w:rPr>
        <w:t>(OMB No. 3064-01</w:t>
      </w:r>
      <w:r w:rsidR="006D6487">
        <w:rPr>
          <w:rFonts w:ascii="Times New Roman" w:hAnsi="Times New Roman"/>
          <w:b/>
          <w:bCs/>
        </w:rPr>
        <w:t>40</w:t>
      </w:r>
      <w:r>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w:t>
      </w:r>
      <w:r w:rsidR="006D6487">
        <w:rPr>
          <w:rFonts w:ascii="Times New Roman" w:hAnsi="Times New Roman"/>
        </w:rPr>
        <w:t>Insurance Sales Consumer Protection</w:t>
      </w:r>
      <w:r w:rsidR="00F040F7">
        <w:rPr>
          <w:rFonts w:ascii="Times New Roman" w:hAnsi="Times New Roman"/>
        </w:rPr>
        <w:t>” (OMB Control No. 3064-01</w:t>
      </w:r>
      <w:r w:rsidR="006D6487">
        <w:rPr>
          <w:rFonts w:ascii="Times New Roman" w:hAnsi="Times New Roman"/>
        </w:rPr>
        <w:t>40</w:t>
      </w:r>
      <w:r w:rsidR="00F040F7">
        <w:rPr>
          <w:rFonts w:ascii="Times New Roman" w:hAnsi="Times New Roman"/>
        </w:rPr>
        <w:t xml:space="preserve">) which consists of </w:t>
      </w:r>
      <w:r w:rsidR="00AA20BE">
        <w:rPr>
          <w:rFonts w:ascii="Times New Roman" w:hAnsi="Times New Roman"/>
          <w:color w:val="000000"/>
          <w:szCs w:val="24"/>
        </w:rPr>
        <w:t>third-party disclosure requirements</w:t>
      </w:r>
      <w:r w:rsidR="00F040F7">
        <w:rPr>
          <w:rFonts w:ascii="Times New Roman" w:hAnsi="Times New Roman"/>
          <w:color w:val="000000"/>
          <w:szCs w:val="24"/>
        </w:rPr>
        <w:t xml:space="preserve"> contained in</w:t>
      </w:r>
      <w:r w:rsidR="00AA20BE">
        <w:rPr>
          <w:rFonts w:ascii="Times New Roman" w:hAnsi="Times New Roman"/>
          <w:color w:val="000000"/>
          <w:szCs w:val="24"/>
        </w:rPr>
        <w:t xml:space="preserve"> regulations</w:t>
      </w:r>
      <w:r w:rsidR="00F040F7">
        <w:rPr>
          <w:rFonts w:ascii="Times New Roman" w:hAnsi="Times New Roman"/>
          <w:color w:val="000000"/>
          <w:szCs w:val="24"/>
        </w:rPr>
        <w:t xml:space="preserve"> jointly issued by the federal financial institution regulatory agencies, including the FDIC.</w:t>
      </w:r>
      <w:r w:rsidR="00D765D6">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B06BE7">
        <w:rPr>
          <w:rFonts w:ascii="Times New Roman" w:hAnsi="Times New Roman"/>
        </w:rPr>
        <w:t>ne</w:t>
      </w:r>
      <w:r w:rsidR="00655078">
        <w:rPr>
          <w:rFonts w:ascii="Times New Roman" w:hAnsi="Times New Roman"/>
        </w:rPr>
        <w:t xml:space="preserve"> 3</w:t>
      </w:r>
      <w:r w:rsidR="00B06BE7">
        <w:rPr>
          <w:rFonts w:ascii="Times New Roman" w:hAnsi="Times New Roman"/>
        </w:rPr>
        <w:t>0</w:t>
      </w:r>
      <w:r w:rsidR="00655078">
        <w:rPr>
          <w:rFonts w:ascii="Times New Roman" w:hAnsi="Times New Roman"/>
        </w:rPr>
        <w:t>,</w:t>
      </w:r>
      <w:r>
        <w:rPr>
          <w:rFonts w:ascii="Times New Roman" w:hAnsi="Times New Roman"/>
        </w:rPr>
        <w:t xml:space="preserve"> </w:t>
      </w:r>
      <w:r w:rsidR="00FB759A">
        <w:rPr>
          <w:rFonts w:ascii="Times New Roman" w:hAnsi="Times New Roman"/>
        </w:rPr>
        <w:t>2020.</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00D765D6" w:rsidP="007729D8" w:rsidRDefault="00FF24B6">
      <w:pPr>
        <w:ind w:left="720"/>
        <w:rPr>
          <w:rFonts w:ascii="Times New Roman" w:hAnsi="Times New Roman"/>
        </w:rPr>
      </w:pPr>
      <w:r w:rsidRPr="00FF24B6">
        <w:rPr>
          <w:rFonts w:ascii="Times New Roman" w:hAnsi="Times New Roman"/>
          <w:szCs w:val="24"/>
        </w:rPr>
        <w:t>This information collection is required by section 305 of the Gramm-Leach-Bliley Act (GLB Act), which mandates that the Office of the Comptroller of the Currency, Board of Governors of the Federal Reserve System, and Federal Deposit Insurance Corporation (collectively, the Agencies)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requires those performing such activities to disclose certain information to consumers (</w:t>
      </w:r>
      <w:r w:rsidRPr="00FF24B6">
        <w:rPr>
          <w:rFonts w:ascii="Times New Roman" w:hAnsi="Times New Roman"/>
          <w:szCs w:val="24"/>
          <w:u w:val="single"/>
        </w:rPr>
        <w:t>e.g.</w:t>
      </w:r>
      <w:r w:rsidRPr="00FF24B6">
        <w:rPr>
          <w:rFonts w:ascii="Times New Roman" w:hAnsi="Times New Roman"/>
          <w:szCs w:val="24"/>
        </w:rPr>
        <w:t xml:space="preserve">, that insurance products and annuities are not FDIC-insured) and to obtain consumer acknowledgments.  The </w:t>
      </w:r>
      <w:r>
        <w:rPr>
          <w:rFonts w:ascii="Times New Roman" w:hAnsi="Times New Roman"/>
          <w:szCs w:val="24"/>
        </w:rPr>
        <w:t>FDIC’s</w:t>
      </w:r>
      <w:r w:rsidRPr="00FF24B6">
        <w:rPr>
          <w:rFonts w:ascii="Times New Roman" w:hAnsi="Times New Roman"/>
          <w:szCs w:val="24"/>
        </w:rPr>
        <w:t xml:space="preserve"> implementing regulations (12 CFR </w:t>
      </w:r>
      <w:r>
        <w:rPr>
          <w:rFonts w:ascii="Times New Roman" w:hAnsi="Times New Roman"/>
          <w:szCs w:val="24"/>
        </w:rPr>
        <w:t xml:space="preserve">Part </w:t>
      </w:r>
      <w:r w:rsidRPr="00FF24B6">
        <w:rPr>
          <w:rFonts w:ascii="Times New Roman" w:hAnsi="Times New Roman"/>
          <w:szCs w:val="24"/>
        </w:rPr>
        <w:t>343) require disclosures at two different times.  Respondents must prepare and provide certain disclosures to consumers: 1) before the completion of the initial sale of an insurance product or annuity to a consumer; and 2) at the time of application for the extension of credit</w:t>
      </w:r>
      <w:r>
        <w:rPr>
          <w:rFonts w:ascii="Times New Roman" w:hAnsi="Times New Roman"/>
          <w:szCs w:val="24"/>
        </w:rPr>
        <w:t>,</w:t>
      </w:r>
      <w:r w:rsidRPr="00FF24B6">
        <w:rPr>
          <w:rFonts w:ascii="Times New Roman" w:hAnsi="Times New Roman"/>
          <w:szCs w:val="24"/>
        </w:rPr>
        <w:t xml:space="preserve"> if insurance products or annuities are sold, solicited, advertised, or offered in connection with an extension of credit.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54621E" w:rsidRDefault="00B53ED3">
      <w:pPr>
        <w:ind w:left="720"/>
        <w:rPr>
          <w:rFonts w:ascii="Times New Roman" w:hAnsi="Times New Roman"/>
          <w:spacing w:val="-3"/>
        </w:rPr>
      </w:pPr>
      <w:r w:rsidRPr="00B53ED3">
        <w:rPr>
          <w:rFonts w:ascii="Times New Roman" w:hAnsi="Times New Roman"/>
          <w:spacing w:val="-3"/>
        </w:rPr>
        <w:t>Consumers use the disclosures to understand the risks of insurance products or annuities and some of their rights.</w:t>
      </w:r>
    </w:p>
    <w:p w:rsidRPr="0054621E" w:rsidR="0054621E" w:rsidP="0054621E" w:rsidRDefault="0054621E">
      <w:pPr>
        <w:ind w:left="720"/>
        <w:rPr>
          <w:rFonts w:ascii="Times New Roman" w:hAnsi="Times New Roman"/>
          <w:spacing w:val="-3"/>
        </w:rPr>
      </w:pPr>
    </w:p>
    <w:p w:rsidR="007B6C63" w:rsidRDefault="007B6C63">
      <w:pPr>
        <w:ind w:left="720"/>
        <w:rPr>
          <w:rFonts w:ascii="Times New Roman" w:hAnsi="Times New Roman"/>
        </w:rPr>
      </w:pPr>
    </w:p>
    <w:p w:rsidR="007B6C63" w:rsidP="00990A9E" w:rsidRDefault="007B6C63">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pPr>
        <w:keepNext/>
        <w:rPr>
          <w:rFonts w:ascii="Times New Roman" w:hAnsi="Times New Roman"/>
        </w:rPr>
      </w:pPr>
    </w:p>
    <w:p w:rsidR="007B6C63" w:rsidP="00B53ED3" w:rsidRDefault="00B53ED3">
      <w:pPr>
        <w:ind w:left="720"/>
        <w:rPr>
          <w:rFonts w:ascii="Times New Roman" w:hAnsi="Times New Roman"/>
        </w:rPr>
      </w:pPr>
      <w:r w:rsidRPr="00B53ED3">
        <w:rPr>
          <w:rFonts w:ascii="Times New Roman" w:hAnsi="Times New Roman"/>
        </w:rPr>
        <w:t xml:space="preserve">Institutions and other covered persons may use any technology that is reasonable and </w:t>
      </w:r>
      <w:r w:rsidRPr="00B53ED3">
        <w:rPr>
          <w:rFonts w:ascii="Times New Roman" w:hAnsi="Times New Roman"/>
          <w:szCs w:val="24"/>
        </w:rPr>
        <w:t>appropriate</w:t>
      </w:r>
      <w:r w:rsidRPr="00B53ED3">
        <w:rPr>
          <w:rFonts w:ascii="Times New Roman" w:hAnsi="Times New Roman"/>
        </w:rPr>
        <w:t xml:space="preserve"> for their circumstances </w:t>
      </w:r>
      <w:r>
        <w:rPr>
          <w:rFonts w:ascii="Times New Roman" w:hAnsi="Times New Roman"/>
        </w:rPr>
        <w:t>as</w:t>
      </w:r>
      <w:r w:rsidRPr="00B53ED3">
        <w:rPr>
          <w:rFonts w:ascii="Times New Roman" w:hAnsi="Times New Roman"/>
        </w:rPr>
        <w:t xml:space="preserve"> long as the method is consistent with facilitating consumer receipt. There are specific disclosure rules for the timing and method of electronic and telephone disclosures. Where a consumer agrees, a Covered Person may provide the written disclosures through electronic media in a format that the consumer may retain or obtain later, for example, by printing or storing electronically, such as by </w:t>
      </w:r>
      <w:r w:rsidRPr="00B53ED3">
        <w:rPr>
          <w:rFonts w:ascii="Times New Roman" w:hAnsi="Times New Roman"/>
        </w:rPr>
        <w:lastRenderedPageBreak/>
        <w:t>downloading.</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Pr="00B53ED3" w:rsidR="00B53ED3" w:rsidP="00B53ED3" w:rsidRDefault="00B53ED3">
      <w:pPr>
        <w:ind w:left="720"/>
        <w:rPr>
          <w:rFonts w:ascii="Times New Roman" w:hAnsi="Times New Roman"/>
          <w:spacing w:val="-3"/>
        </w:rPr>
      </w:pPr>
      <w:r w:rsidRPr="00B53ED3">
        <w:rPr>
          <w:rFonts w:ascii="Times New Roman" w:hAnsi="Times New Roman"/>
          <w:spacing w:val="-3"/>
        </w:rPr>
        <w:t>The collection of information is unique and covers the institution’s or other covered person’s particular circumstances.  No duplication with other collections exists.</w:t>
      </w:r>
    </w:p>
    <w:p w:rsidR="00B53ED3" w:rsidP="00A1019D" w:rsidRDefault="00B53ED3">
      <w:pPr>
        <w:tabs>
          <w:tab w:val="left" w:pos="-1440"/>
        </w:tabs>
        <w:ind w:left="720" w:hanging="360"/>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0B0581" w:rsidRDefault="00B53ED3">
      <w:pPr>
        <w:ind w:left="720"/>
        <w:rPr>
          <w:rFonts w:ascii="Times New Roman" w:hAnsi="Times New Roman"/>
        </w:rPr>
      </w:pPr>
      <w:r w:rsidRPr="00B53ED3">
        <w:rPr>
          <w:rFonts w:ascii="Times New Roman" w:hAnsi="Times New Roman"/>
        </w:rPr>
        <w:t>The information collection is required by statute.  Because of the statutory requirements, there are no significant alternatives that would minimize burden on small businesses.</w:t>
      </w:r>
    </w:p>
    <w:p w:rsidR="007B6C63" w:rsidRDefault="007B6C63">
      <w:pPr>
        <w:rPr>
          <w:rFonts w:ascii="Times New Roman" w:hAnsi="Times New Roman"/>
        </w:rPr>
      </w:pPr>
    </w:p>
    <w:p w:rsidRPr="00FC41DF" w:rsidR="007B6C63" w:rsidP="00A1019D" w:rsidRDefault="007B6C63">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 xml:space="preserve">hinder </w:t>
      </w:r>
      <w:r w:rsidR="00B72EAD">
        <w:rPr>
          <w:rFonts w:ascii="Times New Roman" w:hAnsi="Times New Roman"/>
        </w:rPr>
        <w:t>consumers’</w:t>
      </w:r>
      <w:r w:rsidR="009557A1">
        <w:rPr>
          <w:rFonts w:ascii="Times New Roman" w:hAnsi="Times New Roman"/>
        </w:rPr>
        <w:t xml:space="preserve"> ability to </w:t>
      </w:r>
      <w:r w:rsidRPr="00B53ED3" w:rsidR="00B72EAD">
        <w:rPr>
          <w:rFonts w:ascii="Times New Roman" w:hAnsi="Times New Roman"/>
          <w:spacing w:val="-3"/>
        </w:rPr>
        <w:t xml:space="preserve">understand the risks of insurance products or annuities and </w:t>
      </w:r>
      <w:r w:rsidR="00B72EAD">
        <w:rPr>
          <w:rFonts w:ascii="Times New Roman" w:hAnsi="Times New Roman"/>
          <w:spacing w:val="-3"/>
        </w:rPr>
        <w:t>to be informed</w:t>
      </w:r>
      <w:r w:rsidRPr="00B53ED3" w:rsidR="00B72EAD">
        <w:rPr>
          <w:rFonts w:ascii="Times New Roman" w:hAnsi="Times New Roman"/>
          <w:spacing w:val="-3"/>
        </w:rPr>
        <w:t xml:space="preserve"> of their rights</w:t>
      </w:r>
      <w:r w:rsidR="009557A1">
        <w:rPr>
          <w:rFonts w:ascii="Times New Roman" w:hAnsi="Times New Roman"/>
        </w:rPr>
        <w:t>.</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B72EAD">
        <w:rPr>
          <w:rFonts w:ascii="Times New Roman" w:hAnsi="Times New Roman"/>
        </w:rPr>
        <w:t>March 17</w:t>
      </w:r>
      <w:r w:rsidR="001305D1">
        <w:rPr>
          <w:rFonts w:ascii="Times New Roman" w:hAnsi="Times New Roman"/>
        </w:rPr>
        <w:t>,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B72EAD">
        <w:rPr>
          <w:rFonts w:ascii="Times New Roman" w:hAnsi="Times New Roman"/>
        </w:rPr>
        <w:t>15172</w:t>
      </w:r>
      <w:r w:rsidR="00DE2D0B">
        <w:rPr>
          <w:rFonts w:ascii="Times New Roman" w:hAnsi="Times New Roman"/>
        </w:rPr>
        <w:t>)</w:t>
      </w:r>
      <w:r>
        <w:rPr>
          <w:rFonts w:ascii="Times New Roman" w:hAnsi="Times New Roman"/>
        </w:rPr>
        <w:t>.  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P="00437618" w:rsidRDefault="007B6C63">
      <w:pPr>
        <w:keepNext/>
        <w:ind w:left="720" w:firstLine="720"/>
        <w:rPr>
          <w:rFonts w:ascii="Times New Roman" w:hAnsi="Times New Roman"/>
        </w:rPr>
      </w:pPr>
    </w:p>
    <w:p w:rsidR="007B6C63" w:rsidP="00437618"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pPr>
        <w:keepNext/>
        <w:rPr>
          <w:rFonts w:ascii="Times New Roman" w:hAnsi="Times New Roman"/>
        </w:rPr>
      </w:pPr>
    </w:p>
    <w:p w:rsidR="00881712" w:rsidP="00437618" w:rsidRDefault="00881712">
      <w:pPr>
        <w:keepNext/>
        <w:ind w:left="720"/>
        <w:rPr>
          <w:rFonts w:ascii="Times New Roman" w:hAnsi="Times New Roman"/>
        </w:rPr>
      </w:pPr>
      <w:r>
        <w:rPr>
          <w:rFonts w:ascii="Times New Roman" w:hAnsi="Times New Roman"/>
        </w:rPr>
        <w:t>Information is kept private to the extent allowed by law</w:t>
      </w:r>
      <w:r w:rsidRPr="00371017" w:rsidR="00371017">
        <w:rPr>
          <w:rFonts w:ascii="Times New Roman" w:hAnsi="Times New Roman"/>
        </w:rPr>
        <w:t>.</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007B6C63" w:rsidP="009557A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rsidRDefault="00285D59">
      <w:pPr>
        <w:keepNext/>
        <w:tabs>
          <w:tab w:val="left" w:pos="-1440"/>
        </w:tabs>
        <w:ind w:firstLine="720"/>
        <w:rPr>
          <w:rFonts w:ascii="Times New Roman" w:hAnsi="Times New Roman"/>
          <w:b/>
          <w:bCs/>
          <w:iCs/>
          <w:szCs w:val="24"/>
          <w:u w:val="single"/>
        </w:rPr>
      </w:pPr>
    </w:p>
    <w:p w:rsidRPr="00967E9D" w:rsidR="00A249E9" w:rsidP="00967E9D" w:rsidRDefault="00881712">
      <w:pPr>
        <w:keepNext/>
        <w:ind w:left="720"/>
        <w:rPr>
          <w:rFonts w:ascii="Times New Roman" w:hAnsi="Times New Roman"/>
          <w:b/>
          <w:i/>
        </w:rPr>
      </w:pPr>
      <w:r w:rsidRPr="000171AA">
        <w:rPr>
          <w:rFonts w:ascii="Times New Roman" w:hAnsi="Times New Roman"/>
          <w:b/>
        </w:rPr>
        <w:t>Estimated</w:t>
      </w:r>
      <w:r w:rsidRPr="000171AA">
        <w:rPr>
          <w:rFonts w:ascii="Times New Roman" w:hAnsi="Times New Roman"/>
          <w:b/>
          <w:bCs/>
          <w:i/>
          <w:iCs/>
          <w:szCs w:val="24"/>
        </w:rPr>
        <w:t xml:space="preserve"> Annual Burden</w:t>
      </w:r>
      <w:r w:rsidRPr="000171AA" w:rsidR="005B79C4">
        <w:rPr>
          <w:rFonts w:ascii="Times New Roman" w:hAnsi="Times New Roman"/>
          <w:b/>
          <w:bCs/>
          <w:i/>
          <w:iCs/>
          <w:szCs w:val="24"/>
        </w:rPr>
        <w:t>:</w:t>
      </w:r>
    </w:p>
    <w:p w:rsidRPr="00A249E9" w:rsidR="00A249E9" w:rsidP="00A249E9" w:rsidRDefault="00A249E9">
      <w:pPr>
        <w:ind w:left="720"/>
        <w:rPr>
          <w:rFonts w:ascii="Times New Roman" w:hAnsi="Times New Roman"/>
          <w:snapToGrid/>
          <w:szCs w:val="24"/>
        </w:rPr>
      </w:pPr>
    </w:p>
    <w:p w:rsidRPr="00A249E9" w:rsidR="00A249E9" w:rsidP="00967E9D" w:rsidRDefault="00A249E9">
      <w:pPr>
        <w:keepNext/>
        <w:ind w:left="720" w:firstLine="720"/>
        <w:rPr>
          <w:rFonts w:ascii="Times New Roman" w:hAnsi="Times New Roman"/>
          <w:i/>
          <w:snapToGrid/>
          <w:szCs w:val="24"/>
        </w:rPr>
      </w:pPr>
      <w:r w:rsidRPr="00A249E9">
        <w:rPr>
          <w:rFonts w:ascii="Times New Roman" w:hAnsi="Times New Roman"/>
          <w:i/>
          <w:snapToGrid/>
          <w:szCs w:val="24"/>
        </w:rPr>
        <w:t>Total Estimated Number of Respondents</w:t>
      </w:r>
    </w:p>
    <w:p w:rsidRPr="00A249E9" w:rsidR="00A249E9" w:rsidP="00967E9D" w:rsidRDefault="00A249E9">
      <w:pPr>
        <w:keepNext/>
        <w:ind w:left="720"/>
        <w:rPr>
          <w:rFonts w:ascii="Times New Roman" w:hAnsi="Times New Roman"/>
          <w:snapToGrid/>
          <w:szCs w:val="24"/>
        </w:rPr>
      </w:pPr>
    </w:p>
    <w:p w:rsidRPr="00B45DBA" w:rsidR="00B45DBA" w:rsidP="00967E9D" w:rsidRDefault="00B45DBA">
      <w:pPr>
        <w:keepNext/>
        <w:ind w:left="720"/>
        <w:rPr>
          <w:rFonts w:ascii="Times New Roman" w:hAnsi="Times New Roman"/>
          <w:snapToGrid/>
          <w:szCs w:val="24"/>
        </w:rPr>
      </w:pPr>
      <w:r w:rsidRPr="00B45DBA">
        <w:rPr>
          <w:rFonts w:ascii="Times New Roman" w:hAnsi="Times New Roman"/>
          <w:snapToGrid/>
          <w:szCs w:val="24"/>
        </w:rPr>
        <w:t>All FDIC-insured institutions that sell insurance must comply with this information collection. Institutions report income from insurance activities differently depending on which Call Report form they file. FDIC-insured institutions file Call Report form 051 if they have less than $1 billion in total assets and do not have any foreign offices, and they file forms 031 or 041 otherwise. Banks that file form 051 report income from insurance activities on Call Report schedule RI line 5(d) 2, while banks that file forms 031 or 041 report income from annuity sales, underwriting income from insurance and reinsurance activities, and other income from insurance activities on Call Report schedule RI lines 5(d) 3-5.</w:t>
      </w:r>
    </w:p>
    <w:p w:rsidRPr="00B45DBA" w:rsidR="00B45DBA" w:rsidP="00B45DBA" w:rsidRDefault="00B45DBA">
      <w:pPr>
        <w:ind w:left="720"/>
        <w:rPr>
          <w:rFonts w:ascii="Times New Roman" w:hAnsi="Times New Roman"/>
          <w:snapToGrid/>
          <w:szCs w:val="24"/>
        </w:rPr>
      </w:pPr>
    </w:p>
    <w:p w:rsidRPr="00B45DBA" w:rsidR="00B45DBA" w:rsidP="00B45DBA" w:rsidRDefault="00B45DBA">
      <w:pPr>
        <w:ind w:left="720"/>
        <w:rPr>
          <w:rFonts w:ascii="Times New Roman" w:hAnsi="Times New Roman"/>
          <w:snapToGrid/>
          <w:szCs w:val="24"/>
        </w:rPr>
      </w:pPr>
      <w:r w:rsidRPr="00B45DBA">
        <w:rPr>
          <w:rFonts w:ascii="Times New Roman" w:hAnsi="Times New Roman"/>
          <w:snapToGrid/>
          <w:szCs w:val="24"/>
        </w:rPr>
        <w:t>As of December 31, 2019, 747 FDIC-insured institutions reported non-zero values of income from annuity sales, underwriting income from insurance and reinsurance activities, or income from other insurance activities on Call Report forms 031 or 041. Another 1,399 FDIC-insured institutions reported non-zero values of income from insurance activities on Call Report form 051.</w:t>
      </w:r>
      <w:r w:rsidRPr="00B45DBA">
        <w:rPr>
          <w:rFonts w:ascii="Times New Roman" w:hAnsi="Times New Roman"/>
          <w:snapToGrid/>
          <w:szCs w:val="24"/>
          <w:vertAlign w:val="superscript"/>
        </w:rPr>
        <w:footnoteReference w:id="1"/>
      </w:r>
      <w:r w:rsidRPr="00B45DBA">
        <w:rPr>
          <w:rFonts w:ascii="Times New Roman" w:hAnsi="Times New Roman"/>
          <w:snapToGrid/>
          <w:szCs w:val="24"/>
        </w:rPr>
        <w:t xml:space="preserve"> Accordingly, the estimated number of respondents for this information collection is 2,146.</w:t>
      </w:r>
      <w:r w:rsidRPr="00B45DBA">
        <w:rPr>
          <w:rFonts w:ascii="Times New Roman" w:hAnsi="Times New Roman"/>
          <w:snapToGrid/>
          <w:szCs w:val="24"/>
          <w:vertAlign w:val="superscript"/>
        </w:rPr>
        <w:footnoteReference w:id="2"/>
      </w:r>
    </w:p>
    <w:p w:rsidR="00BF3B99" w:rsidP="00554D8E" w:rsidRDefault="00BF3B99">
      <w:pPr>
        <w:rPr>
          <w:rFonts w:ascii="Times New Roman" w:hAnsi="Times New Roman"/>
          <w:snapToGrid/>
          <w:szCs w:val="24"/>
        </w:rPr>
      </w:pPr>
    </w:p>
    <w:p w:rsidRPr="00BF3B99" w:rsidR="00BF3B99" w:rsidP="00BF3B99" w:rsidRDefault="00BF3B99">
      <w:pPr>
        <w:ind w:left="720" w:firstLine="720"/>
        <w:rPr>
          <w:rFonts w:ascii="Times New Roman" w:hAnsi="Times New Roman"/>
          <w:i/>
          <w:snapToGrid/>
          <w:szCs w:val="24"/>
        </w:rPr>
      </w:pPr>
      <w:r w:rsidRPr="00BF3B99">
        <w:rPr>
          <w:rFonts w:ascii="Times New Roman" w:hAnsi="Times New Roman"/>
          <w:i/>
          <w:snapToGrid/>
          <w:szCs w:val="24"/>
        </w:rPr>
        <w:t>Estimated Hourly Burden</w:t>
      </w:r>
    </w:p>
    <w:p w:rsidRPr="00BF3B99" w:rsidR="00BF3B99" w:rsidP="00BF3B99" w:rsidRDefault="00BF3B99">
      <w:pPr>
        <w:ind w:left="720"/>
        <w:rPr>
          <w:rFonts w:ascii="Times New Roman" w:hAnsi="Times New Roman"/>
          <w:snapToGrid/>
          <w:szCs w:val="24"/>
        </w:rPr>
      </w:pPr>
    </w:p>
    <w:p w:rsidR="00BF3B99" w:rsidP="004B2F21" w:rsidRDefault="000171AA">
      <w:pPr>
        <w:keepNext/>
        <w:ind w:left="720"/>
        <w:rPr>
          <w:rFonts w:ascii="Times New Roman" w:hAnsi="Times New Roman"/>
          <w:snapToGrid/>
          <w:szCs w:val="24"/>
        </w:rPr>
      </w:pPr>
      <w:r>
        <w:rPr>
          <w:rFonts w:ascii="Times New Roman" w:hAnsi="Times New Roman"/>
          <w:snapToGrid/>
          <w:szCs w:val="24"/>
        </w:rPr>
        <w:t>FDIC estimates</w:t>
      </w:r>
      <w:r w:rsidRPr="00BF3B99" w:rsidR="00BF3B99">
        <w:rPr>
          <w:rFonts w:ascii="Times New Roman" w:hAnsi="Times New Roman"/>
          <w:snapToGrid/>
          <w:szCs w:val="24"/>
        </w:rPr>
        <w:t xml:space="preserve"> </w:t>
      </w:r>
      <w:r>
        <w:rPr>
          <w:rFonts w:ascii="Times New Roman" w:hAnsi="Times New Roman"/>
          <w:snapToGrid/>
          <w:szCs w:val="24"/>
        </w:rPr>
        <w:t xml:space="preserve">the </w:t>
      </w:r>
      <w:r w:rsidR="00554D8E">
        <w:rPr>
          <w:rFonts w:ascii="Times New Roman" w:hAnsi="Times New Roman"/>
          <w:snapToGrid/>
          <w:szCs w:val="24"/>
        </w:rPr>
        <w:t>third-party disclosure</w:t>
      </w:r>
      <w:r>
        <w:rPr>
          <w:rFonts w:ascii="Times New Roman" w:hAnsi="Times New Roman"/>
          <w:snapToGrid/>
          <w:szCs w:val="24"/>
        </w:rPr>
        <w:t xml:space="preserve"> burden associated with</w:t>
      </w:r>
      <w:r w:rsidR="00554D8E">
        <w:rPr>
          <w:rFonts w:ascii="Times New Roman" w:hAnsi="Times New Roman"/>
          <w:snapToGrid/>
          <w:szCs w:val="24"/>
        </w:rPr>
        <w:t xml:space="preserve"> this information collection remains at 5 hours per year per respondent.</w:t>
      </w:r>
    </w:p>
    <w:p w:rsidRPr="00285D59" w:rsidR="00A249E9" w:rsidP="00285D59" w:rsidRDefault="00A249E9">
      <w:pPr>
        <w:ind w:left="720"/>
        <w:rPr>
          <w:rFonts w:ascii="Times New Roman" w:hAnsi="Times New Roman"/>
          <w:snapToGrid/>
          <w:szCs w:val="24"/>
        </w:rPr>
      </w:pPr>
    </w:p>
    <w:p w:rsidR="00FC41DF" w:rsidP="000B0581" w:rsidRDefault="00FC41DF">
      <w:pPr>
        <w:ind w:left="720"/>
        <w:rPr>
          <w:rFonts w:ascii="Times New Roman" w:hAnsi="Times New Roman"/>
        </w:rPr>
      </w:pPr>
    </w:p>
    <w:tbl>
      <w:tblPr>
        <w:tblW w:w="9850" w:type="dxa"/>
        <w:tblInd w:w="-25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38"/>
        <w:gridCol w:w="1225"/>
        <w:gridCol w:w="1016"/>
      </w:tblGrid>
      <w:tr w:rsidRPr="004F7E3A" w:rsidR="00844536" w:rsidTr="00BD64F8">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844536" w:rsidP="009B62D9" w:rsidRDefault="0084453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sidR="009557A1">
              <w:rPr>
                <w:rFonts w:ascii="Times New Roman" w:hAnsi="Times New Roman"/>
                <w:snapToGrid/>
                <w:color w:val="000000"/>
                <w:sz w:val="18"/>
                <w:szCs w:val="16"/>
              </w:rPr>
              <w:t>Hours</w:t>
            </w:r>
            <w:r w:rsidRPr="004F7E3A">
              <w:rPr>
                <w:rFonts w:ascii="Times New Roman" w:hAnsi="Times New Roman"/>
                <w:snapToGrid/>
                <w:color w:val="000000"/>
                <w:sz w:val="18"/>
                <w:szCs w:val="16"/>
              </w:rPr>
              <w:t>)</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844536" w:rsidTr="00BD64F8">
        <w:trPr>
          <w:trHeight w:val="576"/>
        </w:trPr>
        <w:tc>
          <w:tcPr>
            <w:tcW w:w="2983" w:type="dxa"/>
            <w:tcBorders>
              <w:left w:val="single" w:color="auto" w:sz="8" w:space="0"/>
              <w:bottom w:val="nil"/>
              <w:right w:val="single" w:color="auto" w:sz="6" w:space="0"/>
            </w:tcBorders>
            <w:shd w:val="clear" w:color="auto" w:fill="auto"/>
            <w:vAlign w:val="center"/>
          </w:tcPr>
          <w:p w:rsidRPr="004F7E3A" w:rsidR="00844536" w:rsidP="009B62D9" w:rsidRDefault="00554D8E">
            <w:pPr>
              <w:widowControl/>
              <w:rPr>
                <w:rFonts w:ascii="Times New Roman" w:hAnsi="Times New Roman"/>
                <w:bCs/>
                <w:i/>
                <w:snapToGrid/>
                <w:color w:val="000000"/>
                <w:sz w:val="20"/>
              </w:rPr>
            </w:pPr>
            <w:r>
              <w:rPr>
                <w:rFonts w:ascii="Times New Roman" w:hAnsi="Times New Roman"/>
                <w:iCs/>
                <w:snapToGrid/>
                <w:color w:val="000000"/>
                <w:sz w:val="20"/>
              </w:rPr>
              <w:t>Insurance Sales Consumer Protection Disclosures</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Third-Party Disclosure</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2,146</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5</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9B62D9"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10,730</w:t>
            </w:r>
          </w:p>
        </w:tc>
      </w:tr>
      <w:tr w:rsidRPr="004F7E3A" w:rsidR="00844536" w:rsidTr="00BD64F8">
        <w:trPr>
          <w:trHeight w:val="340"/>
        </w:trPr>
        <w:tc>
          <w:tcPr>
            <w:tcW w:w="8834" w:type="dxa"/>
            <w:gridSpan w:val="6"/>
            <w:tcBorders>
              <w:left w:val="single" w:color="auto" w:sz="8" w:space="0"/>
              <w:bottom w:val="single" w:color="auto" w:sz="8" w:space="0"/>
              <w:right w:val="single" w:color="auto" w:sz="8" w:space="0"/>
            </w:tcBorders>
            <w:shd w:val="clear" w:color="auto" w:fill="auto"/>
            <w:vAlign w:val="center"/>
          </w:tcPr>
          <w:p w:rsidRPr="004F7E3A" w:rsidR="00844536" w:rsidP="00844536"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844536" w:rsidRDefault="00554D8E">
            <w:pPr>
              <w:widowControl/>
              <w:jc w:val="center"/>
              <w:rPr>
                <w:rFonts w:ascii="Times New Roman" w:hAnsi="Times New Roman"/>
                <w:snapToGrid/>
                <w:color w:val="000000"/>
                <w:sz w:val="18"/>
                <w:szCs w:val="16"/>
              </w:rPr>
            </w:pPr>
            <w:r>
              <w:rPr>
                <w:rFonts w:ascii="Times New Roman" w:hAnsi="Times New Roman"/>
                <w:snapToGrid/>
                <w:color w:val="000000"/>
                <w:sz w:val="18"/>
                <w:szCs w:val="16"/>
              </w:rPr>
              <w:t>10,730</w:t>
            </w:r>
          </w:p>
        </w:tc>
      </w:tr>
    </w:tbl>
    <w:p w:rsidR="007B6C63" w:rsidRDefault="007B6C63">
      <w:pPr>
        <w:rPr>
          <w:rFonts w:ascii="Times New Roman" w:hAnsi="Times New Roman"/>
        </w:rPr>
      </w:pPr>
    </w:p>
    <w:p w:rsidR="00881712" w:rsidP="00554D8E" w:rsidRDefault="00881712">
      <w:pPr>
        <w:keepNext/>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P="00554D8E" w:rsidRDefault="00881712">
      <w:pPr>
        <w:keepNext/>
        <w:rPr>
          <w:rFonts w:ascii="Times New Roman" w:hAnsi="Times New Roman"/>
        </w:rPr>
      </w:pPr>
    </w:p>
    <w:p w:rsidRPr="00856473" w:rsidR="00856473" w:rsidP="00554D8E" w:rsidRDefault="00554D8E">
      <w:pPr>
        <w:keepNext/>
        <w:ind w:left="720"/>
        <w:rPr>
          <w:rFonts w:ascii="Times New Roman" w:hAnsi="Times New Roman"/>
          <w:snapToGrid/>
          <w:szCs w:val="24"/>
        </w:rPr>
      </w:pPr>
      <w:r>
        <w:rPr>
          <w:rFonts w:ascii="Times New Roman" w:hAnsi="Times New Roman"/>
          <w:snapToGrid/>
          <w:szCs w:val="24"/>
        </w:rPr>
        <w:t>FDIC</w:t>
      </w:r>
      <w:r w:rsidRPr="00554D8E">
        <w:rPr>
          <w:rFonts w:ascii="Times New Roman" w:hAnsi="Times New Roman"/>
          <w:snapToGrid/>
          <w:szCs w:val="24"/>
        </w:rPr>
        <w:t xml:space="preserve"> estimate</w:t>
      </w:r>
      <w:r>
        <w:rPr>
          <w:rFonts w:ascii="Times New Roman" w:hAnsi="Times New Roman"/>
          <w:snapToGrid/>
          <w:szCs w:val="24"/>
        </w:rPr>
        <w:t>s</w:t>
      </w:r>
      <w:r w:rsidRPr="00554D8E">
        <w:rPr>
          <w:rFonts w:ascii="Times New Roman" w:hAnsi="Times New Roman"/>
          <w:snapToGrid/>
          <w:szCs w:val="24"/>
        </w:rPr>
        <w:t xml:space="preserve"> that 70 percent of the work related to responding to this </w:t>
      </w:r>
      <w:r w:rsidR="00CF05E1">
        <w:rPr>
          <w:rFonts w:ascii="Times New Roman" w:hAnsi="Times New Roman"/>
          <w:snapToGrid/>
          <w:szCs w:val="24"/>
        </w:rPr>
        <w:t>information collection</w:t>
      </w:r>
      <w:r w:rsidRPr="00554D8E">
        <w:rPr>
          <w:rFonts w:ascii="Times New Roman" w:hAnsi="Times New Roman"/>
          <w:snapToGrid/>
          <w:szCs w:val="24"/>
        </w:rPr>
        <w:t xml:space="preserve"> will be performed by Financial Analysts</w:t>
      </w:r>
      <w:r w:rsidR="00CF05E1">
        <w:rPr>
          <w:rFonts w:ascii="Times New Roman" w:hAnsi="Times New Roman"/>
          <w:snapToGrid/>
          <w:szCs w:val="24"/>
        </w:rPr>
        <w:t>;</w:t>
      </w:r>
      <w:r w:rsidRPr="00554D8E">
        <w:rPr>
          <w:rFonts w:ascii="Times New Roman" w:hAnsi="Times New Roman"/>
          <w:snapToGrid/>
          <w:szCs w:val="24"/>
        </w:rPr>
        <w:t xml:space="preserve"> 20 percent will be performed by Clerical occupations</w:t>
      </w:r>
      <w:r w:rsidR="00CF05E1">
        <w:rPr>
          <w:rFonts w:ascii="Times New Roman" w:hAnsi="Times New Roman"/>
          <w:snapToGrid/>
          <w:szCs w:val="24"/>
        </w:rPr>
        <w:t>;</w:t>
      </w:r>
      <w:r w:rsidRPr="00554D8E">
        <w:rPr>
          <w:rFonts w:ascii="Times New Roman" w:hAnsi="Times New Roman"/>
          <w:snapToGrid/>
          <w:szCs w:val="24"/>
        </w:rPr>
        <w:t xml:space="preserve"> 4 percent will be performed by Compliance Officers</w:t>
      </w:r>
      <w:r w:rsidR="00CF05E1">
        <w:rPr>
          <w:rFonts w:ascii="Times New Roman" w:hAnsi="Times New Roman"/>
          <w:snapToGrid/>
          <w:szCs w:val="24"/>
        </w:rPr>
        <w:t>;</w:t>
      </w:r>
      <w:r w:rsidRPr="00554D8E">
        <w:rPr>
          <w:rFonts w:ascii="Times New Roman" w:hAnsi="Times New Roman"/>
          <w:snapToGrid/>
          <w:szCs w:val="24"/>
        </w:rPr>
        <w:t xml:space="preserve"> 3 percent will be performed by IT Specialists</w:t>
      </w:r>
      <w:r w:rsidR="00CF05E1">
        <w:rPr>
          <w:rFonts w:ascii="Times New Roman" w:hAnsi="Times New Roman"/>
          <w:snapToGrid/>
          <w:szCs w:val="24"/>
        </w:rPr>
        <w:t>;</w:t>
      </w:r>
      <w:r w:rsidRPr="00554D8E">
        <w:rPr>
          <w:rFonts w:ascii="Times New Roman" w:hAnsi="Times New Roman"/>
          <w:snapToGrid/>
          <w:szCs w:val="24"/>
        </w:rPr>
        <w:t xml:space="preserve"> 2 percent will be performed by Lawyers</w:t>
      </w:r>
      <w:r w:rsidR="00CF05E1">
        <w:rPr>
          <w:rFonts w:ascii="Times New Roman" w:hAnsi="Times New Roman"/>
          <w:snapToGrid/>
          <w:szCs w:val="24"/>
        </w:rPr>
        <w:t>;</w:t>
      </w:r>
      <w:r w:rsidRPr="00554D8E">
        <w:rPr>
          <w:rFonts w:ascii="Times New Roman" w:hAnsi="Times New Roman"/>
          <w:snapToGrid/>
          <w:szCs w:val="24"/>
        </w:rPr>
        <w:t xml:space="preserve"> and 1 percent will be performed by Executives and Managers. A reasonable estimate of the average hourly compliance cost for institutions is $75.10.</w:t>
      </w:r>
      <w:r w:rsidRPr="00554D8E">
        <w:rPr>
          <w:rFonts w:ascii="Times New Roman" w:hAnsi="Times New Roman"/>
          <w:snapToGrid/>
          <w:szCs w:val="24"/>
          <w:vertAlign w:val="superscript"/>
        </w:rPr>
        <w:footnoteReference w:id="3"/>
      </w:r>
      <w:r w:rsidRPr="00856473" w:rsidR="00856473">
        <w:rPr>
          <w:rFonts w:ascii="Times New Roman" w:hAnsi="Times New Roman"/>
          <w:snapToGrid/>
          <w:szCs w:val="24"/>
        </w:rPr>
        <w:t xml:space="preserve"> </w:t>
      </w:r>
    </w:p>
    <w:p w:rsidRPr="002A5F6B" w:rsidR="00856473" w:rsidP="002A5F6B" w:rsidRDefault="00856473">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4B2F21" w:rsidRDefault="00A26153">
      <w:pPr>
        <w:keepNext/>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CF05E1">
        <w:rPr>
          <w:rFonts w:ascii="Times New Roman" w:hAnsi="Times New Roman"/>
          <w:snapToGrid/>
          <w:szCs w:val="24"/>
        </w:rPr>
        <w:t>10,730</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4B2F21">
        <w:rPr>
          <w:rFonts w:ascii="Times New Roman" w:hAnsi="Times New Roman"/>
          <w:snapToGrid/>
          <w:szCs w:val="24"/>
        </w:rPr>
        <w:t>7</w:t>
      </w:r>
      <w:r w:rsidR="00CF05E1">
        <w:rPr>
          <w:rFonts w:ascii="Times New Roman" w:hAnsi="Times New Roman"/>
          <w:snapToGrid/>
          <w:szCs w:val="24"/>
        </w:rPr>
        <w:t>5.10</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00CF05E1">
        <w:rPr>
          <w:rFonts w:ascii="Times New Roman" w:hAnsi="Times New Roman"/>
          <w:snapToGrid/>
          <w:szCs w:val="24"/>
        </w:rPr>
        <w:t xml:space="preserve"> </w:t>
      </w:r>
      <w:r w:rsidRPr="00CF05E1" w:rsidR="00CF05E1">
        <w:rPr>
          <w:rFonts w:ascii="Times New Roman" w:hAnsi="Times New Roman"/>
          <w:snapToGrid/>
          <w:szCs w:val="24"/>
        </w:rPr>
        <w:t>$805,823.00</w:t>
      </w:r>
      <w:r w:rsidR="00CF05E1">
        <w:rPr>
          <w:rFonts w:ascii="Times New Roman" w:hAnsi="Times New Roman"/>
          <w:snapToGrid/>
          <w:szCs w:val="24"/>
        </w:rPr>
        <w:t xml:space="preserve"> </w:t>
      </w:r>
      <w:r w:rsidRPr="002A5F6B" w:rsidR="002A5F6B">
        <w:rPr>
          <w:rFonts w:ascii="Times New Roman" w:hAnsi="Times New Roman"/>
          <w:snapToGrid/>
          <w:szCs w:val="24"/>
        </w:rPr>
        <w:t xml:space="preserve">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CF05E1"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0B5588">
        <w:rPr>
          <w:rFonts w:ascii="Times New Roman" w:hAnsi="Times New Roman"/>
        </w:rPr>
        <w:t xml:space="preserve"> solely to an increase in the </w:t>
      </w:r>
      <w:r w:rsidR="00CF05E1">
        <w:rPr>
          <w:rFonts w:ascii="Times New Roman" w:hAnsi="Times New Roman"/>
        </w:rPr>
        <w:t xml:space="preserve">estimated </w:t>
      </w:r>
      <w:r w:rsidR="000B5588">
        <w:rPr>
          <w:rFonts w:ascii="Times New Roman" w:hAnsi="Times New Roman"/>
        </w:rPr>
        <w:t xml:space="preserve">number of </w:t>
      </w:r>
      <w:r w:rsidR="00CF05E1">
        <w:rPr>
          <w:rFonts w:ascii="Times New Roman" w:hAnsi="Times New Roman"/>
        </w:rPr>
        <w:t xml:space="preserve">respondents which is derived from Call Report data indicating the number of by </w:t>
      </w:r>
      <w:r w:rsidR="000B5588">
        <w:rPr>
          <w:rFonts w:ascii="Times New Roman" w:hAnsi="Times New Roman"/>
        </w:rPr>
        <w:t xml:space="preserve">institutions </w:t>
      </w:r>
      <w:r w:rsidR="00CF05E1">
        <w:rPr>
          <w:rFonts w:ascii="Times New Roman" w:hAnsi="Times New Roman"/>
        </w:rPr>
        <w:t>offering insurance products</w:t>
      </w:r>
      <w:r w:rsidR="00D746BF">
        <w:rPr>
          <w:rFonts w:ascii="Times New Roman" w:hAnsi="Times New Roman"/>
        </w:rPr>
        <w:t>.</w:t>
      </w:r>
      <w:r w:rsidR="00CF05E1">
        <w:rPr>
          <w:rFonts w:ascii="Times New Roman" w:hAnsi="Times New Roman"/>
        </w:rPr>
        <w:t xml:space="preserve">  The number of respondents increased by 126 from 2,</w:t>
      </w:r>
      <w:r w:rsidR="00A86F90">
        <w:rPr>
          <w:rFonts w:ascii="Times New Roman" w:hAnsi="Times New Roman"/>
        </w:rPr>
        <w:t>0</w:t>
      </w:r>
      <w:bookmarkStart w:name="_GoBack" w:id="0"/>
      <w:bookmarkEnd w:id="0"/>
      <w:r w:rsidR="00CF05E1">
        <w:rPr>
          <w:rFonts w:ascii="Times New Roman" w:hAnsi="Times New Roman"/>
        </w:rPr>
        <w:t>20 to 2,146.</w:t>
      </w:r>
    </w:p>
    <w:p w:rsidR="007B6C63" w:rsidP="00B61AD2" w:rsidRDefault="00CF05E1">
      <w:pPr>
        <w:keepNext/>
        <w:ind w:left="720"/>
        <w:rPr>
          <w:rFonts w:ascii="Times New Roman" w:hAnsi="Times New Roman"/>
        </w:rPr>
      </w:pPr>
      <w:r>
        <w:rPr>
          <w:rFonts w:ascii="Times New Roman" w:hAnsi="Times New Roman"/>
        </w:rPr>
        <w:br w:type="page"/>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CF05E1" w:rsidRDefault="007B6C63">
      <w:pPr>
        <w:keepNext/>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P="00CF05E1" w:rsidRDefault="007B6C63">
      <w:pPr>
        <w:keepNext/>
        <w:rPr>
          <w:rFonts w:ascii="Times New Roman" w:hAnsi="Times New Roman"/>
        </w:rPr>
      </w:pPr>
    </w:p>
    <w:p w:rsidR="007B6C63" w:rsidP="00CF05E1" w:rsidRDefault="007B6C63">
      <w:pPr>
        <w:keepNext/>
        <w:ind w:left="720"/>
        <w:rPr>
          <w:rFonts w:ascii="Times New Roman" w:hAnsi="Times New Roman"/>
        </w:rPr>
      </w:pPr>
      <w:r>
        <w:rPr>
          <w:rFonts w:ascii="Times New Roman" w:hAnsi="Times New Roman"/>
        </w:rPr>
        <w:t xml:space="preserve">The information </w:t>
      </w:r>
      <w:r w:rsidR="00CF05E1">
        <w:rPr>
          <w:rFonts w:ascii="Times New Roman" w:hAnsi="Times New Roman"/>
        </w:rPr>
        <w:t xml:space="preserve">collection consists of consumer disclosures and </w:t>
      </w:r>
      <w:r>
        <w:rPr>
          <w:rFonts w:ascii="Times New Roman" w:hAnsi="Times New Roman"/>
        </w:rPr>
        <w:t xml:space="preserve">is not </w:t>
      </w:r>
      <w:r w:rsidR="00CF05E1">
        <w:rPr>
          <w:rFonts w:ascii="Times New Roman" w:hAnsi="Times New Roman"/>
        </w:rPr>
        <w:t xml:space="preserve">intended to be </w:t>
      </w:r>
      <w:r>
        <w:rPr>
          <w:rFonts w:ascii="Times New Roman" w:hAnsi="Times New Roman"/>
        </w:rPr>
        <w:t>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0B0581" w:rsidRDefault="00937218">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w:t>
      </w:r>
      <w:r w:rsidR="00EE3ED4">
        <w:rPr>
          <w:rFonts w:ascii="Times New Roman" w:hAnsi="Times New Roman"/>
          <w:szCs w:val="24"/>
        </w:rPr>
        <w:t>third-party disclosure requirements</w:t>
      </w:r>
      <w:r w:rsidR="00B76DC2">
        <w:rPr>
          <w:rFonts w:ascii="Times New Roman" w:hAnsi="Times New Roman"/>
          <w:szCs w:val="24"/>
        </w:rPr>
        <w:t xml:space="preserve">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w:history="1" r:id="rId8">
        <w:r w:rsidRPr="00DD71EB" w:rsidR="00B76DC2">
          <w:rPr>
            <w:rStyle w:val="Hyperlink"/>
            <w:rFonts w:ascii="Times New Roman" w:hAnsi="Times New Roman"/>
          </w:rPr>
          <w:t>www.reginfo.gov</w:t>
        </w:r>
      </w:hyperlink>
      <w:r w:rsidRPr="00B76DC2" w:rsidR="00B76DC2">
        <w:rPr>
          <w:rStyle w:val="FootnoteReference"/>
          <w:rFonts w:ascii="Times New Roman" w:hAnsi="Times New Roman"/>
          <w:vertAlign w:val="superscript"/>
        </w:rPr>
        <w:footnoteReference w:id="4"/>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D33" w:rsidRDefault="00C87D33">
      <w:r>
        <w:separator/>
      </w:r>
    </w:p>
  </w:endnote>
  <w:endnote w:type="continuationSeparator" w:id="0">
    <w:p w:rsidR="00C87D33" w:rsidRDefault="00C8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86F90">
      <w:rPr>
        <w:rFonts w:ascii="Times New Roman" w:hAnsi="Times New Roman"/>
        <w:noProof/>
      </w:rPr>
      <w:t>4</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D33" w:rsidRDefault="00C87D33">
      <w:r>
        <w:separator/>
      </w:r>
    </w:p>
  </w:footnote>
  <w:footnote w:type="continuationSeparator" w:id="0">
    <w:p w:rsidR="00C87D33" w:rsidRDefault="00C87D33">
      <w:r>
        <w:continuationSeparator/>
      </w:r>
    </w:p>
  </w:footnote>
  <w:footnote w:id="1">
    <w:p w:rsidR="00B45DBA" w:rsidRPr="00B45DBA" w:rsidRDefault="00B45DBA" w:rsidP="00B45DBA">
      <w:pPr>
        <w:pStyle w:val="FootnoteText"/>
        <w:rPr>
          <w:rFonts w:ascii="Times New Roman" w:hAnsi="Times New Roman"/>
        </w:rPr>
      </w:pPr>
      <w:r w:rsidRPr="00B45DBA">
        <w:rPr>
          <w:rStyle w:val="FootnoteReference"/>
          <w:rFonts w:ascii="Times New Roman" w:hAnsi="Times New Roman"/>
          <w:vertAlign w:val="superscript"/>
        </w:rPr>
        <w:footnoteRef/>
      </w:r>
      <w:r w:rsidRPr="00B45DBA">
        <w:rPr>
          <w:rFonts w:ascii="Times New Roman" w:hAnsi="Times New Roman"/>
        </w:rPr>
        <w:t xml:space="preserve"> FDIC Call Report data, December 2019</w:t>
      </w:r>
    </w:p>
  </w:footnote>
  <w:footnote w:id="2">
    <w:p w:rsidR="00B45DBA" w:rsidRPr="00B45DBA" w:rsidRDefault="00B45DBA" w:rsidP="00B45DBA">
      <w:pPr>
        <w:pStyle w:val="FootnoteText"/>
        <w:rPr>
          <w:rFonts w:ascii="Times New Roman" w:hAnsi="Times New Roman"/>
        </w:rPr>
      </w:pPr>
      <w:r w:rsidRPr="00B45DBA">
        <w:rPr>
          <w:rStyle w:val="FootnoteReference"/>
          <w:rFonts w:ascii="Times New Roman" w:hAnsi="Times New Roman"/>
          <w:vertAlign w:val="superscript"/>
        </w:rPr>
        <w:footnoteRef/>
      </w:r>
      <w:r w:rsidRPr="00B45DBA">
        <w:rPr>
          <w:rStyle w:val="FootnoteReference"/>
          <w:vertAlign w:val="superscript"/>
        </w:rPr>
        <w:t xml:space="preserve"> </w:t>
      </w:r>
      <w:r w:rsidRPr="00B45DBA">
        <w:rPr>
          <w:rFonts w:ascii="Times New Roman" w:hAnsi="Times New Roman"/>
        </w:rPr>
        <w:t>747 + 1,399 = 2,146</w:t>
      </w:r>
    </w:p>
  </w:footnote>
  <w:footnote w:id="3">
    <w:p w:rsidR="00554D8E" w:rsidRPr="00CF05E1" w:rsidRDefault="00554D8E" w:rsidP="00554D8E">
      <w:pPr>
        <w:pStyle w:val="FootnoteText"/>
        <w:rPr>
          <w:rFonts w:ascii="Times New Roman" w:hAnsi="Times New Roman"/>
        </w:rPr>
      </w:pPr>
      <w:r w:rsidRPr="00CF05E1">
        <w:rPr>
          <w:rStyle w:val="FootnoteReference"/>
          <w:rFonts w:ascii="Times New Roman" w:hAnsi="Times New Roman"/>
          <w:vertAlign w:val="superscript"/>
        </w:rPr>
        <w:footnoteRef/>
      </w:r>
      <w:r w:rsidRPr="00CF05E1">
        <w:rPr>
          <w:rFonts w:ascii="Times New Roman" w:hAnsi="Times New Roman"/>
        </w:rPr>
        <w:t xml:space="preserve"> The estimate includes the May 2018 75</w:t>
      </w:r>
      <w:r w:rsidRPr="00CF05E1">
        <w:rPr>
          <w:rFonts w:ascii="Times New Roman" w:hAnsi="Times New Roman"/>
          <w:vertAlign w:val="superscript"/>
        </w:rPr>
        <w:t>th</w:t>
      </w:r>
      <w:r w:rsidRPr="00CF05E1">
        <w:rPr>
          <w:rFonts w:ascii="Times New Roman" w:hAnsi="Times New Roman"/>
        </w:rPr>
        <w:t xml:space="preserve"> percentile hourly wage rate for Financial Analysts ($54.34), Office and Administrative Support Occupations ($20.92), Compliance Officers ($42.00), Computer and Mathematical Occupations ($58.58), Legal Occupations ($88.49), and Management Occupations ($78.25) reported by the Bureau of Labor Statistics, National Industry-Specific Occupational Employment, and Wage Estimates. These wage rates have been adjusted for changes in the Consumer Price Index for all Urban Consumers between May 2018 and December 2019 (3.11 percent) and grossed up by 51 percent to account for non-monetary compensation as reported by the December 2019 Employer Costs for Employee Compensation Data. The calculation assumes that Financial Analysts would conduct 70 percent of the hourly burden associated with this collection, Office and Administrative Support Occupations would conduct 20 percent, Compliance Officers would conduct 4 percent, Computer and Mathematical Occupations would conduct 3 percent, Legal Occupations would conduct 2 percent, and Management Occupations would conduct 1 percent. The hourly cost estimate is calculated as (0.7*$84.64 + 0.2*$32.359+ 0.04*$65.42 + 0.03*$91.24 + 0.02*$137.83 + 0.01*$121.88 = $75.10.</w:t>
      </w:r>
    </w:p>
    <w:p w:rsidR="00554D8E" w:rsidRDefault="00554D8E" w:rsidP="00554D8E">
      <w:pPr>
        <w:pStyle w:val="FootnoteText"/>
      </w:pPr>
    </w:p>
    <w:p w:rsidR="00554D8E" w:rsidRDefault="00554D8E" w:rsidP="00554D8E">
      <w:pPr>
        <w:pStyle w:val="FootnoteText"/>
      </w:pPr>
    </w:p>
  </w:footnote>
  <w:footnote w:id="4">
    <w:p w:rsidR="00B76DC2" w:rsidRDefault="00B76DC2">
      <w:pPr>
        <w:pStyle w:val="FootnoteText"/>
      </w:pPr>
      <w:r w:rsidRPr="00B76DC2">
        <w:rPr>
          <w:rStyle w:val="FootnoteReference"/>
          <w:vertAlign w:val="superscript"/>
        </w:rPr>
        <w:footnoteRef/>
      </w:r>
      <w:r>
        <w:t xml:space="preserve"> </w:t>
      </w:r>
      <w:hyperlink r:id="rId1" w:history="1">
        <w:r w:rsidR="00EE3ED4" w:rsidRPr="007771E0">
          <w:rPr>
            <w:rStyle w:val="Hyperlink"/>
            <w:rFonts w:ascii="Times New Roman" w:hAnsi="Times New Roman"/>
          </w:rPr>
          <w:t>https://www.reginfo.gov/public/Forward?SearchTarget=PRA&amp;textfield=3064-0140</w:t>
        </w:r>
      </w:hyperlink>
      <w:r w:rsidR="00EE3ED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51B52"/>
    <w:rsid w:val="000855E4"/>
    <w:rsid w:val="00093D0F"/>
    <w:rsid w:val="000B0581"/>
    <w:rsid w:val="000B5588"/>
    <w:rsid w:val="000F7E08"/>
    <w:rsid w:val="001305D1"/>
    <w:rsid w:val="00146B09"/>
    <w:rsid w:val="00175893"/>
    <w:rsid w:val="00177720"/>
    <w:rsid w:val="001778A3"/>
    <w:rsid w:val="00182279"/>
    <w:rsid w:val="001D78D3"/>
    <w:rsid w:val="002331BC"/>
    <w:rsid w:val="00234383"/>
    <w:rsid w:val="00240097"/>
    <w:rsid w:val="00243D0C"/>
    <w:rsid w:val="00245E41"/>
    <w:rsid w:val="002512BE"/>
    <w:rsid w:val="0025784A"/>
    <w:rsid w:val="00285D59"/>
    <w:rsid w:val="002A35F4"/>
    <w:rsid w:val="002A5F6B"/>
    <w:rsid w:val="002B1AFA"/>
    <w:rsid w:val="002F26D8"/>
    <w:rsid w:val="00304C3E"/>
    <w:rsid w:val="00371017"/>
    <w:rsid w:val="00386C94"/>
    <w:rsid w:val="003A055C"/>
    <w:rsid w:val="003B3219"/>
    <w:rsid w:val="003E3404"/>
    <w:rsid w:val="003E5901"/>
    <w:rsid w:val="003F0288"/>
    <w:rsid w:val="003F2FF8"/>
    <w:rsid w:val="00414ECF"/>
    <w:rsid w:val="00435A15"/>
    <w:rsid w:val="00437618"/>
    <w:rsid w:val="00454007"/>
    <w:rsid w:val="0048245A"/>
    <w:rsid w:val="004A5959"/>
    <w:rsid w:val="004B2F21"/>
    <w:rsid w:val="004C5B45"/>
    <w:rsid w:val="00523B22"/>
    <w:rsid w:val="0054621E"/>
    <w:rsid w:val="00554D8E"/>
    <w:rsid w:val="00563449"/>
    <w:rsid w:val="005709AF"/>
    <w:rsid w:val="005B79C4"/>
    <w:rsid w:val="005C5B63"/>
    <w:rsid w:val="005E62DB"/>
    <w:rsid w:val="00615BAD"/>
    <w:rsid w:val="00630C5C"/>
    <w:rsid w:val="0063734B"/>
    <w:rsid w:val="00653821"/>
    <w:rsid w:val="00655078"/>
    <w:rsid w:val="00686F68"/>
    <w:rsid w:val="006B0048"/>
    <w:rsid w:val="006B3465"/>
    <w:rsid w:val="006D6487"/>
    <w:rsid w:val="0071052F"/>
    <w:rsid w:val="00715C41"/>
    <w:rsid w:val="00753A70"/>
    <w:rsid w:val="007562B8"/>
    <w:rsid w:val="007729D8"/>
    <w:rsid w:val="007B6C63"/>
    <w:rsid w:val="0080546E"/>
    <w:rsid w:val="00820F79"/>
    <w:rsid w:val="00826F32"/>
    <w:rsid w:val="008332CE"/>
    <w:rsid w:val="00844536"/>
    <w:rsid w:val="00846A1A"/>
    <w:rsid w:val="00856473"/>
    <w:rsid w:val="008565C5"/>
    <w:rsid w:val="00862421"/>
    <w:rsid w:val="00863A45"/>
    <w:rsid w:val="00881712"/>
    <w:rsid w:val="008A7B8F"/>
    <w:rsid w:val="008B2102"/>
    <w:rsid w:val="009104FE"/>
    <w:rsid w:val="00913902"/>
    <w:rsid w:val="00921EFB"/>
    <w:rsid w:val="00937218"/>
    <w:rsid w:val="009557A1"/>
    <w:rsid w:val="0096157F"/>
    <w:rsid w:val="00967E9D"/>
    <w:rsid w:val="00990A9E"/>
    <w:rsid w:val="009B62D9"/>
    <w:rsid w:val="009B7A15"/>
    <w:rsid w:val="009C2BFF"/>
    <w:rsid w:val="009C759A"/>
    <w:rsid w:val="00A0001C"/>
    <w:rsid w:val="00A1019D"/>
    <w:rsid w:val="00A152B6"/>
    <w:rsid w:val="00A249E9"/>
    <w:rsid w:val="00A26153"/>
    <w:rsid w:val="00A270BF"/>
    <w:rsid w:val="00A81BD7"/>
    <w:rsid w:val="00A86F90"/>
    <w:rsid w:val="00AA20BE"/>
    <w:rsid w:val="00B06BE7"/>
    <w:rsid w:val="00B17BBF"/>
    <w:rsid w:val="00B17F71"/>
    <w:rsid w:val="00B37DD6"/>
    <w:rsid w:val="00B45DBA"/>
    <w:rsid w:val="00B53ED3"/>
    <w:rsid w:val="00B61AD2"/>
    <w:rsid w:val="00B64991"/>
    <w:rsid w:val="00B66881"/>
    <w:rsid w:val="00B72EAD"/>
    <w:rsid w:val="00B76DC2"/>
    <w:rsid w:val="00B977B5"/>
    <w:rsid w:val="00BD64F8"/>
    <w:rsid w:val="00BD7F95"/>
    <w:rsid w:val="00BF3B99"/>
    <w:rsid w:val="00C14D80"/>
    <w:rsid w:val="00C750AB"/>
    <w:rsid w:val="00C772BC"/>
    <w:rsid w:val="00C8275D"/>
    <w:rsid w:val="00C858DF"/>
    <w:rsid w:val="00C87D33"/>
    <w:rsid w:val="00CB2ED5"/>
    <w:rsid w:val="00CC7A55"/>
    <w:rsid w:val="00CF05E1"/>
    <w:rsid w:val="00CF2C13"/>
    <w:rsid w:val="00D0274E"/>
    <w:rsid w:val="00D1720C"/>
    <w:rsid w:val="00D318CC"/>
    <w:rsid w:val="00D35001"/>
    <w:rsid w:val="00D50321"/>
    <w:rsid w:val="00D50914"/>
    <w:rsid w:val="00D55074"/>
    <w:rsid w:val="00D746BF"/>
    <w:rsid w:val="00D765D6"/>
    <w:rsid w:val="00D804A5"/>
    <w:rsid w:val="00DA5092"/>
    <w:rsid w:val="00DD29EA"/>
    <w:rsid w:val="00DE2D0B"/>
    <w:rsid w:val="00E50911"/>
    <w:rsid w:val="00EE3ED4"/>
    <w:rsid w:val="00F01C6F"/>
    <w:rsid w:val="00F040F7"/>
    <w:rsid w:val="00F34CBE"/>
    <w:rsid w:val="00F90EAE"/>
    <w:rsid w:val="00F9430B"/>
    <w:rsid w:val="00FB759A"/>
    <w:rsid w:val="00FC0FB9"/>
    <w:rsid w:val="00FC41DF"/>
    <w:rsid w:val="00FC6915"/>
    <w:rsid w:val="00FC6E6C"/>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C55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Forward?SearchTarget=PRA&amp;textfield=3064-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F2C4-F086-4C32-9930-4695EA50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7667754</vt:i4>
      </vt:variant>
      <vt:variant>
        <vt:i4>0</vt:i4>
      </vt:variant>
      <vt:variant>
        <vt:i4>0</vt:i4>
      </vt:variant>
      <vt:variant>
        <vt:i4>5</vt:i4>
      </vt:variant>
      <vt:variant>
        <vt:lpwstr>https://www.reginfo.gov/public/Forward?SearchTarget=PRA&amp;textfield=3064-0140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2020-04-27T16:34:00Z</dcterms:created>
  <dcterms:modified xsi:type="dcterms:W3CDTF">2020-04-27T17:28:00Z</dcterms:modified>
</cp:coreProperties>
</file>