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71052F" w:rsidR="0071052F" w:rsidP="0071052F" w:rsidRDefault="0071052F">
      <w:pPr>
        <w:jc w:val="center"/>
        <w:rPr>
          <w:rFonts w:ascii="Times New Roman" w:hAnsi="Times New Roman"/>
          <w:b/>
          <w:bCs/>
        </w:rPr>
      </w:pPr>
      <w:r w:rsidRPr="0071052F">
        <w:rPr>
          <w:rFonts w:ascii="Times New Roman" w:hAnsi="Times New Roman"/>
          <w:b/>
          <w:bCs/>
        </w:rPr>
        <w:t>GUIDANCE ON SOUND INCENTIVE COMPENSATION P</w:t>
      </w:r>
      <w:r>
        <w:rPr>
          <w:rFonts w:ascii="Times New Roman" w:hAnsi="Times New Roman"/>
          <w:b/>
          <w:bCs/>
        </w:rPr>
        <w:t>OLICIES</w:t>
      </w:r>
    </w:p>
    <w:p w:rsidRPr="004A5959" w:rsidR="004A5959" w:rsidP="0071052F" w:rsidRDefault="0071052F">
      <w:pPr>
        <w:jc w:val="center"/>
        <w:rPr>
          <w:rFonts w:ascii="Times New Roman" w:hAnsi="Times New Roman"/>
          <w:b/>
        </w:rPr>
      </w:pPr>
      <w:r w:rsidRPr="0071052F">
        <w:rPr>
          <w:rFonts w:ascii="Times New Roman" w:hAnsi="Times New Roman"/>
          <w:b/>
          <w:bCs/>
        </w:rPr>
        <w:t>(OMB No. 3064-0175</w:t>
      </w:r>
      <w:r>
        <w:rPr>
          <w:rFonts w:ascii="Times New Roman" w:hAnsi="Times New Roman"/>
          <w:b/>
          <w:bCs/>
        </w:rPr>
        <w:t>)</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wit</w:t>
      </w:r>
      <w:r w:rsidR="0071052F">
        <w:rPr>
          <w:rFonts w:ascii="Times New Roman" w:hAnsi="Times New Roman"/>
        </w:rPr>
        <w:t>h revision</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entitled “</w:t>
      </w:r>
      <w:r w:rsidR="0071052F">
        <w:rPr>
          <w:rFonts w:ascii="Times New Roman" w:hAnsi="Times New Roman"/>
        </w:rPr>
        <w:t>Guidance on Sound Incentive Compensation Policies</w:t>
      </w:r>
      <w:r w:rsidR="00655078">
        <w:rPr>
          <w:rFonts w:ascii="Times New Roman" w:hAnsi="Times New Roman"/>
        </w:rPr>
        <w:t>” (OMB Control No. 3064-0</w:t>
      </w:r>
      <w:r w:rsidR="00DA5092">
        <w:rPr>
          <w:rFonts w:ascii="Times New Roman" w:hAnsi="Times New Roman"/>
        </w:rPr>
        <w:t>1</w:t>
      </w:r>
      <w:r w:rsidR="0071052F">
        <w:rPr>
          <w:rFonts w:ascii="Times New Roman" w:hAnsi="Times New Roman"/>
        </w:rPr>
        <w:t>75</w:t>
      </w:r>
      <w:r w:rsidR="00655078">
        <w:rPr>
          <w:rFonts w:ascii="Times New Roman" w:hAnsi="Times New Roman"/>
        </w:rPr>
        <w:t>)</w:t>
      </w:r>
      <w:r w:rsidR="00182279">
        <w:rPr>
          <w:rFonts w:ascii="Times New Roman" w:hAnsi="Times New Roman"/>
        </w:rPr>
        <w:t xml:space="preserve"> </w:t>
      </w:r>
      <w:r w:rsidR="00182279">
        <w:rPr>
          <w:rFonts w:ascii="Times New Roman" w:hAnsi="Times New Roman"/>
          <w:spacing w:val="-3"/>
        </w:rPr>
        <w:t xml:space="preserve">which consists of recordkeeping requirements contained in </w:t>
      </w:r>
      <w:r w:rsidR="00B06BE7">
        <w:rPr>
          <w:rFonts w:ascii="Times New Roman" w:hAnsi="Times New Roman"/>
          <w:spacing w:val="-3"/>
        </w:rPr>
        <w:t xml:space="preserve">guidance issued by the Federal banking agencies on June 25, 2010. </w:t>
      </w:r>
      <w:r w:rsidR="00182279">
        <w:rPr>
          <w:rFonts w:ascii="Times New Roman" w:hAnsi="Times New Roman"/>
          <w:spacing w:val="-3"/>
        </w:rPr>
        <w:t>The</w:t>
      </w:r>
      <w:r w:rsidR="00B06BE7">
        <w:rPr>
          <w:rFonts w:ascii="Times New Roman" w:hAnsi="Times New Roman"/>
          <w:spacing w:val="-3"/>
        </w:rPr>
        <w:t xml:space="preserve"> FDIC is revising its burden estimate to recognize different implementation (one time) and ongoing burdens for this information collection.</w:t>
      </w:r>
      <w:r w:rsidR="00182279">
        <w:rPr>
          <w:rFonts w:ascii="Times New Roman" w:hAnsi="Times New Roman"/>
          <w:spacing w:val="-3"/>
        </w:rPr>
        <w:t xml:space="preserve"> </w:t>
      </w:r>
      <w:r w:rsidR="00B06BE7">
        <w:rPr>
          <w:rFonts w:ascii="Times New Roman" w:hAnsi="Times New Roman"/>
          <w:spacing w:val="-3"/>
        </w:rPr>
        <w:t xml:space="preserve">There </w:t>
      </w:r>
      <w:r w:rsidR="00182279">
        <w:rPr>
          <w:rFonts w:ascii="Times New Roman" w:hAnsi="Times New Roman"/>
          <w:spacing w:val="-3"/>
        </w:rPr>
        <w:t>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B06BE7">
        <w:rPr>
          <w:rFonts w:ascii="Times New Roman" w:hAnsi="Times New Roman"/>
        </w:rPr>
        <w:t>ne</w:t>
      </w:r>
      <w:r w:rsidR="00655078">
        <w:rPr>
          <w:rFonts w:ascii="Times New Roman" w:hAnsi="Times New Roman"/>
        </w:rPr>
        <w:t xml:space="preserve"> 3</w:t>
      </w:r>
      <w:r w:rsidR="00B06BE7">
        <w:rPr>
          <w:rFonts w:ascii="Times New Roman" w:hAnsi="Times New Roman"/>
        </w:rPr>
        <w:t>0</w:t>
      </w:r>
      <w:r w:rsidR="00655078">
        <w:rPr>
          <w:rFonts w:ascii="Times New Roman" w:hAnsi="Times New Roman"/>
        </w:rPr>
        <w:t>,</w:t>
      </w:r>
      <w:r>
        <w:rPr>
          <w:rFonts w:ascii="Times New Roman" w:hAnsi="Times New Roman"/>
        </w:rPr>
        <w:t xml:space="preserve"> </w:t>
      </w:r>
      <w:r w:rsidR="00FB759A">
        <w:rPr>
          <w:rFonts w:ascii="Times New Roman" w:hAnsi="Times New Roman"/>
        </w:rPr>
        <w:t>2020.</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002331BC" w:rsidP="00B977B5" w:rsidRDefault="00B977B5">
      <w:pPr>
        <w:ind w:left="720"/>
        <w:rPr>
          <w:rFonts w:ascii="Times New Roman" w:hAnsi="Times New Roman"/>
          <w:spacing w:val="-3"/>
        </w:rPr>
      </w:pPr>
      <w:r w:rsidRPr="00B977B5">
        <w:rPr>
          <w:rFonts w:ascii="Times New Roman" w:hAnsi="Times New Roman"/>
          <w:spacing w:val="-3"/>
        </w:rPr>
        <w:t>Incentive compensation practices in the financial services industry contributed to the financial crisis that began in 2007.  Bank employees too often were rewarded for increasing short-term revenue or profit without adequate regard to the risks taken to achieve those results.  These practices exacerbated the risks and losses at a number of banking organizations and resulted in the misalignment of the interests of employees with the long-term safety and soundness of their organizations.  Incentive compensation practices must be controlled through supervisory action</w:t>
      </w:r>
      <w:r>
        <w:rPr>
          <w:rFonts w:ascii="Times New Roman" w:hAnsi="Times New Roman"/>
          <w:spacing w:val="-3"/>
        </w:rPr>
        <w:t>. On June 25, 2010, t</w:t>
      </w:r>
      <w:r w:rsidRPr="002331BC" w:rsidR="002331BC">
        <w:rPr>
          <w:rFonts w:ascii="Times New Roman" w:hAnsi="Times New Roman"/>
          <w:spacing w:val="-3"/>
        </w:rPr>
        <w:t xml:space="preserve">he </w:t>
      </w:r>
      <w:r w:rsidR="002331BC">
        <w:rPr>
          <w:rFonts w:ascii="Times New Roman" w:hAnsi="Times New Roman"/>
          <w:spacing w:val="-3"/>
        </w:rPr>
        <w:t>Federal Deposit Insurance Corporation (</w:t>
      </w:r>
      <w:r w:rsidRPr="002331BC" w:rsidR="002331BC">
        <w:rPr>
          <w:rFonts w:ascii="Times New Roman" w:hAnsi="Times New Roman"/>
          <w:spacing w:val="-3"/>
        </w:rPr>
        <w:t>FDIC</w:t>
      </w:r>
      <w:r w:rsidR="002331BC">
        <w:rPr>
          <w:rFonts w:ascii="Times New Roman" w:hAnsi="Times New Roman"/>
          <w:spacing w:val="-3"/>
        </w:rPr>
        <w:t>)</w:t>
      </w:r>
      <w:r w:rsidRPr="002331BC" w:rsidR="002331BC">
        <w:rPr>
          <w:rFonts w:ascii="Times New Roman" w:hAnsi="Times New Roman"/>
          <w:spacing w:val="-3"/>
        </w:rPr>
        <w:t xml:space="preserve"> adopt</w:t>
      </w:r>
      <w:r w:rsidR="00234383">
        <w:rPr>
          <w:rFonts w:ascii="Times New Roman" w:hAnsi="Times New Roman"/>
          <w:spacing w:val="-3"/>
        </w:rPr>
        <w:t>ed</w:t>
      </w:r>
      <w:r w:rsidRPr="002331BC" w:rsidR="002331BC">
        <w:rPr>
          <w:rFonts w:ascii="Times New Roman" w:hAnsi="Times New Roman"/>
          <w:spacing w:val="-3"/>
        </w:rPr>
        <w:t xml:space="preserve"> guidance </w:t>
      </w:r>
      <w:r>
        <w:rPr>
          <w:rFonts w:ascii="Times New Roman" w:hAnsi="Times New Roman"/>
          <w:spacing w:val="-3"/>
        </w:rPr>
        <w:t>(Guidance)</w:t>
      </w:r>
      <w:r w:rsidR="006D4C70">
        <w:rPr>
          <w:rFonts w:ascii="Times New Roman" w:hAnsi="Times New Roman"/>
          <w:spacing w:val="-3"/>
        </w:rPr>
        <w:t>, pursuant to authority under Section 39 of the Federal Deposit Insurance Act (12 USC 1831p-1),</w:t>
      </w:r>
      <w:r>
        <w:rPr>
          <w:rFonts w:ascii="Times New Roman" w:hAnsi="Times New Roman"/>
          <w:spacing w:val="-3"/>
        </w:rPr>
        <w:t xml:space="preserve"> </w:t>
      </w:r>
      <w:r w:rsidRPr="002331BC" w:rsidR="002331BC">
        <w:rPr>
          <w:rFonts w:ascii="Times New Roman" w:hAnsi="Times New Roman"/>
          <w:spacing w:val="-3"/>
        </w:rPr>
        <w:t xml:space="preserve">designed to help ensure that incentive compensation policies at </w:t>
      </w:r>
      <w:r w:rsidR="006D4C70">
        <w:rPr>
          <w:rFonts w:ascii="Times New Roman" w:hAnsi="Times New Roman"/>
          <w:spacing w:val="-3"/>
        </w:rPr>
        <w:t xml:space="preserve">FDIC-supervised </w:t>
      </w:r>
      <w:r w:rsidRPr="002331BC" w:rsidR="002331BC">
        <w:rPr>
          <w:rFonts w:ascii="Times New Roman" w:hAnsi="Times New Roman"/>
          <w:spacing w:val="-3"/>
        </w:rPr>
        <w:t xml:space="preserve">banking </w:t>
      </w:r>
      <w:r w:rsidR="00234383">
        <w:rPr>
          <w:rFonts w:ascii="Times New Roman" w:hAnsi="Times New Roman"/>
          <w:spacing w:val="-3"/>
        </w:rPr>
        <w:t>institutions</w:t>
      </w:r>
      <w:r w:rsidRPr="002331BC" w:rsidR="002331BC">
        <w:rPr>
          <w:rFonts w:ascii="Times New Roman" w:hAnsi="Times New Roman"/>
          <w:spacing w:val="-3"/>
        </w:rPr>
        <w:t xml:space="preserve"> do not encourage imprudent risk-taking and are consisten</w:t>
      </w:r>
      <w:r w:rsidR="00234383">
        <w:rPr>
          <w:rFonts w:ascii="Times New Roman" w:hAnsi="Times New Roman"/>
          <w:spacing w:val="-3"/>
        </w:rPr>
        <w:t xml:space="preserve">t </w:t>
      </w:r>
      <w:r w:rsidRPr="002331BC" w:rsidR="002331BC">
        <w:rPr>
          <w:rFonts w:ascii="Times New Roman" w:hAnsi="Times New Roman"/>
          <w:spacing w:val="-3"/>
        </w:rPr>
        <w:t>with the safety and soundness of th</w:t>
      </w:r>
      <w:r w:rsidR="00234383">
        <w:rPr>
          <w:rFonts w:ascii="Times New Roman" w:hAnsi="Times New Roman"/>
          <w:spacing w:val="-3"/>
        </w:rPr>
        <w:t>ose institutions.</w:t>
      </w:r>
      <w:r w:rsidRPr="00234383" w:rsidR="00234383">
        <w:rPr>
          <w:rStyle w:val="FootnoteReference"/>
          <w:rFonts w:ascii="Times New Roman" w:hAnsi="Times New Roman"/>
          <w:spacing w:val="-3"/>
          <w:vertAlign w:val="superscript"/>
        </w:rPr>
        <w:footnoteReference w:id="1"/>
      </w:r>
    </w:p>
    <w:p w:rsidR="002331BC" w:rsidP="000B0581" w:rsidRDefault="002331BC">
      <w:pPr>
        <w:ind w:left="720"/>
        <w:rPr>
          <w:rFonts w:ascii="Times New Roman" w:hAnsi="Times New Roman"/>
          <w:spacing w:val="-3"/>
        </w:rPr>
      </w:pPr>
    </w:p>
    <w:p w:rsidRPr="00B977B5" w:rsidR="00B977B5" w:rsidP="00B977B5" w:rsidRDefault="00B977B5">
      <w:pPr>
        <w:ind w:left="720"/>
        <w:rPr>
          <w:rFonts w:ascii="Times New Roman" w:hAnsi="Times New Roman"/>
        </w:rPr>
      </w:pPr>
      <w:r w:rsidRPr="00B977B5">
        <w:rPr>
          <w:rFonts w:ascii="Times New Roman" w:hAnsi="Times New Roman"/>
        </w:rPr>
        <w:t>Th</w:t>
      </w:r>
      <w:r>
        <w:rPr>
          <w:rFonts w:ascii="Times New Roman" w:hAnsi="Times New Roman"/>
        </w:rPr>
        <w:t>e</w:t>
      </w:r>
      <w:r w:rsidRPr="00B977B5">
        <w:rPr>
          <w:rFonts w:ascii="Times New Roman" w:hAnsi="Times New Roman"/>
        </w:rPr>
        <w:t xml:space="preserve"> Guidance is based on three key principles that are designed to ensure that incentive compensation arrangements at a banking organization do not encourage employees to take excessive risks.  These principles provide that incentive compensation arrangements should:</w:t>
      </w:r>
    </w:p>
    <w:p w:rsidRPr="00B977B5" w:rsidR="00B977B5" w:rsidP="00B977B5" w:rsidRDefault="00B977B5">
      <w:pPr>
        <w:ind w:left="720"/>
        <w:rPr>
          <w:rFonts w:ascii="Times New Roman" w:hAnsi="Times New Roman"/>
        </w:rPr>
      </w:pPr>
    </w:p>
    <w:p w:rsidRPr="00B977B5" w:rsidR="00B977B5" w:rsidP="00B977B5" w:rsidRDefault="00B977B5">
      <w:pPr>
        <w:numPr>
          <w:ilvl w:val="0"/>
          <w:numId w:val="4"/>
        </w:numPr>
        <w:rPr>
          <w:rFonts w:ascii="Times New Roman" w:hAnsi="Times New Roman"/>
        </w:rPr>
      </w:pPr>
      <w:r w:rsidRPr="00B977B5">
        <w:rPr>
          <w:rFonts w:ascii="Times New Roman" w:hAnsi="Times New Roman"/>
        </w:rPr>
        <w:t xml:space="preserve">Provide employees incentives that do not encourage excessive risk-taking beyond the organization’s ability to effectively identify and manage risk; </w:t>
      </w:r>
    </w:p>
    <w:p w:rsidRPr="00B977B5" w:rsidR="00B977B5" w:rsidP="00B977B5" w:rsidRDefault="00B977B5">
      <w:pPr>
        <w:numPr>
          <w:ilvl w:val="0"/>
          <w:numId w:val="4"/>
        </w:numPr>
        <w:rPr>
          <w:rFonts w:ascii="Times New Roman" w:hAnsi="Times New Roman"/>
        </w:rPr>
      </w:pPr>
      <w:r w:rsidRPr="00B977B5">
        <w:rPr>
          <w:rFonts w:ascii="Times New Roman" w:hAnsi="Times New Roman"/>
        </w:rPr>
        <w:t xml:space="preserve">Be compatible with effective controls and risk management; and </w:t>
      </w:r>
    </w:p>
    <w:p w:rsidRPr="00B977B5" w:rsidR="00B977B5" w:rsidP="00B977B5" w:rsidRDefault="00B977B5">
      <w:pPr>
        <w:numPr>
          <w:ilvl w:val="0"/>
          <w:numId w:val="4"/>
        </w:numPr>
        <w:rPr>
          <w:rFonts w:ascii="Times New Roman" w:hAnsi="Times New Roman"/>
        </w:rPr>
      </w:pPr>
      <w:r w:rsidRPr="00B977B5">
        <w:rPr>
          <w:rFonts w:ascii="Times New Roman" w:hAnsi="Times New Roman"/>
        </w:rPr>
        <w:t>Be supported by strong corporate governance, including active and effective oversight by the organization’s board of directors.</w:t>
      </w:r>
    </w:p>
    <w:p w:rsidRPr="00B977B5" w:rsidR="00B977B5" w:rsidP="00B977B5" w:rsidRDefault="00B977B5">
      <w:pPr>
        <w:ind w:left="720"/>
        <w:rPr>
          <w:rFonts w:ascii="Times New Roman" w:hAnsi="Times New Roman"/>
        </w:rPr>
      </w:pPr>
    </w:p>
    <w:p w:rsidR="007B6C63" w:rsidP="00B977B5" w:rsidRDefault="00B977B5">
      <w:pPr>
        <w:ind w:left="720"/>
        <w:rPr>
          <w:rFonts w:ascii="Times New Roman" w:hAnsi="Times New Roman"/>
        </w:rPr>
      </w:pPr>
      <w:r w:rsidRPr="00B977B5">
        <w:rPr>
          <w:rFonts w:ascii="Times New Roman" w:hAnsi="Times New Roman"/>
        </w:rPr>
        <w:t>Th</w:t>
      </w:r>
      <w:r>
        <w:rPr>
          <w:rFonts w:ascii="Times New Roman" w:hAnsi="Times New Roman"/>
        </w:rPr>
        <w:t>e</w:t>
      </w:r>
      <w:r w:rsidRPr="00B977B5">
        <w:rPr>
          <w:rFonts w:ascii="Times New Roman" w:hAnsi="Times New Roman"/>
        </w:rPr>
        <w:t xml:space="preserve"> Guidance promotes the improvement of incentive compensation practices in the banking industry by providing a common prudential foundation for incentive compensation arrangements across banking organizations, and promoting the overall </w:t>
      </w:r>
      <w:r w:rsidRPr="00B977B5">
        <w:rPr>
          <w:rFonts w:ascii="Times New Roman" w:hAnsi="Times New Roman"/>
        </w:rPr>
        <w:lastRenderedPageBreak/>
        <w:t>movement of the industry towards better practices.  Supervisory action plays a critical role in addressing misaligned compensation incentives, especially where issues of competition may make it difficult for individual firms to act alone.  Through their actions, supervisors could help to better align the interests of managers and other employees with organizations’ long-term health and reduce concerns that making prudent modifications to incentive compensation arrangements might have adverse competitive consequences.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7B6C63" w:rsidP="000B0581" w:rsidRDefault="00414ECF">
      <w:pPr>
        <w:ind w:left="720"/>
        <w:rPr>
          <w:rFonts w:ascii="Times New Roman" w:hAnsi="Times New Roman"/>
        </w:rPr>
      </w:pPr>
      <w:r>
        <w:rPr>
          <w:rFonts w:ascii="Times New Roman" w:hAnsi="Times New Roman"/>
          <w:spacing w:val="-3"/>
        </w:rPr>
        <w:t>The FDIC will use the information as part of its supervisory process.  Examiners will review incentive compensation arrangements at FDIC-supervised institutions for compliance with the institution’s policies and procedures.  Examiners will also assess the institution’s incentive compensation policies and procedures as party of the safety and soundness examination of the institution.</w:t>
      </w:r>
    </w:p>
    <w:p w:rsidR="007B6C63" w:rsidRDefault="007B6C63">
      <w:pPr>
        <w:ind w:left="720"/>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RDefault="007B6C63">
      <w:pPr>
        <w:rPr>
          <w:rFonts w:ascii="Times New Roman" w:hAnsi="Times New Roman"/>
        </w:rPr>
      </w:pPr>
    </w:p>
    <w:p w:rsidR="000855E4" w:rsidP="000B0581" w:rsidRDefault="00BD7F95">
      <w:pPr>
        <w:ind w:left="720"/>
        <w:rPr>
          <w:rFonts w:ascii="Times New Roman" w:hAnsi="Times New Roman"/>
        </w:rPr>
      </w:pPr>
      <w:r>
        <w:rPr>
          <w:rFonts w:ascii="Times New Roman" w:hAnsi="Times New Roman"/>
        </w:rPr>
        <w:t>FDIC-supervised institutions may use any technology they wish in order to lessen the burden of meeting this recordkeeping requirement.</w:t>
      </w:r>
    </w:p>
    <w:p w:rsidR="007B6C63" w:rsidRDefault="007B6C63">
      <w:pPr>
        <w:ind w:left="1440"/>
        <w:rPr>
          <w:rFonts w:ascii="Times New Roman" w:hAnsi="Times New Roman"/>
        </w:rPr>
      </w:pP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007B6C63" w:rsidP="000B0581" w:rsidRDefault="000855E4">
      <w:pPr>
        <w:ind w:left="720"/>
        <w:rPr>
          <w:rFonts w:ascii="Times New Roman" w:hAnsi="Times New Roman"/>
        </w:rPr>
      </w:pPr>
      <w:r>
        <w:rPr>
          <w:rFonts w:ascii="Times New Roman" w:hAnsi="Times New Roman"/>
        </w:rPr>
        <w:t xml:space="preserve">There is no duplication.  </w:t>
      </w:r>
      <w:r w:rsidR="00003E86">
        <w:rPr>
          <w:rFonts w:ascii="Times New Roman" w:hAnsi="Times New Roman"/>
        </w:rPr>
        <w:t>Each FDIC-supervised institution must adopt lending standards and policies tailored to their particular lending operations.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All </w:t>
      </w:r>
      <w:r w:rsidR="00003E86">
        <w:rPr>
          <w:rFonts w:ascii="Times New Roman" w:hAnsi="Times New Roman"/>
        </w:rPr>
        <w:t>FDIC-supervised</w:t>
      </w:r>
      <w:r>
        <w:rPr>
          <w:rFonts w:ascii="Times New Roman" w:hAnsi="Times New Roman"/>
        </w:rPr>
        <w:t xml:space="preserve"> institutions, large and small, are </w:t>
      </w:r>
      <w:r w:rsidR="00371017">
        <w:rPr>
          <w:rFonts w:ascii="Times New Roman" w:hAnsi="Times New Roman"/>
        </w:rPr>
        <w:t>affected</w:t>
      </w:r>
      <w:r w:rsidR="000855E4">
        <w:rPr>
          <w:rFonts w:ascii="Times New Roman" w:hAnsi="Times New Roman"/>
        </w:rPr>
        <w:t xml:space="preserve">. </w:t>
      </w:r>
      <w:r w:rsidR="00003E86">
        <w:rPr>
          <w:rFonts w:ascii="Times New Roman" w:hAnsi="Times New Roman"/>
          <w:spacing w:val="-3"/>
        </w:rPr>
        <w:t xml:space="preserve">Small insured state nonmember banks and state savings associations generally have a narrower range of products and less complex </w:t>
      </w:r>
      <w:r w:rsidR="00414ECF">
        <w:rPr>
          <w:rFonts w:ascii="Times New Roman" w:hAnsi="Times New Roman"/>
          <w:spacing w:val="-3"/>
        </w:rPr>
        <w:t>operations</w:t>
      </w:r>
      <w:r w:rsidR="00003E86">
        <w:rPr>
          <w:rFonts w:ascii="Times New Roman" w:hAnsi="Times New Roman"/>
          <w:spacing w:val="-3"/>
        </w:rPr>
        <w:t xml:space="preserve">. </w:t>
      </w:r>
      <w:r w:rsidR="00414ECF">
        <w:rPr>
          <w:rFonts w:ascii="Times New Roman" w:hAnsi="Times New Roman"/>
          <w:spacing w:val="-3"/>
        </w:rPr>
        <w:t xml:space="preserve">Therefore, these smaller institutions may not have </w:t>
      </w:r>
      <w:r w:rsidR="00371017">
        <w:rPr>
          <w:rFonts w:ascii="Times New Roman" w:hAnsi="Times New Roman"/>
          <w:spacing w:val="-3"/>
        </w:rPr>
        <w:t xml:space="preserve">incentive compensation programs and if they do, </w:t>
      </w:r>
      <w:r w:rsidR="00414ECF">
        <w:rPr>
          <w:rFonts w:ascii="Times New Roman" w:hAnsi="Times New Roman"/>
          <w:spacing w:val="-3"/>
        </w:rPr>
        <w:t xml:space="preserve">will have much simpler incentive compensation </w:t>
      </w:r>
      <w:r w:rsidR="00371017">
        <w:rPr>
          <w:rFonts w:ascii="Times New Roman" w:hAnsi="Times New Roman"/>
          <w:spacing w:val="-3"/>
        </w:rPr>
        <w:t xml:space="preserve">policies and procedures.  </w:t>
      </w:r>
      <w:r w:rsidR="00003E86">
        <w:rPr>
          <w:rFonts w:ascii="Times New Roman" w:hAnsi="Times New Roman"/>
          <w:spacing w:val="-3"/>
        </w:rPr>
        <w:t xml:space="preserve">The </w:t>
      </w:r>
      <w:r w:rsidR="00371017">
        <w:rPr>
          <w:rFonts w:ascii="Times New Roman" w:hAnsi="Times New Roman"/>
          <w:spacing w:val="-3"/>
        </w:rPr>
        <w:t>incentive compensation</w:t>
      </w:r>
      <w:r w:rsidR="00003E86">
        <w:rPr>
          <w:rFonts w:ascii="Times New Roman" w:hAnsi="Times New Roman"/>
          <w:spacing w:val="-3"/>
        </w:rPr>
        <w:t xml:space="preserve"> polic</w:t>
      </w:r>
      <w:r w:rsidR="00371017">
        <w:rPr>
          <w:rFonts w:ascii="Times New Roman" w:hAnsi="Times New Roman"/>
          <w:spacing w:val="-3"/>
        </w:rPr>
        <w:t>ies</w:t>
      </w:r>
      <w:r w:rsidR="00003E86">
        <w:rPr>
          <w:rFonts w:ascii="Times New Roman" w:hAnsi="Times New Roman"/>
          <w:spacing w:val="-3"/>
        </w:rPr>
        <w:t xml:space="preserve"> </w:t>
      </w:r>
      <w:r w:rsidR="00371017">
        <w:rPr>
          <w:rFonts w:ascii="Times New Roman" w:hAnsi="Times New Roman"/>
          <w:spacing w:val="-3"/>
        </w:rPr>
        <w:t>suggested</w:t>
      </w:r>
      <w:r w:rsidR="00003E86">
        <w:rPr>
          <w:rFonts w:ascii="Times New Roman" w:hAnsi="Times New Roman"/>
          <w:spacing w:val="-3"/>
        </w:rPr>
        <w:t xml:space="preserve"> </w:t>
      </w:r>
      <w:r w:rsidR="00371017">
        <w:rPr>
          <w:rFonts w:ascii="Times New Roman" w:hAnsi="Times New Roman"/>
          <w:spacing w:val="-3"/>
        </w:rPr>
        <w:t>are</w:t>
      </w:r>
      <w:r w:rsidR="00003E86">
        <w:rPr>
          <w:rFonts w:ascii="Times New Roman" w:hAnsi="Times New Roman"/>
          <w:spacing w:val="-3"/>
        </w:rPr>
        <w:t xml:space="preserve"> </w:t>
      </w:r>
      <w:r w:rsidR="00371017">
        <w:rPr>
          <w:rFonts w:ascii="Times New Roman" w:hAnsi="Times New Roman"/>
          <w:spacing w:val="-3"/>
        </w:rPr>
        <w:t xml:space="preserve">intended to be </w:t>
      </w:r>
      <w:r w:rsidR="00003E86">
        <w:rPr>
          <w:rFonts w:ascii="Times New Roman" w:hAnsi="Times New Roman"/>
          <w:spacing w:val="-3"/>
        </w:rPr>
        <w:t xml:space="preserve">commensurate with the </w:t>
      </w:r>
      <w:r w:rsidR="00371017">
        <w:rPr>
          <w:rFonts w:ascii="Times New Roman" w:hAnsi="Times New Roman"/>
          <w:spacing w:val="-3"/>
        </w:rPr>
        <w:t>size</w:t>
      </w:r>
      <w:r w:rsidR="00003E86">
        <w:rPr>
          <w:rFonts w:ascii="Times New Roman" w:hAnsi="Times New Roman"/>
          <w:spacing w:val="-3"/>
        </w:rPr>
        <w:t xml:space="preserve"> and complexity of </w:t>
      </w:r>
      <w:r w:rsidR="00371017">
        <w:rPr>
          <w:rFonts w:ascii="Times New Roman" w:hAnsi="Times New Roman"/>
          <w:spacing w:val="-3"/>
        </w:rPr>
        <w:t xml:space="preserve">each </w:t>
      </w:r>
      <w:r w:rsidR="00003E86">
        <w:rPr>
          <w:rFonts w:ascii="Times New Roman" w:hAnsi="Times New Roman"/>
          <w:spacing w:val="-3"/>
        </w:rPr>
        <w:t>institution.</w:t>
      </w:r>
    </w:p>
    <w:p w:rsidR="007B6C63" w:rsidRDefault="007B6C63">
      <w:pPr>
        <w:rPr>
          <w:rFonts w:ascii="Times New Roman" w:hAnsi="Times New Roman"/>
        </w:rPr>
      </w:pPr>
    </w:p>
    <w:p w:rsidRPr="00FC41DF" w:rsidR="007B6C63" w:rsidP="00A1019D" w:rsidRDefault="007B6C63">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Less frequent collection would </w:t>
      </w:r>
      <w:r w:rsidR="009557A1">
        <w:rPr>
          <w:rFonts w:ascii="Times New Roman" w:hAnsi="Times New Roman"/>
        </w:rPr>
        <w:t>hinder the FDIC’s ability to assess the safety and soundness of FDIC-supervised institutions and take corrective action as needed.</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D55074">
        <w:rPr>
          <w:rFonts w:ascii="Times New Roman" w:hAnsi="Times New Roman"/>
        </w:rPr>
        <w:t>March 17,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D55074">
        <w:rPr>
          <w:rFonts w:ascii="Times New Roman" w:hAnsi="Times New Roman"/>
        </w:rPr>
        <w:t>15172</w:t>
      </w:r>
      <w:r w:rsidR="00DE2D0B">
        <w:rPr>
          <w:rFonts w:ascii="Times New Roman" w:hAnsi="Times New Roman"/>
        </w:rPr>
        <w:t>)</w:t>
      </w:r>
      <w:r>
        <w:rPr>
          <w:rFonts w:ascii="Times New Roman" w:hAnsi="Times New Roman"/>
        </w:rPr>
        <w:t>.  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RDefault="007B6C63">
      <w:pPr>
        <w:ind w:left="720" w:firstLine="720"/>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RDefault="007B6C63">
      <w:pPr>
        <w:rPr>
          <w:rFonts w:ascii="Times New Roman" w:hAnsi="Times New Roman"/>
        </w:rPr>
      </w:pPr>
    </w:p>
    <w:p w:rsidR="00881712" w:rsidP="00371017" w:rsidRDefault="00881712">
      <w:pPr>
        <w:ind w:left="720"/>
        <w:rPr>
          <w:rFonts w:ascii="Times New Roman" w:hAnsi="Times New Roman"/>
        </w:rPr>
      </w:pPr>
      <w:r>
        <w:rPr>
          <w:rFonts w:ascii="Times New Roman" w:hAnsi="Times New Roman"/>
        </w:rPr>
        <w:t>Information is kept private to the extent allowed by law.</w:t>
      </w:r>
      <w:r w:rsidR="00371017">
        <w:rPr>
          <w:rFonts w:ascii="Times New Roman" w:hAnsi="Times New Roman"/>
        </w:rPr>
        <w:t xml:space="preserve"> </w:t>
      </w:r>
      <w:r w:rsidRPr="00371017" w:rsidR="00371017">
        <w:rPr>
          <w:rFonts w:ascii="Times New Roman" w:hAnsi="Times New Roman"/>
        </w:rPr>
        <w:t>To the</w:t>
      </w:r>
      <w:r w:rsidR="00371017">
        <w:rPr>
          <w:rFonts w:ascii="Times New Roman" w:hAnsi="Times New Roman"/>
        </w:rPr>
        <w:t xml:space="preserve"> </w:t>
      </w:r>
      <w:r w:rsidRPr="00371017" w:rsidR="00371017">
        <w:rPr>
          <w:rFonts w:ascii="Times New Roman" w:hAnsi="Times New Roman"/>
        </w:rPr>
        <w:t>extent the Agencies collect information</w:t>
      </w:r>
      <w:r w:rsidR="00371017">
        <w:rPr>
          <w:rFonts w:ascii="Times New Roman" w:hAnsi="Times New Roman"/>
        </w:rPr>
        <w:t xml:space="preserve"> </w:t>
      </w:r>
      <w:r w:rsidRPr="00371017" w:rsidR="00371017">
        <w:rPr>
          <w:rFonts w:ascii="Times New Roman" w:hAnsi="Times New Roman"/>
        </w:rPr>
        <w:t>during an examination of a banking</w:t>
      </w:r>
      <w:r w:rsidR="00371017">
        <w:rPr>
          <w:rFonts w:ascii="Times New Roman" w:hAnsi="Times New Roman"/>
        </w:rPr>
        <w:t xml:space="preserve"> </w:t>
      </w:r>
      <w:r w:rsidRPr="00371017" w:rsidR="00371017">
        <w:rPr>
          <w:rFonts w:ascii="Times New Roman" w:hAnsi="Times New Roman"/>
        </w:rPr>
        <w:t>organization,</w:t>
      </w:r>
      <w:r w:rsidR="00371017">
        <w:rPr>
          <w:rFonts w:ascii="Times New Roman" w:hAnsi="Times New Roman"/>
        </w:rPr>
        <w:t xml:space="preserve"> </w:t>
      </w:r>
      <w:r w:rsidRPr="00371017" w:rsidR="00371017">
        <w:rPr>
          <w:rFonts w:ascii="Times New Roman" w:hAnsi="Times New Roman"/>
        </w:rPr>
        <w:t>confidential treatment</w:t>
      </w:r>
      <w:r w:rsidR="00371017">
        <w:rPr>
          <w:rFonts w:ascii="Times New Roman" w:hAnsi="Times New Roman"/>
        </w:rPr>
        <w:t xml:space="preserve"> </w:t>
      </w:r>
      <w:r w:rsidRPr="00371017" w:rsidR="00371017">
        <w:rPr>
          <w:rFonts w:ascii="Times New Roman" w:hAnsi="Times New Roman"/>
        </w:rPr>
        <w:t>may be afforded to the records under</w:t>
      </w:r>
      <w:r w:rsidR="00371017">
        <w:rPr>
          <w:rFonts w:ascii="Times New Roman" w:hAnsi="Times New Roman"/>
        </w:rPr>
        <w:t xml:space="preserve"> </w:t>
      </w:r>
      <w:r w:rsidRPr="00371017" w:rsidR="00371017">
        <w:rPr>
          <w:rFonts w:ascii="Times New Roman" w:hAnsi="Times New Roman"/>
        </w:rPr>
        <w:t>exemption 8 of the Freedom</w:t>
      </w:r>
      <w:r w:rsidR="00371017">
        <w:rPr>
          <w:rFonts w:ascii="Times New Roman" w:hAnsi="Times New Roman"/>
        </w:rPr>
        <w:t xml:space="preserve"> </w:t>
      </w:r>
      <w:r w:rsidRPr="00371017" w:rsidR="00371017">
        <w:rPr>
          <w:rFonts w:ascii="Times New Roman" w:hAnsi="Times New Roman"/>
        </w:rPr>
        <w:t>of</w:t>
      </w:r>
      <w:r w:rsidR="00371017">
        <w:rPr>
          <w:rFonts w:ascii="Times New Roman" w:hAnsi="Times New Roman"/>
        </w:rPr>
        <w:t xml:space="preserve"> </w:t>
      </w:r>
      <w:r w:rsidRPr="00371017" w:rsidR="00371017">
        <w:rPr>
          <w:rFonts w:ascii="Times New Roman" w:hAnsi="Times New Roman"/>
        </w:rPr>
        <w:t>Information Act (FOIA), 5 U.S.C.</w:t>
      </w:r>
      <w:r w:rsidR="00371017">
        <w:rPr>
          <w:rFonts w:ascii="Times New Roman" w:hAnsi="Times New Roman"/>
        </w:rPr>
        <w:t xml:space="preserve"> </w:t>
      </w:r>
      <w:r w:rsidRPr="00371017" w:rsidR="00371017">
        <w:rPr>
          <w:rFonts w:ascii="Times New Roman" w:hAnsi="Times New Roman"/>
        </w:rPr>
        <w:t>552(b)(8).</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2A5F6B" w:rsidR="00881712">
        <w:rPr>
          <w:rFonts w:ascii="Times New Roman" w:hAnsi="Times New Roman"/>
          <w:b/>
          <w:bCs/>
          <w:iCs/>
          <w:u w:val="single"/>
        </w:rPr>
        <w:t>Justification</w:t>
      </w:r>
      <w:r w:rsidRPr="002A5F6B" w:rsidR="00881712">
        <w:rPr>
          <w:rFonts w:ascii="Times New Roman" w:hAnsi="Times New Roman"/>
          <w:b/>
          <w:bCs/>
          <w:spacing w:val="-1"/>
          <w:szCs w:val="24"/>
          <w:u w:val="single"/>
        </w:rPr>
        <w:t xml:space="preserve"> </w:t>
      </w:r>
      <w:r w:rsidRPr="002A5F6B" w:rsidR="00881712">
        <w:rPr>
          <w:rFonts w:ascii="Times New Roman" w:hAnsi="Times New Roman"/>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007B6C63" w:rsidP="009557A1" w:rsidRDefault="00881712">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rsidRDefault="00615BAD">
      <w:pPr>
        <w:rPr>
          <w:rFonts w:ascii="Times New Roman" w:hAnsi="Times New Roman"/>
        </w:rPr>
      </w:pP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285D59" w:rsidP="00285D59" w:rsidRDefault="00285D59">
      <w:pPr>
        <w:keepNext/>
        <w:tabs>
          <w:tab w:val="left" w:pos="-1440"/>
        </w:tabs>
        <w:ind w:firstLine="720"/>
        <w:rPr>
          <w:rFonts w:ascii="Times New Roman" w:hAnsi="Times New Roman"/>
          <w:b/>
          <w:bCs/>
          <w:iCs/>
          <w:szCs w:val="24"/>
          <w:u w:val="single"/>
        </w:rPr>
      </w:pPr>
    </w:p>
    <w:p w:rsidRPr="000171AA" w:rsidR="00881712" w:rsidP="00285D59" w:rsidRDefault="005B79C4">
      <w:pPr>
        <w:keepNext/>
        <w:ind w:left="720"/>
        <w:rPr>
          <w:rFonts w:ascii="Times New Roman" w:hAnsi="Times New Roman"/>
          <w:b/>
          <w:i/>
        </w:rPr>
      </w:pPr>
      <w:r>
        <w:rPr>
          <w:rFonts w:ascii="Times New Roman" w:hAnsi="Times New Roman"/>
          <w:bCs/>
          <w:i/>
          <w:iCs/>
          <w:szCs w:val="24"/>
        </w:rPr>
        <w:tab/>
      </w:r>
      <w:r w:rsidRPr="000171AA" w:rsidR="00881712">
        <w:rPr>
          <w:rFonts w:ascii="Times New Roman" w:hAnsi="Times New Roman"/>
          <w:b/>
        </w:rPr>
        <w:t>Estimated</w:t>
      </w:r>
      <w:r w:rsidRPr="000171AA" w:rsidR="00881712">
        <w:rPr>
          <w:rFonts w:ascii="Times New Roman" w:hAnsi="Times New Roman"/>
          <w:b/>
          <w:bCs/>
          <w:i/>
          <w:iCs/>
          <w:szCs w:val="24"/>
        </w:rPr>
        <w:t xml:space="preserve"> Annual Burden</w:t>
      </w:r>
      <w:r w:rsidRPr="000171AA">
        <w:rPr>
          <w:rFonts w:ascii="Times New Roman" w:hAnsi="Times New Roman"/>
          <w:b/>
          <w:bCs/>
          <w:i/>
          <w:iCs/>
          <w:szCs w:val="24"/>
        </w:rPr>
        <w:t>:</w:t>
      </w:r>
    </w:p>
    <w:p w:rsidR="005B79C4" w:rsidP="00285D59" w:rsidRDefault="005B79C4">
      <w:pPr>
        <w:keepNext/>
        <w:rPr>
          <w:rFonts w:ascii="Times New Roman" w:hAnsi="Times New Roman"/>
          <w:snapToGrid/>
        </w:rPr>
      </w:pPr>
    </w:p>
    <w:p w:rsidRPr="00A249E9" w:rsidR="00A249E9" w:rsidP="00A249E9" w:rsidRDefault="00A249E9">
      <w:pPr>
        <w:ind w:left="720"/>
        <w:rPr>
          <w:rFonts w:ascii="Times New Roman" w:hAnsi="Times New Roman"/>
          <w:snapToGrid/>
          <w:szCs w:val="24"/>
        </w:rPr>
      </w:pPr>
      <w:r w:rsidRPr="00A249E9">
        <w:rPr>
          <w:rFonts w:ascii="Times New Roman" w:hAnsi="Times New Roman"/>
          <w:snapToGrid/>
          <w:szCs w:val="24"/>
        </w:rPr>
        <w:t xml:space="preserve">The </w:t>
      </w:r>
      <w:r>
        <w:rPr>
          <w:rFonts w:ascii="Times New Roman" w:hAnsi="Times New Roman"/>
          <w:snapToGrid/>
          <w:szCs w:val="24"/>
        </w:rPr>
        <w:t>FDIC</w:t>
      </w:r>
      <w:r w:rsidRPr="00A249E9">
        <w:rPr>
          <w:rFonts w:ascii="Times New Roman" w:hAnsi="Times New Roman"/>
          <w:snapToGrid/>
          <w:szCs w:val="24"/>
        </w:rPr>
        <w:t xml:space="preserve"> revised </w:t>
      </w:r>
      <w:r>
        <w:rPr>
          <w:rFonts w:ascii="Times New Roman" w:hAnsi="Times New Roman"/>
          <w:snapToGrid/>
          <w:szCs w:val="24"/>
        </w:rPr>
        <w:t>its</w:t>
      </w:r>
      <w:r w:rsidRPr="00A249E9">
        <w:rPr>
          <w:rFonts w:ascii="Times New Roman" w:hAnsi="Times New Roman"/>
          <w:snapToGrid/>
          <w:szCs w:val="24"/>
        </w:rPr>
        <w:t xml:space="preserve"> estimates of the number of respondents to this </w:t>
      </w:r>
      <w:r>
        <w:rPr>
          <w:rFonts w:ascii="Times New Roman" w:hAnsi="Times New Roman"/>
          <w:snapToGrid/>
          <w:szCs w:val="24"/>
        </w:rPr>
        <w:t xml:space="preserve">information collection as well as the </w:t>
      </w:r>
      <w:r w:rsidR="00F90EAE">
        <w:rPr>
          <w:rFonts w:ascii="Times New Roman" w:hAnsi="Times New Roman"/>
          <w:snapToGrid/>
          <w:szCs w:val="24"/>
        </w:rPr>
        <w:t>hourly burden per response, recognizing a difference between the amount of time required to implement policies and procedures and the amount of time required to maintain records on an ongoing basis once those policies and procedures have been established.</w:t>
      </w:r>
    </w:p>
    <w:p w:rsidRPr="00A249E9" w:rsidR="00A249E9" w:rsidP="00A249E9" w:rsidRDefault="00A249E9">
      <w:pPr>
        <w:ind w:left="720"/>
        <w:rPr>
          <w:rFonts w:ascii="Times New Roman" w:hAnsi="Times New Roman"/>
          <w:snapToGrid/>
          <w:szCs w:val="24"/>
        </w:rPr>
      </w:pPr>
    </w:p>
    <w:p w:rsidRPr="00A249E9" w:rsidR="00A249E9" w:rsidP="00A249E9" w:rsidRDefault="00A249E9">
      <w:pPr>
        <w:ind w:left="720" w:firstLine="720"/>
        <w:rPr>
          <w:rFonts w:ascii="Times New Roman" w:hAnsi="Times New Roman"/>
          <w:i/>
          <w:snapToGrid/>
          <w:szCs w:val="24"/>
        </w:rPr>
      </w:pPr>
      <w:r w:rsidRPr="00A249E9">
        <w:rPr>
          <w:rFonts w:ascii="Times New Roman" w:hAnsi="Times New Roman"/>
          <w:i/>
          <w:snapToGrid/>
          <w:szCs w:val="24"/>
        </w:rPr>
        <w:t>Total Estimated Number of Respondents</w:t>
      </w:r>
    </w:p>
    <w:p w:rsidRPr="00A249E9" w:rsidR="00A249E9" w:rsidP="00A249E9" w:rsidRDefault="00A249E9">
      <w:pPr>
        <w:ind w:left="720"/>
        <w:rPr>
          <w:rFonts w:ascii="Times New Roman" w:hAnsi="Times New Roman"/>
          <w:snapToGrid/>
          <w:szCs w:val="24"/>
        </w:rPr>
      </w:pPr>
    </w:p>
    <w:p w:rsidR="000B0581" w:rsidP="00BF3B99" w:rsidRDefault="00F90EAE">
      <w:pPr>
        <w:ind w:left="720"/>
        <w:rPr>
          <w:rFonts w:ascii="Times New Roman" w:hAnsi="Times New Roman"/>
          <w:snapToGrid/>
          <w:szCs w:val="24"/>
        </w:rPr>
      </w:pPr>
      <w:r>
        <w:rPr>
          <w:rFonts w:ascii="Times New Roman" w:hAnsi="Times New Roman"/>
          <w:snapToGrid/>
          <w:szCs w:val="24"/>
        </w:rPr>
        <w:t xml:space="preserve">FDIC </w:t>
      </w:r>
      <w:r w:rsidRPr="00A249E9" w:rsidR="00A249E9">
        <w:rPr>
          <w:rFonts w:ascii="Times New Roman" w:hAnsi="Times New Roman"/>
          <w:snapToGrid/>
          <w:szCs w:val="24"/>
        </w:rPr>
        <w:t xml:space="preserve">revised </w:t>
      </w:r>
      <w:r>
        <w:rPr>
          <w:rFonts w:ascii="Times New Roman" w:hAnsi="Times New Roman"/>
          <w:snapToGrid/>
          <w:szCs w:val="24"/>
        </w:rPr>
        <w:t>its</w:t>
      </w:r>
      <w:r w:rsidRPr="00A249E9" w:rsidR="00A249E9">
        <w:rPr>
          <w:rFonts w:ascii="Times New Roman" w:hAnsi="Times New Roman"/>
          <w:snapToGrid/>
          <w:szCs w:val="24"/>
        </w:rPr>
        <w:t xml:space="preserve"> estimate of the number of respondents to this </w:t>
      </w:r>
      <w:r>
        <w:rPr>
          <w:rFonts w:ascii="Times New Roman" w:hAnsi="Times New Roman"/>
          <w:snapToGrid/>
          <w:szCs w:val="24"/>
        </w:rPr>
        <w:t>information collection</w:t>
      </w:r>
      <w:r w:rsidRPr="00A249E9" w:rsidR="00A249E9">
        <w:rPr>
          <w:rFonts w:ascii="Times New Roman" w:hAnsi="Times New Roman"/>
          <w:snapToGrid/>
          <w:szCs w:val="24"/>
        </w:rPr>
        <w:t xml:space="preserve">. Potential respondents to this </w:t>
      </w:r>
      <w:r>
        <w:rPr>
          <w:rFonts w:ascii="Times New Roman" w:hAnsi="Times New Roman"/>
          <w:snapToGrid/>
          <w:szCs w:val="24"/>
        </w:rPr>
        <w:t>information collection</w:t>
      </w:r>
      <w:r w:rsidRPr="00A249E9" w:rsidR="00A249E9">
        <w:rPr>
          <w:rFonts w:ascii="Times New Roman" w:hAnsi="Times New Roman"/>
          <w:snapToGrid/>
          <w:szCs w:val="24"/>
        </w:rPr>
        <w:t xml:space="preserve"> include all FDIC-supervised institutions that adopt or revise incentive based compensation schemes. </w:t>
      </w:r>
      <w:r>
        <w:rPr>
          <w:rFonts w:ascii="Times New Roman" w:hAnsi="Times New Roman"/>
          <w:snapToGrid/>
          <w:szCs w:val="24"/>
        </w:rPr>
        <w:t>Given that the Guidance was issued in 2010 and based on supervisory experience, FDIC assumes that all FDIC-supervised institutions that have incentive compensation arrangements have now adopted incentive compensation policies and procedures.  FDIC estimates that the time required to implement these policies and procedures is 40 hours and is reporting one (1) respondent for implementation burden as a</w:t>
      </w:r>
      <w:r w:rsidRPr="00A249E9" w:rsidR="00A249E9">
        <w:rPr>
          <w:rFonts w:ascii="Times New Roman" w:hAnsi="Times New Roman"/>
          <w:snapToGrid/>
          <w:szCs w:val="24"/>
        </w:rPr>
        <w:t xml:space="preserve"> placeholder </w:t>
      </w:r>
      <w:r>
        <w:rPr>
          <w:rFonts w:ascii="Times New Roman" w:hAnsi="Times New Roman"/>
          <w:snapToGrid/>
          <w:szCs w:val="24"/>
        </w:rPr>
        <w:t>for an institution implementing such policies in the future</w:t>
      </w:r>
      <w:r w:rsidRPr="00A249E9" w:rsidR="00A249E9">
        <w:rPr>
          <w:rFonts w:ascii="Times New Roman" w:hAnsi="Times New Roman"/>
          <w:snapToGrid/>
          <w:szCs w:val="24"/>
        </w:rPr>
        <w:t>.</w:t>
      </w:r>
      <w:r w:rsidRPr="00A249E9" w:rsidR="00A249E9">
        <w:rPr>
          <w:rFonts w:ascii="Times New Roman" w:hAnsi="Times New Roman"/>
          <w:snapToGrid/>
          <w:szCs w:val="24"/>
          <w:vertAlign w:val="superscript"/>
        </w:rPr>
        <w:footnoteReference w:id="2"/>
      </w:r>
      <w:r w:rsidRPr="00A249E9" w:rsidR="00A249E9">
        <w:rPr>
          <w:rFonts w:ascii="Times New Roman" w:hAnsi="Times New Roman"/>
          <w:snapToGrid/>
          <w:szCs w:val="24"/>
        </w:rPr>
        <w:t xml:space="preserve"> Based on </w:t>
      </w:r>
      <w:r w:rsidR="00E50911">
        <w:rPr>
          <w:rFonts w:ascii="Times New Roman" w:hAnsi="Times New Roman"/>
          <w:snapToGrid/>
          <w:szCs w:val="24"/>
        </w:rPr>
        <w:t>supervisory experience with</w:t>
      </w:r>
      <w:r w:rsidRPr="00A249E9" w:rsidR="00A249E9">
        <w:rPr>
          <w:rFonts w:ascii="Times New Roman" w:hAnsi="Times New Roman"/>
          <w:snapToGrid/>
          <w:szCs w:val="24"/>
        </w:rPr>
        <w:t xml:space="preserve"> large institutions, </w:t>
      </w:r>
      <w:r w:rsidR="00E50911">
        <w:rPr>
          <w:rFonts w:ascii="Times New Roman" w:hAnsi="Times New Roman"/>
          <w:snapToGrid/>
          <w:szCs w:val="24"/>
        </w:rPr>
        <w:t>FDIC</w:t>
      </w:r>
      <w:r w:rsidRPr="00A249E9" w:rsidR="00A249E9">
        <w:rPr>
          <w:rFonts w:ascii="Times New Roman" w:hAnsi="Times New Roman"/>
          <w:snapToGrid/>
          <w:szCs w:val="24"/>
        </w:rPr>
        <w:t xml:space="preserve"> </w:t>
      </w:r>
      <w:r w:rsidR="00E50911">
        <w:rPr>
          <w:rFonts w:ascii="Times New Roman" w:hAnsi="Times New Roman"/>
          <w:snapToGrid/>
          <w:szCs w:val="24"/>
        </w:rPr>
        <w:t>has found</w:t>
      </w:r>
      <w:r w:rsidRPr="00A249E9" w:rsidR="00A249E9">
        <w:rPr>
          <w:rFonts w:ascii="Times New Roman" w:hAnsi="Times New Roman"/>
          <w:snapToGrid/>
          <w:szCs w:val="24"/>
        </w:rPr>
        <w:t xml:space="preserve"> that approximately 64.7 percent of </w:t>
      </w:r>
      <w:r w:rsidR="00E50911">
        <w:rPr>
          <w:rFonts w:ascii="Times New Roman" w:hAnsi="Times New Roman"/>
          <w:snapToGrid/>
          <w:szCs w:val="24"/>
        </w:rPr>
        <w:t xml:space="preserve">such </w:t>
      </w:r>
      <w:r w:rsidRPr="00A249E9" w:rsidR="00A249E9">
        <w:rPr>
          <w:rFonts w:ascii="Times New Roman" w:hAnsi="Times New Roman"/>
          <w:snapToGrid/>
          <w:szCs w:val="24"/>
        </w:rPr>
        <w:t>institutions revise their incentive compensation policies and procedures annually.</w:t>
      </w:r>
      <w:r w:rsidRPr="00A249E9" w:rsidR="00A249E9">
        <w:rPr>
          <w:rFonts w:ascii="Times New Roman" w:hAnsi="Times New Roman"/>
          <w:snapToGrid/>
          <w:szCs w:val="24"/>
          <w:vertAlign w:val="superscript"/>
        </w:rPr>
        <w:footnoteReference w:id="3"/>
      </w:r>
      <w:r w:rsidRPr="00A249E9" w:rsidR="00A249E9">
        <w:rPr>
          <w:rFonts w:ascii="Times New Roman" w:hAnsi="Times New Roman"/>
          <w:snapToGrid/>
          <w:szCs w:val="24"/>
        </w:rPr>
        <w:t xml:space="preserve"> Applying this percentage to the number of FDIC-supervised institutions at year-end 2019</w:t>
      </w:r>
      <w:r w:rsidR="00E50911">
        <w:rPr>
          <w:rFonts w:ascii="Times New Roman" w:hAnsi="Times New Roman"/>
          <w:snapToGrid/>
          <w:szCs w:val="24"/>
        </w:rPr>
        <w:t xml:space="preserve"> (3,344 institutions)</w:t>
      </w:r>
      <w:r w:rsidRPr="00A249E9" w:rsidR="00A249E9">
        <w:rPr>
          <w:rFonts w:ascii="Times New Roman" w:hAnsi="Times New Roman"/>
          <w:snapToGrid/>
          <w:szCs w:val="24"/>
        </w:rPr>
        <w:t xml:space="preserve"> yields </w:t>
      </w:r>
      <w:r w:rsidR="00E50911">
        <w:rPr>
          <w:rFonts w:ascii="Times New Roman" w:hAnsi="Times New Roman"/>
          <w:snapToGrid/>
          <w:szCs w:val="24"/>
        </w:rPr>
        <w:t xml:space="preserve">2,164 as the </w:t>
      </w:r>
      <w:r w:rsidRPr="00A249E9" w:rsidR="00A249E9">
        <w:rPr>
          <w:rFonts w:ascii="Times New Roman" w:hAnsi="Times New Roman"/>
          <w:snapToGrid/>
          <w:szCs w:val="24"/>
        </w:rPr>
        <w:t xml:space="preserve">estimated </w:t>
      </w:r>
      <w:r w:rsidR="00E50911">
        <w:rPr>
          <w:rFonts w:ascii="Times New Roman" w:hAnsi="Times New Roman"/>
          <w:snapToGrid/>
          <w:szCs w:val="24"/>
        </w:rPr>
        <w:t>number of institutions that revise incentive compensation policies and procedures annually.</w:t>
      </w:r>
      <w:r w:rsidRPr="00A249E9" w:rsidR="00A249E9">
        <w:rPr>
          <w:rFonts w:ascii="Times New Roman" w:hAnsi="Times New Roman"/>
          <w:snapToGrid/>
          <w:szCs w:val="24"/>
          <w:vertAlign w:val="superscript"/>
        </w:rPr>
        <w:footnoteReference w:id="4"/>
      </w:r>
    </w:p>
    <w:p w:rsidR="00BF3B99" w:rsidP="00BF3B99" w:rsidRDefault="00BF3B99">
      <w:pPr>
        <w:ind w:left="720"/>
        <w:rPr>
          <w:rFonts w:ascii="Times New Roman" w:hAnsi="Times New Roman"/>
          <w:snapToGrid/>
          <w:szCs w:val="24"/>
        </w:rPr>
      </w:pPr>
    </w:p>
    <w:p w:rsidRPr="00BF3B99" w:rsidR="00BF3B99" w:rsidP="00BF3B99" w:rsidRDefault="00BF3B99">
      <w:pPr>
        <w:ind w:left="720" w:firstLine="720"/>
        <w:rPr>
          <w:rFonts w:ascii="Times New Roman" w:hAnsi="Times New Roman"/>
          <w:i/>
          <w:snapToGrid/>
          <w:szCs w:val="24"/>
        </w:rPr>
      </w:pPr>
      <w:r w:rsidRPr="00BF3B99">
        <w:rPr>
          <w:rFonts w:ascii="Times New Roman" w:hAnsi="Times New Roman"/>
          <w:i/>
          <w:snapToGrid/>
          <w:szCs w:val="24"/>
        </w:rPr>
        <w:t>Estimated Hourly Burden</w:t>
      </w:r>
    </w:p>
    <w:p w:rsidRPr="00BF3B99" w:rsidR="00BF3B99" w:rsidP="00BF3B99" w:rsidRDefault="00BF3B99">
      <w:pPr>
        <w:ind w:left="720"/>
        <w:rPr>
          <w:rFonts w:ascii="Times New Roman" w:hAnsi="Times New Roman"/>
          <w:snapToGrid/>
          <w:szCs w:val="24"/>
        </w:rPr>
      </w:pPr>
    </w:p>
    <w:p w:rsidR="00BF3B99" w:rsidP="000171AA" w:rsidRDefault="000171AA">
      <w:pPr>
        <w:ind w:left="720"/>
        <w:rPr>
          <w:rFonts w:ascii="Times New Roman" w:hAnsi="Times New Roman"/>
          <w:snapToGrid/>
          <w:szCs w:val="24"/>
        </w:rPr>
      </w:pPr>
      <w:r>
        <w:rPr>
          <w:rFonts w:ascii="Times New Roman" w:hAnsi="Times New Roman"/>
          <w:snapToGrid/>
          <w:szCs w:val="24"/>
        </w:rPr>
        <w:t>FDIC has</w:t>
      </w:r>
      <w:r w:rsidRPr="00BF3B99" w:rsidR="00BF3B99">
        <w:rPr>
          <w:rFonts w:ascii="Times New Roman" w:hAnsi="Times New Roman"/>
          <w:snapToGrid/>
          <w:szCs w:val="24"/>
        </w:rPr>
        <w:t xml:space="preserve"> revised </w:t>
      </w:r>
      <w:r>
        <w:rPr>
          <w:rFonts w:ascii="Times New Roman" w:hAnsi="Times New Roman"/>
          <w:snapToGrid/>
          <w:szCs w:val="24"/>
        </w:rPr>
        <w:t>its</w:t>
      </w:r>
      <w:r w:rsidRPr="00BF3B99" w:rsidR="00BF3B99">
        <w:rPr>
          <w:rFonts w:ascii="Times New Roman" w:hAnsi="Times New Roman"/>
          <w:snapToGrid/>
          <w:szCs w:val="24"/>
        </w:rPr>
        <w:t xml:space="preserve"> estimate of the number of hours necessary to comply with this </w:t>
      </w:r>
      <w:r>
        <w:rPr>
          <w:rFonts w:ascii="Times New Roman" w:hAnsi="Times New Roman"/>
          <w:snapToGrid/>
          <w:szCs w:val="24"/>
        </w:rPr>
        <w:t>information collection</w:t>
      </w:r>
      <w:r w:rsidRPr="00BF3B99" w:rsidR="00BF3B99">
        <w:rPr>
          <w:rFonts w:ascii="Times New Roman" w:hAnsi="Times New Roman"/>
          <w:snapToGrid/>
          <w:szCs w:val="24"/>
        </w:rPr>
        <w:t xml:space="preserve">, </w:t>
      </w:r>
      <w:r>
        <w:rPr>
          <w:rFonts w:ascii="Times New Roman" w:hAnsi="Times New Roman"/>
          <w:snapToGrid/>
          <w:szCs w:val="24"/>
        </w:rPr>
        <w:t>breaking down</w:t>
      </w:r>
      <w:r w:rsidRPr="00BF3B99" w:rsidR="00BF3B99">
        <w:rPr>
          <w:rFonts w:ascii="Times New Roman" w:hAnsi="Times New Roman"/>
          <w:snapToGrid/>
          <w:szCs w:val="24"/>
        </w:rPr>
        <w:t xml:space="preserve"> burden of into two components. </w:t>
      </w:r>
      <w:r>
        <w:rPr>
          <w:rFonts w:ascii="Times New Roman" w:hAnsi="Times New Roman"/>
          <w:snapToGrid/>
          <w:szCs w:val="24"/>
        </w:rPr>
        <w:t>FDIC estimates</w:t>
      </w:r>
      <w:r w:rsidRPr="00BF3B99" w:rsidR="00BF3B99">
        <w:rPr>
          <w:rFonts w:ascii="Times New Roman" w:hAnsi="Times New Roman"/>
          <w:snapToGrid/>
          <w:szCs w:val="24"/>
        </w:rPr>
        <w:t xml:space="preserve"> </w:t>
      </w:r>
      <w:r>
        <w:rPr>
          <w:rFonts w:ascii="Times New Roman" w:hAnsi="Times New Roman"/>
          <w:snapToGrid/>
          <w:szCs w:val="24"/>
        </w:rPr>
        <w:t>the recordkeeping burden associated with implementing and documenting incentive-based compensation policies and procedures to be</w:t>
      </w:r>
      <w:r w:rsidRPr="00BF3B99" w:rsidR="00BF3B99">
        <w:rPr>
          <w:rFonts w:ascii="Times New Roman" w:hAnsi="Times New Roman"/>
          <w:snapToGrid/>
          <w:szCs w:val="24"/>
        </w:rPr>
        <w:t xml:space="preserve"> 40 hours per respondent, per year</w:t>
      </w:r>
      <w:r>
        <w:rPr>
          <w:rFonts w:ascii="Times New Roman" w:hAnsi="Times New Roman"/>
          <w:snapToGrid/>
          <w:szCs w:val="24"/>
        </w:rPr>
        <w:t>.</w:t>
      </w:r>
      <w:r w:rsidRPr="00BF3B99" w:rsidR="00BF3B99">
        <w:rPr>
          <w:rFonts w:ascii="Times New Roman" w:hAnsi="Times New Roman"/>
          <w:snapToGrid/>
          <w:szCs w:val="24"/>
        </w:rPr>
        <w:t xml:space="preserve"> </w:t>
      </w:r>
      <w:r>
        <w:rPr>
          <w:rFonts w:ascii="Times New Roman" w:hAnsi="Times New Roman"/>
          <w:snapToGrid/>
          <w:szCs w:val="24"/>
        </w:rPr>
        <w:t xml:space="preserve">FDIC estimates the recordkeeping </w:t>
      </w:r>
      <w:r w:rsidRPr="00BF3B99" w:rsidR="00BF3B99">
        <w:rPr>
          <w:rFonts w:ascii="Times New Roman" w:hAnsi="Times New Roman"/>
          <w:snapToGrid/>
          <w:szCs w:val="24"/>
        </w:rPr>
        <w:t xml:space="preserve">burden </w:t>
      </w:r>
      <w:r>
        <w:rPr>
          <w:rFonts w:ascii="Times New Roman" w:hAnsi="Times New Roman"/>
          <w:snapToGrid/>
          <w:szCs w:val="24"/>
        </w:rPr>
        <w:t>associated with revising and documenting incentive-based compensation policies and procedures previously adopted and documented to be</w:t>
      </w:r>
      <w:r w:rsidRPr="00BF3B99">
        <w:rPr>
          <w:rFonts w:ascii="Times New Roman" w:hAnsi="Times New Roman"/>
          <w:snapToGrid/>
          <w:szCs w:val="24"/>
        </w:rPr>
        <w:t xml:space="preserve"> </w:t>
      </w:r>
      <w:r>
        <w:rPr>
          <w:rFonts w:ascii="Times New Roman" w:hAnsi="Times New Roman"/>
          <w:snapToGrid/>
          <w:szCs w:val="24"/>
        </w:rPr>
        <w:t>2</w:t>
      </w:r>
      <w:r w:rsidRPr="00BF3B99">
        <w:rPr>
          <w:rFonts w:ascii="Times New Roman" w:hAnsi="Times New Roman"/>
          <w:snapToGrid/>
          <w:szCs w:val="24"/>
        </w:rPr>
        <w:t xml:space="preserve"> hours per respondent, per year</w:t>
      </w:r>
      <w:r>
        <w:rPr>
          <w:rFonts w:ascii="Times New Roman" w:hAnsi="Times New Roman"/>
          <w:snapToGrid/>
          <w:szCs w:val="24"/>
        </w:rPr>
        <w:t xml:space="preserve">. </w:t>
      </w:r>
      <w:r w:rsidRPr="00BF3B99" w:rsidR="00BF3B99">
        <w:rPr>
          <w:rFonts w:ascii="Times New Roman" w:hAnsi="Times New Roman"/>
          <w:snapToGrid/>
          <w:szCs w:val="24"/>
        </w:rPr>
        <w:t xml:space="preserve"> Previously, </w:t>
      </w:r>
      <w:r>
        <w:rPr>
          <w:rFonts w:ascii="Times New Roman" w:hAnsi="Times New Roman"/>
          <w:snapToGrid/>
          <w:szCs w:val="24"/>
        </w:rPr>
        <w:t>FDIC</w:t>
      </w:r>
      <w:r w:rsidRPr="00BF3B99" w:rsidR="00BF3B99">
        <w:rPr>
          <w:rFonts w:ascii="Times New Roman" w:hAnsi="Times New Roman"/>
          <w:snapToGrid/>
          <w:szCs w:val="24"/>
        </w:rPr>
        <w:t xml:space="preserve"> estimated </w:t>
      </w:r>
      <w:r>
        <w:rPr>
          <w:rFonts w:ascii="Times New Roman" w:hAnsi="Times New Roman"/>
          <w:snapToGrid/>
          <w:szCs w:val="24"/>
        </w:rPr>
        <w:t xml:space="preserve">the </w:t>
      </w:r>
      <w:r w:rsidR="00A152B6">
        <w:rPr>
          <w:rFonts w:ascii="Times New Roman" w:hAnsi="Times New Roman"/>
          <w:snapToGrid/>
          <w:szCs w:val="24"/>
        </w:rPr>
        <w:t xml:space="preserve">annual </w:t>
      </w:r>
      <w:r>
        <w:rPr>
          <w:rFonts w:ascii="Times New Roman" w:hAnsi="Times New Roman"/>
          <w:snapToGrid/>
          <w:szCs w:val="24"/>
        </w:rPr>
        <w:t xml:space="preserve">burden for this information collection to </w:t>
      </w:r>
      <w:r w:rsidR="00A152B6">
        <w:rPr>
          <w:rFonts w:ascii="Times New Roman" w:hAnsi="Times New Roman"/>
          <w:snapToGrid/>
          <w:szCs w:val="24"/>
        </w:rPr>
        <w:t xml:space="preserve">be </w:t>
      </w:r>
      <w:r w:rsidRPr="00BF3B99" w:rsidR="00A152B6">
        <w:rPr>
          <w:rFonts w:ascii="Times New Roman" w:hAnsi="Times New Roman"/>
          <w:snapToGrid/>
          <w:szCs w:val="24"/>
        </w:rPr>
        <w:t>40</w:t>
      </w:r>
      <w:r w:rsidRPr="00BF3B99" w:rsidR="00BF3B99">
        <w:rPr>
          <w:rFonts w:ascii="Times New Roman" w:hAnsi="Times New Roman"/>
          <w:snapToGrid/>
          <w:szCs w:val="24"/>
        </w:rPr>
        <w:t xml:space="preserve"> hour</w:t>
      </w:r>
      <w:r w:rsidR="00161EC5">
        <w:rPr>
          <w:rFonts w:ascii="Times New Roman" w:hAnsi="Times New Roman"/>
          <w:snapToGrid/>
          <w:szCs w:val="24"/>
        </w:rPr>
        <w:t>s</w:t>
      </w:r>
      <w:r w:rsidRPr="00BF3B99" w:rsidR="00BF3B99">
        <w:rPr>
          <w:rFonts w:ascii="Times New Roman" w:hAnsi="Times New Roman"/>
          <w:snapToGrid/>
          <w:szCs w:val="24"/>
        </w:rPr>
        <w:t xml:space="preserve"> </w:t>
      </w:r>
      <w:r w:rsidR="00A152B6">
        <w:rPr>
          <w:rFonts w:ascii="Times New Roman" w:hAnsi="Times New Roman"/>
          <w:snapToGrid/>
          <w:szCs w:val="24"/>
        </w:rPr>
        <w:t>for all</w:t>
      </w:r>
      <w:r w:rsidRPr="00BF3B99" w:rsidR="00BF3B99">
        <w:rPr>
          <w:rFonts w:ascii="Times New Roman" w:hAnsi="Times New Roman"/>
          <w:snapToGrid/>
          <w:szCs w:val="24"/>
        </w:rPr>
        <w:t xml:space="preserve"> respondent</w:t>
      </w:r>
      <w:r w:rsidR="00A152B6">
        <w:rPr>
          <w:rFonts w:ascii="Times New Roman" w:hAnsi="Times New Roman"/>
          <w:snapToGrid/>
          <w:szCs w:val="24"/>
        </w:rPr>
        <w:t>s</w:t>
      </w:r>
      <w:r>
        <w:rPr>
          <w:rFonts w:ascii="Times New Roman" w:hAnsi="Times New Roman"/>
          <w:snapToGrid/>
          <w:szCs w:val="24"/>
        </w:rPr>
        <w:t>, without recognizing the difference</w:t>
      </w:r>
      <w:r w:rsidRPr="00BF3B99" w:rsidR="00BF3B99">
        <w:rPr>
          <w:rFonts w:ascii="Times New Roman" w:hAnsi="Times New Roman"/>
          <w:snapToGrid/>
          <w:szCs w:val="24"/>
        </w:rPr>
        <w:t xml:space="preserve"> </w:t>
      </w:r>
      <w:r>
        <w:rPr>
          <w:rFonts w:ascii="Times New Roman" w:hAnsi="Times New Roman"/>
          <w:snapToGrid/>
          <w:szCs w:val="24"/>
        </w:rPr>
        <w:t xml:space="preserve">between one-time implementation burden and </w:t>
      </w:r>
      <w:r w:rsidRPr="00BF3B99" w:rsidR="00BF3B99">
        <w:rPr>
          <w:rFonts w:ascii="Times New Roman" w:hAnsi="Times New Roman"/>
          <w:snapToGrid/>
          <w:szCs w:val="24"/>
        </w:rPr>
        <w:t>ongoing recordkeeping burden.</w:t>
      </w:r>
    </w:p>
    <w:p w:rsidRPr="00285D59" w:rsidR="00A249E9" w:rsidP="00285D59" w:rsidRDefault="00A249E9">
      <w:pPr>
        <w:ind w:left="720"/>
        <w:rPr>
          <w:rFonts w:ascii="Times New Roman" w:hAnsi="Times New Roman"/>
          <w:snapToGrid/>
          <w:szCs w:val="24"/>
        </w:rPr>
      </w:pPr>
    </w:p>
    <w:p w:rsidR="00FC41DF" w:rsidP="000B0581" w:rsidRDefault="00FC41DF">
      <w:pPr>
        <w:ind w:left="720"/>
        <w:rPr>
          <w:rFonts w:ascii="Times New Roman" w:hAnsi="Times New Roman"/>
        </w:rPr>
      </w:pPr>
    </w:p>
    <w:tbl>
      <w:tblPr>
        <w:tblW w:w="9850" w:type="dxa"/>
        <w:tblInd w:w="-250"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38"/>
        <w:gridCol w:w="1225"/>
        <w:gridCol w:w="1016"/>
      </w:tblGrid>
      <w:tr w:rsidRPr="004F7E3A" w:rsidR="00844536" w:rsidTr="00BD64F8">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844536" w:rsidP="009B62D9" w:rsidRDefault="00844536">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w:t>
            </w:r>
            <w:r w:rsidR="009557A1">
              <w:rPr>
                <w:rFonts w:ascii="Times New Roman" w:hAnsi="Times New Roman"/>
                <w:snapToGrid/>
                <w:color w:val="000000"/>
                <w:sz w:val="18"/>
                <w:szCs w:val="16"/>
              </w:rPr>
              <w:t>Hours</w:t>
            </w:r>
            <w:r w:rsidRPr="004F7E3A">
              <w:rPr>
                <w:rFonts w:ascii="Times New Roman" w:hAnsi="Times New Roman"/>
                <w:snapToGrid/>
                <w:color w:val="000000"/>
                <w:sz w:val="18"/>
                <w:szCs w:val="16"/>
              </w:rPr>
              <w:t>)</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844536" w:rsidTr="00BD64F8">
        <w:trPr>
          <w:trHeight w:val="576"/>
        </w:trPr>
        <w:tc>
          <w:tcPr>
            <w:tcW w:w="2983" w:type="dxa"/>
            <w:tcBorders>
              <w:left w:val="single" w:color="auto" w:sz="8" w:space="0"/>
              <w:bottom w:val="nil"/>
              <w:right w:val="single" w:color="auto" w:sz="6" w:space="0"/>
            </w:tcBorders>
            <w:shd w:val="clear" w:color="auto" w:fill="auto"/>
            <w:vAlign w:val="center"/>
          </w:tcPr>
          <w:p w:rsidRPr="004F7E3A" w:rsidR="00844536" w:rsidP="009B62D9" w:rsidRDefault="000171AA">
            <w:pPr>
              <w:widowControl/>
              <w:rPr>
                <w:rFonts w:ascii="Times New Roman" w:hAnsi="Times New Roman"/>
                <w:bCs/>
                <w:i/>
                <w:snapToGrid/>
                <w:color w:val="000000"/>
                <w:sz w:val="20"/>
              </w:rPr>
            </w:pPr>
            <w:r>
              <w:rPr>
                <w:rFonts w:ascii="Times New Roman" w:hAnsi="Times New Roman"/>
                <w:iCs/>
                <w:snapToGrid/>
                <w:color w:val="000000"/>
                <w:sz w:val="20"/>
              </w:rPr>
              <w:t>Implementation of Incentive Compensation Policies and Procedures</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9557A1">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pPr>
              <w:widowControl/>
              <w:jc w:val="center"/>
              <w:rPr>
                <w:rFonts w:ascii="Times New Roman" w:hAnsi="Times New Roman"/>
                <w:snapToGrid/>
                <w:color w:val="000000"/>
                <w:sz w:val="18"/>
                <w:szCs w:val="16"/>
              </w:rPr>
            </w:pPr>
            <w:r>
              <w:rPr>
                <w:rFonts w:ascii="Times New Roman" w:hAnsi="Times New Roman"/>
                <w:snapToGrid/>
                <w:color w:val="000000"/>
                <w:sz w:val="18"/>
                <w:szCs w:val="16"/>
              </w:rPr>
              <w:t>One Time</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9B62D9" w:rsidRDefault="000171AA">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r>
      <w:tr w:rsidRPr="004F7E3A" w:rsidR="000171AA" w:rsidTr="00BD64F8">
        <w:trPr>
          <w:trHeight w:val="576"/>
        </w:trPr>
        <w:tc>
          <w:tcPr>
            <w:tcW w:w="2983" w:type="dxa"/>
            <w:tcBorders>
              <w:left w:val="single" w:color="auto" w:sz="8" w:space="0"/>
              <w:bottom w:val="nil"/>
              <w:right w:val="single" w:color="auto" w:sz="6" w:space="0"/>
            </w:tcBorders>
            <w:shd w:val="clear" w:color="auto" w:fill="auto"/>
            <w:vAlign w:val="center"/>
          </w:tcPr>
          <w:p w:rsidR="000171AA" w:rsidP="009B62D9" w:rsidRDefault="000171AA">
            <w:pPr>
              <w:widowControl/>
              <w:rPr>
                <w:rFonts w:ascii="Times New Roman" w:hAnsi="Times New Roman"/>
                <w:iCs/>
                <w:snapToGrid/>
                <w:color w:val="000000"/>
                <w:sz w:val="20"/>
              </w:rPr>
            </w:pPr>
            <w:r>
              <w:rPr>
                <w:rFonts w:ascii="Times New Roman" w:hAnsi="Times New Roman"/>
                <w:iCs/>
                <w:snapToGrid/>
                <w:color w:val="000000"/>
                <w:sz w:val="20"/>
              </w:rPr>
              <w:t>Maint</w:t>
            </w:r>
            <w:r w:rsidR="00A152B6">
              <w:rPr>
                <w:rFonts w:ascii="Times New Roman" w:hAnsi="Times New Roman"/>
                <w:iCs/>
                <w:snapToGrid/>
                <w:color w:val="000000"/>
                <w:sz w:val="20"/>
              </w:rPr>
              <w:t>enance of Existing Incentive Compensation Policies and Procedures</w:t>
            </w:r>
          </w:p>
        </w:tc>
        <w:tc>
          <w:tcPr>
            <w:tcW w:w="1348" w:type="dxa"/>
            <w:tcBorders>
              <w:left w:val="single" w:color="auto" w:sz="6" w:space="0"/>
              <w:bottom w:val="single" w:color="auto" w:sz="8" w:space="0"/>
              <w:right w:val="single" w:color="auto" w:sz="6" w:space="0"/>
            </w:tcBorders>
            <w:shd w:val="clear" w:color="auto" w:fill="auto"/>
            <w:vAlign w:val="center"/>
          </w:tcPr>
          <w:p w:rsidR="000171AA" w:rsidP="009B62D9" w:rsidRDefault="00A152B6">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color="auto" w:sz="6" w:space="0"/>
              <w:bottom w:val="single" w:color="auto" w:sz="8" w:space="0"/>
              <w:right w:val="single" w:color="auto" w:sz="6" w:space="0"/>
            </w:tcBorders>
            <w:shd w:val="clear" w:color="auto" w:fill="auto"/>
            <w:vAlign w:val="center"/>
          </w:tcPr>
          <w:p w:rsidR="000171AA" w:rsidP="009B62D9" w:rsidRDefault="00A152B6">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000171AA" w:rsidP="009B62D9" w:rsidRDefault="00B66881">
            <w:pPr>
              <w:widowControl/>
              <w:jc w:val="center"/>
              <w:rPr>
                <w:rFonts w:ascii="Times New Roman" w:hAnsi="Times New Roman"/>
                <w:snapToGrid/>
                <w:color w:val="000000"/>
                <w:sz w:val="18"/>
                <w:szCs w:val="16"/>
              </w:rPr>
            </w:pPr>
            <w:r>
              <w:rPr>
                <w:rFonts w:ascii="Times New Roman" w:hAnsi="Times New Roman"/>
                <w:snapToGrid/>
                <w:color w:val="000000"/>
                <w:sz w:val="18"/>
                <w:szCs w:val="16"/>
              </w:rPr>
              <w:t>2,164</w:t>
            </w:r>
          </w:p>
        </w:tc>
        <w:tc>
          <w:tcPr>
            <w:tcW w:w="938" w:type="dxa"/>
            <w:tcBorders>
              <w:left w:val="single" w:color="auto" w:sz="6" w:space="0"/>
              <w:bottom w:val="single" w:color="auto" w:sz="8" w:space="0"/>
              <w:right w:val="single" w:color="auto" w:sz="6" w:space="0"/>
            </w:tcBorders>
            <w:shd w:val="clear" w:color="auto" w:fill="auto"/>
            <w:vAlign w:val="center"/>
          </w:tcPr>
          <w:p w:rsidR="000171AA" w:rsidP="009B62D9" w:rsidRDefault="00B66881">
            <w:pPr>
              <w:widowControl/>
              <w:jc w:val="center"/>
              <w:rPr>
                <w:rFonts w:ascii="Times New Roman" w:hAnsi="Times New Roman"/>
                <w:snapToGrid/>
                <w:color w:val="000000"/>
                <w:sz w:val="18"/>
                <w:szCs w:val="16"/>
              </w:rPr>
            </w:pPr>
            <w:r>
              <w:rPr>
                <w:rFonts w:ascii="Times New Roman" w:hAnsi="Times New Roman"/>
                <w:snapToGrid/>
                <w:color w:val="000000"/>
                <w:sz w:val="18"/>
                <w:szCs w:val="16"/>
              </w:rPr>
              <w:t>2</w:t>
            </w:r>
          </w:p>
        </w:tc>
        <w:tc>
          <w:tcPr>
            <w:tcW w:w="1225" w:type="dxa"/>
            <w:tcBorders>
              <w:left w:val="single" w:color="auto" w:sz="6" w:space="0"/>
              <w:bottom w:val="single" w:color="auto" w:sz="8" w:space="0"/>
              <w:right w:val="single" w:color="auto" w:sz="6" w:space="0"/>
            </w:tcBorders>
            <w:shd w:val="clear" w:color="auto" w:fill="auto"/>
            <w:vAlign w:val="center"/>
          </w:tcPr>
          <w:p w:rsidR="000171AA" w:rsidP="009B62D9" w:rsidRDefault="00B66881">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000171AA" w:rsidP="009B62D9" w:rsidRDefault="00B66881">
            <w:pPr>
              <w:widowControl/>
              <w:jc w:val="center"/>
              <w:rPr>
                <w:rFonts w:ascii="Times New Roman" w:hAnsi="Times New Roman"/>
                <w:snapToGrid/>
                <w:color w:val="000000"/>
                <w:sz w:val="18"/>
                <w:szCs w:val="16"/>
              </w:rPr>
            </w:pPr>
            <w:r>
              <w:rPr>
                <w:rFonts w:ascii="Times New Roman" w:hAnsi="Times New Roman"/>
                <w:snapToGrid/>
                <w:color w:val="000000"/>
                <w:sz w:val="18"/>
                <w:szCs w:val="16"/>
              </w:rPr>
              <w:t>4,328</w:t>
            </w:r>
          </w:p>
        </w:tc>
      </w:tr>
      <w:tr w:rsidRPr="004F7E3A" w:rsidR="00844536" w:rsidTr="00BD64F8">
        <w:trPr>
          <w:trHeight w:val="340"/>
        </w:trPr>
        <w:tc>
          <w:tcPr>
            <w:tcW w:w="8834" w:type="dxa"/>
            <w:gridSpan w:val="6"/>
            <w:tcBorders>
              <w:left w:val="single" w:color="auto" w:sz="8" w:space="0"/>
              <w:bottom w:val="single" w:color="auto" w:sz="8" w:space="0"/>
              <w:right w:val="single" w:color="auto" w:sz="8" w:space="0"/>
            </w:tcBorders>
            <w:shd w:val="clear" w:color="auto" w:fill="auto"/>
            <w:vAlign w:val="center"/>
          </w:tcPr>
          <w:p w:rsidRPr="004F7E3A" w:rsidR="00844536" w:rsidP="00844536"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Total Estimated Annual Burden</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844536" w:rsidRDefault="00B66881">
            <w:pPr>
              <w:widowControl/>
              <w:jc w:val="center"/>
              <w:rPr>
                <w:rFonts w:ascii="Times New Roman" w:hAnsi="Times New Roman"/>
                <w:snapToGrid/>
                <w:color w:val="000000"/>
                <w:sz w:val="18"/>
                <w:szCs w:val="16"/>
              </w:rPr>
            </w:pPr>
            <w:r>
              <w:rPr>
                <w:rFonts w:ascii="Times New Roman" w:hAnsi="Times New Roman"/>
                <w:snapToGrid/>
                <w:color w:val="000000"/>
                <w:sz w:val="18"/>
                <w:szCs w:val="16"/>
              </w:rPr>
              <w:t>4,368</w:t>
            </w:r>
          </w:p>
        </w:tc>
      </w:tr>
    </w:tbl>
    <w:p w:rsidR="007B6C63" w:rsidRDefault="007B6C63">
      <w:pPr>
        <w:rPr>
          <w:rFonts w:ascii="Times New Roman" w:hAnsi="Times New Roman"/>
        </w:rPr>
      </w:pPr>
    </w:p>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00285D59" w:rsidP="002A5F6B" w:rsidRDefault="00B37DD6">
      <w:pPr>
        <w:ind w:left="720"/>
        <w:rPr>
          <w:rFonts w:ascii="Times New Roman" w:hAnsi="Times New Roman"/>
          <w:snapToGrid/>
          <w:szCs w:val="24"/>
        </w:rPr>
      </w:pPr>
      <w:r>
        <w:rPr>
          <w:rFonts w:ascii="Times New Roman" w:hAnsi="Times New Roman"/>
          <w:snapToGrid/>
          <w:szCs w:val="24"/>
        </w:rPr>
        <w:t>FDIC</w:t>
      </w:r>
      <w:r w:rsidRPr="00B37DD6">
        <w:rPr>
          <w:rFonts w:ascii="Times New Roman" w:hAnsi="Times New Roman"/>
          <w:snapToGrid/>
          <w:szCs w:val="24"/>
        </w:rPr>
        <w:t xml:space="preserve"> </w:t>
      </w:r>
      <w:r>
        <w:rPr>
          <w:rFonts w:ascii="Times New Roman" w:hAnsi="Times New Roman"/>
          <w:snapToGrid/>
          <w:szCs w:val="24"/>
        </w:rPr>
        <w:t>assumes</w:t>
      </w:r>
      <w:r w:rsidRPr="00B37DD6">
        <w:rPr>
          <w:rFonts w:ascii="Times New Roman" w:hAnsi="Times New Roman"/>
          <w:snapToGrid/>
          <w:szCs w:val="24"/>
        </w:rPr>
        <w:t xml:space="preserve"> that 100 percent of the recordkeeping work related to this </w:t>
      </w:r>
      <w:r>
        <w:rPr>
          <w:rFonts w:ascii="Times New Roman" w:hAnsi="Times New Roman"/>
          <w:snapToGrid/>
          <w:szCs w:val="24"/>
        </w:rPr>
        <w:t>information collection</w:t>
      </w:r>
      <w:r w:rsidRPr="00B37DD6">
        <w:rPr>
          <w:rFonts w:ascii="Times New Roman" w:hAnsi="Times New Roman"/>
          <w:snapToGrid/>
          <w:szCs w:val="24"/>
        </w:rPr>
        <w:t xml:space="preserve"> will be performed by Clerical personnel. The distribution of work is unchanged from the previous estimate. Based on recent Bureau of Labor Standards (BLS) estimates of wages for this profession, the estimated average hourly cost for respondents to this </w:t>
      </w:r>
      <w:r>
        <w:rPr>
          <w:rFonts w:ascii="Times New Roman" w:hAnsi="Times New Roman"/>
          <w:snapToGrid/>
          <w:szCs w:val="24"/>
        </w:rPr>
        <w:t>information collection</w:t>
      </w:r>
      <w:r w:rsidRPr="00B37DD6">
        <w:rPr>
          <w:rFonts w:ascii="Times New Roman" w:hAnsi="Times New Roman"/>
          <w:snapToGrid/>
          <w:szCs w:val="24"/>
        </w:rPr>
        <w:t xml:space="preserve"> is $32.59.</w:t>
      </w:r>
      <w:r w:rsidRPr="00B37DD6">
        <w:rPr>
          <w:rFonts w:ascii="Times New Roman" w:hAnsi="Times New Roman"/>
          <w:snapToGrid/>
          <w:szCs w:val="24"/>
          <w:vertAlign w:val="superscript"/>
        </w:rPr>
        <w:footnoteReference w:id="5"/>
      </w:r>
    </w:p>
    <w:p w:rsidRPr="002A5F6B" w:rsidR="002A5F6B" w:rsidP="002A5F6B" w:rsidRDefault="002A5F6B">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5709AF" w:rsidRDefault="00A26153">
      <w:pPr>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B37DD6">
        <w:rPr>
          <w:rFonts w:ascii="Times New Roman" w:hAnsi="Times New Roman"/>
          <w:snapToGrid/>
          <w:szCs w:val="24"/>
        </w:rPr>
        <w:t>4,368</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hourly compensation estimate </w:t>
      </w:r>
      <w:r>
        <w:rPr>
          <w:rFonts w:ascii="Times New Roman" w:hAnsi="Times New Roman"/>
          <w:snapToGrid/>
          <w:szCs w:val="24"/>
        </w:rPr>
        <w:t>of $</w:t>
      </w:r>
      <w:r w:rsidR="00B37DD6">
        <w:rPr>
          <w:rFonts w:ascii="Times New Roman" w:hAnsi="Times New Roman"/>
          <w:snapToGrid/>
          <w:szCs w:val="24"/>
        </w:rPr>
        <w:t>32.59</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B37DD6">
        <w:rPr>
          <w:rFonts w:ascii="Times New Roman" w:hAnsi="Times New Roman"/>
          <w:snapToGrid/>
          <w:szCs w:val="24"/>
        </w:rPr>
        <w:t>142,353</w:t>
      </w:r>
      <w:r w:rsidR="006B3465">
        <w:rPr>
          <w:rFonts w:ascii="Times New Roman" w:hAnsi="Times New Roman"/>
          <w:snapToGrid/>
          <w:szCs w:val="24"/>
        </w:rPr>
        <w:t>.12</w:t>
      </w:r>
      <w:r w:rsidRPr="002A5F6B" w:rsidR="002A5F6B">
        <w:rPr>
          <w:rFonts w:ascii="Times New Roman" w:hAnsi="Times New Roman"/>
          <w:snapToGrid/>
          <w:szCs w:val="24"/>
        </w:rPr>
        <w:t xml:space="preserve"> 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FC6E6C">
        <w:rPr>
          <w:rFonts w:ascii="Times New Roman" w:hAnsi="Times New Roman"/>
        </w:rPr>
        <w:t>, in part, to a decrease in the number of</w:t>
      </w:r>
      <w:r w:rsidR="00243D0C">
        <w:rPr>
          <w:rFonts w:ascii="Times New Roman" w:hAnsi="Times New Roman"/>
        </w:rPr>
        <w:t xml:space="preserve"> </w:t>
      </w:r>
      <w:r w:rsidR="00FC6E6C">
        <w:rPr>
          <w:rFonts w:ascii="Times New Roman" w:hAnsi="Times New Roman"/>
        </w:rPr>
        <w:t>FDIC-supervised institutions from 3, 878 to 3,334, and in part</w:t>
      </w:r>
      <w:r w:rsidR="00D50321">
        <w:rPr>
          <w:rFonts w:ascii="Times New Roman" w:hAnsi="Times New Roman"/>
        </w:rPr>
        <w:t xml:space="preserve">, due </w:t>
      </w:r>
      <w:r w:rsidR="008332CE">
        <w:rPr>
          <w:rFonts w:ascii="Times New Roman" w:hAnsi="Times New Roman"/>
        </w:rPr>
        <w:t xml:space="preserve">to changes in the estimation methodology used by FDIC which has resulted in a decrease in the estimated number of respondents from </w:t>
      </w:r>
      <w:r w:rsidR="00FC6E6C">
        <w:rPr>
          <w:rFonts w:ascii="Times New Roman" w:hAnsi="Times New Roman"/>
        </w:rPr>
        <w:t>3,</w:t>
      </w:r>
      <w:r w:rsidR="00D50321">
        <w:rPr>
          <w:rFonts w:ascii="Times New Roman" w:hAnsi="Times New Roman"/>
        </w:rPr>
        <w:t>334</w:t>
      </w:r>
      <w:r w:rsidR="008332CE">
        <w:rPr>
          <w:rFonts w:ascii="Times New Roman" w:hAnsi="Times New Roman"/>
        </w:rPr>
        <w:t xml:space="preserve"> to 2, 165.  In addition, FDIC is recognizing a difference in the estimated hourly burden associated with one-time implementation of incentive compensation policies and procedures (which remains at 40 hours per response) and the lesser ongoing burden associated with revising existing incentive compensation poli</w:t>
      </w:r>
      <w:r w:rsidR="00F13CF5">
        <w:rPr>
          <w:rFonts w:ascii="Times New Roman" w:hAnsi="Times New Roman"/>
        </w:rPr>
        <w:t>cies and procedures, which the F</w:t>
      </w:r>
      <w:bookmarkStart w:name="_GoBack" w:id="0"/>
      <w:bookmarkEnd w:id="0"/>
      <w:r w:rsidR="008332CE">
        <w:rPr>
          <w:rFonts w:ascii="Times New Roman" w:hAnsi="Times New Roman"/>
        </w:rPr>
        <w:t xml:space="preserve">DIC estimates to be 2 hours per response. </w:t>
      </w:r>
      <w:r w:rsidR="00D50321">
        <w:rPr>
          <w:rFonts w:ascii="Times New Roman" w:hAnsi="Times New Roman"/>
        </w:rPr>
        <w:t xml:space="preserve">As a result of the foregoing, total estimated annual burden for this information collection has decreased by </w:t>
      </w:r>
      <w:r w:rsidR="00D746BF">
        <w:rPr>
          <w:rFonts w:ascii="Times New Roman" w:hAnsi="Times New Roman"/>
        </w:rPr>
        <w:t>150,752 hours.</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The information collected is for internal FDIC use only and is not published.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0B0581" w:rsidRDefault="00937218">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recordkeeping requirements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w:history="1" r:id="rId8">
        <w:r w:rsidRPr="00DD71EB" w:rsidR="00B76DC2">
          <w:rPr>
            <w:rStyle w:val="Hyperlink"/>
            <w:rFonts w:ascii="Times New Roman" w:hAnsi="Times New Roman"/>
          </w:rPr>
          <w:t>www.reginfo.gov</w:t>
        </w:r>
      </w:hyperlink>
      <w:r w:rsidRPr="00B76DC2" w:rsidR="00B76DC2">
        <w:rPr>
          <w:rStyle w:val="FootnoteReference"/>
          <w:rFonts w:ascii="Times New Roman" w:hAnsi="Times New Roman"/>
          <w:vertAlign w:val="superscript"/>
        </w:rPr>
        <w:footnoteReference w:id="6"/>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715C41"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pPr>
        <w:keepNext/>
        <w:rPr>
          <w:rFonts w:ascii="Times New Roman" w:hAnsi="Times New Roman"/>
        </w:rPr>
      </w:pPr>
    </w:p>
    <w:p w:rsidR="007B6C63" w:rsidP="00715C41" w:rsidRDefault="007B6C63">
      <w:pPr>
        <w:keepNext/>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6F" w:rsidRDefault="00F01C6F">
      <w:r>
        <w:separator/>
      </w:r>
    </w:p>
  </w:endnote>
  <w:endnote w:type="continuationSeparator" w:id="0">
    <w:p w:rsidR="00F01C6F" w:rsidRDefault="00F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13CF5">
      <w:rPr>
        <w:rFonts w:ascii="Times New Roman" w:hAnsi="Times New Roman"/>
        <w:noProof/>
      </w:rPr>
      <w:t>5</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6F" w:rsidRDefault="00F01C6F">
      <w:r>
        <w:separator/>
      </w:r>
    </w:p>
  </w:footnote>
  <w:footnote w:type="continuationSeparator" w:id="0">
    <w:p w:rsidR="00F01C6F" w:rsidRDefault="00F01C6F">
      <w:r>
        <w:continuationSeparator/>
      </w:r>
    </w:p>
  </w:footnote>
  <w:footnote w:id="1">
    <w:p w:rsidR="00234383" w:rsidRPr="00234383" w:rsidRDefault="00234383">
      <w:pPr>
        <w:pStyle w:val="FootnoteText"/>
        <w:rPr>
          <w:rFonts w:ascii="Times New Roman" w:hAnsi="Times New Roman"/>
        </w:rPr>
      </w:pPr>
      <w:r w:rsidRPr="00234383">
        <w:rPr>
          <w:rStyle w:val="FootnoteReference"/>
          <w:rFonts w:ascii="Times New Roman" w:hAnsi="Times New Roman"/>
          <w:vertAlign w:val="superscript"/>
        </w:rPr>
        <w:footnoteRef/>
      </w:r>
      <w:r w:rsidRPr="00234383">
        <w:rPr>
          <w:rFonts w:ascii="Times New Roman" w:hAnsi="Times New Roman"/>
        </w:rPr>
        <w:t xml:space="preserve"> 75 FR 36395 (June 25, 2010.</w:t>
      </w:r>
    </w:p>
  </w:footnote>
  <w:footnote w:id="2">
    <w:p w:rsidR="00A249E9" w:rsidRPr="00F90EAE" w:rsidRDefault="00A249E9" w:rsidP="00A249E9">
      <w:pPr>
        <w:pStyle w:val="FootnoteText"/>
        <w:rPr>
          <w:rFonts w:ascii="Times New Roman" w:hAnsi="Times New Roman"/>
          <w:vertAlign w:val="subscript"/>
        </w:rPr>
      </w:pPr>
      <w:r w:rsidRPr="00F90EAE">
        <w:rPr>
          <w:rStyle w:val="FootnoteReference"/>
          <w:vertAlign w:val="superscript"/>
        </w:rPr>
        <w:footnoteRef/>
      </w:r>
      <w:r>
        <w:t xml:space="preserve"> </w:t>
      </w:r>
      <w:r w:rsidRPr="00F90EAE">
        <w:rPr>
          <w:rFonts w:ascii="Times New Roman" w:hAnsi="Times New Roman"/>
        </w:rPr>
        <w:t xml:space="preserve">This </w:t>
      </w:r>
      <w:r w:rsidR="00E50911">
        <w:rPr>
          <w:rFonts w:ascii="Times New Roman" w:hAnsi="Times New Roman"/>
        </w:rPr>
        <w:t>information collection</w:t>
      </w:r>
      <w:r w:rsidRPr="00F90EAE">
        <w:rPr>
          <w:rFonts w:ascii="Times New Roman" w:hAnsi="Times New Roman"/>
        </w:rPr>
        <w:t xml:space="preserve"> has been active since 2010. Therefore, all institutions with incentive</w:t>
      </w:r>
      <w:r w:rsidR="00E50911">
        <w:rPr>
          <w:rFonts w:ascii="Times New Roman" w:hAnsi="Times New Roman"/>
        </w:rPr>
        <w:t>-</w:t>
      </w:r>
      <w:r w:rsidRPr="00F90EAE">
        <w:rPr>
          <w:rFonts w:ascii="Times New Roman" w:hAnsi="Times New Roman"/>
        </w:rPr>
        <w:t xml:space="preserve">based compensation schemes have </w:t>
      </w:r>
      <w:r w:rsidR="00E50911">
        <w:rPr>
          <w:rFonts w:ascii="Times New Roman" w:hAnsi="Times New Roman"/>
        </w:rPr>
        <w:t>gone through the</w:t>
      </w:r>
      <w:r w:rsidRPr="00F90EAE">
        <w:rPr>
          <w:rFonts w:ascii="Times New Roman" w:hAnsi="Times New Roman"/>
        </w:rPr>
        <w:t xml:space="preserve"> initial implementation burden. Only institutions which newly adopt an incentive</w:t>
      </w:r>
      <w:r w:rsidR="00E50911">
        <w:rPr>
          <w:rFonts w:ascii="Times New Roman" w:hAnsi="Times New Roman"/>
        </w:rPr>
        <w:t>-</w:t>
      </w:r>
      <w:r w:rsidRPr="00F90EAE">
        <w:rPr>
          <w:rFonts w:ascii="Times New Roman" w:hAnsi="Times New Roman"/>
        </w:rPr>
        <w:t xml:space="preserve">based compensation </w:t>
      </w:r>
      <w:r w:rsidR="00E50911">
        <w:rPr>
          <w:rFonts w:ascii="Times New Roman" w:hAnsi="Times New Roman"/>
        </w:rPr>
        <w:t xml:space="preserve">program </w:t>
      </w:r>
      <w:r w:rsidRPr="00F90EAE">
        <w:rPr>
          <w:rFonts w:ascii="Times New Roman" w:hAnsi="Times New Roman"/>
        </w:rPr>
        <w:t xml:space="preserve">would </w:t>
      </w:r>
      <w:r w:rsidR="00E50911">
        <w:rPr>
          <w:rFonts w:ascii="Times New Roman" w:hAnsi="Times New Roman"/>
        </w:rPr>
        <w:t>face</w:t>
      </w:r>
      <w:r w:rsidRPr="00F90EAE">
        <w:rPr>
          <w:rFonts w:ascii="Times New Roman" w:hAnsi="Times New Roman"/>
        </w:rPr>
        <w:t xml:space="preserve"> the initial implementation burden. It is difficult to accurately estimate the number of institutions who will adopt an incentive compensation program each year. However, the FDIC assumes that </w:t>
      </w:r>
      <w:r w:rsidR="00E50911">
        <w:rPr>
          <w:rFonts w:ascii="Times New Roman" w:hAnsi="Times New Roman"/>
        </w:rPr>
        <w:t xml:space="preserve">the </w:t>
      </w:r>
      <w:r w:rsidRPr="00F90EAE">
        <w:rPr>
          <w:rFonts w:ascii="Times New Roman" w:hAnsi="Times New Roman"/>
        </w:rPr>
        <w:t xml:space="preserve">smaller institutions </w:t>
      </w:r>
      <w:r w:rsidR="00E50911">
        <w:rPr>
          <w:rFonts w:ascii="Times New Roman" w:hAnsi="Times New Roman"/>
        </w:rPr>
        <w:t xml:space="preserve">that make a large portion of FDIC-supervised institutions </w:t>
      </w:r>
      <w:r w:rsidRPr="00F90EAE">
        <w:rPr>
          <w:rFonts w:ascii="Times New Roman" w:hAnsi="Times New Roman"/>
        </w:rPr>
        <w:t>are unlikely to do so.</w:t>
      </w:r>
    </w:p>
  </w:footnote>
  <w:footnote w:id="3">
    <w:p w:rsidR="00A249E9" w:rsidRPr="00F90EAE" w:rsidRDefault="00A249E9" w:rsidP="00A249E9">
      <w:pPr>
        <w:pStyle w:val="FootnoteText"/>
        <w:rPr>
          <w:rFonts w:ascii="Times New Roman" w:hAnsi="Times New Roman"/>
        </w:rPr>
      </w:pPr>
      <w:r w:rsidRPr="00F90EAE">
        <w:rPr>
          <w:rStyle w:val="FootnoteReference"/>
          <w:vertAlign w:val="superscript"/>
        </w:rPr>
        <w:footnoteRef/>
      </w:r>
      <w:r w:rsidR="00B37DD6">
        <w:rPr>
          <w:rStyle w:val="FootnoteReference"/>
          <w:vertAlign w:val="superscript"/>
        </w:rPr>
        <w:t xml:space="preserve"> </w:t>
      </w:r>
      <w:r w:rsidRPr="00F90EAE">
        <w:rPr>
          <w:rFonts w:ascii="Times New Roman" w:hAnsi="Times New Roman"/>
        </w:rPr>
        <w:t xml:space="preserve">The precise fraction is 11 </w:t>
      </w:r>
      <w:r w:rsidR="00E50911">
        <w:rPr>
          <w:rFonts w:ascii="Times New Roman" w:hAnsi="Times New Roman"/>
        </w:rPr>
        <w:t>out of</w:t>
      </w:r>
      <w:r w:rsidRPr="00F90EAE">
        <w:rPr>
          <w:rFonts w:ascii="Times New Roman" w:hAnsi="Times New Roman"/>
        </w:rPr>
        <w:t xml:space="preserve"> 17.</w:t>
      </w:r>
    </w:p>
  </w:footnote>
  <w:footnote w:id="4">
    <w:p w:rsidR="00A249E9" w:rsidRDefault="00A249E9" w:rsidP="00A249E9">
      <w:pPr>
        <w:pStyle w:val="FootnoteText"/>
      </w:pPr>
      <w:r w:rsidRPr="00F90EAE">
        <w:rPr>
          <w:rStyle w:val="FootnoteReference"/>
          <w:rFonts w:ascii="Times New Roman" w:hAnsi="Times New Roman"/>
          <w:vertAlign w:val="superscript"/>
        </w:rPr>
        <w:footnoteRef/>
      </w:r>
      <w:r w:rsidRPr="00F90EAE">
        <w:rPr>
          <w:rFonts w:ascii="Times New Roman" w:hAnsi="Times New Roman"/>
        </w:rPr>
        <w:t xml:space="preserve"> </w:t>
      </w:r>
      <w:r w:rsidR="00B37DD6">
        <w:rPr>
          <w:rFonts w:ascii="Times New Roman" w:hAnsi="Times New Roman"/>
        </w:rPr>
        <w:t xml:space="preserve"> </w:t>
      </w:r>
      <w:r w:rsidRPr="00F90EAE">
        <w:rPr>
          <w:rFonts w:ascii="Times New Roman" w:hAnsi="Times New Roman"/>
        </w:rPr>
        <w:t>There are 3,344 FDIC-supervised institutions at year-end 2019, based on December 31, 2019, Call Report data.</w:t>
      </w:r>
    </w:p>
  </w:footnote>
  <w:footnote w:id="5">
    <w:p w:rsidR="00B37DD6" w:rsidRDefault="00B37DD6" w:rsidP="00B37DD6">
      <w:pPr>
        <w:pStyle w:val="FootnoteText"/>
      </w:pPr>
      <w:r w:rsidRPr="00B37DD6">
        <w:rPr>
          <w:rStyle w:val="FootnoteReference"/>
          <w:vertAlign w:val="superscript"/>
        </w:rPr>
        <w:footnoteRef/>
      </w:r>
      <w:r>
        <w:t xml:space="preserve"> </w:t>
      </w:r>
      <w:r w:rsidRPr="00B37DD6">
        <w:rPr>
          <w:rFonts w:ascii="Times New Roman" w:hAnsi="Times New Roman"/>
        </w:rPr>
        <w:t>The estimate includes the May 2018 75th percentile hourly wage rate for Office and Administrative Support Occupations ($20.92) reported by the Bureau of Labor Statistics, National Industry-Specific Occupational Employment, and Wage Estimates. This wage rate has been adjusted for changes in the Consumer Price Index for all Urban Consumers between May 2018 and December 2019 (3.11 percent) and grossed up to account for non-monetary compensation as reported by the December 2019 Employer Costs for Employee Compensation Data.</w:t>
      </w:r>
      <w:r>
        <w:t xml:space="preserve"> </w:t>
      </w:r>
    </w:p>
  </w:footnote>
  <w:footnote w:id="6">
    <w:p w:rsidR="00B76DC2" w:rsidRDefault="00B76DC2">
      <w:pPr>
        <w:pStyle w:val="FootnoteText"/>
      </w:pPr>
      <w:r w:rsidRPr="00B76DC2">
        <w:rPr>
          <w:rStyle w:val="FootnoteReference"/>
          <w:vertAlign w:val="superscript"/>
        </w:rPr>
        <w:footnoteRef/>
      </w:r>
      <w:r>
        <w:t xml:space="preserve"> </w:t>
      </w:r>
      <w:hyperlink r:id="rId1" w:history="1">
        <w:r w:rsidR="00D746BF" w:rsidRPr="00A80495">
          <w:rPr>
            <w:rStyle w:val="Hyperlink"/>
            <w:rFonts w:ascii="Times New Roman" w:hAnsi="Times New Roman"/>
          </w:rPr>
          <w:t>https://www.reginfo.gov/public/Forward?SearchTarget=PRA&amp;textfield=3064-0175</w:t>
        </w:r>
      </w:hyperlink>
      <w:r w:rsidR="00D746BF">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71AA"/>
    <w:rsid w:val="000855E4"/>
    <w:rsid w:val="00093D0F"/>
    <w:rsid w:val="000B0581"/>
    <w:rsid w:val="00161EC5"/>
    <w:rsid w:val="00175893"/>
    <w:rsid w:val="00177720"/>
    <w:rsid w:val="001778A3"/>
    <w:rsid w:val="00182279"/>
    <w:rsid w:val="001D78D3"/>
    <w:rsid w:val="002331BC"/>
    <w:rsid w:val="00234383"/>
    <w:rsid w:val="00240097"/>
    <w:rsid w:val="00243D0C"/>
    <w:rsid w:val="0025784A"/>
    <w:rsid w:val="00285D59"/>
    <w:rsid w:val="002A35F4"/>
    <w:rsid w:val="002A5F6B"/>
    <w:rsid w:val="002B1AFA"/>
    <w:rsid w:val="002F26D8"/>
    <w:rsid w:val="00304C3E"/>
    <w:rsid w:val="00371017"/>
    <w:rsid w:val="00386C94"/>
    <w:rsid w:val="003B3219"/>
    <w:rsid w:val="003E3404"/>
    <w:rsid w:val="003E5901"/>
    <w:rsid w:val="003F2FF8"/>
    <w:rsid w:val="00414ECF"/>
    <w:rsid w:val="00435A15"/>
    <w:rsid w:val="00454007"/>
    <w:rsid w:val="0048245A"/>
    <w:rsid w:val="004A5959"/>
    <w:rsid w:val="004C5B45"/>
    <w:rsid w:val="00523B22"/>
    <w:rsid w:val="005709AF"/>
    <w:rsid w:val="005B79C4"/>
    <w:rsid w:val="005C5B63"/>
    <w:rsid w:val="005E62DB"/>
    <w:rsid w:val="00615BAD"/>
    <w:rsid w:val="0063734B"/>
    <w:rsid w:val="00653821"/>
    <w:rsid w:val="00655078"/>
    <w:rsid w:val="00686F68"/>
    <w:rsid w:val="006B0048"/>
    <w:rsid w:val="006B3465"/>
    <w:rsid w:val="006D4C70"/>
    <w:rsid w:val="0071052F"/>
    <w:rsid w:val="00715C41"/>
    <w:rsid w:val="007562B8"/>
    <w:rsid w:val="007B6C63"/>
    <w:rsid w:val="0080546E"/>
    <w:rsid w:val="00820F79"/>
    <w:rsid w:val="00826F32"/>
    <w:rsid w:val="008332CE"/>
    <w:rsid w:val="00844536"/>
    <w:rsid w:val="00881712"/>
    <w:rsid w:val="008B2102"/>
    <w:rsid w:val="00921EFB"/>
    <w:rsid w:val="00937218"/>
    <w:rsid w:val="009557A1"/>
    <w:rsid w:val="0096157F"/>
    <w:rsid w:val="009B62D9"/>
    <w:rsid w:val="009B7A15"/>
    <w:rsid w:val="009C2BFF"/>
    <w:rsid w:val="00A0001C"/>
    <w:rsid w:val="00A1019D"/>
    <w:rsid w:val="00A152B6"/>
    <w:rsid w:val="00A249E9"/>
    <w:rsid w:val="00A26153"/>
    <w:rsid w:val="00A270BF"/>
    <w:rsid w:val="00A81BD7"/>
    <w:rsid w:val="00B06BE7"/>
    <w:rsid w:val="00B17BBF"/>
    <w:rsid w:val="00B17F71"/>
    <w:rsid w:val="00B37DD6"/>
    <w:rsid w:val="00B61AD2"/>
    <w:rsid w:val="00B64991"/>
    <w:rsid w:val="00B66881"/>
    <w:rsid w:val="00B76DC2"/>
    <w:rsid w:val="00B977B5"/>
    <w:rsid w:val="00BD64F8"/>
    <w:rsid w:val="00BD7F95"/>
    <w:rsid w:val="00BF3B99"/>
    <w:rsid w:val="00C14D80"/>
    <w:rsid w:val="00C750AB"/>
    <w:rsid w:val="00C772BC"/>
    <w:rsid w:val="00C8275D"/>
    <w:rsid w:val="00CB2ED5"/>
    <w:rsid w:val="00CC7A55"/>
    <w:rsid w:val="00D0274E"/>
    <w:rsid w:val="00D1720C"/>
    <w:rsid w:val="00D35001"/>
    <w:rsid w:val="00D50321"/>
    <w:rsid w:val="00D50914"/>
    <w:rsid w:val="00D55074"/>
    <w:rsid w:val="00D746BF"/>
    <w:rsid w:val="00D804A5"/>
    <w:rsid w:val="00DA5092"/>
    <w:rsid w:val="00DD29EA"/>
    <w:rsid w:val="00DE2D0B"/>
    <w:rsid w:val="00E50911"/>
    <w:rsid w:val="00F01C6F"/>
    <w:rsid w:val="00F13CF5"/>
    <w:rsid w:val="00F34CBE"/>
    <w:rsid w:val="00F90EAE"/>
    <w:rsid w:val="00F9430B"/>
    <w:rsid w:val="00FB759A"/>
    <w:rsid w:val="00FC41DF"/>
    <w:rsid w:val="00FC6915"/>
    <w:rsid w:val="00FC6E6C"/>
    <w:rsid w:val="00FF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662F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6D4C7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character" w:customStyle="1" w:styleId="Heading1Char">
    <w:name w:val="Heading 1 Char"/>
    <w:basedOn w:val="DefaultParagraphFont"/>
    <w:link w:val="Heading1"/>
    <w:rsid w:val="006D4C70"/>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Forward?SearchTarget=PRA&amp;textfield=3064-0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A006-5481-4238-919B-19F0ED22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7733290</vt:i4>
      </vt:variant>
      <vt:variant>
        <vt:i4>0</vt:i4>
      </vt:variant>
      <vt:variant>
        <vt:i4>0</vt:i4>
      </vt:variant>
      <vt:variant>
        <vt:i4>5</vt:i4>
      </vt:variant>
      <vt:variant>
        <vt:lpwstr>https://www.reginfo.gov/public/Forward?SearchTarget=PRA&amp;textfield=3064-0175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2020-04-21T15:47:00Z</dcterms:created>
  <dcterms:modified xsi:type="dcterms:W3CDTF">2020-04-23T19:43:00Z</dcterms:modified>
</cp:coreProperties>
</file>