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8E0" w:rsidP="004D6EA0" w:rsidRDefault="004D6EA0">
      <w:pPr>
        <w:widowControl/>
        <w:tabs>
          <w:tab w:val="left" w:pos="-1440"/>
          <w:tab w:val="left" w:pos="-720"/>
          <w:tab w:val="left" w:pos="0"/>
          <w:tab w:val="left" w:pos="432"/>
          <w:tab w:val="left" w:pos="719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p>
    <w:p w:rsidR="003B78E0" w:rsidRDefault="003B78E0">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szCs w:val="24"/>
        </w:rPr>
      </w:pPr>
    </w:p>
    <w:p w:rsidR="003B78E0" w:rsidRDefault="003B78E0">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szCs w:val="24"/>
        </w:rPr>
      </w:pPr>
      <w:r>
        <w:rPr>
          <w:rFonts w:ascii="Times New Roman" w:hAnsi="Times New Roman"/>
          <w:szCs w:val="24"/>
        </w:rPr>
        <w:t>SUPPORTING STATEMENT</w:t>
      </w: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Pr="006D3985" w:rsidR="003B78E0" w:rsidP="00C67EAF" w:rsidRDefault="003B78E0">
      <w:pPr>
        <w:widowControl/>
        <w:tabs>
          <w:tab w:val="left" w:pos="-1440"/>
          <w:tab w:val="left" w:pos="-720"/>
        </w:tabs>
        <w:suppressAutoHyphens/>
        <w:ind w:left="1440" w:right="1350"/>
        <w:jc w:val="center"/>
        <w:rPr>
          <w:rFonts w:ascii="Times New Roman" w:hAnsi="Times New Roman"/>
          <w:caps/>
          <w:szCs w:val="24"/>
        </w:rPr>
      </w:pPr>
      <w:r w:rsidRPr="006D3985">
        <w:rPr>
          <w:rFonts w:ascii="Times New Roman" w:hAnsi="Times New Roman"/>
          <w:caps/>
          <w:szCs w:val="24"/>
        </w:rPr>
        <w:t>Advanced Capital Adequacy Framework Regulatory Reporting Requirements</w:t>
      </w: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3B78E0" w:rsidRDefault="003B78E0">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szCs w:val="24"/>
        </w:rPr>
      </w:pPr>
      <w:r>
        <w:rPr>
          <w:rFonts w:ascii="Times New Roman" w:hAnsi="Times New Roman"/>
          <w:szCs w:val="24"/>
        </w:rPr>
        <w:t>FFIEC 101</w:t>
      </w:r>
    </w:p>
    <w:p w:rsidR="003B78E0" w:rsidRDefault="003B78E0">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szCs w:val="24"/>
        </w:rPr>
      </w:pPr>
      <w:r>
        <w:rPr>
          <w:rFonts w:ascii="Times New Roman" w:hAnsi="Times New Roman"/>
          <w:szCs w:val="24"/>
        </w:rPr>
        <w:t xml:space="preserve"> (OMB No. 3064-0159)</w:t>
      </w: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b/>
          <w:szCs w:val="24"/>
          <w:u w:val="single"/>
        </w:rPr>
        <w:t>INTRODUCTION</w:t>
      </w: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D346EB" w:rsidP="002410F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szCs w:val="24"/>
        </w:rPr>
        <w:t xml:space="preserve">The FDIC is requesting Office of Management and Budget (OMB) </w:t>
      </w:r>
      <w:r w:rsidR="008C74A8">
        <w:rPr>
          <w:rFonts w:ascii="Times New Roman" w:hAnsi="Times New Roman"/>
          <w:szCs w:val="24"/>
        </w:rPr>
        <w:t>approval for a three-year</w:t>
      </w:r>
      <w:r>
        <w:rPr>
          <w:rFonts w:ascii="Times New Roman" w:hAnsi="Times New Roman"/>
          <w:szCs w:val="24"/>
        </w:rPr>
        <w:t xml:space="preserve"> exten</w:t>
      </w:r>
      <w:r w:rsidR="008C74A8">
        <w:rPr>
          <w:rFonts w:ascii="Times New Roman" w:hAnsi="Times New Roman"/>
          <w:szCs w:val="24"/>
        </w:rPr>
        <w:t>sion</w:t>
      </w:r>
      <w:r w:rsidR="00685D7E">
        <w:rPr>
          <w:rFonts w:ascii="Times New Roman" w:hAnsi="Times New Roman"/>
          <w:szCs w:val="24"/>
        </w:rPr>
        <w:t>,</w:t>
      </w:r>
      <w:r>
        <w:rPr>
          <w:rFonts w:ascii="Times New Roman" w:hAnsi="Times New Roman"/>
          <w:szCs w:val="24"/>
        </w:rPr>
        <w:t xml:space="preserve"> with revision</w:t>
      </w:r>
      <w:r w:rsidR="00685D7E">
        <w:rPr>
          <w:rFonts w:ascii="Times New Roman" w:hAnsi="Times New Roman"/>
          <w:szCs w:val="24"/>
        </w:rPr>
        <w:t>,</w:t>
      </w:r>
      <w:r>
        <w:rPr>
          <w:rFonts w:ascii="Times New Roman" w:hAnsi="Times New Roman"/>
          <w:szCs w:val="24"/>
        </w:rPr>
        <w:t xml:space="preserve"> </w:t>
      </w:r>
      <w:r w:rsidR="008C74A8">
        <w:rPr>
          <w:rFonts w:ascii="Times New Roman" w:hAnsi="Times New Roman"/>
          <w:szCs w:val="24"/>
        </w:rPr>
        <w:t xml:space="preserve">of </w:t>
      </w:r>
      <w:r>
        <w:rPr>
          <w:rFonts w:ascii="Times New Roman" w:hAnsi="Times New Roman"/>
          <w:szCs w:val="24"/>
        </w:rPr>
        <w:t>the quarterly regulatory reporting requirements established by the Federal Financial Institutions Examination Council (FFIEC) for banks</w:t>
      </w:r>
      <w:r w:rsidR="00BF20A4">
        <w:rPr>
          <w:rFonts w:ascii="Times New Roman" w:hAnsi="Times New Roman"/>
          <w:szCs w:val="24"/>
        </w:rPr>
        <w:t>, savings associations, bank holding companies, savings and loan holding companies</w:t>
      </w:r>
      <w:r w:rsidR="00FB2D8D">
        <w:rPr>
          <w:rFonts w:ascii="Times New Roman" w:hAnsi="Times New Roman"/>
          <w:szCs w:val="24"/>
        </w:rPr>
        <w:t>, and U.S. intermediate holding companies</w:t>
      </w:r>
      <w:r>
        <w:rPr>
          <w:rFonts w:ascii="Times New Roman" w:hAnsi="Times New Roman"/>
          <w:szCs w:val="24"/>
        </w:rPr>
        <w:t xml:space="preserve"> that </w:t>
      </w:r>
      <w:r w:rsidR="00792C73">
        <w:rPr>
          <w:rFonts w:ascii="Times New Roman" w:hAnsi="Times New Roman"/>
          <w:szCs w:val="24"/>
        </w:rPr>
        <w:t xml:space="preserve">must apply </w:t>
      </w:r>
      <w:r>
        <w:rPr>
          <w:rFonts w:ascii="Times New Roman" w:hAnsi="Times New Roman"/>
          <w:szCs w:val="24"/>
        </w:rPr>
        <w:t xml:space="preserve">the </w:t>
      </w:r>
      <w:r w:rsidRPr="00960DC6" w:rsidR="00960DC6">
        <w:rPr>
          <w:rFonts w:ascii="Times New Roman" w:hAnsi="Times New Roman"/>
          <w:szCs w:val="24"/>
        </w:rPr>
        <w:t xml:space="preserve">advanced approaches risk-based capital rule </w:t>
      </w:r>
      <w:r w:rsidR="00960DC6">
        <w:rPr>
          <w:rFonts w:ascii="Times New Roman" w:hAnsi="Times New Roman"/>
          <w:szCs w:val="24"/>
        </w:rPr>
        <w:t>(</w:t>
      </w:r>
      <w:r>
        <w:rPr>
          <w:rFonts w:ascii="Times New Roman" w:hAnsi="Times New Roman"/>
          <w:szCs w:val="24"/>
        </w:rPr>
        <w:t>Advanced Capital Adequacy Framework</w:t>
      </w:r>
      <w:r w:rsidR="00792C73">
        <w:rPr>
          <w:rFonts w:ascii="Times New Roman" w:hAnsi="Times New Roman"/>
          <w:szCs w:val="24"/>
        </w:rPr>
        <w:t xml:space="preserve"> </w:t>
      </w:r>
      <w:r w:rsidR="00960DC6">
        <w:rPr>
          <w:rFonts w:ascii="Times New Roman" w:hAnsi="Times New Roman"/>
          <w:szCs w:val="24"/>
        </w:rPr>
        <w:t xml:space="preserve">or advanced approaches rule) </w:t>
      </w:r>
      <w:r w:rsidR="00792C73">
        <w:rPr>
          <w:rFonts w:ascii="Times New Roman" w:hAnsi="Times New Roman"/>
          <w:szCs w:val="24"/>
        </w:rPr>
        <w:t>for regulatory capital purposes.</w:t>
      </w:r>
      <w:r w:rsidR="00960DC6">
        <w:rPr>
          <w:rStyle w:val="FootnoteReference"/>
          <w:rFonts w:ascii="Times New Roman" w:hAnsi="Times New Roman"/>
          <w:szCs w:val="24"/>
        </w:rPr>
        <w:footnoteReference w:id="1"/>
      </w:r>
      <w:r w:rsidR="00792C73">
        <w:rPr>
          <w:rFonts w:ascii="Times New Roman" w:hAnsi="Times New Roman"/>
          <w:szCs w:val="24"/>
        </w:rPr>
        <w:t xml:space="preserve">  Such institutions are referred to as a</w:t>
      </w:r>
      <w:r w:rsidR="00685D7E">
        <w:rPr>
          <w:rFonts w:ascii="Times New Roman" w:hAnsi="Times New Roman"/>
          <w:szCs w:val="24"/>
        </w:rPr>
        <w:t>dvanced approaches institutions</w:t>
      </w:r>
      <w:r w:rsidR="002410F0">
        <w:rPr>
          <w:rStyle w:val="FootnoteReference"/>
          <w:rFonts w:ascii="Times New Roman" w:hAnsi="Times New Roman"/>
          <w:szCs w:val="24"/>
        </w:rPr>
        <w:footnoteReference w:id="2"/>
      </w:r>
      <w:r w:rsidR="00685D7E">
        <w:rPr>
          <w:rFonts w:ascii="Times New Roman" w:hAnsi="Times New Roman"/>
          <w:szCs w:val="24"/>
        </w:rPr>
        <w:t xml:space="preserve"> and must submit the FFIEC 101, </w:t>
      </w:r>
      <w:r w:rsidRPr="00685D7E" w:rsidR="00685D7E">
        <w:rPr>
          <w:rFonts w:ascii="Times New Roman" w:hAnsi="Times New Roman"/>
          <w:szCs w:val="24"/>
        </w:rPr>
        <w:t>Regulatory Capital Reporting for Institutions Subject to the Advanced Capital Adequacy Framework</w:t>
      </w:r>
      <w:r w:rsidR="00685D7E">
        <w:rPr>
          <w:rFonts w:ascii="Times New Roman" w:hAnsi="Times New Roman"/>
          <w:szCs w:val="24"/>
        </w:rPr>
        <w:t>.</w:t>
      </w:r>
      <w:r w:rsidR="002410F0">
        <w:rPr>
          <w:rFonts w:ascii="Times New Roman" w:hAnsi="Times New Roman"/>
          <w:szCs w:val="24"/>
        </w:rPr>
        <w:t xml:space="preserve">  In addition,</w:t>
      </w:r>
      <w:r w:rsidR="00792C73">
        <w:rPr>
          <w:rFonts w:ascii="Times New Roman" w:hAnsi="Times New Roman"/>
          <w:szCs w:val="24"/>
        </w:rPr>
        <w:t xml:space="preserve"> </w:t>
      </w:r>
      <w:r w:rsidRPr="002410F0" w:rsidR="002410F0">
        <w:rPr>
          <w:rFonts w:ascii="Times New Roman" w:hAnsi="Times New Roman"/>
          <w:szCs w:val="24"/>
        </w:rPr>
        <w:t>top-tier Category III bank holding companies, savings and loan holding companies, and insured depository institutions, and all Category III U.S. intermediate holding companies, must complete FFIEC 101 Schedule A, S</w:t>
      </w:r>
      <w:r w:rsidR="00D346EB">
        <w:rPr>
          <w:rFonts w:ascii="Times New Roman" w:hAnsi="Times New Roman"/>
          <w:szCs w:val="24"/>
        </w:rPr>
        <w:t xml:space="preserve">upplementary </w:t>
      </w:r>
      <w:r w:rsidRPr="002410F0" w:rsidR="002410F0">
        <w:rPr>
          <w:rFonts w:ascii="Times New Roman" w:hAnsi="Times New Roman"/>
          <w:szCs w:val="24"/>
        </w:rPr>
        <w:t>L</w:t>
      </w:r>
      <w:r w:rsidR="00D346EB">
        <w:rPr>
          <w:rFonts w:ascii="Times New Roman" w:hAnsi="Times New Roman"/>
          <w:szCs w:val="24"/>
        </w:rPr>
        <w:t xml:space="preserve">everage </w:t>
      </w:r>
      <w:r w:rsidRPr="002410F0" w:rsidR="002410F0">
        <w:rPr>
          <w:rFonts w:ascii="Times New Roman" w:hAnsi="Times New Roman"/>
          <w:szCs w:val="24"/>
        </w:rPr>
        <w:t>R</w:t>
      </w:r>
      <w:r w:rsidR="00D346EB">
        <w:rPr>
          <w:rFonts w:ascii="Times New Roman" w:hAnsi="Times New Roman"/>
          <w:szCs w:val="24"/>
        </w:rPr>
        <w:t>atio</w:t>
      </w:r>
      <w:r w:rsidRPr="002410F0" w:rsidR="002410F0">
        <w:rPr>
          <w:rFonts w:ascii="Times New Roman" w:hAnsi="Times New Roman"/>
          <w:szCs w:val="24"/>
        </w:rPr>
        <w:t xml:space="preserve"> Tables 1 and 2, only and would not complete or file any other part of the FFIEC 101.  </w:t>
      </w:r>
    </w:p>
    <w:p w:rsidR="00D346EB" w:rsidP="002410F0" w:rsidRDefault="00D346EB">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792C73" w:rsidP="002410F0" w:rsidRDefault="00685D7E">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rPr>
        <w:t>The Federal Reserve Board (FRB</w:t>
      </w:r>
      <w:r w:rsidR="00C32505">
        <w:rPr>
          <w:rFonts w:ascii="Times New Roman" w:hAnsi="Times New Roman"/>
        </w:rPr>
        <w:t xml:space="preserve"> or Board</w:t>
      </w:r>
      <w:r>
        <w:rPr>
          <w:rFonts w:ascii="Times New Roman" w:hAnsi="Times New Roman"/>
        </w:rPr>
        <w:t xml:space="preserve">) and the Office of the Comptroller of the Currency (OCC) are also submitting requests to OMB for </w:t>
      </w:r>
      <w:r w:rsidR="008C74A8">
        <w:rPr>
          <w:rFonts w:ascii="Times New Roman" w:hAnsi="Times New Roman"/>
        </w:rPr>
        <w:t>a three-year</w:t>
      </w:r>
      <w:r>
        <w:rPr>
          <w:rFonts w:ascii="Times New Roman" w:hAnsi="Times New Roman"/>
        </w:rPr>
        <w:t xml:space="preserve"> extension, with revision</w:t>
      </w:r>
      <w:r w:rsidR="008F20C9">
        <w:rPr>
          <w:rFonts w:ascii="Times New Roman" w:hAnsi="Times New Roman"/>
        </w:rPr>
        <w:t>,</w:t>
      </w:r>
      <w:r>
        <w:rPr>
          <w:rFonts w:ascii="Times New Roman" w:hAnsi="Times New Roman"/>
        </w:rPr>
        <w:t xml:space="preserve"> of the FFIEC 101 for </w:t>
      </w:r>
      <w:r w:rsidR="00FB2D8D">
        <w:rPr>
          <w:rFonts w:ascii="Times New Roman" w:hAnsi="Times New Roman"/>
        </w:rPr>
        <w:t xml:space="preserve">the </w:t>
      </w:r>
      <w:r>
        <w:rPr>
          <w:rFonts w:ascii="Times New Roman" w:hAnsi="Times New Roman"/>
        </w:rPr>
        <w:t>advanced approaches institutions under their supervision.</w:t>
      </w:r>
      <w:r w:rsidR="00CD4E6B">
        <w:rPr>
          <w:rFonts w:ascii="Times New Roman" w:hAnsi="Times New Roman"/>
        </w:rPr>
        <w:t xml:space="preserve">  </w:t>
      </w:r>
      <w:r w:rsidR="00CD4E6B">
        <w:rPr>
          <w:rFonts w:ascii="Times New Roman" w:hAnsi="Times New Roman"/>
          <w:szCs w:val="24"/>
        </w:rPr>
        <w:t xml:space="preserve">The FFIEC, of which the FDIC, the FRB, and the OCC </w:t>
      </w:r>
      <w:r w:rsidR="008C74A8">
        <w:rPr>
          <w:rFonts w:ascii="Times New Roman" w:hAnsi="Times New Roman"/>
          <w:szCs w:val="24"/>
        </w:rPr>
        <w:t xml:space="preserve">(collectively, the agencies) </w:t>
      </w:r>
      <w:r w:rsidR="00EA4A90">
        <w:rPr>
          <w:rFonts w:ascii="Times New Roman" w:hAnsi="Times New Roman"/>
          <w:szCs w:val="24"/>
        </w:rPr>
        <w:t>are members, has approved the proposed revisions to the FFIEC 101</w:t>
      </w:r>
      <w:r w:rsidR="00CD4E6B">
        <w:rPr>
          <w:rFonts w:ascii="Times New Roman" w:hAnsi="Times New Roman"/>
          <w:szCs w:val="24"/>
        </w:rPr>
        <w:t xml:space="preserve"> reporting requirements.  </w:t>
      </w:r>
      <w:r w:rsidR="003B78E0">
        <w:rPr>
          <w:rFonts w:ascii="Times New Roman" w:hAnsi="Times New Roman"/>
          <w:szCs w:val="24"/>
        </w:rPr>
        <w:t xml:space="preserve"> </w:t>
      </w:r>
    </w:p>
    <w:p w:rsidR="00792C73" w:rsidP="00792C73" w:rsidRDefault="00792C73">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8C74A8" w:rsidP="00792C73" w:rsidRDefault="008C74A8">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sidRPr="00C770DB">
        <w:rPr>
          <w:rFonts w:ascii="Times New Roman" w:hAnsi="Times New Roman"/>
          <w:szCs w:val="24"/>
        </w:rPr>
        <w:t xml:space="preserve">In summary, the </w:t>
      </w:r>
      <w:r>
        <w:rPr>
          <w:rFonts w:ascii="Times New Roman" w:hAnsi="Times New Roman"/>
          <w:szCs w:val="24"/>
        </w:rPr>
        <w:t xml:space="preserve">agencies are </w:t>
      </w:r>
      <w:r w:rsidRPr="00C770DB">
        <w:rPr>
          <w:rFonts w:ascii="Times New Roman" w:hAnsi="Times New Roman"/>
          <w:szCs w:val="24"/>
        </w:rPr>
        <w:t xml:space="preserve">proposing to revise the </w:t>
      </w:r>
      <w:r>
        <w:rPr>
          <w:rFonts w:ascii="Times New Roman" w:hAnsi="Times New Roman"/>
          <w:szCs w:val="24"/>
        </w:rPr>
        <w:t xml:space="preserve">FFIEC 101 </w:t>
      </w:r>
      <w:r w:rsidRPr="00EB14F0" w:rsidR="00EB14F0">
        <w:rPr>
          <w:rFonts w:ascii="Times New Roman" w:hAnsi="Times New Roman"/>
          <w:szCs w:val="24"/>
        </w:rPr>
        <w:t>information collections to implement various changes to the agencies’ regulatory capital rule</w:t>
      </w:r>
      <w:r w:rsidR="00C67EAF">
        <w:rPr>
          <w:rFonts w:ascii="Times New Roman" w:hAnsi="Times New Roman"/>
          <w:szCs w:val="24"/>
        </w:rPr>
        <w:t>s</w:t>
      </w:r>
      <w:r w:rsidRPr="00EB14F0" w:rsidR="00EB14F0">
        <w:rPr>
          <w:rFonts w:ascii="Times New Roman" w:hAnsi="Times New Roman"/>
          <w:szCs w:val="24"/>
        </w:rPr>
        <w:t xml:space="preserve"> in response to several recently adopted final rules.  The changes to the agencies’ regulatory capital rule</w:t>
      </w:r>
      <w:r w:rsidR="00F81EA6">
        <w:rPr>
          <w:rFonts w:ascii="Times New Roman" w:hAnsi="Times New Roman"/>
          <w:szCs w:val="24"/>
        </w:rPr>
        <w:t>s</w:t>
      </w:r>
      <w:r w:rsidRPr="00EB14F0" w:rsidR="00EB14F0">
        <w:rPr>
          <w:rFonts w:ascii="Times New Roman" w:hAnsi="Times New Roman"/>
          <w:szCs w:val="24"/>
        </w:rPr>
        <w:t xml:space="preserve"> are the tailoring rule,</w:t>
      </w:r>
      <w:r w:rsidR="00EB14F0">
        <w:rPr>
          <w:rStyle w:val="FootnoteReference"/>
          <w:rFonts w:ascii="Times New Roman" w:hAnsi="Times New Roman"/>
          <w:szCs w:val="24"/>
        </w:rPr>
        <w:footnoteReference w:id="3"/>
      </w:r>
      <w:r w:rsidRPr="00EB14F0" w:rsidR="00EB14F0">
        <w:rPr>
          <w:rFonts w:ascii="Times New Roman" w:hAnsi="Times New Roman"/>
          <w:szCs w:val="24"/>
        </w:rPr>
        <w:t xml:space="preserve">  the supplementary leverage ratio (SLR) revisions for certain central bank deposits of custodial banks,</w:t>
      </w:r>
      <w:r w:rsidR="00EB14F0">
        <w:rPr>
          <w:rStyle w:val="FootnoteReference"/>
          <w:rFonts w:ascii="Times New Roman" w:hAnsi="Times New Roman"/>
          <w:szCs w:val="24"/>
        </w:rPr>
        <w:footnoteReference w:id="4"/>
      </w:r>
      <w:r w:rsidRPr="00EB14F0" w:rsidR="00EB14F0">
        <w:rPr>
          <w:rFonts w:ascii="Times New Roman" w:hAnsi="Times New Roman"/>
          <w:szCs w:val="24"/>
        </w:rPr>
        <w:t xml:space="preserve"> the rule for the standardized approach for counterparty credit risk </w:t>
      </w:r>
      <w:r w:rsidRPr="00EB14F0" w:rsidR="00EB14F0">
        <w:rPr>
          <w:rFonts w:ascii="Times New Roman" w:hAnsi="Times New Roman"/>
          <w:szCs w:val="24"/>
        </w:rPr>
        <w:lastRenderedPageBreak/>
        <w:t>(SA-CCR) on derivative contracts,</w:t>
      </w:r>
      <w:r w:rsidR="00EB14F0">
        <w:rPr>
          <w:rStyle w:val="FootnoteReference"/>
          <w:rFonts w:ascii="Times New Roman" w:hAnsi="Times New Roman"/>
          <w:szCs w:val="24"/>
        </w:rPr>
        <w:footnoteReference w:id="5"/>
      </w:r>
      <w:r w:rsidRPr="00EB14F0" w:rsidR="00EB14F0">
        <w:rPr>
          <w:rFonts w:ascii="Times New Roman" w:hAnsi="Times New Roman"/>
          <w:szCs w:val="24"/>
        </w:rPr>
        <w:t xml:space="preserve"> and the high volatility commercial real estate (HVCRE) exposures rule.</w:t>
      </w:r>
      <w:r w:rsidR="00EB14F0">
        <w:rPr>
          <w:rStyle w:val="FootnoteReference"/>
          <w:rFonts w:ascii="Times New Roman" w:hAnsi="Times New Roman"/>
          <w:szCs w:val="24"/>
        </w:rPr>
        <w:footnoteReference w:id="6"/>
      </w:r>
    </w:p>
    <w:p w:rsidRPr="00685D7E" w:rsidR="00685D7E" w:rsidP="00792C73" w:rsidRDefault="00685D7E">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sidRPr="00685D7E">
        <w:rPr>
          <w:rFonts w:ascii="Times New Roman" w:hAnsi="Times New Roman"/>
          <w:szCs w:val="24"/>
        </w:rPr>
        <w:t xml:space="preserve">  </w:t>
      </w:r>
    </w:p>
    <w:p w:rsidRPr="00EB14F0" w:rsidR="00EB14F0" w:rsidP="00EB14F0" w:rsidRDefault="00EB14F0">
      <w:pPr>
        <w:rPr>
          <w:rFonts w:ascii="Times New Roman" w:hAnsi="Times New Roman"/>
          <w:szCs w:val="24"/>
        </w:rPr>
      </w:pPr>
      <w:r w:rsidRPr="00EB14F0">
        <w:rPr>
          <w:rFonts w:ascii="Times New Roman" w:hAnsi="Times New Roman"/>
          <w:szCs w:val="24"/>
        </w:rPr>
        <w:t xml:space="preserve">The agencies propose to make the capital-related reporting changes identified above effective the same quarters as the effective dates of the related final capital rules.  Thus, </w:t>
      </w:r>
      <w:r>
        <w:rPr>
          <w:rFonts w:ascii="Times New Roman" w:hAnsi="Times New Roman"/>
          <w:szCs w:val="24"/>
        </w:rPr>
        <w:t xml:space="preserve">the revisions to </w:t>
      </w:r>
      <w:r w:rsidRPr="00EB14F0">
        <w:rPr>
          <w:rFonts w:ascii="Times New Roman" w:hAnsi="Times New Roman"/>
          <w:szCs w:val="24"/>
        </w:rPr>
        <w:t xml:space="preserve">the </w:t>
      </w:r>
      <w:r>
        <w:rPr>
          <w:rFonts w:ascii="Times New Roman" w:hAnsi="Times New Roman"/>
          <w:szCs w:val="24"/>
        </w:rPr>
        <w:t>FFIEC 101</w:t>
      </w:r>
      <w:r w:rsidRPr="00EB14F0">
        <w:rPr>
          <w:rFonts w:ascii="Times New Roman" w:hAnsi="Times New Roman"/>
          <w:szCs w:val="24"/>
        </w:rPr>
        <w:t xml:space="preserve"> </w:t>
      </w:r>
      <w:r>
        <w:rPr>
          <w:rFonts w:ascii="Times New Roman" w:hAnsi="Times New Roman"/>
          <w:szCs w:val="24"/>
        </w:rPr>
        <w:t xml:space="preserve">for the tailoring rule </w:t>
      </w:r>
      <w:r w:rsidRPr="00EB14F0">
        <w:rPr>
          <w:rFonts w:ascii="Times New Roman" w:hAnsi="Times New Roman"/>
          <w:szCs w:val="24"/>
        </w:rPr>
        <w:t xml:space="preserve">would take effect March 31, 2020.  The </w:t>
      </w:r>
      <w:r>
        <w:rPr>
          <w:rFonts w:ascii="Times New Roman" w:hAnsi="Times New Roman"/>
          <w:szCs w:val="24"/>
        </w:rPr>
        <w:t>FFIEC 101</w:t>
      </w:r>
      <w:r w:rsidRPr="00EB14F0">
        <w:rPr>
          <w:rFonts w:ascii="Times New Roman" w:hAnsi="Times New Roman"/>
          <w:szCs w:val="24"/>
        </w:rPr>
        <w:t xml:space="preserve"> revisions would take effect June 30, 2020, for the custodial bank SLR final rule, the SA-CCR final rule, and the HVCRE exposures final rule.  However, the mandatory compliance date for reporting in accordance with the SA-CCR final rule is the March 31, 2022, report date.  </w:t>
      </w:r>
    </w:p>
    <w:p w:rsidR="00685D7E" w:rsidP="00792C73" w:rsidRDefault="00685D7E">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Pr="00685D7E" w:rsidR="00C06461" w:rsidP="00792C73" w:rsidRDefault="00C06461">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3B78E0" w:rsidRDefault="00A41B62">
      <w:pPr>
        <w:pStyle w:val="Heading2"/>
        <w:widowControl/>
        <w:rPr>
          <w:rFonts w:ascii="Times New Roman" w:hAnsi="Times New Roman"/>
          <w:sz w:val="24"/>
        </w:rPr>
      </w:pPr>
      <w:r>
        <w:rPr>
          <w:rFonts w:ascii="Times New Roman" w:hAnsi="Times New Roman"/>
          <w:sz w:val="24"/>
          <w:u w:val="none"/>
        </w:rPr>
        <w:t>A.</w:t>
      </w:r>
      <w:r>
        <w:rPr>
          <w:rFonts w:ascii="Times New Roman" w:hAnsi="Times New Roman"/>
          <w:sz w:val="24"/>
          <w:u w:val="none"/>
        </w:rPr>
        <w:tab/>
      </w:r>
      <w:r w:rsidR="003B78E0">
        <w:rPr>
          <w:rFonts w:ascii="Times New Roman" w:hAnsi="Times New Roman"/>
          <w:sz w:val="24"/>
        </w:rPr>
        <w:t>JUSTIFICATION</w:t>
      </w: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 xml:space="preserve">1.  </w:t>
      </w:r>
      <w:r w:rsidRPr="0063519F" w:rsidR="006111E5">
        <w:rPr>
          <w:rFonts w:ascii="Times New Roman" w:hAnsi="Times New Roman"/>
          <w:bCs/>
          <w:szCs w:val="24"/>
          <w:u w:val="single"/>
        </w:rPr>
        <w:t>Circumstances that make the collection necessary:</w:t>
      </w: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091712" w:rsidP="00CD4E6B"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szCs w:val="24"/>
        </w:rPr>
        <w:t xml:space="preserve">The U.S. implementation of the Advanced Capital Adequacy Framework </w:t>
      </w:r>
      <w:r w:rsidR="00F35587">
        <w:rPr>
          <w:rFonts w:ascii="Times New Roman" w:hAnsi="Times New Roman"/>
          <w:szCs w:val="24"/>
        </w:rPr>
        <w:t>was initially</w:t>
      </w:r>
      <w:r>
        <w:rPr>
          <w:rFonts w:ascii="Times New Roman" w:hAnsi="Times New Roman"/>
          <w:szCs w:val="24"/>
        </w:rPr>
        <w:t xml:space="preserve"> detailed in </w:t>
      </w:r>
      <w:r>
        <w:rPr>
          <w:rFonts w:ascii="Times New Roman" w:hAnsi="Times New Roman"/>
        </w:rPr>
        <w:t xml:space="preserve">the agencies’ Risk Based Capital Standards: </w:t>
      </w:r>
      <w:r w:rsidR="00BF20A4">
        <w:rPr>
          <w:rFonts w:ascii="Times New Roman" w:hAnsi="Times New Roman"/>
        </w:rPr>
        <w:t xml:space="preserve"> </w:t>
      </w:r>
      <w:r>
        <w:rPr>
          <w:rFonts w:ascii="Times New Roman" w:hAnsi="Times New Roman"/>
        </w:rPr>
        <w:t xml:space="preserve">Advanced Capital Adequacy Framework – Basel II. This </w:t>
      </w:r>
      <w:r>
        <w:rPr>
          <w:rFonts w:ascii="Times New Roman" w:hAnsi="Times New Roman"/>
          <w:szCs w:val="24"/>
        </w:rPr>
        <w:t xml:space="preserve">final rule was published on December 7, 2007 (72 FR 69288), and became effective April 1, 2008.  </w:t>
      </w:r>
      <w:r w:rsidR="00BF3E4F">
        <w:rPr>
          <w:rFonts w:ascii="Times New Roman" w:hAnsi="Times New Roman"/>
        </w:rPr>
        <w:t>Th</w:t>
      </w:r>
      <w:r w:rsidR="008543D0">
        <w:rPr>
          <w:rFonts w:ascii="Times New Roman" w:hAnsi="Times New Roman"/>
        </w:rPr>
        <w:t>e</w:t>
      </w:r>
      <w:r w:rsidR="00BF3E4F">
        <w:rPr>
          <w:rFonts w:ascii="Times New Roman" w:hAnsi="Times New Roman"/>
        </w:rPr>
        <w:t xml:space="preserve"> Basel II final rule includes an advanced internal ratings-based approach for calculating regulatory credit risk capital and advanced measurement approaches for calculating regulatory operational risk capital.  </w:t>
      </w:r>
      <w:r w:rsidR="00B323EA">
        <w:rPr>
          <w:rFonts w:ascii="Times New Roman" w:hAnsi="Times New Roman"/>
          <w:szCs w:val="24"/>
        </w:rPr>
        <w:t>The agencies approved revisions to th</w:t>
      </w:r>
      <w:r w:rsidR="00BF3E4F">
        <w:rPr>
          <w:rFonts w:ascii="Times New Roman" w:hAnsi="Times New Roman"/>
          <w:szCs w:val="24"/>
        </w:rPr>
        <w:t>e Advanced Capital Adequacy F</w:t>
      </w:r>
      <w:r w:rsidR="00B323EA">
        <w:rPr>
          <w:rFonts w:ascii="Times New Roman" w:hAnsi="Times New Roman"/>
          <w:szCs w:val="24"/>
        </w:rPr>
        <w:t>ramework as part of the</w:t>
      </w:r>
      <w:r w:rsidR="00091712">
        <w:rPr>
          <w:rFonts w:ascii="Times New Roman" w:hAnsi="Times New Roman"/>
          <w:szCs w:val="24"/>
        </w:rPr>
        <w:t xml:space="preserve">ir comprehensive </w:t>
      </w:r>
      <w:r w:rsidRPr="00B323EA" w:rsidR="00B323EA">
        <w:rPr>
          <w:rFonts w:ascii="Times New Roman" w:hAnsi="Times New Roman"/>
          <w:szCs w:val="24"/>
        </w:rPr>
        <w:t>revis</w:t>
      </w:r>
      <w:r w:rsidR="00091712">
        <w:rPr>
          <w:rFonts w:ascii="Times New Roman" w:hAnsi="Times New Roman"/>
          <w:szCs w:val="24"/>
        </w:rPr>
        <w:t>ions to the</w:t>
      </w:r>
      <w:r w:rsidRPr="00B323EA" w:rsidR="00B323EA">
        <w:rPr>
          <w:rFonts w:ascii="Times New Roman" w:hAnsi="Times New Roman"/>
          <w:szCs w:val="24"/>
        </w:rPr>
        <w:t xml:space="preserve"> regulatory capital rules</w:t>
      </w:r>
      <w:r w:rsidR="00B323EA">
        <w:rPr>
          <w:rFonts w:ascii="Times New Roman" w:hAnsi="Times New Roman"/>
          <w:szCs w:val="24"/>
        </w:rPr>
        <w:t xml:space="preserve"> adopted in July 2013</w:t>
      </w:r>
      <w:r w:rsidRPr="00B323EA" w:rsidR="00B323EA">
        <w:rPr>
          <w:rFonts w:ascii="Times New Roman" w:hAnsi="Times New Roman"/>
          <w:szCs w:val="24"/>
        </w:rPr>
        <w:t>:</w:t>
      </w:r>
      <w:r w:rsidR="00B323EA">
        <w:rPr>
          <w:rFonts w:ascii="Times New Roman" w:hAnsi="Times New Roman"/>
          <w:szCs w:val="24"/>
        </w:rPr>
        <w:t xml:space="preserve"> </w:t>
      </w:r>
      <w:r w:rsidRPr="00B323EA" w:rsidR="00B323EA">
        <w:rPr>
          <w:rFonts w:ascii="Times New Roman" w:hAnsi="Times New Roman"/>
          <w:szCs w:val="24"/>
        </w:rPr>
        <w:t xml:space="preserve"> 78 FR 62018, October 11, 2013 (</w:t>
      </w:r>
      <w:r w:rsidR="00B323EA">
        <w:rPr>
          <w:rFonts w:ascii="Times New Roman" w:hAnsi="Times New Roman"/>
          <w:szCs w:val="24"/>
        </w:rPr>
        <w:t>FRB</w:t>
      </w:r>
      <w:r w:rsidRPr="00B323EA" w:rsidR="00B323EA">
        <w:rPr>
          <w:rFonts w:ascii="Times New Roman" w:hAnsi="Times New Roman"/>
          <w:szCs w:val="24"/>
        </w:rPr>
        <w:t xml:space="preserve"> and OCC); 78 FR 55340, September 10, 2013 (FDIC).  </w:t>
      </w:r>
      <w:r w:rsidR="00A3261D">
        <w:rPr>
          <w:rFonts w:ascii="Times New Roman" w:hAnsi="Times New Roman"/>
          <w:szCs w:val="24"/>
        </w:rPr>
        <w:t>These revisions took effect for advanced approaches institutions on January 1, 2014.</w:t>
      </w:r>
      <w:r w:rsidR="00CD4E6B">
        <w:rPr>
          <w:rFonts w:ascii="Times New Roman" w:hAnsi="Times New Roman"/>
          <w:szCs w:val="24"/>
        </w:rPr>
        <w:t xml:space="preserve">  </w:t>
      </w:r>
    </w:p>
    <w:p w:rsidR="00091712" w:rsidP="009D6909" w:rsidRDefault="00091712">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Pr="009D6909" w:rsidR="009D6909" w:rsidP="009D6909" w:rsidRDefault="009D6909">
      <w:pPr>
        <w:widowControl/>
        <w:rPr>
          <w:rFonts w:ascii="Times New Roman" w:hAnsi="Times New Roman"/>
          <w:snapToGrid/>
          <w:szCs w:val="24"/>
        </w:rPr>
      </w:pPr>
      <w:r w:rsidRPr="009D6909">
        <w:rPr>
          <w:rFonts w:ascii="Times New Roman" w:hAnsi="Times New Roman"/>
          <w:snapToGrid/>
          <w:szCs w:val="24"/>
        </w:rPr>
        <w:t>On November 1, 2019, the agencies published a final rule to revise the criteria for determining the applicability of regulatory capital and liquidity requirements for large U.S. banking organizations and the U.S. intermediate holding companies of certain foreign banking organizations (tailoring final rule).</w:t>
      </w:r>
      <w:r w:rsidRPr="009D6909">
        <w:rPr>
          <w:rFonts w:ascii="Times New Roman" w:hAnsi="Times New Roman"/>
          <w:snapToGrid/>
          <w:szCs w:val="24"/>
          <w:vertAlign w:val="superscript"/>
        </w:rPr>
        <w:footnoteReference w:id="7"/>
      </w:r>
      <w:r>
        <w:rPr>
          <w:rFonts w:ascii="Times New Roman" w:hAnsi="Times New Roman"/>
          <w:snapToGrid/>
          <w:szCs w:val="24"/>
        </w:rPr>
        <w:t xml:space="preserve">  </w:t>
      </w:r>
      <w:r w:rsidRPr="009D6909">
        <w:rPr>
          <w:rFonts w:ascii="Times New Roman" w:hAnsi="Times New Roman"/>
          <w:snapToGrid/>
          <w:szCs w:val="24"/>
        </w:rPr>
        <w:t>Under the tailoring final rule, the most stringent set of standards (Category I) applies to U.S. global systemically important banks (GSIBs).  The second set of standards (Category II) applies to banking organizations that are very large or have significant international activity, but are not GSIBs.  The third set of standards (Category III) applies to banking organizations with $250 billion or more in total consolidated assets that do not meet the criteria for Category I or II.  The third set of standards also applies to banking organizations with total consolidated assets of $100 billion or more, but less than $250 billion, that meet or exceed other specified risk-based indicators.  The fourth set of standards (Category IV) applies to banking organizations with total consolidated assets of $100 billion or more that do not meet the thresholds for one of the other categories.</w:t>
      </w:r>
      <w:r w:rsidR="00143877">
        <w:rPr>
          <w:rFonts w:ascii="Times New Roman" w:hAnsi="Times New Roman"/>
          <w:snapToGrid/>
          <w:szCs w:val="24"/>
        </w:rPr>
        <w:t xml:space="preserve">  </w:t>
      </w:r>
      <w:r w:rsidRPr="009D6909">
        <w:rPr>
          <w:rFonts w:ascii="Times New Roman" w:hAnsi="Times New Roman"/>
          <w:snapToGrid/>
          <w:szCs w:val="24"/>
        </w:rPr>
        <w:t>Under the tailoring final rule, depository institution subsidiaries generally are subject to the same category of standards that apply at the holding company level.</w:t>
      </w:r>
      <w:r w:rsidRPr="009D6909">
        <w:rPr>
          <w:rFonts w:ascii="Times New Roman" w:hAnsi="Times New Roman"/>
          <w:snapToGrid/>
          <w:szCs w:val="24"/>
          <w:vertAlign w:val="superscript"/>
        </w:rPr>
        <w:footnoteReference w:id="8"/>
      </w:r>
      <w:r w:rsidRPr="009D6909">
        <w:rPr>
          <w:rFonts w:ascii="Times New Roman" w:hAnsi="Times New Roman"/>
          <w:snapToGrid/>
          <w:szCs w:val="24"/>
        </w:rPr>
        <w:t xml:space="preserve">    </w:t>
      </w:r>
    </w:p>
    <w:p w:rsidR="009D6909" w:rsidP="00CD4E6B" w:rsidRDefault="009D6909">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9D6909" w:rsidP="00CD4E6B" w:rsidRDefault="009D6909">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Pr="00792C73" w:rsidR="00BF20A4" w:rsidP="00BF20A4" w:rsidRDefault="001C3E2A">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szCs w:val="24"/>
        </w:rPr>
        <w:t>As a result of the tailoring final rule, a</w:t>
      </w:r>
      <w:r w:rsidRPr="00792C73" w:rsidR="00BF20A4">
        <w:rPr>
          <w:rFonts w:ascii="Times New Roman" w:hAnsi="Times New Roman"/>
          <w:szCs w:val="24"/>
        </w:rPr>
        <w:t xml:space="preserve"> bank, savings association, bank holding company, savings and loan holding company</w:t>
      </w:r>
      <w:r w:rsidR="008C74A8">
        <w:rPr>
          <w:rFonts w:ascii="Times New Roman" w:hAnsi="Times New Roman"/>
          <w:szCs w:val="24"/>
        </w:rPr>
        <w:t>, or U.S. intermediate holding company</w:t>
      </w:r>
      <w:r w:rsidR="00BF20A4">
        <w:rPr>
          <w:rStyle w:val="FootnoteReference"/>
          <w:rFonts w:ascii="Times New Roman" w:hAnsi="Times New Roman"/>
          <w:szCs w:val="24"/>
        </w:rPr>
        <w:footnoteReference w:id="9"/>
      </w:r>
      <w:r w:rsidRPr="00792C73" w:rsidR="00BF20A4">
        <w:rPr>
          <w:rFonts w:ascii="Times New Roman" w:hAnsi="Times New Roman"/>
          <w:szCs w:val="24"/>
        </w:rPr>
        <w:t xml:space="preserve"> must apply </w:t>
      </w:r>
      <w:r w:rsidR="00BF20A4">
        <w:rPr>
          <w:rFonts w:ascii="Times New Roman" w:hAnsi="Times New Roman"/>
          <w:szCs w:val="24"/>
        </w:rPr>
        <w:t xml:space="preserve">the Advanced Capital Adequacy Framework </w:t>
      </w:r>
      <w:r w:rsidRPr="00792C73" w:rsidR="00BF20A4">
        <w:rPr>
          <w:rFonts w:ascii="Times New Roman" w:hAnsi="Times New Roman"/>
          <w:szCs w:val="24"/>
        </w:rPr>
        <w:t xml:space="preserve">if </w:t>
      </w:r>
      <w:r w:rsidR="00BF20A4">
        <w:rPr>
          <w:rFonts w:ascii="Times New Roman" w:hAnsi="Times New Roman"/>
          <w:szCs w:val="24"/>
        </w:rPr>
        <w:t>it</w:t>
      </w:r>
      <w:r w:rsidRPr="00792C73" w:rsidR="00BF20A4">
        <w:rPr>
          <w:rFonts w:ascii="Times New Roman" w:hAnsi="Times New Roman"/>
          <w:szCs w:val="24"/>
        </w:rPr>
        <w:t>:</w:t>
      </w:r>
    </w:p>
    <w:p w:rsidRPr="00792C73" w:rsidR="00BF20A4" w:rsidP="00BF20A4" w:rsidRDefault="00BF20A4">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1C3E2A" w:rsidP="00BF3E4F" w:rsidRDefault="00BF20A4">
      <w:pPr>
        <w:widowControl/>
        <w:tabs>
          <w:tab w:val="left" w:pos="432"/>
        </w:tabs>
        <w:suppressAutoHyphens/>
        <w:ind w:left="432" w:hanging="432"/>
        <w:rPr>
          <w:rFonts w:ascii="Times New Roman" w:hAnsi="Times New Roman"/>
          <w:szCs w:val="24"/>
        </w:rPr>
      </w:pPr>
      <w:r w:rsidRPr="00792C73">
        <w:rPr>
          <w:rFonts w:ascii="Times New Roman" w:hAnsi="Times New Roman"/>
          <w:szCs w:val="24"/>
        </w:rPr>
        <w:t>(i)</w:t>
      </w:r>
      <w:r>
        <w:rPr>
          <w:rFonts w:ascii="Times New Roman" w:hAnsi="Times New Roman"/>
          <w:szCs w:val="24"/>
        </w:rPr>
        <w:tab/>
      </w:r>
      <w:r w:rsidR="001C3E2A">
        <w:rPr>
          <w:rFonts w:ascii="Times New Roman" w:hAnsi="Times New Roman"/>
          <w:szCs w:val="24"/>
        </w:rPr>
        <w:t>Is a U.S. global systemically important bank holding company;</w:t>
      </w:r>
    </w:p>
    <w:p w:rsidRPr="00792C73" w:rsidR="00BF20A4" w:rsidP="00BF3E4F" w:rsidRDefault="009F3E80">
      <w:pPr>
        <w:widowControl/>
        <w:tabs>
          <w:tab w:val="left" w:pos="432"/>
        </w:tabs>
        <w:suppressAutoHyphens/>
        <w:ind w:left="432" w:hanging="432"/>
        <w:rPr>
          <w:rFonts w:ascii="Times New Roman" w:hAnsi="Times New Roman"/>
          <w:szCs w:val="24"/>
        </w:rPr>
      </w:pPr>
      <w:r>
        <w:rPr>
          <w:rFonts w:ascii="Times New Roman" w:hAnsi="Times New Roman"/>
          <w:szCs w:val="24"/>
        </w:rPr>
        <w:t>(ii)</w:t>
      </w:r>
      <w:r>
        <w:rPr>
          <w:rFonts w:ascii="Times New Roman" w:hAnsi="Times New Roman"/>
          <w:szCs w:val="24"/>
        </w:rPr>
        <w:tab/>
      </w:r>
      <w:r w:rsidR="00BF20A4">
        <w:rPr>
          <w:rFonts w:ascii="Times New Roman" w:hAnsi="Times New Roman"/>
          <w:szCs w:val="24"/>
        </w:rPr>
        <w:t>H</w:t>
      </w:r>
      <w:r w:rsidRPr="00792C73" w:rsidR="00BF20A4">
        <w:rPr>
          <w:rFonts w:ascii="Times New Roman" w:hAnsi="Times New Roman"/>
          <w:szCs w:val="24"/>
        </w:rPr>
        <w:t xml:space="preserve">as consolidated total assets </w:t>
      </w:r>
      <w:r w:rsidR="001C3E2A">
        <w:rPr>
          <w:rFonts w:ascii="Times New Roman" w:hAnsi="Times New Roman"/>
          <w:szCs w:val="24"/>
        </w:rPr>
        <w:t>based on the average of the four most recent calendar quarters</w:t>
      </w:r>
      <w:r>
        <w:rPr>
          <w:rFonts w:ascii="Times New Roman" w:hAnsi="Times New Roman"/>
          <w:szCs w:val="24"/>
        </w:rPr>
        <w:t>, for the most recent quarter</w:t>
      </w:r>
      <w:r w:rsidR="001C3E2A">
        <w:rPr>
          <w:rFonts w:ascii="Times New Roman" w:hAnsi="Times New Roman"/>
          <w:szCs w:val="24"/>
        </w:rPr>
        <w:t xml:space="preserve"> or the average of the most recent quarters</w:t>
      </w:r>
      <w:r>
        <w:rPr>
          <w:rFonts w:ascii="Times New Roman" w:hAnsi="Times New Roman"/>
          <w:szCs w:val="24"/>
        </w:rPr>
        <w:t>, as applicable,</w:t>
      </w:r>
      <w:r w:rsidR="001C3E2A">
        <w:rPr>
          <w:rFonts w:ascii="Times New Roman" w:hAnsi="Times New Roman"/>
          <w:szCs w:val="24"/>
        </w:rPr>
        <w:t xml:space="preserve"> </w:t>
      </w:r>
      <w:r w:rsidRPr="00792C73" w:rsidR="00BF20A4">
        <w:rPr>
          <w:rFonts w:ascii="Times New Roman" w:hAnsi="Times New Roman"/>
          <w:szCs w:val="24"/>
        </w:rPr>
        <w:t>equal to $</w:t>
      </w:r>
      <w:r>
        <w:rPr>
          <w:rFonts w:ascii="Times New Roman" w:hAnsi="Times New Roman"/>
          <w:szCs w:val="24"/>
        </w:rPr>
        <w:t>700</w:t>
      </w:r>
      <w:r w:rsidRPr="00792C73" w:rsidR="00BF20A4">
        <w:rPr>
          <w:rFonts w:ascii="Times New Roman" w:hAnsi="Times New Roman"/>
          <w:szCs w:val="24"/>
        </w:rPr>
        <w:t xml:space="preserve"> billion or more; </w:t>
      </w:r>
    </w:p>
    <w:p w:rsidRPr="00792C73" w:rsidR="00BF20A4" w:rsidP="00BF3E4F" w:rsidRDefault="00BF20A4">
      <w:pPr>
        <w:widowControl/>
        <w:tabs>
          <w:tab w:val="left" w:pos="432"/>
        </w:tabs>
        <w:suppressAutoHyphens/>
        <w:ind w:left="432" w:hanging="432"/>
        <w:rPr>
          <w:rFonts w:ascii="Times New Roman" w:hAnsi="Times New Roman"/>
          <w:szCs w:val="24"/>
        </w:rPr>
      </w:pPr>
      <w:r w:rsidRPr="00792C73">
        <w:rPr>
          <w:rFonts w:ascii="Times New Roman" w:hAnsi="Times New Roman"/>
          <w:szCs w:val="24"/>
        </w:rPr>
        <w:t>(i</w:t>
      </w:r>
      <w:r w:rsidR="009F3E80">
        <w:rPr>
          <w:rFonts w:ascii="Times New Roman" w:hAnsi="Times New Roman"/>
          <w:szCs w:val="24"/>
        </w:rPr>
        <w:t>i</w:t>
      </w:r>
      <w:r w:rsidRPr="00792C73">
        <w:rPr>
          <w:rFonts w:ascii="Times New Roman" w:hAnsi="Times New Roman"/>
          <w:szCs w:val="24"/>
        </w:rPr>
        <w:t>i)</w:t>
      </w:r>
      <w:r>
        <w:rPr>
          <w:rFonts w:ascii="Times New Roman" w:hAnsi="Times New Roman"/>
          <w:szCs w:val="24"/>
        </w:rPr>
        <w:tab/>
      </w:r>
      <w:r w:rsidRPr="00792C73">
        <w:rPr>
          <w:rFonts w:ascii="Times New Roman" w:hAnsi="Times New Roman"/>
          <w:szCs w:val="24"/>
        </w:rPr>
        <w:t xml:space="preserve">Has </w:t>
      </w:r>
      <w:r w:rsidR="009F3E80">
        <w:rPr>
          <w:rFonts w:ascii="Times New Roman" w:hAnsi="Times New Roman"/>
          <w:szCs w:val="24"/>
        </w:rPr>
        <w:t xml:space="preserve">cross-jurisdictional activity based on the average of the four most recent calendar quarters, for the most recent quarter or the average of the most recent quarters, as applicable, </w:t>
      </w:r>
      <w:r w:rsidRPr="00792C73">
        <w:rPr>
          <w:rFonts w:ascii="Times New Roman" w:hAnsi="Times New Roman"/>
          <w:szCs w:val="24"/>
        </w:rPr>
        <w:t>equal to $</w:t>
      </w:r>
      <w:r w:rsidR="009F3E80">
        <w:rPr>
          <w:rFonts w:ascii="Times New Roman" w:hAnsi="Times New Roman"/>
          <w:szCs w:val="24"/>
        </w:rPr>
        <w:t>75</w:t>
      </w:r>
      <w:r w:rsidRPr="00792C73">
        <w:rPr>
          <w:rFonts w:ascii="Times New Roman" w:hAnsi="Times New Roman"/>
          <w:szCs w:val="24"/>
        </w:rPr>
        <w:t xml:space="preserve"> billion or more; </w:t>
      </w:r>
    </w:p>
    <w:p w:rsidRPr="00792C73" w:rsidR="00BF20A4" w:rsidP="00BF3E4F" w:rsidRDefault="00BF20A4">
      <w:pPr>
        <w:widowControl/>
        <w:tabs>
          <w:tab w:val="left" w:pos="432"/>
        </w:tabs>
        <w:suppressAutoHyphens/>
        <w:ind w:left="432" w:hanging="432"/>
        <w:rPr>
          <w:rFonts w:ascii="Times New Roman" w:hAnsi="Times New Roman"/>
          <w:szCs w:val="24"/>
        </w:rPr>
      </w:pPr>
      <w:r w:rsidRPr="00792C73">
        <w:rPr>
          <w:rFonts w:ascii="Times New Roman" w:hAnsi="Times New Roman"/>
          <w:szCs w:val="24"/>
        </w:rPr>
        <w:t>(i</w:t>
      </w:r>
      <w:r w:rsidR="009F3E80">
        <w:rPr>
          <w:rFonts w:ascii="Times New Roman" w:hAnsi="Times New Roman"/>
          <w:szCs w:val="24"/>
        </w:rPr>
        <w:t>v</w:t>
      </w:r>
      <w:r w:rsidRPr="00792C73">
        <w:rPr>
          <w:rFonts w:ascii="Times New Roman" w:hAnsi="Times New Roman"/>
          <w:szCs w:val="24"/>
        </w:rPr>
        <w:t>)</w:t>
      </w:r>
      <w:r w:rsidR="00BF3E4F">
        <w:rPr>
          <w:rFonts w:ascii="Times New Roman" w:hAnsi="Times New Roman"/>
          <w:szCs w:val="24"/>
        </w:rPr>
        <w:tab/>
      </w:r>
      <w:r w:rsidRPr="00792C73">
        <w:rPr>
          <w:rFonts w:ascii="Times New Roman" w:hAnsi="Times New Roman"/>
          <w:szCs w:val="24"/>
        </w:rPr>
        <w:t xml:space="preserve">Is a subsidiary of a depository institution that uses the </w:t>
      </w:r>
      <w:r>
        <w:rPr>
          <w:rFonts w:ascii="Times New Roman" w:hAnsi="Times New Roman"/>
          <w:szCs w:val="24"/>
        </w:rPr>
        <w:t xml:space="preserve">Advanced Capital Adequacy Framework </w:t>
      </w:r>
      <w:r w:rsidRPr="00792C73">
        <w:rPr>
          <w:rFonts w:ascii="Times New Roman" w:hAnsi="Times New Roman"/>
          <w:szCs w:val="24"/>
        </w:rPr>
        <w:t xml:space="preserve">to calculate its total risk-weighted assets; </w:t>
      </w:r>
    </w:p>
    <w:p w:rsidRPr="00792C73" w:rsidR="00BF20A4" w:rsidP="00BF3E4F" w:rsidRDefault="00BF20A4">
      <w:pPr>
        <w:widowControl/>
        <w:tabs>
          <w:tab w:val="left" w:pos="432"/>
        </w:tabs>
        <w:suppressAutoHyphens/>
        <w:ind w:left="432" w:hanging="432"/>
        <w:rPr>
          <w:rFonts w:ascii="Times New Roman" w:hAnsi="Times New Roman"/>
          <w:szCs w:val="24"/>
        </w:rPr>
      </w:pPr>
      <w:r w:rsidRPr="00792C73">
        <w:rPr>
          <w:rFonts w:ascii="Times New Roman" w:hAnsi="Times New Roman"/>
          <w:szCs w:val="24"/>
        </w:rPr>
        <w:t>(v)</w:t>
      </w:r>
      <w:r w:rsidR="00BF3E4F">
        <w:rPr>
          <w:rFonts w:ascii="Times New Roman" w:hAnsi="Times New Roman"/>
          <w:szCs w:val="24"/>
        </w:rPr>
        <w:tab/>
      </w:r>
      <w:r w:rsidRPr="00792C73">
        <w:rPr>
          <w:rFonts w:ascii="Times New Roman" w:hAnsi="Times New Roman"/>
          <w:szCs w:val="24"/>
        </w:rPr>
        <w:t xml:space="preserve">Is a subsidiary of a bank holding company or savings and loan holding company that uses the </w:t>
      </w:r>
      <w:r>
        <w:rPr>
          <w:rFonts w:ascii="Times New Roman" w:hAnsi="Times New Roman"/>
          <w:szCs w:val="24"/>
        </w:rPr>
        <w:t>A</w:t>
      </w:r>
      <w:r w:rsidRPr="00792C73">
        <w:rPr>
          <w:rFonts w:ascii="Times New Roman" w:hAnsi="Times New Roman"/>
          <w:szCs w:val="24"/>
        </w:rPr>
        <w:t xml:space="preserve">dvanced </w:t>
      </w:r>
      <w:r>
        <w:rPr>
          <w:rFonts w:ascii="Times New Roman" w:hAnsi="Times New Roman"/>
          <w:szCs w:val="24"/>
        </w:rPr>
        <w:t xml:space="preserve">Capital Adequacy Framework </w:t>
      </w:r>
      <w:r w:rsidRPr="00792C73">
        <w:rPr>
          <w:rFonts w:ascii="Times New Roman" w:hAnsi="Times New Roman"/>
          <w:szCs w:val="24"/>
        </w:rPr>
        <w:t xml:space="preserve">its total risk-weighted assets; or </w:t>
      </w:r>
    </w:p>
    <w:p w:rsidR="00BF20A4" w:rsidP="00BF3E4F" w:rsidRDefault="00BF20A4">
      <w:pPr>
        <w:tabs>
          <w:tab w:val="left" w:pos="432"/>
        </w:tabs>
        <w:ind w:left="432" w:hanging="432"/>
        <w:rPr>
          <w:rFonts w:ascii="Times New Roman" w:hAnsi="Times New Roman"/>
          <w:szCs w:val="24"/>
        </w:rPr>
      </w:pPr>
      <w:r w:rsidRPr="00792C73">
        <w:rPr>
          <w:rFonts w:ascii="Times New Roman" w:hAnsi="Times New Roman"/>
          <w:szCs w:val="24"/>
        </w:rPr>
        <w:t>(v</w:t>
      </w:r>
      <w:r w:rsidR="009F3E80">
        <w:rPr>
          <w:rFonts w:ascii="Times New Roman" w:hAnsi="Times New Roman"/>
          <w:szCs w:val="24"/>
        </w:rPr>
        <w:t>i</w:t>
      </w:r>
      <w:r w:rsidRPr="00792C73">
        <w:rPr>
          <w:rFonts w:ascii="Times New Roman" w:hAnsi="Times New Roman"/>
          <w:szCs w:val="24"/>
        </w:rPr>
        <w:t>)</w:t>
      </w:r>
      <w:r w:rsidR="00BF3E4F">
        <w:rPr>
          <w:rFonts w:ascii="Times New Roman" w:hAnsi="Times New Roman"/>
          <w:szCs w:val="24"/>
        </w:rPr>
        <w:tab/>
      </w:r>
      <w:r w:rsidRPr="00792C73">
        <w:rPr>
          <w:rFonts w:ascii="Times New Roman" w:hAnsi="Times New Roman"/>
          <w:szCs w:val="24"/>
        </w:rPr>
        <w:t xml:space="preserve">Elects to use the </w:t>
      </w:r>
      <w:r>
        <w:rPr>
          <w:rFonts w:ascii="Times New Roman" w:hAnsi="Times New Roman"/>
          <w:szCs w:val="24"/>
        </w:rPr>
        <w:t>A</w:t>
      </w:r>
      <w:r w:rsidRPr="00792C73">
        <w:rPr>
          <w:rFonts w:ascii="Times New Roman" w:hAnsi="Times New Roman"/>
          <w:szCs w:val="24"/>
        </w:rPr>
        <w:t xml:space="preserve">dvanced </w:t>
      </w:r>
      <w:r>
        <w:rPr>
          <w:rFonts w:ascii="Times New Roman" w:hAnsi="Times New Roman"/>
          <w:szCs w:val="24"/>
        </w:rPr>
        <w:t>Capital Adequacy Framework</w:t>
      </w:r>
      <w:r w:rsidRPr="00792C73">
        <w:rPr>
          <w:rFonts w:ascii="Times New Roman" w:hAnsi="Times New Roman"/>
          <w:szCs w:val="24"/>
        </w:rPr>
        <w:t xml:space="preserve"> to calculate its total risk-weighted assets.</w:t>
      </w:r>
    </w:p>
    <w:p w:rsidR="00BF20A4" w:rsidP="00BF20A4" w:rsidRDefault="00BF20A4">
      <w:pPr>
        <w:rPr>
          <w:rFonts w:ascii="Times New Roman" w:hAnsi="Times New Roman"/>
          <w:szCs w:val="24"/>
        </w:rPr>
      </w:pPr>
    </w:p>
    <w:p w:rsidR="003B78E0" w:rsidP="00EA7B6C" w:rsidRDefault="00BF3E4F">
      <w:pPr>
        <w:widowControl/>
        <w:rPr>
          <w:rFonts w:ascii="Times New Roman" w:hAnsi="Times New Roman"/>
        </w:rPr>
      </w:pPr>
      <w:r>
        <w:rPr>
          <w:rFonts w:ascii="Times New Roman" w:hAnsi="Times New Roman"/>
        </w:rPr>
        <w:t>Such</w:t>
      </w:r>
      <w:r w:rsidRPr="00BF20A4" w:rsidR="00BF20A4">
        <w:rPr>
          <w:rFonts w:ascii="Times New Roman" w:hAnsi="Times New Roman"/>
        </w:rPr>
        <w:t xml:space="preserve"> </w:t>
      </w:r>
      <w:r>
        <w:rPr>
          <w:rFonts w:ascii="Times New Roman" w:hAnsi="Times New Roman"/>
        </w:rPr>
        <w:t xml:space="preserve">an </w:t>
      </w:r>
      <w:r w:rsidRPr="00BF20A4" w:rsidR="00BF20A4">
        <w:rPr>
          <w:rFonts w:ascii="Times New Roman" w:hAnsi="Times New Roman"/>
        </w:rPr>
        <w:t xml:space="preserve">institution </w:t>
      </w:r>
      <w:r>
        <w:rPr>
          <w:rFonts w:ascii="Times New Roman" w:hAnsi="Times New Roman"/>
        </w:rPr>
        <w:t>m</w:t>
      </w:r>
      <w:r w:rsidRPr="00BF20A4" w:rsidR="00BF20A4">
        <w:rPr>
          <w:rFonts w:ascii="Times New Roman" w:hAnsi="Times New Roman"/>
        </w:rPr>
        <w:t xml:space="preserve">ust begin reporting on the FFIEC 101, Schedule A, except for a few specific line items, at the end of the quarter after the quarter in which the institution triggers one of the </w:t>
      </w:r>
      <w:r>
        <w:rPr>
          <w:rFonts w:ascii="Times New Roman" w:hAnsi="Times New Roman"/>
        </w:rPr>
        <w:t xml:space="preserve">four </w:t>
      </w:r>
      <w:r w:rsidRPr="00BF20A4" w:rsidR="00BF20A4">
        <w:rPr>
          <w:rFonts w:ascii="Times New Roman" w:hAnsi="Times New Roman"/>
        </w:rPr>
        <w:t xml:space="preserve">threshold criteria for applying the </w:t>
      </w:r>
      <w:r>
        <w:rPr>
          <w:rFonts w:ascii="Times New Roman" w:hAnsi="Times New Roman"/>
        </w:rPr>
        <w:t>A</w:t>
      </w:r>
      <w:r w:rsidRPr="00BF20A4" w:rsidR="00BF20A4">
        <w:rPr>
          <w:rFonts w:ascii="Times New Roman" w:hAnsi="Times New Roman"/>
        </w:rPr>
        <w:t xml:space="preserve">dvanced </w:t>
      </w:r>
      <w:r>
        <w:rPr>
          <w:rFonts w:ascii="Times New Roman" w:hAnsi="Times New Roman"/>
        </w:rPr>
        <w:t>Capital Adequacy Framework</w:t>
      </w:r>
      <w:r w:rsidRPr="00BF20A4" w:rsidR="00BF20A4">
        <w:rPr>
          <w:rFonts w:ascii="Times New Roman" w:hAnsi="Times New Roman"/>
        </w:rPr>
        <w:t xml:space="preserve"> or elects to use the </w:t>
      </w:r>
      <w:r>
        <w:rPr>
          <w:rFonts w:ascii="Times New Roman" w:hAnsi="Times New Roman"/>
        </w:rPr>
        <w:t>framework</w:t>
      </w:r>
      <w:r w:rsidRPr="00BF20A4" w:rsidR="00BF20A4">
        <w:rPr>
          <w:rFonts w:ascii="Times New Roman" w:hAnsi="Times New Roman"/>
        </w:rPr>
        <w:t xml:space="preserve"> (an opt-in institution), and must begin reporting data on the remaining schedules of the FFIEC 101 at the end of the first quarter in which the</w:t>
      </w:r>
      <w:r>
        <w:rPr>
          <w:rFonts w:ascii="Times New Roman" w:hAnsi="Times New Roman"/>
        </w:rPr>
        <w:t xml:space="preserve"> institution</w:t>
      </w:r>
      <w:r w:rsidRPr="00BF20A4" w:rsidR="00BF20A4">
        <w:rPr>
          <w:rFonts w:ascii="Times New Roman" w:hAnsi="Times New Roman"/>
        </w:rPr>
        <w:t xml:space="preserve"> ha</w:t>
      </w:r>
      <w:r>
        <w:rPr>
          <w:rFonts w:ascii="Times New Roman" w:hAnsi="Times New Roman"/>
        </w:rPr>
        <w:t>s</w:t>
      </w:r>
      <w:r w:rsidRPr="00BF20A4" w:rsidR="00BF20A4">
        <w:rPr>
          <w:rFonts w:ascii="Times New Roman" w:hAnsi="Times New Roman"/>
        </w:rPr>
        <w:t xml:space="preserve"> begun </w:t>
      </w:r>
      <w:r w:rsidR="008F20C9">
        <w:rPr>
          <w:rFonts w:ascii="Times New Roman" w:hAnsi="Times New Roman"/>
        </w:rPr>
        <w:t>its</w:t>
      </w:r>
      <w:r w:rsidRPr="00BF20A4" w:rsidR="00BF20A4">
        <w:rPr>
          <w:rFonts w:ascii="Times New Roman" w:hAnsi="Times New Roman"/>
        </w:rPr>
        <w:t xml:space="preserve"> parallel run period.  </w:t>
      </w:r>
      <w:r w:rsidR="003B78E0">
        <w:rPr>
          <w:rFonts w:ascii="Times New Roman" w:hAnsi="Times New Roman"/>
        </w:rPr>
        <w:t xml:space="preserve">    </w:t>
      </w:r>
    </w:p>
    <w:p w:rsidR="003B78E0" w:rsidRDefault="003B78E0">
      <w:pPr>
        <w:rPr>
          <w:rFonts w:ascii="Times New Roman" w:hAnsi="Times New Roman"/>
        </w:rPr>
      </w:pPr>
    </w:p>
    <w:p w:rsidR="003B78E0" w:rsidP="00EA7B6C" w:rsidRDefault="00BF3E4F">
      <w:pPr>
        <w:widowControl/>
        <w:rPr>
          <w:rFonts w:ascii="Times New Roman" w:hAnsi="Times New Roman"/>
        </w:rPr>
      </w:pPr>
      <w:r>
        <w:rPr>
          <w:rFonts w:ascii="Times New Roman" w:hAnsi="Times New Roman"/>
        </w:rPr>
        <w:t>A</w:t>
      </w:r>
      <w:r w:rsidR="003B78E0">
        <w:rPr>
          <w:rFonts w:ascii="Times New Roman" w:hAnsi="Times New Roman"/>
        </w:rPr>
        <w:t xml:space="preserve"> fundamental aspect of the Advanced Capital Adequacy Framework is the use of a bank’s internal risk estimates for many of the parameters used to derive risk-weighted assets. </w:t>
      </w:r>
      <w:r w:rsidR="008543D0">
        <w:rPr>
          <w:rFonts w:ascii="Times New Roman" w:hAnsi="Times New Roman"/>
        </w:rPr>
        <w:t xml:space="preserve"> </w:t>
      </w:r>
      <w:r w:rsidR="003B78E0">
        <w:rPr>
          <w:rFonts w:ascii="Times New Roman" w:hAnsi="Times New Roman"/>
        </w:rPr>
        <w:t>The FFIEC 101 report provides the agencies and, to a limited extent, the public a basis for comparing the main risk estimates (on an aggregated basis) that underlie a bank’s risk-based capital measures across institutions and over time.</w:t>
      </w:r>
    </w:p>
    <w:p w:rsidR="00040460" w:rsidP="00040460" w:rsidRDefault="00040460">
      <w:pPr>
        <w:rPr>
          <w:rFonts w:ascii="Times New Roman" w:hAnsi="Times New Roman"/>
        </w:rPr>
      </w:pPr>
    </w:p>
    <w:p w:rsidR="00040460" w:rsidP="00040460" w:rsidRDefault="00040460">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szCs w:val="24"/>
        </w:rPr>
        <w:t xml:space="preserve">In September 2014, the agencies approved a final rule </w:t>
      </w:r>
      <w:r w:rsidRPr="00CD4E6B">
        <w:rPr>
          <w:rFonts w:ascii="Times New Roman" w:hAnsi="Times New Roman"/>
          <w:szCs w:val="24"/>
        </w:rPr>
        <w:t>revis</w:t>
      </w:r>
      <w:r>
        <w:rPr>
          <w:rFonts w:ascii="Times New Roman" w:hAnsi="Times New Roman"/>
          <w:szCs w:val="24"/>
        </w:rPr>
        <w:t>ing</w:t>
      </w:r>
      <w:r w:rsidRPr="00CD4E6B">
        <w:rPr>
          <w:rFonts w:ascii="Times New Roman" w:hAnsi="Times New Roman"/>
          <w:szCs w:val="24"/>
        </w:rPr>
        <w:t xml:space="preserve"> the definition of</w:t>
      </w:r>
      <w:r>
        <w:rPr>
          <w:rFonts w:ascii="Times New Roman" w:hAnsi="Times New Roman"/>
          <w:szCs w:val="24"/>
        </w:rPr>
        <w:t xml:space="preserve"> </w:t>
      </w:r>
      <w:r w:rsidRPr="00CD4E6B">
        <w:rPr>
          <w:rFonts w:ascii="Times New Roman" w:hAnsi="Times New Roman"/>
          <w:szCs w:val="24"/>
        </w:rPr>
        <w:t xml:space="preserve">the denominator of the </w:t>
      </w:r>
      <w:r>
        <w:rPr>
          <w:rFonts w:ascii="Times New Roman" w:hAnsi="Times New Roman"/>
          <w:szCs w:val="24"/>
        </w:rPr>
        <w:t xml:space="preserve">supplementary leverage ratio (SLR) (i.e., </w:t>
      </w:r>
      <w:r w:rsidRPr="00CD4E6B">
        <w:rPr>
          <w:rFonts w:ascii="Times New Roman" w:hAnsi="Times New Roman"/>
          <w:szCs w:val="24"/>
        </w:rPr>
        <w:t>total leverage</w:t>
      </w:r>
      <w:r>
        <w:rPr>
          <w:rFonts w:ascii="Times New Roman" w:hAnsi="Times New Roman"/>
          <w:szCs w:val="24"/>
        </w:rPr>
        <w:t xml:space="preserve"> </w:t>
      </w:r>
      <w:r w:rsidRPr="00CD4E6B">
        <w:rPr>
          <w:rFonts w:ascii="Times New Roman" w:hAnsi="Times New Roman"/>
          <w:szCs w:val="24"/>
        </w:rPr>
        <w:t>exposure</w:t>
      </w:r>
      <w:r>
        <w:rPr>
          <w:rFonts w:ascii="Times New Roman" w:hAnsi="Times New Roman"/>
          <w:szCs w:val="24"/>
        </w:rPr>
        <w:t>)</w:t>
      </w:r>
      <w:r w:rsidRPr="00CD4E6B">
        <w:rPr>
          <w:rFonts w:ascii="Times New Roman" w:hAnsi="Times New Roman"/>
          <w:szCs w:val="24"/>
        </w:rPr>
        <w:t xml:space="preserve"> that </w:t>
      </w:r>
      <w:r>
        <w:rPr>
          <w:rFonts w:ascii="Times New Roman" w:hAnsi="Times New Roman"/>
          <w:szCs w:val="24"/>
        </w:rPr>
        <w:t xml:space="preserve">had been </w:t>
      </w:r>
      <w:r w:rsidRPr="00CD4E6B">
        <w:rPr>
          <w:rFonts w:ascii="Times New Roman" w:hAnsi="Times New Roman"/>
          <w:szCs w:val="24"/>
        </w:rPr>
        <w:t>adopted in July 2013</w:t>
      </w:r>
      <w:r>
        <w:rPr>
          <w:rFonts w:ascii="Times New Roman" w:hAnsi="Times New Roman"/>
          <w:szCs w:val="24"/>
        </w:rPr>
        <w:t xml:space="preserve"> </w:t>
      </w:r>
      <w:r w:rsidRPr="00CD4E6B">
        <w:rPr>
          <w:rFonts w:ascii="Times New Roman" w:hAnsi="Times New Roman"/>
          <w:szCs w:val="24"/>
        </w:rPr>
        <w:t>as part of comprehensive revisions to</w:t>
      </w:r>
      <w:r>
        <w:rPr>
          <w:rFonts w:ascii="Times New Roman" w:hAnsi="Times New Roman"/>
          <w:szCs w:val="24"/>
        </w:rPr>
        <w:t xml:space="preserve"> </w:t>
      </w:r>
      <w:r w:rsidRPr="00CD4E6B">
        <w:rPr>
          <w:rFonts w:ascii="Times New Roman" w:hAnsi="Times New Roman"/>
          <w:szCs w:val="24"/>
        </w:rPr>
        <w:t>the agencies’ regulatory capital rules.</w:t>
      </w:r>
      <w:r>
        <w:rPr>
          <w:rStyle w:val="FootnoteReference"/>
          <w:rFonts w:ascii="Times New Roman" w:hAnsi="Times New Roman"/>
          <w:szCs w:val="24"/>
        </w:rPr>
        <w:footnoteReference w:id="10"/>
      </w:r>
      <w:r w:rsidRPr="00CD4E6B">
        <w:rPr>
          <w:rFonts w:ascii="Times New Roman" w:hAnsi="Times New Roman"/>
          <w:szCs w:val="24"/>
        </w:rPr>
        <w:t xml:space="preserve"> </w:t>
      </w:r>
      <w:r>
        <w:rPr>
          <w:rFonts w:ascii="Times New Roman" w:hAnsi="Times New Roman"/>
          <w:szCs w:val="24"/>
        </w:rPr>
        <w:t xml:space="preserve"> </w:t>
      </w:r>
      <w:r w:rsidRPr="00CD4E6B">
        <w:rPr>
          <w:rFonts w:ascii="Times New Roman" w:hAnsi="Times New Roman"/>
          <w:szCs w:val="24"/>
        </w:rPr>
        <w:t>The final rule revise</w:t>
      </w:r>
      <w:r>
        <w:rPr>
          <w:rFonts w:ascii="Times New Roman" w:hAnsi="Times New Roman"/>
          <w:szCs w:val="24"/>
        </w:rPr>
        <w:t>d</w:t>
      </w:r>
      <w:r w:rsidRPr="00CD4E6B">
        <w:rPr>
          <w:rFonts w:ascii="Times New Roman" w:hAnsi="Times New Roman"/>
          <w:szCs w:val="24"/>
        </w:rPr>
        <w:t xml:space="preserve"> total leverage</w:t>
      </w:r>
      <w:r>
        <w:rPr>
          <w:rFonts w:ascii="Times New Roman" w:hAnsi="Times New Roman"/>
          <w:szCs w:val="24"/>
        </w:rPr>
        <w:t xml:space="preserve"> </w:t>
      </w:r>
      <w:r w:rsidRPr="00CD4E6B">
        <w:rPr>
          <w:rFonts w:ascii="Times New Roman" w:hAnsi="Times New Roman"/>
          <w:szCs w:val="24"/>
        </w:rPr>
        <w:t>exposure as defined in the 2013 rule to include the effective</w:t>
      </w:r>
      <w:r>
        <w:rPr>
          <w:rFonts w:ascii="Times New Roman" w:hAnsi="Times New Roman"/>
          <w:szCs w:val="24"/>
        </w:rPr>
        <w:t xml:space="preserve"> </w:t>
      </w:r>
      <w:r w:rsidRPr="00CD4E6B">
        <w:rPr>
          <w:rFonts w:ascii="Times New Roman" w:hAnsi="Times New Roman"/>
          <w:szCs w:val="24"/>
        </w:rPr>
        <w:t>notional principal amount of credit</w:t>
      </w:r>
      <w:r>
        <w:rPr>
          <w:rFonts w:ascii="Times New Roman" w:hAnsi="Times New Roman"/>
          <w:szCs w:val="24"/>
        </w:rPr>
        <w:t xml:space="preserve"> </w:t>
      </w:r>
      <w:r w:rsidRPr="00CD4E6B">
        <w:rPr>
          <w:rFonts w:ascii="Times New Roman" w:hAnsi="Times New Roman"/>
          <w:szCs w:val="24"/>
        </w:rPr>
        <w:t>derivatives and other similar</w:t>
      </w:r>
      <w:r>
        <w:rPr>
          <w:rFonts w:ascii="Times New Roman" w:hAnsi="Times New Roman"/>
          <w:szCs w:val="24"/>
        </w:rPr>
        <w:t xml:space="preserve"> </w:t>
      </w:r>
      <w:r w:rsidRPr="00CD4E6B">
        <w:rPr>
          <w:rFonts w:ascii="Times New Roman" w:hAnsi="Times New Roman"/>
          <w:szCs w:val="24"/>
        </w:rPr>
        <w:t>instruments through which a banking</w:t>
      </w:r>
      <w:r>
        <w:rPr>
          <w:rFonts w:ascii="Times New Roman" w:hAnsi="Times New Roman"/>
          <w:szCs w:val="24"/>
        </w:rPr>
        <w:t xml:space="preserve"> </w:t>
      </w:r>
      <w:r w:rsidRPr="00091712">
        <w:rPr>
          <w:rFonts w:ascii="Times New Roman" w:hAnsi="Times New Roman"/>
          <w:szCs w:val="24"/>
        </w:rPr>
        <w:t>organization provides credit protection</w:t>
      </w:r>
      <w:r>
        <w:rPr>
          <w:rFonts w:ascii="Times New Roman" w:hAnsi="Times New Roman"/>
          <w:szCs w:val="24"/>
        </w:rPr>
        <w:t xml:space="preserve"> </w:t>
      </w:r>
      <w:r w:rsidRPr="00091712">
        <w:rPr>
          <w:rFonts w:ascii="Times New Roman" w:hAnsi="Times New Roman"/>
          <w:szCs w:val="24"/>
        </w:rPr>
        <w:t>(sold credit protection); modifie</w:t>
      </w:r>
      <w:r>
        <w:rPr>
          <w:rFonts w:ascii="Times New Roman" w:hAnsi="Times New Roman"/>
          <w:szCs w:val="24"/>
        </w:rPr>
        <w:t>d</w:t>
      </w:r>
      <w:r w:rsidRPr="00091712">
        <w:rPr>
          <w:rFonts w:ascii="Times New Roman" w:hAnsi="Times New Roman"/>
          <w:szCs w:val="24"/>
        </w:rPr>
        <w:t xml:space="preserve"> the</w:t>
      </w:r>
      <w:r>
        <w:rPr>
          <w:rFonts w:ascii="Times New Roman" w:hAnsi="Times New Roman"/>
          <w:szCs w:val="24"/>
        </w:rPr>
        <w:t xml:space="preserve"> </w:t>
      </w:r>
      <w:r w:rsidRPr="00091712">
        <w:rPr>
          <w:rFonts w:ascii="Times New Roman" w:hAnsi="Times New Roman"/>
          <w:szCs w:val="24"/>
        </w:rPr>
        <w:t>calculation of total leverage exposure for</w:t>
      </w:r>
      <w:r>
        <w:rPr>
          <w:rFonts w:ascii="Times New Roman" w:hAnsi="Times New Roman"/>
          <w:szCs w:val="24"/>
        </w:rPr>
        <w:t xml:space="preserve"> </w:t>
      </w:r>
      <w:r w:rsidRPr="00091712">
        <w:rPr>
          <w:rFonts w:ascii="Times New Roman" w:hAnsi="Times New Roman"/>
          <w:szCs w:val="24"/>
        </w:rPr>
        <w:t>derivative and repo-style transactions;</w:t>
      </w:r>
      <w:r>
        <w:rPr>
          <w:rFonts w:ascii="Times New Roman" w:hAnsi="Times New Roman"/>
          <w:szCs w:val="24"/>
        </w:rPr>
        <w:t xml:space="preserve"> </w:t>
      </w:r>
      <w:r w:rsidRPr="00091712">
        <w:rPr>
          <w:rFonts w:ascii="Times New Roman" w:hAnsi="Times New Roman"/>
          <w:szCs w:val="24"/>
        </w:rPr>
        <w:t>and revise</w:t>
      </w:r>
      <w:r>
        <w:rPr>
          <w:rFonts w:ascii="Times New Roman" w:hAnsi="Times New Roman"/>
          <w:szCs w:val="24"/>
        </w:rPr>
        <w:t>d</w:t>
      </w:r>
      <w:r w:rsidRPr="00091712">
        <w:rPr>
          <w:rFonts w:ascii="Times New Roman" w:hAnsi="Times New Roman"/>
          <w:szCs w:val="24"/>
        </w:rPr>
        <w:t xml:space="preserve"> the credit conversion factors</w:t>
      </w:r>
      <w:r>
        <w:rPr>
          <w:rFonts w:ascii="Times New Roman" w:hAnsi="Times New Roman"/>
          <w:szCs w:val="24"/>
        </w:rPr>
        <w:t xml:space="preserve"> </w:t>
      </w:r>
      <w:r w:rsidRPr="00091712">
        <w:rPr>
          <w:rFonts w:ascii="Times New Roman" w:hAnsi="Times New Roman"/>
          <w:szCs w:val="24"/>
        </w:rPr>
        <w:t>applied to certain off-balance sheet</w:t>
      </w:r>
      <w:r>
        <w:rPr>
          <w:rFonts w:ascii="Times New Roman" w:hAnsi="Times New Roman"/>
          <w:szCs w:val="24"/>
        </w:rPr>
        <w:t xml:space="preserve"> </w:t>
      </w:r>
      <w:r w:rsidRPr="00091712">
        <w:rPr>
          <w:rFonts w:ascii="Times New Roman" w:hAnsi="Times New Roman"/>
          <w:szCs w:val="24"/>
        </w:rPr>
        <w:t xml:space="preserve">exposures. </w:t>
      </w:r>
      <w:r>
        <w:rPr>
          <w:rFonts w:ascii="Times New Roman" w:hAnsi="Times New Roman"/>
          <w:szCs w:val="24"/>
        </w:rPr>
        <w:t xml:space="preserve"> </w:t>
      </w:r>
      <w:r w:rsidRPr="00091712">
        <w:rPr>
          <w:rFonts w:ascii="Times New Roman" w:hAnsi="Times New Roman"/>
          <w:szCs w:val="24"/>
        </w:rPr>
        <w:t>The final rule also change</w:t>
      </w:r>
      <w:r>
        <w:rPr>
          <w:rFonts w:ascii="Times New Roman" w:hAnsi="Times New Roman"/>
          <w:szCs w:val="24"/>
        </w:rPr>
        <w:t xml:space="preserve">d </w:t>
      </w:r>
      <w:r w:rsidRPr="00091712">
        <w:rPr>
          <w:rFonts w:ascii="Times New Roman" w:hAnsi="Times New Roman"/>
          <w:szCs w:val="24"/>
        </w:rPr>
        <w:t>the frequency with which certain</w:t>
      </w:r>
      <w:r>
        <w:rPr>
          <w:rFonts w:ascii="Times New Roman" w:hAnsi="Times New Roman"/>
          <w:szCs w:val="24"/>
        </w:rPr>
        <w:t xml:space="preserve"> </w:t>
      </w:r>
      <w:r w:rsidRPr="00091712">
        <w:rPr>
          <w:rFonts w:ascii="Times New Roman" w:hAnsi="Times New Roman"/>
          <w:szCs w:val="24"/>
        </w:rPr>
        <w:t xml:space="preserve">components of the </w:t>
      </w:r>
      <w:r>
        <w:rPr>
          <w:rFonts w:ascii="Times New Roman" w:hAnsi="Times New Roman"/>
          <w:szCs w:val="24"/>
        </w:rPr>
        <w:t>SLR</w:t>
      </w:r>
      <w:r w:rsidRPr="00091712">
        <w:rPr>
          <w:rFonts w:ascii="Times New Roman" w:hAnsi="Times New Roman"/>
          <w:szCs w:val="24"/>
        </w:rPr>
        <w:t xml:space="preserve"> are calculated and</w:t>
      </w:r>
      <w:r>
        <w:rPr>
          <w:rFonts w:ascii="Times New Roman" w:hAnsi="Times New Roman"/>
          <w:szCs w:val="24"/>
        </w:rPr>
        <w:t xml:space="preserve"> </w:t>
      </w:r>
      <w:r w:rsidRPr="00091712">
        <w:rPr>
          <w:rFonts w:ascii="Times New Roman" w:hAnsi="Times New Roman"/>
          <w:szCs w:val="24"/>
        </w:rPr>
        <w:t>establishes public disclosure</w:t>
      </w:r>
      <w:r>
        <w:rPr>
          <w:rFonts w:ascii="Times New Roman" w:hAnsi="Times New Roman"/>
          <w:szCs w:val="24"/>
        </w:rPr>
        <w:t xml:space="preserve"> </w:t>
      </w:r>
      <w:r w:rsidRPr="00091712">
        <w:rPr>
          <w:rFonts w:ascii="Times New Roman" w:hAnsi="Times New Roman"/>
          <w:szCs w:val="24"/>
        </w:rPr>
        <w:t xml:space="preserve">requirements </w:t>
      </w:r>
      <w:r>
        <w:rPr>
          <w:rFonts w:ascii="Times New Roman" w:hAnsi="Times New Roman"/>
          <w:szCs w:val="24"/>
        </w:rPr>
        <w:t>for</w:t>
      </w:r>
      <w:r w:rsidRPr="00091712">
        <w:rPr>
          <w:rFonts w:ascii="Times New Roman" w:hAnsi="Times New Roman"/>
          <w:szCs w:val="24"/>
        </w:rPr>
        <w:t xml:space="preserve"> certain items associated</w:t>
      </w:r>
      <w:r>
        <w:rPr>
          <w:rFonts w:ascii="Times New Roman" w:hAnsi="Times New Roman"/>
          <w:szCs w:val="24"/>
        </w:rPr>
        <w:t xml:space="preserve"> </w:t>
      </w:r>
      <w:r w:rsidRPr="00091712">
        <w:rPr>
          <w:rFonts w:ascii="Times New Roman" w:hAnsi="Times New Roman"/>
          <w:szCs w:val="24"/>
        </w:rPr>
        <w:t xml:space="preserve">with the </w:t>
      </w:r>
      <w:r>
        <w:rPr>
          <w:rFonts w:ascii="Times New Roman" w:hAnsi="Times New Roman"/>
          <w:szCs w:val="24"/>
        </w:rPr>
        <w:t>SLR</w:t>
      </w:r>
      <w:r w:rsidRPr="00091712">
        <w:rPr>
          <w:rFonts w:ascii="Times New Roman" w:hAnsi="Times New Roman"/>
          <w:szCs w:val="24"/>
        </w:rPr>
        <w:t>.</w:t>
      </w:r>
      <w:r>
        <w:rPr>
          <w:rFonts w:ascii="Times New Roman" w:hAnsi="Times New Roman"/>
          <w:szCs w:val="24"/>
        </w:rPr>
        <w:t xml:space="preserve">  </w:t>
      </w:r>
      <w:r w:rsidRPr="00BD0454">
        <w:rPr>
          <w:rFonts w:ascii="Times New Roman" w:hAnsi="Times New Roman"/>
          <w:szCs w:val="24"/>
        </w:rPr>
        <w:t xml:space="preserve">The final rule </w:t>
      </w:r>
      <w:r>
        <w:rPr>
          <w:rFonts w:ascii="Times New Roman" w:hAnsi="Times New Roman"/>
          <w:szCs w:val="24"/>
        </w:rPr>
        <w:t>wa</w:t>
      </w:r>
      <w:r w:rsidRPr="00BD0454">
        <w:rPr>
          <w:rFonts w:ascii="Times New Roman" w:hAnsi="Times New Roman"/>
          <w:szCs w:val="24"/>
        </w:rPr>
        <w:t>s effective January</w:t>
      </w:r>
      <w:r>
        <w:rPr>
          <w:rFonts w:ascii="Times New Roman" w:hAnsi="Times New Roman"/>
          <w:szCs w:val="24"/>
        </w:rPr>
        <w:t xml:space="preserve"> </w:t>
      </w:r>
      <w:r w:rsidRPr="00BD0454">
        <w:rPr>
          <w:rFonts w:ascii="Times New Roman" w:hAnsi="Times New Roman"/>
          <w:szCs w:val="24"/>
        </w:rPr>
        <w:t>1, 2015.</w:t>
      </w:r>
    </w:p>
    <w:p w:rsidR="00040460" w:rsidP="00040460" w:rsidRDefault="00040460">
      <w:pPr>
        <w:rPr>
          <w:rFonts w:ascii="Times New Roman" w:hAnsi="Times New Roman"/>
        </w:rPr>
      </w:pPr>
    </w:p>
    <w:p w:rsidR="00040460" w:rsidP="004853D4" w:rsidRDefault="009F3E80">
      <w:pPr>
        <w:rPr>
          <w:rFonts w:ascii="Times New Roman" w:hAnsi="Times New Roman"/>
        </w:rPr>
      </w:pPr>
      <w:r>
        <w:rPr>
          <w:rFonts w:ascii="Times New Roman" w:hAnsi="Times New Roman"/>
        </w:rPr>
        <w:t>Under the tailoring final rule, a</w:t>
      </w:r>
      <w:r w:rsidRPr="002D7BFC" w:rsidR="00040460">
        <w:rPr>
          <w:rFonts w:ascii="Times New Roman" w:hAnsi="Times New Roman"/>
        </w:rPr>
        <w:t>ll bank</w:t>
      </w:r>
      <w:r w:rsidR="00040460">
        <w:rPr>
          <w:rFonts w:ascii="Times New Roman" w:hAnsi="Times New Roman"/>
        </w:rPr>
        <w:t>ing organizations</w:t>
      </w:r>
      <w:r w:rsidRPr="002D7BFC" w:rsidR="00040460">
        <w:rPr>
          <w:rFonts w:ascii="Times New Roman" w:hAnsi="Times New Roman"/>
        </w:rPr>
        <w:t xml:space="preserve"> subject to the </w:t>
      </w:r>
      <w:r w:rsidR="001D137F">
        <w:rPr>
          <w:rFonts w:ascii="Times New Roman" w:hAnsi="Times New Roman"/>
        </w:rPr>
        <w:t>a</w:t>
      </w:r>
      <w:r w:rsidRPr="002D7BFC" w:rsidR="00040460">
        <w:rPr>
          <w:rFonts w:ascii="Times New Roman" w:hAnsi="Times New Roman"/>
        </w:rPr>
        <w:t xml:space="preserve">dvanced </w:t>
      </w:r>
      <w:r w:rsidR="001D137F">
        <w:rPr>
          <w:rFonts w:ascii="Times New Roman" w:hAnsi="Times New Roman"/>
        </w:rPr>
        <w:t xml:space="preserve">approaches rule </w:t>
      </w:r>
      <w:r w:rsidR="00040460">
        <w:rPr>
          <w:rFonts w:ascii="Times New Roman" w:hAnsi="Times New Roman"/>
        </w:rPr>
        <w:t xml:space="preserve">must report </w:t>
      </w:r>
      <w:r w:rsidRPr="002D7BFC" w:rsidR="00040460">
        <w:rPr>
          <w:rFonts w:ascii="Times New Roman" w:hAnsi="Times New Roman"/>
        </w:rPr>
        <w:t>SLR data in SLR Tables 1 and 2 of FFIEC 101 Schedule A unless the banking organization is</w:t>
      </w:r>
      <w:r w:rsidR="00040460">
        <w:rPr>
          <w:rFonts w:ascii="Times New Roman" w:hAnsi="Times New Roman"/>
        </w:rPr>
        <w:t>:</w:t>
      </w:r>
      <w:r w:rsidRPr="002D7BFC" w:rsidR="00040460">
        <w:rPr>
          <w:rFonts w:ascii="Times New Roman" w:hAnsi="Times New Roman"/>
        </w:rPr>
        <w:t xml:space="preserve"> </w:t>
      </w:r>
    </w:p>
    <w:p w:rsidR="00040460" w:rsidP="00040460" w:rsidRDefault="00040460">
      <w:pPr>
        <w:tabs>
          <w:tab w:val="left" w:pos="360"/>
        </w:tabs>
        <w:ind w:left="360" w:hanging="360"/>
        <w:rPr>
          <w:rFonts w:ascii="Times New Roman" w:hAnsi="Times New Roman"/>
        </w:rPr>
      </w:pPr>
      <w:r w:rsidRPr="002D7BFC">
        <w:rPr>
          <w:rFonts w:ascii="Times New Roman" w:hAnsi="Times New Roman"/>
        </w:rPr>
        <w:t>(i)</w:t>
      </w:r>
      <w:r>
        <w:rPr>
          <w:rFonts w:ascii="Times New Roman" w:hAnsi="Times New Roman"/>
        </w:rPr>
        <w:tab/>
      </w:r>
      <w:r w:rsidRPr="002D7BFC">
        <w:rPr>
          <w:rFonts w:ascii="Times New Roman" w:hAnsi="Times New Roman"/>
        </w:rPr>
        <w:t>a consolidated subsidiary of a bank holding company</w:t>
      </w:r>
      <w:r>
        <w:rPr>
          <w:rFonts w:ascii="Times New Roman" w:hAnsi="Times New Roman"/>
        </w:rPr>
        <w:t>,</w:t>
      </w:r>
      <w:r w:rsidRPr="002D7BFC">
        <w:rPr>
          <w:rFonts w:ascii="Times New Roman" w:hAnsi="Times New Roman"/>
        </w:rPr>
        <w:t xml:space="preserve"> savings and loan holding company, or depository institution that is subject to the disclosure requirements in Table 13 of section 173 of the advanced approaches rule, or </w:t>
      </w:r>
    </w:p>
    <w:p w:rsidR="00040460" w:rsidP="00040460" w:rsidRDefault="00040460">
      <w:pPr>
        <w:tabs>
          <w:tab w:val="left" w:pos="360"/>
        </w:tabs>
        <w:ind w:left="360" w:hanging="360"/>
        <w:rPr>
          <w:rFonts w:ascii="Times New Roman" w:hAnsi="Times New Roman"/>
        </w:rPr>
      </w:pPr>
      <w:r w:rsidRPr="002D7BFC">
        <w:rPr>
          <w:rFonts w:ascii="Times New Roman" w:hAnsi="Times New Roman"/>
        </w:rPr>
        <w:t>(ii)</w:t>
      </w:r>
      <w:r>
        <w:rPr>
          <w:rFonts w:ascii="Times New Roman" w:hAnsi="Times New Roman"/>
        </w:rPr>
        <w:tab/>
      </w:r>
      <w:r w:rsidRPr="002D7BFC">
        <w:rPr>
          <w:rFonts w:ascii="Times New Roman" w:hAnsi="Times New Roman"/>
        </w:rPr>
        <w:t>a subsidiary of a non-U.S. banking organization that is subject to comparable public disclosure requirements in its home jurisdiction.</w:t>
      </w:r>
    </w:p>
    <w:p w:rsidR="003B78E0" w:rsidRDefault="003B78E0">
      <w:pPr>
        <w:rPr>
          <w:rFonts w:ascii="Times New Roman" w:hAnsi="Times New Roman"/>
        </w:rPr>
      </w:pPr>
    </w:p>
    <w:p w:rsidRPr="00BC6285" w:rsidR="004853D4" w:rsidRDefault="004853D4">
      <w:pPr>
        <w:rPr>
          <w:rFonts w:ascii="Times New Roman" w:hAnsi="Times New Roman"/>
        </w:rPr>
      </w:pPr>
      <w:r>
        <w:rPr>
          <w:rFonts w:ascii="Times New Roman" w:hAnsi="Times New Roman"/>
        </w:rPr>
        <w:t xml:space="preserve">In addition, under the tailoring final rule, these SLR tables are also required to be completed by </w:t>
      </w:r>
      <w:r w:rsidRPr="004853D4">
        <w:rPr>
          <w:rFonts w:ascii="Times New Roman" w:hAnsi="Times New Roman"/>
        </w:rPr>
        <w:t xml:space="preserve">top-tier Category III bank holding companies, savings and loan holding companies, and insured depository </w:t>
      </w:r>
      <w:r w:rsidRPr="00BC6285">
        <w:rPr>
          <w:rFonts w:ascii="Times New Roman" w:hAnsi="Times New Roman"/>
        </w:rPr>
        <w:t>institutions, and all Category III U.S. intermediate holding companies, but these entities would not complete or file any other part of the FFIEC 101.</w:t>
      </w:r>
    </w:p>
    <w:p w:rsidRPr="00BC6285" w:rsidR="004853D4" w:rsidRDefault="004853D4">
      <w:pPr>
        <w:rPr>
          <w:rFonts w:ascii="Times New Roman" w:hAnsi="Times New Roman"/>
        </w:rPr>
      </w:pPr>
    </w:p>
    <w:p w:rsidRPr="00BC6285" w:rsidR="00BC6285" w:rsidP="00C04A51" w:rsidRDefault="00F34B8E">
      <w:pPr>
        <w:rPr>
          <w:rFonts w:ascii="Times New Roman" w:hAnsi="Times New Roman"/>
        </w:rPr>
      </w:pPr>
      <w:r w:rsidRPr="00BC6285">
        <w:rPr>
          <w:rFonts w:ascii="Times New Roman" w:hAnsi="Times New Roman"/>
        </w:rPr>
        <w:t xml:space="preserve">The </w:t>
      </w:r>
      <w:r w:rsidRPr="00BC6285" w:rsidR="008F20C9">
        <w:rPr>
          <w:rFonts w:ascii="Times New Roman" w:hAnsi="Times New Roman"/>
        </w:rPr>
        <w:t xml:space="preserve">proposed </w:t>
      </w:r>
      <w:r w:rsidRPr="00BC6285">
        <w:rPr>
          <w:rFonts w:ascii="Times New Roman" w:hAnsi="Times New Roman"/>
        </w:rPr>
        <w:t>changes to the FFIEC 101 report that are the subject of this submission</w:t>
      </w:r>
      <w:r w:rsidRPr="00BC6285" w:rsidR="00EA7B6C">
        <w:rPr>
          <w:rFonts w:ascii="Times New Roman" w:hAnsi="Times New Roman"/>
        </w:rPr>
        <w:t xml:space="preserve"> </w:t>
      </w:r>
      <w:r w:rsidRPr="00BC6285" w:rsidR="00BC6285">
        <w:rPr>
          <w:rFonts w:ascii="Times New Roman" w:hAnsi="Times New Roman"/>
        </w:rPr>
        <w:t>are as follows:</w:t>
      </w:r>
    </w:p>
    <w:p w:rsidRPr="00BC6285" w:rsidR="00BC6285" w:rsidP="00C04A51" w:rsidRDefault="00BC6285">
      <w:pPr>
        <w:rPr>
          <w:rFonts w:ascii="Times New Roman" w:hAnsi="Times New Roman"/>
        </w:rPr>
      </w:pPr>
    </w:p>
    <w:p w:rsidRPr="00BC6285" w:rsidR="00BC6285" w:rsidP="00BC6285" w:rsidRDefault="00BC6285">
      <w:pPr>
        <w:widowControl/>
        <w:contextualSpacing/>
        <w:rPr>
          <w:rFonts w:ascii="Times New Roman" w:hAnsi="Times New Roman"/>
          <w:i/>
          <w:snapToGrid/>
          <w:szCs w:val="24"/>
          <w:u w:val="single"/>
        </w:rPr>
      </w:pPr>
      <w:r w:rsidRPr="00BC6285">
        <w:rPr>
          <w:rFonts w:ascii="Times New Roman" w:hAnsi="Times New Roman"/>
          <w:i/>
          <w:snapToGrid/>
          <w:szCs w:val="24"/>
        </w:rPr>
        <w:t>Changes to Implement the Tailoring Final Rule</w:t>
      </w:r>
    </w:p>
    <w:p w:rsidRPr="00BC6285" w:rsidR="00BC6285" w:rsidP="00BC6285" w:rsidRDefault="00BC6285">
      <w:pPr>
        <w:widowControl/>
        <w:contextualSpacing/>
        <w:rPr>
          <w:rFonts w:ascii="Times New Roman" w:hAnsi="Times New Roman"/>
          <w:snapToGrid/>
          <w:szCs w:val="24"/>
        </w:rPr>
      </w:pPr>
    </w:p>
    <w:p w:rsidR="003B78E0" w:rsidP="000E535E" w:rsidRDefault="000E535E">
      <w:pPr>
        <w:widowControl/>
        <w:contextualSpacing/>
        <w:rPr>
          <w:rFonts w:ascii="Times New Roman" w:hAnsi="Times New Roman"/>
        </w:rPr>
      </w:pPr>
      <w:r>
        <w:rPr>
          <w:rFonts w:ascii="Times New Roman" w:hAnsi="Times New Roman"/>
          <w:snapToGrid/>
          <w:szCs w:val="24"/>
        </w:rPr>
        <w:t>T</w:t>
      </w:r>
      <w:r w:rsidRPr="00BC6285" w:rsidR="00BC6285">
        <w:rPr>
          <w:rFonts w:ascii="Times New Roman" w:hAnsi="Times New Roman"/>
          <w:snapToGrid/>
          <w:szCs w:val="24"/>
        </w:rPr>
        <w:t>he tailoring final rule</w:t>
      </w:r>
      <w:r>
        <w:rPr>
          <w:rFonts w:ascii="Times New Roman" w:hAnsi="Times New Roman"/>
          <w:snapToGrid/>
          <w:szCs w:val="24"/>
        </w:rPr>
        <w:t>, which is effective for the first quarter of 2020,</w:t>
      </w:r>
      <w:r w:rsidRPr="00BC6285" w:rsidR="00BC6285">
        <w:rPr>
          <w:rFonts w:ascii="Times New Roman" w:hAnsi="Times New Roman"/>
          <w:snapToGrid/>
          <w:szCs w:val="24"/>
        </w:rPr>
        <w:t xml:space="preserve"> revises the criteria for determining the applicability of regulatory capital and liquidity requirements for large U.S. banking organizations and the U.S. intermediate holding companies of certain foreign banking organizations.  </w:t>
      </w:r>
      <w:r>
        <w:rPr>
          <w:rFonts w:ascii="Times New Roman" w:hAnsi="Times New Roman"/>
          <w:snapToGrid/>
          <w:szCs w:val="24"/>
        </w:rPr>
        <w:t xml:space="preserve">As described above in this Item 1, separate sets of standards apply to entities designated Category I, Category II, Category III, and Category IV.  </w:t>
      </w:r>
      <w:r w:rsidRPr="00BC6285" w:rsidR="00BC6285">
        <w:rPr>
          <w:rFonts w:ascii="Times New Roman" w:hAnsi="Times New Roman"/>
          <w:snapToGrid/>
          <w:szCs w:val="24"/>
        </w:rPr>
        <w:t xml:space="preserve">The tailoring rule would narrow the scope of institutions calculating risk-weighted assets under the advanced approaches to Category I and II institutions.  </w:t>
      </w:r>
    </w:p>
    <w:p w:rsidR="00BC6285" w:rsidP="00DC0AA6" w:rsidRDefault="00BC6285">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Pr="00DC0AA6" w:rsidR="00DC0AA6" w:rsidP="00DC0AA6" w:rsidRDefault="00DC0AA6">
      <w:pPr>
        <w:widowControl/>
        <w:rPr>
          <w:rFonts w:ascii="Times New Roman" w:hAnsi="Times New Roman"/>
          <w:b/>
          <w:snapToGrid/>
          <w:szCs w:val="24"/>
        </w:rPr>
      </w:pPr>
      <w:r w:rsidRPr="00DC0AA6">
        <w:rPr>
          <w:rFonts w:ascii="Times New Roman" w:hAnsi="Times New Roman"/>
          <w:snapToGrid/>
          <w:szCs w:val="24"/>
        </w:rPr>
        <w:t xml:space="preserve">To implement the </w:t>
      </w:r>
      <w:r>
        <w:rPr>
          <w:rFonts w:ascii="Times New Roman" w:hAnsi="Times New Roman"/>
          <w:snapToGrid/>
          <w:szCs w:val="24"/>
        </w:rPr>
        <w:t xml:space="preserve">regulatory capital changes </w:t>
      </w:r>
      <w:r w:rsidRPr="00DC0AA6">
        <w:rPr>
          <w:rFonts w:ascii="Times New Roman" w:hAnsi="Times New Roman"/>
          <w:snapToGrid/>
          <w:szCs w:val="24"/>
        </w:rPr>
        <w:t>for institutions subject to Category III capital standards</w:t>
      </w:r>
      <w:r>
        <w:rPr>
          <w:rFonts w:ascii="Times New Roman" w:hAnsi="Times New Roman"/>
          <w:snapToGrid/>
          <w:szCs w:val="24"/>
        </w:rPr>
        <w:t xml:space="preserve"> from a regulatory reporting perspective</w:t>
      </w:r>
      <w:r w:rsidRPr="00DC0AA6">
        <w:rPr>
          <w:rFonts w:ascii="Times New Roman" w:hAnsi="Times New Roman"/>
          <w:snapToGrid/>
          <w:szCs w:val="24"/>
        </w:rPr>
        <w:t xml:space="preserve">, the agencies </w:t>
      </w:r>
      <w:r>
        <w:rPr>
          <w:rFonts w:ascii="Times New Roman" w:hAnsi="Times New Roman"/>
          <w:snapToGrid/>
          <w:szCs w:val="24"/>
        </w:rPr>
        <w:t>would</w:t>
      </w:r>
      <w:r w:rsidRPr="00DC0AA6">
        <w:rPr>
          <w:rFonts w:ascii="Times New Roman" w:hAnsi="Times New Roman"/>
          <w:snapToGrid/>
          <w:szCs w:val="24"/>
        </w:rPr>
        <w:t xml:space="preserve"> revise the instructions for the scope of the FFIEC 101.  Specifically, because Category III institutions are not required to calculate risk-weighted assets according to the advanced approaches rule, the FFIEC 101 instructions would be revised to clarify that top-tier Category III bank holding companies, savings and loan holding companies, and insured depository institutions, and all Category III U.S. intermediate holding companies, must complete FFIEC 101 Schedule A, SLR</w:t>
      </w:r>
      <w:r w:rsidR="006713FF">
        <w:rPr>
          <w:rFonts w:ascii="Times New Roman" w:hAnsi="Times New Roman"/>
          <w:snapToGrid/>
          <w:szCs w:val="24"/>
        </w:rPr>
        <w:t xml:space="preserve"> Tables 1 and </w:t>
      </w:r>
      <w:r w:rsidRPr="00DC0AA6">
        <w:rPr>
          <w:rFonts w:ascii="Times New Roman" w:hAnsi="Times New Roman"/>
          <w:snapToGrid/>
          <w:szCs w:val="24"/>
        </w:rPr>
        <w:t>2, only and would not complete or file any other part of the FFIEC 101.  In addition, any Category III banking organization that is a consolidated subsidiary of a top-tier Category III bank holding company, savings and loan holding company, U.S. intermediate holding company, or insured depository institution would not complete or file any part of the FFIEC 101.  All Category IV institutions would not complete or file any part of the FFIEC 101.</w:t>
      </w:r>
      <w:r w:rsidRPr="00DC0AA6">
        <w:rPr>
          <w:rFonts w:ascii="Times New Roman" w:hAnsi="Times New Roman"/>
          <w:b/>
          <w:snapToGrid/>
          <w:szCs w:val="24"/>
        </w:rPr>
        <w:t xml:space="preserve"> </w:t>
      </w:r>
    </w:p>
    <w:p w:rsidR="00DC0AA6" w:rsidRDefault="00DC0AA6">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4875A6" w:rsidRDefault="004875A6">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4875A6" w:rsidRDefault="004875A6">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Pr="00B32EDB" w:rsidR="00B32EDB" w:rsidP="004875A6" w:rsidRDefault="00B32EDB">
      <w:pPr>
        <w:contextualSpacing/>
        <w:rPr>
          <w:rFonts w:ascii="Times New Roman" w:hAnsi="Times New Roman"/>
          <w:snapToGrid/>
          <w:szCs w:val="24"/>
        </w:rPr>
      </w:pPr>
      <w:r w:rsidRPr="00B32EDB">
        <w:rPr>
          <w:rFonts w:ascii="Times New Roman" w:hAnsi="Times New Roman"/>
          <w:i/>
          <w:snapToGrid/>
          <w:szCs w:val="24"/>
        </w:rPr>
        <w:t>Changes to Implement the Custodial Bank Supplementary Leverage Ratio Final Rule</w:t>
      </w:r>
    </w:p>
    <w:p w:rsidRPr="00B32EDB" w:rsidR="00B32EDB" w:rsidP="004875A6" w:rsidRDefault="00B32EDB">
      <w:pPr>
        <w:contextualSpacing/>
        <w:rPr>
          <w:rFonts w:ascii="Times New Roman" w:hAnsi="Times New Roman"/>
          <w:snapToGrid/>
          <w:szCs w:val="24"/>
        </w:rPr>
      </w:pPr>
    </w:p>
    <w:p w:rsidR="00B32EDB" w:rsidP="004875A6" w:rsidRDefault="00B32EDB">
      <w:pPr>
        <w:rPr>
          <w:rFonts w:ascii="Times New Roman" w:hAnsi="Times New Roman"/>
          <w:snapToGrid/>
          <w:szCs w:val="24"/>
        </w:rPr>
      </w:pPr>
      <w:r w:rsidRPr="00B32EDB">
        <w:rPr>
          <w:rFonts w:ascii="Times New Roman" w:hAnsi="Times New Roman"/>
          <w:snapToGrid/>
          <w:szCs w:val="24"/>
        </w:rPr>
        <w:t>The agencies have revised the regulatory capital rule, effective April 1, 2020, to allow banking organizations predominantly engaged in custodial activities to exclude deposits held at certain central banks from their total leverage exposure when calculating the supplementary leverage ratio.  To implement this change in the</w:t>
      </w:r>
      <w:r>
        <w:rPr>
          <w:rFonts w:ascii="Times New Roman" w:hAnsi="Times New Roman"/>
          <w:snapToGrid/>
          <w:szCs w:val="24"/>
        </w:rPr>
        <w:t xml:space="preserve"> FFIEC 101, the agencies would </w:t>
      </w:r>
      <w:r w:rsidRPr="00B32EDB">
        <w:rPr>
          <w:rFonts w:ascii="Times New Roman" w:hAnsi="Times New Roman"/>
          <w:snapToGrid/>
          <w:szCs w:val="24"/>
        </w:rPr>
        <w:t xml:space="preserve">revise the total leverage exposure calculation that would be reported on the FFIEC 101 Schedule A through the addition of a new data item for the qualifying central bank deduction to the calculations of the total leverage exposure in SLR Tables 1 and 2 of this schedule.  The new reporting item would be placed between existing data items 1.7 and 1.8 in SLR Table 1 and between data items 2.2 and 2.3 in SLR Table 2.  </w:t>
      </w:r>
    </w:p>
    <w:p w:rsidR="00B32EDB" w:rsidP="00B32EDB" w:rsidRDefault="00B32EDB">
      <w:pPr>
        <w:rPr>
          <w:rFonts w:ascii="Times New Roman" w:hAnsi="Times New Roman"/>
          <w:snapToGrid/>
          <w:szCs w:val="24"/>
        </w:rPr>
      </w:pPr>
    </w:p>
    <w:p w:rsidRPr="00B32EDB" w:rsidR="00B32EDB" w:rsidP="00B32EDB" w:rsidRDefault="00B32EDB">
      <w:pPr>
        <w:widowControl/>
        <w:contextualSpacing/>
        <w:rPr>
          <w:rFonts w:ascii="Times New Roman" w:hAnsi="Times New Roman"/>
          <w:i/>
          <w:snapToGrid/>
          <w:szCs w:val="24"/>
        </w:rPr>
      </w:pPr>
      <w:r w:rsidRPr="00B32EDB">
        <w:rPr>
          <w:rFonts w:ascii="Times New Roman" w:hAnsi="Times New Roman"/>
          <w:i/>
          <w:snapToGrid/>
          <w:szCs w:val="24"/>
        </w:rPr>
        <w:t>Changes to Implement the Standardized Approach for Counterparty Credit Risk on Derivative Contracts</w:t>
      </w:r>
    </w:p>
    <w:p w:rsidRPr="00B32EDB" w:rsidR="00B32EDB" w:rsidP="00B32EDB" w:rsidRDefault="00B32EDB">
      <w:pPr>
        <w:widowControl/>
        <w:contextualSpacing/>
        <w:rPr>
          <w:rFonts w:ascii="Times New Roman" w:hAnsi="Times New Roman"/>
          <w:snapToGrid/>
          <w:szCs w:val="24"/>
        </w:rPr>
      </w:pPr>
    </w:p>
    <w:p w:rsidRPr="00B32EDB" w:rsidR="00B32EDB" w:rsidP="00B32EDB" w:rsidRDefault="00B32EDB">
      <w:pPr>
        <w:widowControl/>
        <w:contextualSpacing/>
        <w:rPr>
          <w:rFonts w:ascii="Times New Roman" w:hAnsi="Times New Roman"/>
          <w:snapToGrid/>
          <w:szCs w:val="24"/>
        </w:rPr>
      </w:pPr>
      <w:r w:rsidRPr="00B32EDB">
        <w:rPr>
          <w:rFonts w:ascii="Times New Roman" w:hAnsi="Times New Roman"/>
          <w:snapToGrid/>
          <w:szCs w:val="24"/>
        </w:rPr>
        <w:t>The agencies’ final rule for the standardized approach for counterparty credit risk (SA</w:t>
      </w:r>
      <w:r w:rsidRPr="00B32EDB">
        <w:rPr>
          <w:rFonts w:ascii="Times New Roman" w:hAnsi="Times New Roman"/>
          <w:snapToGrid/>
          <w:szCs w:val="24"/>
        </w:rPr>
        <w:noBreakHyphen/>
        <w:t>CCR) implements a new approach for calculating the exposure amount of derivative contracts under the regulatory capital rule.  This final rule takes effect April 1, 2020, with a mandatory compliance date of January 1, 2022.</w:t>
      </w:r>
    </w:p>
    <w:p w:rsidRPr="00B32EDB" w:rsidR="00B32EDB" w:rsidP="00B32EDB" w:rsidRDefault="00B32EDB">
      <w:pPr>
        <w:widowControl/>
        <w:contextualSpacing/>
        <w:rPr>
          <w:rFonts w:ascii="Times New Roman" w:hAnsi="Times New Roman"/>
          <w:snapToGrid/>
          <w:szCs w:val="24"/>
        </w:rPr>
      </w:pPr>
    </w:p>
    <w:p w:rsidRPr="00B32EDB" w:rsidR="00B32EDB" w:rsidP="00B32EDB" w:rsidRDefault="00B32EDB">
      <w:pPr>
        <w:widowControl/>
        <w:contextualSpacing/>
        <w:rPr>
          <w:rFonts w:ascii="Times New Roman" w:hAnsi="Times New Roman"/>
          <w:snapToGrid/>
          <w:szCs w:val="24"/>
        </w:rPr>
      </w:pPr>
      <w:r w:rsidRPr="00B32EDB">
        <w:rPr>
          <w:rFonts w:ascii="Times New Roman" w:hAnsi="Times New Roman"/>
          <w:snapToGrid/>
          <w:szCs w:val="24"/>
        </w:rPr>
        <w:t xml:space="preserve">The final rule replaces the current exposure methodology (CEM) with SA-CCR in the capital rule for advanced approaches institutions (i.e., Category I and II banking organizations).  It will require such institutions to use SA-CCR to calculate their standardized total risk-weighted assets and permits non-advanced approaches banking organizations the option of using SA-CCR in place of CEM to calculate the exposure amount of their noncleared and cleared derivative contracts.  Advanced approaches institutions would have to choose either SA-CCR or the internal models methodology (IMM) to calculate the exposure amount of their noncleared and cleared derivative contracts when calculating their risk-based capital under the advanced approaches.  The final rule provides for the eventual elimination of the current methods under CEM for advanced approaches institutions to determine the risk-weighted asset amount for their default fund contributions to a central counterparty (CCP) or a qualifying central counterparty (QCCP) and implements a new and simpler method that would be based on the banking organization’s pro-rata share of the CCP’s and QCCP’s default fund.  </w:t>
      </w:r>
    </w:p>
    <w:p w:rsidRPr="00B32EDB" w:rsidR="00B32EDB" w:rsidP="00B32EDB" w:rsidRDefault="00B32EDB">
      <w:pPr>
        <w:widowControl/>
        <w:contextualSpacing/>
        <w:rPr>
          <w:rFonts w:ascii="Times New Roman" w:hAnsi="Times New Roman"/>
          <w:snapToGrid/>
          <w:szCs w:val="24"/>
        </w:rPr>
      </w:pPr>
    </w:p>
    <w:p w:rsidRPr="00B32EDB" w:rsidR="00B32EDB" w:rsidP="00B32EDB" w:rsidRDefault="00B32EDB">
      <w:pPr>
        <w:widowControl/>
        <w:contextualSpacing/>
        <w:rPr>
          <w:rFonts w:ascii="Times New Roman" w:hAnsi="Times New Roman"/>
          <w:snapToGrid/>
          <w:szCs w:val="24"/>
        </w:rPr>
      </w:pPr>
      <w:r w:rsidRPr="00B32EDB">
        <w:rPr>
          <w:rFonts w:ascii="Times New Roman" w:hAnsi="Times New Roman"/>
          <w:snapToGrid/>
          <w:szCs w:val="24"/>
        </w:rPr>
        <w:t xml:space="preserve">The final rule also requires advanced approaches institutions to use SA-CCR to determine the exposure amount of derivative contracts for purposes of calculating total leverage exposure for the supplementary leverage ratio.  If an institution subject to Category III capital standards chooses to use SA-CCR to calculate its total risk-weighted assets, it must use SA-CCR to determine the exposure amount of derivative contracts for its total leverage exposure.  The final rule also allows a clearing member banking organization to recognize the counterparty credit risk-reducing effect of client collateral in replacement cost and potential future exposure for purposes of calculating total leverage exposure under certain circumstances.      </w:t>
      </w:r>
    </w:p>
    <w:p w:rsidRPr="00B32EDB" w:rsidR="00B32EDB" w:rsidP="00B32EDB" w:rsidRDefault="00B32EDB">
      <w:pPr>
        <w:widowControl/>
        <w:contextualSpacing/>
        <w:rPr>
          <w:rFonts w:ascii="Times New Roman" w:hAnsi="Times New Roman"/>
          <w:snapToGrid/>
          <w:szCs w:val="24"/>
        </w:rPr>
      </w:pPr>
    </w:p>
    <w:p w:rsidR="00E61A52" w:rsidP="00B32EDB" w:rsidRDefault="00B32EDB">
      <w:pPr>
        <w:rPr>
          <w:rFonts w:ascii="Times New Roman" w:hAnsi="Times New Roman"/>
        </w:rPr>
      </w:pPr>
      <w:r w:rsidRPr="00B32EDB">
        <w:rPr>
          <w:rFonts w:ascii="Times New Roman" w:hAnsi="Times New Roman"/>
          <w:snapToGrid/>
          <w:szCs w:val="24"/>
        </w:rPr>
        <w:t xml:space="preserve">With the implementation of SA-CCR, the agencies are not revising the </w:t>
      </w:r>
      <w:r>
        <w:rPr>
          <w:rFonts w:ascii="Times New Roman" w:hAnsi="Times New Roman"/>
          <w:snapToGrid/>
          <w:szCs w:val="24"/>
        </w:rPr>
        <w:t xml:space="preserve">FFIEC 101 </w:t>
      </w:r>
      <w:r w:rsidRPr="00B32EDB">
        <w:rPr>
          <w:rFonts w:ascii="Times New Roman" w:hAnsi="Times New Roman"/>
          <w:snapToGrid/>
          <w:szCs w:val="24"/>
        </w:rPr>
        <w:t>reporting form</w:t>
      </w:r>
      <w:r>
        <w:rPr>
          <w:rFonts w:ascii="Times New Roman" w:hAnsi="Times New Roman"/>
          <w:snapToGrid/>
          <w:szCs w:val="24"/>
        </w:rPr>
        <w:t>.   However, i</w:t>
      </w:r>
      <w:r w:rsidRPr="00B32EDB">
        <w:rPr>
          <w:rFonts w:ascii="Times New Roman" w:hAnsi="Times New Roman"/>
        </w:rPr>
        <w:t xml:space="preserve">n connection with their calculation of the supplementary leverage ratio, Category I, II, and III banking organizations must report the exposure amount of their derivatives in SLR Table 2 of FFIEC 101 Schedule A.  </w:t>
      </w:r>
      <w:r>
        <w:rPr>
          <w:rFonts w:ascii="Times New Roman" w:hAnsi="Times New Roman"/>
        </w:rPr>
        <w:t>Thus</w:t>
      </w:r>
      <w:r w:rsidRPr="00B32EDB">
        <w:rPr>
          <w:rFonts w:ascii="Times New Roman" w:hAnsi="Times New Roman"/>
        </w:rPr>
        <w:t xml:space="preserve">, the agencies </w:t>
      </w:r>
      <w:r>
        <w:rPr>
          <w:rFonts w:ascii="Times New Roman" w:hAnsi="Times New Roman"/>
        </w:rPr>
        <w:t>would</w:t>
      </w:r>
      <w:r w:rsidRPr="00B32EDB">
        <w:rPr>
          <w:rFonts w:ascii="Times New Roman" w:hAnsi="Times New Roman"/>
        </w:rPr>
        <w:t xml:space="preserve"> revise the instructions for SLR Table 2 to be consistent with SA</w:t>
      </w:r>
      <w:r w:rsidRPr="00B32EDB">
        <w:rPr>
          <w:rFonts w:ascii="Times New Roman" w:hAnsi="Times New Roman"/>
        </w:rPr>
        <w:noBreakHyphen/>
        <w:t xml:space="preserve">CCR.  Institutions that continue to use the CEM would use the </w:t>
      </w:r>
      <w:r>
        <w:rPr>
          <w:rFonts w:ascii="Times New Roman" w:hAnsi="Times New Roman"/>
        </w:rPr>
        <w:t xml:space="preserve">existing </w:t>
      </w:r>
      <w:r w:rsidRPr="00B32EDB">
        <w:rPr>
          <w:rFonts w:ascii="Times New Roman" w:hAnsi="Times New Roman"/>
        </w:rPr>
        <w:t>FFIEC 101 Schedule A instructions to complete SLR Table 2.</w:t>
      </w:r>
    </w:p>
    <w:p w:rsidR="00045BC6" w:rsidRDefault="00045BC6">
      <w:pPr>
        <w:widowControl/>
        <w:rPr>
          <w:rFonts w:ascii="Times New Roman" w:hAnsi="Times New Roman"/>
          <w:i/>
        </w:rPr>
      </w:pPr>
    </w:p>
    <w:p w:rsidRPr="00E61A52" w:rsidR="00E61A52" w:rsidP="00E61A52" w:rsidRDefault="00E61A52">
      <w:pPr>
        <w:rPr>
          <w:rFonts w:ascii="Times New Roman" w:hAnsi="Times New Roman"/>
          <w:i/>
        </w:rPr>
      </w:pPr>
      <w:r w:rsidRPr="00E61A52">
        <w:rPr>
          <w:rFonts w:ascii="Times New Roman" w:hAnsi="Times New Roman"/>
          <w:i/>
        </w:rPr>
        <w:t xml:space="preserve">Changes to Implement the Definitional Change for High Volatility Commercial Real Estate (HVCRE) Exposures </w:t>
      </w:r>
    </w:p>
    <w:p w:rsidRPr="00E61A52" w:rsidR="00E61A52" w:rsidP="00E61A52" w:rsidRDefault="00E61A52">
      <w:pPr>
        <w:rPr>
          <w:rFonts w:ascii="Times New Roman" w:hAnsi="Times New Roman"/>
        </w:rPr>
      </w:pPr>
    </w:p>
    <w:p w:rsidRPr="00E61A52" w:rsidR="00E61A52" w:rsidP="00E61A52" w:rsidRDefault="00E61A52">
      <w:pPr>
        <w:rPr>
          <w:rFonts w:ascii="Times New Roman" w:hAnsi="Times New Roman"/>
        </w:rPr>
      </w:pPr>
      <w:r w:rsidRPr="00E61A52">
        <w:rPr>
          <w:rFonts w:ascii="Times New Roman" w:hAnsi="Times New Roman"/>
        </w:rPr>
        <w:t xml:space="preserve">The agencies have adopted a final rule that conforms the HVCRE exposure definition in the regulatory capital rule to the statutory definition enacted in 2018 and clarifies the capital treatment for loans that finance the development of land under the revised HVCRE exposure definition.  This final rule takes effect April 1, 2020.  The changes to the HVCRE exposure definition would affect the </w:t>
      </w:r>
      <w:r>
        <w:rPr>
          <w:rFonts w:ascii="Times New Roman" w:hAnsi="Times New Roman"/>
        </w:rPr>
        <w:t>reporting of such exposures in</w:t>
      </w:r>
      <w:r w:rsidRPr="00E61A52">
        <w:rPr>
          <w:rFonts w:ascii="Times New Roman" w:hAnsi="Times New Roman"/>
        </w:rPr>
        <w:t xml:space="preserve"> Schedule G‒Wholesale Exposure</w:t>
      </w:r>
      <w:r>
        <w:rPr>
          <w:rFonts w:ascii="Times New Roman" w:hAnsi="Times New Roman"/>
        </w:rPr>
        <w:t>s</w:t>
      </w:r>
      <w:r w:rsidRPr="00E61A52">
        <w:rPr>
          <w:rFonts w:ascii="Times New Roman" w:hAnsi="Times New Roman"/>
        </w:rPr>
        <w:t>‒</w:t>
      </w:r>
      <w:r>
        <w:rPr>
          <w:rFonts w:ascii="Times New Roman" w:hAnsi="Times New Roman"/>
        </w:rPr>
        <w:t>High Volatility Commercial Real Estate</w:t>
      </w:r>
      <w:r w:rsidRPr="00E61A52">
        <w:rPr>
          <w:rFonts w:ascii="Times New Roman" w:hAnsi="Times New Roman"/>
        </w:rPr>
        <w:t xml:space="preserve"> in the FFIEC 101.  Therefore, the agencies </w:t>
      </w:r>
      <w:r>
        <w:rPr>
          <w:rFonts w:ascii="Times New Roman" w:hAnsi="Times New Roman"/>
        </w:rPr>
        <w:t xml:space="preserve">would </w:t>
      </w:r>
      <w:r w:rsidRPr="00E61A52">
        <w:rPr>
          <w:rFonts w:ascii="Times New Roman" w:hAnsi="Times New Roman"/>
        </w:rPr>
        <w:t xml:space="preserve">make conforming revisions to the FFIEC 101 instructions to align with the new HVCRE exposure definition in the final rule effective as of the June 30, 2020, report date. </w:t>
      </w:r>
      <w:r>
        <w:rPr>
          <w:rFonts w:ascii="Times New Roman" w:hAnsi="Times New Roman"/>
        </w:rPr>
        <w:t xml:space="preserve"> </w:t>
      </w:r>
      <w:r w:rsidRPr="00E61A52">
        <w:rPr>
          <w:rFonts w:ascii="Times New Roman" w:hAnsi="Times New Roman"/>
        </w:rPr>
        <w:t>No revisions to the</w:t>
      </w:r>
      <w:r>
        <w:rPr>
          <w:rFonts w:ascii="Times New Roman" w:hAnsi="Times New Roman"/>
        </w:rPr>
        <w:t xml:space="preserve"> FFIEC 101 reporting form a</w:t>
      </w:r>
      <w:r w:rsidRPr="00E61A52">
        <w:rPr>
          <w:rFonts w:ascii="Times New Roman" w:hAnsi="Times New Roman"/>
        </w:rPr>
        <w:t xml:space="preserve">re necessary. </w:t>
      </w:r>
      <w:r>
        <w:rPr>
          <w:rFonts w:ascii="Times New Roman" w:hAnsi="Times New Roman"/>
        </w:rPr>
        <w:t xml:space="preserve"> </w:t>
      </w:r>
    </w:p>
    <w:p w:rsidRPr="00E61A52" w:rsidR="00E61A52" w:rsidP="00E61A52" w:rsidRDefault="00E61A52">
      <w:pPr>
        <w:rPr>
          <w:rFonts w:ascii="Times New Roman" w:hAnsi="Times New Roman"/>
        </w:rPr>
      </w:pP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 xml:space="preserve">2.  </w:t>
      </w:r>
      <w:r w:rsidR="006818C8">
        <w:rPr>
          <w:rFonts w:ascii="Times New Roman" w:hAnsi="Times New Roman"/>
          <w:u w:val="single"/>
        </w:rPr>
        <w:t>Use of the i</w:t>
      </w:r>
      <w:r>
        <w:rPr>
          <w:rFonts w:ascii="Times New Roman" w:hAnsi="Times New Roman"/>
          <w:u w:val="single"/>
        </w:rPr>
        <w:t>nformation</w:t>
      </w:r>
      <w:r w:rsidR="006111E5">
        <w:rPr>
          <w:rFonts w:ascii="Times New Roman" w:hAnsi="Times New Roman"/>
          <w:u w:val="single"/>
        </w:rPr>
        <w:t>:</w:t>
      </w: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The</w:t>
      </w:r>
      <w:r w:rsidR="00040460">
        <w:rPr>
          <w:rFonts w:ascii="Times New Roman" w:hAnsi="Times New Roman"/>
        </w:rPr>
        <w:t xml:space="preserve"> FFIEC 101</w:t>
      </w:r>
      <w:r>
        <w:rPr>
          <w:rFonts w:ascii="Times New Roman" w:hAnsi="Times New Roman"/>
        </w:rPr>
        <w:t xml:space="preserve"> reporting requirements entail the quarterly collection of detailed information, encompassing up to approximately 2,</w:t>
      </w:r>
      <w:r w:rsidR="00F34B8E">
        <w:rPr>
          <w:rFonts w:ascii="Times New Roman" w:hAnsi="Times New Roman"/>
        </w:rPr>
        <w:t xml:space="preserve">700 </w:t>
      </w:r>
      <w:r>
        <w:rPr>
          <w:rFonts w:ascii="Times New Roman" w:hAnsi="Times New Roman"/>
        </w:rPr>
        <w:t xml:space="preserve">data elements on nineteen schedules, that pertains to the main components of a respondent bank’s regulatory capital and risk-weighted asset calculations under the </w:t>
      </w:r>
      <w:r w:rsidR="00E61A52">
        <w:rPr>
          <w:rFonts w:ascii="Times New Roman" w:hAnsi="Times New Roman"/>
        </w:rPr>
        <w:t>Advanced Capital Adequacy Framework</w:t>
      </w:r>
      <w:r w:rsidR="00FA5278">
        <w:rPr>
          <w:rFonts w:ascii="Times New Roman" w:hAnsi="Times New Roman"/>
        </w:rPr>
        <w:t xml:space="preserve"> and the </w:t>
      </w:r>
      <w:r w:rsidR="00E61A52">
        <w:rPr>
          <w:rFonts w:ascii="Times New Roman" w:hAnsi="Times New Roman"/>
        </w:rPr>
        <w:t>s</w:t>
      </w:r>
      <w:r w:rsidR="00FA5278">
        <w:rPr>
          <w:rFonts w:ascii="Times New Roman" w:hAnsi="Times New Roman"/>
        </w:rPr>
        <w:t xml:space="preserve">upplementary </w:t>
      </w:r>
      <w:r w:rsidR="00E61A52">
        <w:rPr>
          <w:rFonts w:ascii="Times New Roman" w:hAnsi="Times New Roman"/>
        </w:rPr>
        <w:t>l</w:t>
      </w:r>
      <w:r w:rsidR="00FA5278">
        <w:rPr>
          <w:rFonts w:ascii="Times New Roman" w:hAnsi="Times New Roman"/>
        </w:rPr>
        <w:t xml:space="preserve">everage </w:t>
      </w:r>
      <w:r w:rsidR="00E61A52">
        <w:rPr>
          <w:rFonts w:ascii="Times New Roman" w:hAnsi="Times New Roman"/>
        </w:rPr>
        <w:t>r</w:t>
      </w:r>
      <w:r w:rsidR="00FA5278">
        <w:rPr>
          <w:rFonts w:ascii="Times New Roman" w:hAnsi="Times New Roman"/>
        </w:rPr>
        <w:t>atio</w:t>
      </w:r>
      <w:r w:rsidR="00E61A52">
        <w:rPr>
          <w:rFonts w:ascii="Times New Roman" w:hAnsi="Times New Roman"/>
        </w:rPr>
        <w:t>,</w:t>
      </w:r>
      <w:r w:rsidR="00FA5278">
        <w:rPr>
          <w:rFonts w:ascii="Times New Roman" w:hAnsi="Times New Roman"/>
        </w:rPr>
        <w:t xml:space="preserve"> as </w:t>
      </w:r>
      <w:r w:rsidR="00E61A52">
        <w:rPr>
          <w:rFonts w:ascii="Times New Roman" w:hAnsi="Times New Roman"/>
        </w:rPr>
        <w:t>applicable</w:t>
      </w:r>
      <w:r>
        <w:rPr>
          <w:rFonts w:ascii="Times New Roman" w:hAnsi="Times New Roman"/>
        </w:rPr>
        <w:t>.  The FDIC use</w:t>
      </w:r>
      <w:r w:rsidR="000A090E">
        <w:rPr>
          <w:rFonts w:ascii="Times New Roman" w:hAnsi="Times New Roman"/>
        </w:rPr>
        <w:t>s</w:t>
      </w:r>
      <w:r>
        <w:rPr>
          <w:rFonts w:ascii="Times New Roman" w:hAnsi="Times New Roman"/>
        </w:rPr>
        <w:t xml:space="preserve"> the information collected through these reporting requirements</w:t>
      </w:r>
      <w:r w:rsidR="001666AC">
        <w:rPr>
          <w:rFonts w:ascii="Times New Roman" w:hAnsi="Times New Roman"/>
        </w:rPr>
        <w:t xml:space="preserve"> </w:t>
      </w:r>
      <w:r w:rsidR="000A090E">
        <w:rPr>
          <w:rFonts w:ascii="Times New Roman" w:hAnsi="Times New Roman"/>
        </w:rPr>
        <w:t>i</w:t>
      </w:r>
      <w:r>
        <w:rPr>
          <w:rFonts w:ascii="Times New Roman" w:hAnsi="Times New Roman"/>
        </w:rPr>
        <w:t>n the following ways:</w:t>
      </w: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3B78E0" w:rsidRDefault="003B78E0">
      <w:pPr>
        <w:widowControl/>
        <w:numPr>
          <w:ilvl w:val="0"/>
          <w:numId w:val="27"/>
        </w:numPr>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 xml:space="preserve">To assess and monitor the levels and components of each reporting bank’s </w:t>
      </w:r>
      <w:r w:rsidR="001666AC">
        <w:rPr>
          <w:rFonts w:ascii="Times New Roman" w:hAnsi="Times New Roman"/>
        </w:rPr>
        <w:t>regulatory</w:t>
      </w:r>
      <w:r>
        <w:rPr>
          <w:rFonts w:ascii="Times New Roman" w:hAnsi="Times New Roman"/>
        </w:rPr>
        <w:t xml:space="preserve"> capital requirements and the adequacy of the bank’s capital under the Advanced Capital Adequacy Framework</w:t>
      </w:r>
      <w:r w:rsidR="001666AC">
        <w:rPr>
          <w:rFonts w:ascii="Times New Roman" w:hAnsi="Times New Roman"/>
        </w:rPr>
        <w:t xml:space="preserve"> and </w:t>
      </w:r>
      <w:r w:rsidRPr="00C87899" w:rsidR="001666AC">
        <w:rPr>
          <w:rFonts w:ascii="Times New Roman" w:hAnsi="Times New Roman"/>
          <w:szCs w:val="24"/>
        </w:rPr>
        <w:t>the supplementary leverage ratio</w:t>
      </w:r>
      <w:r w:rsidR="00E61A52">
        <w:rPr>
          <w:rFonts w:ascii="Times New Roman" w:hAnsi="Times New Roman"/>
          <w:szCs w:val="24"/>
        </w:rPr>
        <w:t>, as applicable</w:t>
      </w:r>
      <w:r>
        <w:rPr>
          <w:rFonts w:ascii="Times New Roman" w:hAnsi="Times New Roman"/>
        </w:rPr>
        <w:t>;</w:t>
      </w:r>
    </w:p>
    <w:p w:rsidR="003B78E0" w:rsidRDefault="00D32F81">
      <w:pPr>
        <w:widowControl/>
        <w:numPr>
          <w:ilvl w:val="0"/>
          <w:numId w:val="27"/>
        </w:numPr>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To evaluate the</w:t>
      </w:r>
      <w:r w:rsidR="003B78E0">
        <w:rPr>
          <w:rFonts w:ascii="Times New Roman" w:hAnsi="Times New Roman"/>
        </w:rPr>
        <w:t xml:space="preserve"> impact and competitive implications of the Advanced Capital Adequacy Framework </w:t>
      </w:r>
      <w:r w:rsidR="00294B13">
        <w:rPr>
          <w:rFonts w:ascii="Times New Roman" w:hAnsi="Times New Roman"/>
        </w:rPr>
        <w:t xml:space="preserve">and </w:t>
      </w:r>
      <w:r w:rsidRPr="00C87899" w:rsidR="00294B13">
        <w:rPr>
          <w:rFonts w:ascii="Times New Roman" w:hAnsi="Times New Roman"/>
          <w:szCs w:val="24"/>
        </w:rPr>
        <w:t>the supplementary leverage ratio</w:t>
      </w:r>
      <w:r w:rsidR="00294B13">
        <w:rPr>
          <w:rFonts w:ascii="Times New Roman" w:hAnsi="Times New Roman"/>
          <w:szCs w:val="24"/>
        </w:rPr>
        <w:t>, as applicable,</w:t>
      </w:r>
      <w:r w:rsidR="00294B13">
        <w:rPr>
          <w:rFonts w:ascii="Times New Roman" w:hAnsi="Times New Roman"/>
        </w:rPr>
        <w:t xml:space="preserve"> </w:t>
      </w:r>
      <w:r w:rsidR="003B78E0">
        <w:rPr>
          <w:rFonts w:ascii="Times New Roman" w:hAnsi="Times New Roman"/>
        </w:rPr>
        <w:t>on individual reporting banks and on an industry-wide basis; and</w:t>
      </w:r>
    </w:p>
    <w:p w:rsidR="003B78E0" w:rsidRDefault="003B78E0">
      <w:pPr>
        <w:widowControl/>
        <w:numPr>
          <w:ilvl w:val="0"/>
          <w:numId w:val="27"/>
        </w:numPr>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To supplement on-site examination processes at individual reporting banks.</w:t>
      </w:r>
    </w:p>
    <w:p w:rsidR="00D32F81" w:rsidRDefault="00D32F81">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The reporting schedules also assist banks in understanding expectations around the system development necessary for implementation and validation of the Advanced Capital Adequacy Framework</w:t>
      </w:r>
      <w:r w:rsidR="00294B13">
        <w:rPr>
          <w:rFonts w:ascii="Times New Roman" w:hAnsi="Times New Roman"/>
        </w:rPr>
        <w:t xml:space="preserve"> and </w:t>
      </w:r>
      <w:r w:rsidRPr="00C87899" w:rsidR="00294B13">
        <w:rPr>
          <w:rFonts w:ascii="Times New Roman" w:hAnsi="Times New Roman"/>
          <w:szCs w:val="24"/>
        </w:rPr>
        <w:t>the supplementary leverage ratio</w:t>
      </w:r>
      <w:r w:rsidR="00294B13">
        <w:rPr>
          <w:rFonts w:ascii="Times New Roman" w:hAnsi="Times New Roman"/>
          <w:szCs w:val="24"/>
        </w:rPr>
        <w:t>, as applicable</w:t>
      </w:r>
      <w:r>
        <w:rPr>
          <w:rFonts w:ascii="Times New Roman" w:hAnsi="Times New Roman"/>
        </w:rPr>
        <w:t xml:space="preserve">.  Submitted </w:t>
      </w:r>
      <w:r w:rsidR="001666AC">
        <w:rPr>
          <w:rFonts w:ascii="Times New Roman" w:hAnsi="Times New Roman"/>
        </w:rPr>
        <w:t xml:space="preserve">FFIEC 101 report </w:t>
      </w:r>
      <w:r>
        <w:rPr>
          <w:rFonts w:ascii="Times New Roman" w:hAnsi="Times New Roman"/>
        </w:rPr>
        <w:t xml:space="preserve">data that are released publicly </w:t>
      </w:r>
      <w:r w:rsidR="001666AC">
        <w:rPr>
          <w:rFonts w:ascii="Times New Roman" w:hAnsi="Times New Roman"/>
        </w:rPr>
        <w:t>on an individual institution basis</w:t>
      </w:r>
      <w:r>
        <w:rPr>
          <w:rFonts w:ascii="Times New Roman" w:hAnsi="Times New Roman"/>
        </w:rPr>
        <w:t xml:space="preserve"> also provide other interested parties with information about </w:t>
      </w:r>
      <w:r w:rsidR="001666AC">
        <w:rPr>
          <w:rFonts w:ascii="Times New Roman" w:hAnsi="Times New Roman"/>
        </w:rPr>
        <w:t>advanced approaches institutions</w:t>
      </w:r>
      <w:r>
        <w:rPr>
          <w:rFonts w:ascii="Times New Roman" w:hAnsi="Times New Roman"/>
        </w:rPr>
        <w:t xml:space="preserve">’ </w:t>
      </w:r>
      <w:r w:rsidR="00294B13">
        <w:rPr>
          <w:rFonts w:ascii="Times New Roman" w:hAnsi="Times New Roman"/>
        </w:rPr>
        <w:t xml:space="preserve">and Category III institutions’ </w:t>
      </w:r>
      <w:r w:rsidR="001666AC">
        <w:rPr>
          <w:rFonts w:ascii="Times New Roman" w:hAnsi="Times New Roman"/>
        </w:rPr>
        <w:t>regulatory</w:t>
      </w:r>
      <w:r>
        <w:rPr>
          <w:rFonts w:ascii="Times New Roman" w:hAnsi="Times New Roman"/>
        </w:rPr>
        <w:t xml:space="preserve"> capital.</w:t>
      </w:r>
    </w:p>
    <w:p w:rsidR="00D32F81" w:rsidRDefault="00D32F81">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D32F81" w:rsidP="00D10843" w:rsidRDefault="00D32F81">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By i</w:t>
      </w:r>
      <w:r w:rsidRPr="00D32F81">
        <w:rPr>
          <w:rFonts w:ascii="Times New Roman" w:hAnsi="Times New Roman"/>
        </w:rPr>
        <w:t>ncorporat</w:t>
      </w:r>
      <w:r>
        <w:rPr>
          <w:rFonts w:ascii="Times New Roman" w:hAnsi="Times New Roman"/>
        </w:rPr>
        <w:t>ing</w:t>
      </w:r>
      <w:r w:rsidRPr="00D32F81">
        <w:rPr>
          <w:rFonts w:ascii="Times New Roman" w:hAnsi="Times New Roman"/>
        </w:rPr>
        <w:t xml:space="preserve"> the complete international leverage ratio common disclosure template into </w:t>
      </w:r>
      <w:r>
        <w:rPr>
          <w:rFonts w:ascii="Times New Roman" w:hAnsi="Times New Roman"/>
        </w:rPr>
        <w:t xml:space="preserve">SLR Tables 1 and 2 of FFIEC 101 </w:t>
      </w:r>
      <w:r w:rsidRPr="00D32F81">
        <w:rPr>
          <w:rFonts w:ascii="Times New Roman" w:hAnsi="Times New Roman"/>
        </w:rPr>
        <w:t>Schedule A</w:t>
      </w:r>
      <w:r>
        <w:rPr>
          <w:rFonts w:ascii="Times New Roman" w:hAnsi="Times New Roman"/>
        </w:rPr>
        <w:t xml:space="preserve">, the agencies </w:t>
      </w:r>
      <w:r w:rsidR="001D137F">
        <w:rPr>
          <w:rFonts w:ascii="Times New Roman" w:hAnsi="Times New Roman"/>
        </w:rPr>
        <w:t xml:space="preserve">also </w:t>
      </w:r>
      <w:r w:rsidRPr="00D32F81">
        <w:rPr>
          <w:rFonts w:ascii="Times New Roman" w:hAnsi="Times New Roman"/>
        </w:rPr>
        <w:t>ensure transparency and comparability of reporting of regulatory capital elements among internationally active bank</w:t>
      </w:r>
      <w:r w:rsidR="00D10843">
        <w:rPr>
          <w:rFonts w:ascii="Times New Roman" w:hAnsi="Times New Roman"/>
        </w:rPr>
        <w:t>s</w:t>
      </w:r>
      <w:r w:rsidRPr="00D32F81">
        <w:rPr>
          <w:rFonts w:ascii="Times New Roman" w:hAnsi="Times New Roman"/>
        </w:rPr>
        <w:t xml:space="preserve">.  </w:t>
      </w:r>
      <w:r w:rsidRPr="00D10843" w:rsidR="00D10843">
        <w:rPr>
          <w:rFonts w:ascii="Times New Roman" w:hAnsi="Times New Roman"/>
        </w:rPr>
        <w:t> </w:t>
      </w: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CD3AA1" w:rsidRDefault="00CD3AA1">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Pr>
          <w:rFonts w:ascii="Times New Roman" w:hAnsi="Times New Roman"/>
        </w:rPr>
        <w:t xml:space="preserve">3.  </w:t>
      </w:r>
      <w:r w:rsidRPr="00174870" w:rsidR="006111E5">
        <w:rPr>
          <w:rFonts w:ascii="Times New Roman" w:hAnsi="Times New Roman"/>
          <w:bCs/>
          <w:szCs w:val="24"/>
          <w:u w:val="single"/>
        </w:rPr>
        <w:t>Consideration of the use of improved information technology:</w:t>
      </w: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rPr>
      </w:pPr>
    </w:p>
    <w:p w:rsidR="003B78E0" w:rsidP="004067DA" w:rsidRDefault="00CD3AA1">
      <w:pPr>
        <w:widowControl/>
        <w:autoSpaceDE w:val="0"/>
        <w:autoSpaceDN w:val="0"/>
        <w:adjustRightInd w:val="0"/>
        <w:rPr>
          <w:rFonts w:ascii="Times New Roman" w:hAnsi="Times New Roman"/>
          <w:szCs w:val="24"/>
        </w:rPr>
      </w:pPr>
      <w:r w:rsidRPr="00CD3AA1">
        <w:rPr>
          <w:rFonts w:ascii="Times New Roman" w:hAnsi="Times New Roman"/>
          <w:szCs w:val="24"/>
        </w:rPr>
        <w:t xml:space="preserve">All banks and savings associations are subject to an electronic filing requirement for the </w:t>
      </w:r>
      <w:r>
        <w:rPr>
          <w:rFonts w:ascii="Times New Roman" w:hAnsi="Times New Roman"/>
          <w:szCs w:val="24"/>
        </w:rPr>
        <w:t>FFIEC 101</w:t>
      </w:r>
      <w:r w:rsidRPr="00CD3AA1">
        <w:rPr>
          <w:rFonts w:ascii="Times New Roman" w:hAnsi="Times New Roman"/>
          <w:szCs w:val="24"/>
        </w:rPr>
        <w:t xml:space="preserve"> Report.  In this regard, the agencies have created a secure shared database for collecting, managing, validating, and </w:t>
      </w:r>
      <w:r>
        <w:rPr>
          <w:rFonts w:ascii="Times New Roman" w:hAnsi="Times New Roman"/>
          <w:szCs w:val="24"/>
        </w:rPr>
        <w:t>distributing r</w:t>
      </w:r>
      <w:r w:rsidRPr="00CD3AA1">
        <w:rPr>
          <w:rFonts w:ascii="Times New Roman" w:hAnsi="Times New Roman"/>
          <w:szCs w:val="24"/>
        </w:rPr>
        <w:t xml:space="preserve">eport data.  This database system, the Central Data Repository (CDR), was implemented in 2005 and is the only method available to banks and savings associations for submitting their </w:t>
      </w:r>
      <w:r>
        <w:rPr>
          <w:rFonts w:ascii="Times New Roman" w:hAnsi="Times New Roman"/>
          <w:szCs w:val="24"/>
        </w:rPr>
        <w:t>FFIEC 101</w:t>
      </w:r>
      <w:r w:rsidRPr="00CD3AA1">
        <w:rPr>
          <w:rFonts w:ascii="Times New Roman" w:hAnsi="Times New Roman"/>
          <w:szCs w:val="24"/>
        </w:rPr>
        <w:t xml:space="preserve"> Report data.  Under the CDR system, institutions file their </w:t>
      </w:r>
      <w:r>
        <w:rPr>
          <w:rFonts w:ascii="Times New Roman" w:hAnsi="Times New Roman"/>
          <w:szCs w:val="24"/>
        </w:rPr>
        <w:t>FFIEC 101</w:t>
      </w:r>
      <w:r w:rsidRPr="00CD3AA1">
        <w:rPr>
          <w:rFonts w:ascii="Times New Roman" w:hAnsi="Times New Roman"/>
          <w:szCs w:val="24"/>
        </w:rPr>
        <w:t> Report data</w:t>
      </w:r>
      <w:r>
        <w:rPr>
          <w:rFonts w:ascii="Times New Roman" w:hAnsi="Times New Roman"/>
          <w:szCs w:val="24"/>
        </w:rPr>
        <w:t xml:space="preserve"> via the Internet</w:t>
      </w:r>
      <w:r w:rsidRPr="00CD3AA1">
        <w:rPr>
          <w:rFonts w:ascii="Times New Roman" w:hAnsi="Times New Roman"/>
          <w:szCs w:val="24"/>
        </w:rPr>
        <w:t>.</w:t>
      </w:r>
    </w:p>
    <w:p w:rsidR="003B78E0" w:rsidRDefault="003B78E0">
      <w:pPr>
        <w:autoSpaceDE w:val="0"/>
        <w:autoSpaceDN w:val="0"/>
        <w:adjustRightInd w:val="0"/>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4.  </w:t>
      </w:r>
      <w:r>
        <w:rPr>
          <w:rFonts w:ascii="Times New Roman" w:hAnsi="Times New Roman"/>
          <w:u w:val="single"/>
        </w:rPr>
        <w:t xml:space="preserve">Efforts to </w:t>
      </w:r>
      <w:r w:rsidR="006818C8">
        <w:rPr>
          <w:rFonts w:ascii="Times New Roman" w:hAnsi="Times New Roman"/>
          <w:u w:val="single"/>
        </w:rPr>
        <w:t>i</w:t>
      </w:r>
      <w:r>
        <w:rPr>
          <w:rFonts w:ascii="Times New Roman" w:hAnsi="Times New Roman"/>
          <w:u w:val="single"/>
        </w:rPr>
        <w:t xml:space="preserve">dentify </w:t>
      </w:r>
      <w:r w:rsidR="006818C8">
        <w:rPr>
          <w:rFonts w:ascii="Times New Roman" w:hAnsi="Times New Roman"/>
          <w:u w:val="single"/>
        </w:rPr>
        <w:t>d</w:t>
      </w:r>
      <w:r>
        <w:rPr>
          <w:rFonts w:ascii="Times New Roman" w:hAnsi="Times New Roman"/>
          <w:u w:val="single"/>
        </w:rPr>
        <w:t>uplication</w:t>
      </w:r>
      <w:r w:rsidR="006818C8">
        <w:rPr>
          <w:rFonts w:ascii="Times New Roman" w:hAnsi="Times New Roman"/>
          <w:u w:val="single"/>
        </w:rPr>
        <w:t>:</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rPr>
        <w:t xml:space="preserve">There is no other report that collects information pertaining to a bank’s </w:t>
      </w:r>
      <w:r w:rsidR="008A5733">
        <w:rPr>
          <w:rFonts w:ascii="Times New Roman" w:hAnsi="Times New Roman"/>
        </w:rPr>
        <w:t>regulatory</w:t>
      </w:r>
      <w:r>
        <w:rPr>
          <w:rFonts w:ascii="Times New Roman" w:hAnsi="Times New Roman"/>
        </w:rPr>
        <w:t xml:space="preserve"> capital calculations under the Advanced Capital Adequacy Framework </w:t>
      </w:r>
      <w:r w:rsidR="006713FF">
        <w:rPr>
          <w:rFonts w:ascii="Times New Roman" w:hAnsi="Times New Roman"/>
        </w:rPr>
        <w:t xml:space="preserve">and the supplementary leverage ratio, as applicable, </w:t>
      </w:r>
      <w:r>
        <w:rPr>
          <w:rFonts w:ascii="Times New Roman" w:hAnsi="Times New Roman"/>
        </w:rPr>
        <w:t xml:space="preserve">at the insured institution level.  The Basel II final rule requires certain related public disclosures (referred to as Pillar 3 disclosures) at the consolidated holding company level.  However, the regulatory reporting requirements in the FFIEC 101 report are generally more detailed than Pillar 3 disclosures, requiring reporting of greater detail about aggregated risk estimates underlying the calculation of a bank’s risk-based capital ratios, and are also more standardized in terms of the breakdown of reported portfolio exposures and reported ranges of risk estimates.  In addition, while the regulatory reporting requirements apply to large, internationally active organizations and their depository institution subsidiaries, the Pillar 3 disclosures </w:t>
      </w:r>
      <w:r w:rsidR="001D137F">
        <w:rPr>
          <w:rFonts w:ascii="Times New Roman" w:hAnsi="Times New Roman"/>
        </w:rPr>
        <w:t>are</w:t>
      </w:r>
      <w:r>
        <w:rPr>
          <w:rFonts w:ascii="Times New Roman" w:hAnsi="Times New Roman"/>
        </w:rPr>
        <w:t xml:space="preserve"> not made by these subsidiary institutions.  Thus, the Pillar 3 disclosures would not be an acceptable substitute for the </w:t>
      </w:r>
      <w:r>
        <w:rPr>
          <w:rFonts w:ascii="Times New Roman" w:hAnsi="Times New Roman"/>
          <w:szCs w:val="24"/>
        </w:rPr>
        <w:t xml:space="preserve">Advanced Capital Adequacy Framework Regulatory Reporting Requirements.  </w:t>
      </w:r>
    </w:p>
    <w:p w:rsidR="009D651B" w:rsidRDefault="009D651B">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p>
    <w:p w:rsidR="009D651B" w:rsidRDefault="009D651B">
      <w:pPr>
        <w:widowControl/>
        <w:tabs>
          <w:tab w:val="left" w:pos="-1440"/>
          <w:tab w:val="left" w:pos="-720"/>
          <w:tab w:val="left" w:pos="0"/>
          <w:tab w:val="left" w:pos="432"/>
          <w:tab w:val="left" w:pos="720"/>
          <w:tab w:val="left" w:pos="1008"/>
          <w:tab w:val="left" w:pos="1440"/>
        </w:tabs>
        <w:suppressAutoHyphens/>
        <w:rPr>
          <w:rFonts w:ascii="Times New Roman" w:hAnsi="Times New Roman"/>
        </w:rPr>
      </w:pPr>
      <w:r w:rsidRPr="009D651B">
        <w:rPr>
          <w:rFonts w:ascii="Times New Roman" w:hAnsi="Times New Roman"/>
          <w:szCs w:val="24"/>
        </w:rPr>
        <w:t>Tables 1 and 2</w:t>
      </w:r>
      <w:r>
        <w:rPr>
          <w:rFonts w:ascii="Times New Roman" w:hAnsi="Times New Roman"/>
          <w:szCs w:val="24"/>
        </w:rPr>
        <w:t xml:space="preserve"> of</w:t>
      </w:r>
      <w:r w:rsidRPr="009D651B">
        <w:rPr>
          <w:rFonts w:ascii="Times New Roman" w:hAnsi="Times New Roman"/>
          <w:szCs w:val="24"/>
        </w:rPr>
        <w:t xml:space="preserve"> FFIEC 101 Schedule A collect information related to the agencies’ SLR disclosures required in Table 13 of section 173 of the advanced approaches rule.  </w:t>
      </w:r>
      <w:r>
        <w:rPr>
          <w:rFonts w:ascii="Times New Roman" w:hAnsi="Times New Roman"/>
          <w:szCs w:val="24"/>
        </w:rPr>
        <w:t>Completing the FFIEC 101 items for the SLR satisf</w:t>
      </w:r>
      <w:r w:rsidR="001D137F">
        <w:rPr>
          <w:rFonts w:ascii="Times New Roman" w:hAnsi="Times New Roman"/>
          <w:szCs w:val="24"/>
        </w:rPr>
        <w:t>ies</w:t>
      </w:r>
      <w:r>
        <w:rPr>
          <w:rFonts w:ascii="Times New Roman" w:hAnsi="Times New Roman"/>
          <w:szCs w:val="24"/>
        </w:rPr>
        <w:t xml:space="preserve"> a bank’s requirement to disclose Table 13</w:t>
      </w:r>
      <w:r w:rsidR="00F35587">
        <w:rPr>
          <w:rFonts w:ascii="Times New Roman" w:hAnsi="Times New Roman"/>
          <w:szCs w:val="24"/>
        </w:rPr>
        <w:t xml:space="preserve"> and thereby avoid</w:t>
      </w:r>
      <w:r w:rsidR="001D137F">
        <w:rPr>
          <w:rFonts w:ascii="Times New Roman" w:hAnsi="Times New Roman"/>
          <w:szCs w:val="24"/>
        </w:rPr>
        <w:t>s</w:t>
      </w:r>
      <w:r w:rsidR="00F35587">
        <w:rPr>
          <w:rFonts w:ascii="Times New Roman" w:hAnsi="Times New Roman"/>
          <w:szCs w:val="24"/>
        </w:rPr>
        <w:t xml:space="preserve"> duplication</w:t>
      </w:r>
      <w:r>
        <w:rPr>
          <w:rFonts w:ascii="Times New Roman" w:hAnsi="Times New Roman"/>
          <w:szCs w:val="24"/>
        </w:rPr>
        <w:t>.</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P="00A41B62" w:rsidRDefault="003B78E0">
      <w:pPr>
        <w:widowControl/>
        <w:tabs>
          <w:tab w:val="left" w:pos="-1440"/>
          <w:tab w:val="left" w:pos="-720"/>
        </w:tabs>
        <w:suppressAutoHyphens/>
        <w:ind w:left="360" w:hanging="360"/>
        <w:rPr>
          <w:rFonts w:ascii="Times New Roman" w:hAnsi="Times New Roman"/>
        </w:rPr>
      </w:pPr>
      <w:r>
        <w:rPr>
          <w:rFonts w:ascii="Times New Roman" w:hAnsi="Times New Roman"/>
        </w:rPr>
        <w:t xml:space="preserve">5.  </w:t>
      </w:r>
      <w:r w:rsidRPr="00174870" w:rsidR="006818C8">
        <w:rPr>
          <w:rFonts w:ascii="Times New Roman" w:hAnsi="Times New Roman"/>
          <w:bCs/>
          <w:szCs w:val="24"/>
          <w:u w:val="single"/>
        </w:rPr>
        <w:t>Methods used to minimize burden if the collection has a significant impact on a substantial number of small entities:</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6111E5">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This</w:t>
      </w:r>
      <w:r w:rsidRPr="006111E5">
        <w:rPr>
          <w:rFonts w:ascii="Times New Roman" w:hAnsi="Times New Roman"/>
        </w:rPr>
        <w:t xml:space="preserve"> </w:t>
      </w:r>
      <w:r>
        <w:rPr>
          <w:rFonts w:ascii="Times New Roman" w:hAnsi="Times New Roman"/>
        </w:rPr>
        <w:t xml:space="preserve">information </w:t>
      </w:r>
      <w:r w:rsidRPr="006111E5">
        <w:rPr>
          <w:rFonts w:ascii="Times New Roman" w:hAnsi="Times New Roman"/>
        </w:rPr>
        <w:t xml:space="preserve">collection will not have a significant economic impact on a substantial number of small entities. </w:t>
      </w:r>
      <w:r>
        <w:rPr>
          <w:rFonts w:ascii="Times New Roman" w:hAnsi="Times New Roman"/>
        </w:rPr>
        <w:t xml:space="preserve"> Categ</w:t>
      </w:r>
      <w:r w:rsidR="00717E74">
        <w:rPr>
          <w:rFonts w:ascii="Times New Roman" w:hAnsi="Times New Roman"/>
        </w:rPr>
        <w:t>ory I and II banking o</w:t>
      </w:r>
      <w:r w:rsidR="003B78E0">
        <w:rPr>
          <w:rFonts w:ascii="Times New Roman" w:hAnsi="Times New Roman"/>
        </w:rPr>
        <w:t xml:space="preserve">rganizations that are subject to the </w:t>
      </w:r>
      <w:r w:rsidR="00BB446E">
        <w:rPr>
          <w:rFonts w:ascii="Times New Roman" w:hAnsi="Times New Roman"/>
        </w:rPr>
        <w:t>Advanced Capital Adequacy Framework</w:t>
      </w:r>
      <w:r w:rsidR="003B78E0">
        <w:rPr>
          <w:rFonts w:ascii="Times New Roman" w:hAnsi="Times New Roman"/>
        </w:rPr>
        <w:t xml:space="preserve"> on a mandatory basis are large ($</w:t>
      </w:r>
      <w:r w:rsidR="00717E74">
        <w:rPr>
          <w:rFonts w:ascii="Times New Roman" w:hAnsi="Times New Roman"/>
        </w:rPr>
        <w:t>700</w:t>
      </w:r>
      <w:r w:rsidR="003B78E0">
        <w:rPr>
          <w:rFonts w:ascii="Times New Roman" w:hAnsi="Times New Roman"/>
        </w:rPr>
        <w:t xml:space="preserve"> billion </w:t>
      </w:r>
      <w:r w:rsidR="001F3598">
        <w:rPr>
          <w:rFonts w:ascii="Times New Roman" w:hAnsi="Times New Roman"/>
        </w:rPr>
        <w:t xml:space="preserve">or more </w:t>
      </w:r>
      <w:r w:rsidR="003B78E0">
        <w:rPr>
          <w:rFonts w:ascii="Times New Roman" w:hAnsi="Times New Roman"/>
        </w:rPr>
        <w:t xml:space="preserve">in consolidated assets) </w:t>
      </w:r>
      <w:r w:rsidR="00717E74">
        <w:rPr>
          <w:rFonts w:ascii="Times New Roman" w:hAnsi="Times New Roman"/>
        </w:rPr>
        <w:t>or i</w:t>
      </w:r>
      <w:r w:rsidR="003B78E0">
        <w:rPr>
          <w:rFonts w:ascii="Times New Roman" w:hAnsi="Times New Roman"/>
        </w:rPr>
        <w:t>nternationally active organizations ($</w:t>
      </w:r>
      <w:r w:rsidR="00717E74">
        <w:rPr>
          <w:rFonts w:ascii="Times New Roman" w:hAnsi="Times New Roman"/>
        </w:rPr>
        <w:t>75</w:t>
      </w:r>
      <w:r w:rsidR="003B78E0">
        <w:rPr>
          <w:rFonts w:ascii="Times New Roman" w:hAnsi="Times New Roman"/>
        </w:rPr>
        <w:t xml:space="preserve"> billion </w:t>
      </w:r>
      <w:r w:rsidR="001F3598">
        <w:rPr>
          <w:rFonts w:ascii="Times New Roman" w:hAnsi="Times New Roman"/>
        </w:rPr>
        <w:t xml:space="preserve">or more </w:t>
      </w:r>
      <w:r w:rsidR="003B78E0">
        <w:rPr>
          <w:rFonts w:ascii="Times New Roman" w:hAnsi="Times New Roman"/>
        </w:rPr>
        <w:t>in c</w:t>
      </w:r>
      <w:r w:rsidR="00717E74">
        <w:rPr>
          <w:rFonts w:ascii="Times New Roman" w:hAnsi="Times New Roman"/>
        </w:rPr>
        <w:t>ross-jurisdictional activity</w:t>
      </w:r>
      <w:r w:rsidR="003B78E0">
        <w:rPr>
          <w:rFonts w:ascii="Times New Roman" w:hAnsi="Times New Roman"/>
        </w:rPr>
        <w:t xml:space="preserve">) and their depository institution subsidiaries.  </w:t>
      </w:r>
      <w:r w:rsidR="00717E74">
        <w:rPr>
          <w:rFonts w:ascii="Times New Roman" w:hAnsi="Times New Roman"/>
        </w:rPr>
        <w:t>Category III banking organizations that are subject to the supplementary leverage ratio</w:t>
      </w:r>
      <w:r w:rsidR="00C42963">
        <w:rPr>
          <w:rFonts w:ascii="Times New Roman" w:hAnsi="Times New Roman"/>
        </w:rPr>
        <w:t xml:space="preserve"> have </w:t>
      </w:r>
      <w:r w:rsidRPr="00C42963" w:rsidR="00C42963">
        <w:rPr>
          <w:rFonts w:ascii="Times New Roman" w:hAnsi="Times New Roman"/>
        </w:rPr>
        <w:t>$250 billion or m</w:t>
      </w:r>
      <w:r w:rsidR="00C42963">
        <w:rPr>
          <w:rFonts w:ascii="Times New Roman" w:hAnsi="Times New Roman"/>
        </w:rPr>
        <w:t xml:space="preserve">ore in total consolidated assets, but </w:t>
      </w:r>
      <w:r w:rsidRPr="00C42963" w:rsidR="00C42963">
        <w:rPr>
          <w:rFonts w:ascii="Times New Roman" w:hAnsi="Times New Roman"/>
        </w:rPr>
        <w:t>do not meet the criteria for Category I or II</w:t>
      </w:r>
      <w:r w:rsidR="00C42963">
        <w:rPr>
          <w:rFonts w:ascii="Times New Roman" w:hAnsi="Times New Roman"/>
        </w:rPr>
        <w:t xml:space="preserve">, or have </w:t>
      </w:r>
      <w:r w:rsidRPr="00C42963" w:rsidR="00C42963">
        <w:rPr>
          <w:rFonts w:ascii="Times New Roman" w:hAnsi="Times New Roman"/>
        </w:rPr>
        <w:t xml:space="preserve">total consolidated assets of $100 billion or more, but less than $250 billion, </w:t>
      </w:r>
      <w:r w:rsidR="00C42963">
        <w:rPr>
          <w:rFonts w:ascii="Times New Roman" w:hAnsi="Times New Roman"/>
        </w:rPr>
        <w:t>and</w:t>
      </w:r>
      <w:r w:rsidRPr="00C42963" w:rsidR="00C42963">
        <w:rPr>
          <w:rFonts w:ascii="Times New Roman" w:hAnsi="Times New Roman"/>
        </w:rPr>
        <w:t xml:space="preserve"> meet or exceed other specified risk-based indicators.</w:t>
      </w:r>
      <w:r w:rsidR="00C42963">
        <w:rPr>
          <w:rFonts w:ascii="Times New Roman" w:hAnsi="Times New Roman"/>
        </w:rPr>
        <w:t xml:space="preserve">  Category III also includes the depository institution subsidiaries of such banking organizations.</w:t>
      </w:r>
      <w:r w:rsidRPr="00C42963" w:rsidR="00C42963">
        <w:rPr>
          <w:rFonts w:ascii="Times New Roman" w:hAnsi="Times New Roman"/>
        </w:rPr>
        <w:t xml:space="preserve">  </w:t>
      </w:r>
      <w:r w:rsidR="0081476E">
        <w:rPr>
          <w:rFonts w:ascii="Times New Roman" w:hAnsi="Times New Roman"/>
        </w:rPr>
        <w:t xml:space="preserve">As a consequence, </w:t>
      </w:r>
      <w:r w:rsidR="003B78E0">
        <w:rPr>
          <w:rFonts w:ascii="Times New Roman" w:hAnsi="Times New Roman"/>
        </w:rPr>
        <w:t>the</w:t>
      </w:r>
      <w:r w:rsidR="0081476E">
        <w:rPr>
          <w:rFonts w:ascii="Times New Roman" w:hAnsi="Times New Roman"/>
        </w:rPr>
        <w:t xml:space="preserve"> advanced approaches rule</w:t>
      </w:r>
      <w:r w:rsidR="00C42963">
        <w:rPr>
          <w:rFonts w:ascii="Times New Roman" w:hAnsi="Times New Roman"/>
        </w:rPr>
        <w:t xml:space="preserve"> and the supplementary leverage ratio</w:t>
      </w:r>
      <w:r w:rsidR="0081476E">
        <w:rPr>
          <w:rFonts w:ascii="Times New Roman" w:hAnsi="Times New Roman"/>
        </w:rPr>
        <w:t>,</w:t>
      </w:r>
      <w:r w:rsidR="003B78E0">
        <w:rPr>
          <w:rFonts w:ascii="Times New Roman" w:hAnsi="Times New Roman"/>
        </w:rPr>
        <w:t xml:space="preserve"> </w:t>
      </w:r>
      <w:r w:rsidR="0081476E">
        <w:rPr>
          <w:rFonts w:ascii="Times New Roman" w:hAnsi="Times New Roman"/>
        </w:rPr>
        <w:t xml:space="preserve">and the corresponding FFIEC 101 reporting requirements, </w:t>
      </w:r>
      <w:r w:rsidR="003B78E0">
        <w:rPr>
          <w:rFonts w:ascii="Times New Roman" w:hAnsi="Times New Roman"/>
        </w:rPr>
        <w:t xml:space="preserve">have limited </w:t>
      </w:r>
      <w:r w:rsidR="00BB446E">
        <w:rPr>
          <w:rFonts w:ascii="Times New Roman" w:hAnsi="Times New Roman"/>
        </w:rPr>
        <w:t>applicability to</w:t>
      </w:r>
      <w:r w:rsidR="003B78E0">
        <w:rPr>
          <w:rFonts w:ascii="Times New Roman" w:hAnsi="Times New Roman"/>
        </w:rPr>
        <w:t xml:space="preserve"> small institutions</w:t>
      </w:r>
      <w:r w:rsidR="0081476E">
        <w:rPr>
          <w:rFonts w:ascii="Times New Roman" w:hAnsi="Times New Roman"/>
        </w:rPr>
        <w:t xml:space="preserve">, including the </w:t>
      </w:r>
      <w:r w:rsidR="00195165">
        <w:rPr>
          <w:rFonts w:ascii="Times New Roman" w:hAnsi="Times New Roman"/>
        </w:rPr>
        <w:t>approximately</w:t>
      </w:r>
      <w:r w:rsidR="00F35587">
        <w:rPr>
          <w:rFonts w:ascii="Times New Roman" w:hAnsi="Times New Roman"/>
        </w:rPr>
        <w:t xml:space="preserve"> </w:t>
      </w:r>
      <w:r w:rsidR="00776B29">
        <w:rPr>
          <w:rFonts w:ascii="Times New Roman" w:hAnsi="Times New Roman"/>
        </w:rPr>
        <w:t>2,7</w:t>
      </w:r>
      <w:r w:rsidR="006713FF">
        <w:rPr>
          <w:rFonts w:ascii="Times New Roman" w:hAnsi="Times New Roman"/>
        </w:rPr>
        <w:t>0</w:t>
      </w:r>
      <w:r w:rsidR="00776B29">
        <w:rPr>
          <w:rFonts w:ascii="Times New Roman" w:hAnsi="Times New Roman"/>
        </w:rPr>
        <w:t>0</w:t>
      </w:r>
      <w:r w:rsidR="003B78E0">
        <w:rPr>
          <w:rFonts w:ascii="Times New Roman" w:hAnsi="Times New Roman"/>
        </w:rPr>
        <w:t xml:space="preserve"> FDIC-supervised </w:t>
      </w:r>
      <w:r w:rsidR="00B14F46">
        <w:rPr>
          <w:rFonts w:ascii="Times New Roman" w:hAnsi="Times New Roman"/>
        </w:rPr>
        <w:t>institutions</w:t>
      </w:r>
      <w:r w:rsidR="003B78E0">
        <w:rPr>
          <w:rFonts w:ascii="Times New Roman" w:hAnsi="Times New Roman"/>
        </w:rPr>
        <w:t xml:space="preserve"> with assets of $</w:t>
      </w:r>
      <w:r w:rsidR="006713FF">
        <w:rPr>
          <w:rFonts w:ascii="Times New Roman" w:hAnsi="Times New Roman"/>
        </w:rPr>
        <w:t>60</w:t>
      </w:r>
      <w:r w:rsidR="008543D0">
        <w:rPr>
          <w:rFonts w:ascii="Times New Roman" w:hAnsi="Times New Roman"/>
        </w:rPr>
        <w:t xml:space="preserve">0 </w:t>
      </w:r>
      <w:r w:rsidR="003B78E0">
        <w:rPr>
          <w:rFonts w:ascii="Times New Roman" w:hAnsi="Times New Roman"/>
        </w:rPr>
        <w:t>million or less.</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6.  </w:t>
      </w:r>
      <w:r w:rsidRPr="00C40FA3" w:rsidR="006818C8">
        <w:rPr>
          <w:rFonts w:ascii="Times New Roman" w:hAnsi="Times New Roman"/>
          <w:bCs/>
          <w:szCs w:val="24"/>
          <w:u w:val="single"/>
        </w:rPr>
        <w:t>Consequences to the Federal program if the collection were conducted less frequently:</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Less frequent reporting would reduce the ability of the FDIC to identify and respond in a timely manner to noncompliance with minimum </w:t>
      </w:r>
      <w:r w:rsidR="008A5733">
        <w:rPr>
          <w:rFonts w:ascii="Times New Roman" w:hAnsi="Times New Roman"/>
        </w:rPr>
        <w:t>regulatory</w:t>
      </w:r>
      <w:r>
        <w:rPr>
          <w:rFonts w:ascii="Times New Roman" w:hAnsi="Times New Roman"/>
        </w:rPr>
        <w:t xml:space="preserve"> capital </w:t>
      </w:r>
      <w:r w:rsidR="008A5733">
        <w:rPr>
          <w:rFonts w:ascii="Times New Roman" w:hAnsi="Times New Roman"/>
        </w:rPr>
        <w:t>ratios</w:t>
      </w:r>
      <w:r>
        <w:rPr>
          <w:rFonts w:ascii="Times New Roman" w:hAnsi="Times New Roman"/>
        </w:rPr>
        <w:t xml:space="preserve">, adverse risk trends that become apparent in the forward-looking risk estimates reported by </w:t>
      </w:r>
      <w:r w:rsidR="00D267FE">
        <w:rPr>
          <w:rFonts w:ascii="Times New Roman" w:hAnsi="Times New Roman"/>
        </w:rPr>
        <w:t xml:space="preserve">Category I and II </w:t>
      </w:r>
      <w:r>
        <w:rPr>
          <w:rFonts w:ascii="Times New Roman" w:hAnsi="Times New Roman"/>
        </w:rPr>
        <w:t xml:space="preserve">respondents, and evidence of risk estimates that call into question the accuracy of a </w:t>
      </w:r>
      <w:r w:rsidR="00D267FE">
        <w:rPr>
          <w:rFonts w:ascii="Times New Roman" w:hAnsi="Times New Roman"/>
        </w:rPr>
        <w:t xml:space="preserve">Category I or II </w:t>
      </w:r>
      <w:r>
        <w:rPr>
          <w:rFonts w:ascii="Times New Roman" w:hAnsi="Times New Roman"/>
        </w:rPr>
        <w:t>bank’s capital calculation or place other institutions with similar types of exposures at a competitive disadvantage.  To be most useful as an off-site analytical tool, these reports are intended to correspond to the frequency and timing of other regulatory submissions including the Consolidated Report</w:t>
      </w:r>
      <w:r w:rsidR="00391805">
        <w:rPr>
          <w:rFonts w:ascii="Times New Roman" w:hAnsi="Times New Roman"/>
        </w:rPr>
        <w:t>s of Condition and Income (Call </w:t>
      </w:r>
      <w:r>
        <w:rPr>
          <w:rFonts w:ascii="Times New Roman" w:hAnsi="Times New Roman"/>
        </w:rPr>
        <w:t>Report)</w:t>
      </w:r>
      <w:r w:rsidR="001B513A">
        <w:rPr>
          <w:rStyle w:val="FootnoteReference"/>
          <w:rFonts w:ascii="Times New Roman" w:hAnsi="Times New Roman"/>
        </w:rPr>
        <w:footnoteReference w:id="11"/>
      </w:r>
      <w:r>
        <w:rPr>
          <w:rFonts w:ascii="Times New Roman" w:hAnsi="Times New Roman"/>
        </w:rPr>
        <w:t xml:space="preserve"> and the </w:t>
      </w:r>
      <w:r w:rsidR="00F6279C">
        <w:rPr>
          <w:rFonts w:ascii="Times New Roman" w:hAnsi="Times New Roman"/>
        </w:rPr>
        <w:t xml:space="preserve">FRB’s </w:t>
      </w:r>
      <w:r>
        <w:rPr>
          <w:rFonts w:ascii="Times New Roman" w:hAnsi="Times New Roman"/>
        </w:rPr>
        <w:t>Bank Holding Company FR Y-9C report.</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7.  </w:t>
      </w:r>
      <w:r w:rsidRPr="00A41B62" w:rsidR="00A41B62">
        <w:rPr>
          <w:rFonts w:ascii="Times New Roman TUR" w:hAnsi="Times New Roman TUR" w:cs="Times New Roman TUR"/>
          <w:bCs/>
          <w:u w:val="single"/>
        </w:rPr>
        <w:t>Special circumstances necessitating collection inconsistent with 5 CFR Part 1320.5(d)(2):</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A41B62">
      <w:pPr>
        <w:widowControl/>
        <w:tabs>
          <w:tab w:val="left" w:pos="-1440"/>
          <w:tab w:val="left" w:pos="-720"/>
          <w:tab w:val="left" w:pos="0"/>
          <w:tab w:val="left" w:pos="432"/>
          <w:tab w:val="left" w:pos="720"/>
        </w:tabs>
        <w:suppressAutoHyphens/>
        <w:rPr>
          <w:rFonts w:ascii="Times New Roman" w:hAnsi="Times New Roman"/>
        </w:rPr>
      </w:pPr>
      <w:r w:rsidRPr="0078042F">
        <w:rPr>
          <w:rFonts w:ascii="Times New Roman TUR" w:hAnsi="Times New Roman TUR" w:cs="Times New Roman TUR"/>
        </w:rPr>
        <w:t>There are no special circumstances. This information collection is conducted in accordance with the guidelines in 5 CFR 1320.5(d)(2)</w:t>
      </w:r>
      <w:r>
        <w:rPr>
          <w:rFonts w:ascii="Times New Roman TUR" w:hAnsi="Times New Roman TUR" w:cs="Times New Roman TUR"/>
        </w:rPr>
        <w:t>.</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u w:val="single"/>
        </w:rPr>
      </w:pPr>
      <w:r>
        <w:rPr>
          <w:rFonts w:ascii="Times New Roman" w:hAnsi="Times New Roman"/>
        </w:rPr>
        <w:t xml:space="preserve">8.  </w:t>
      </w:r>
      <w:r w:rsidRPr="00647F97" w:rsidR="00A41B62">
        <w:rPr>
          <w:rFonts w:ascii="Times New Roman TUR" w:hAnsi="Times New Roman TUR" w:cs="Times New Roman TUR"/>
          <w:bCs/>
          <w:u w:val="single"/>
        </w:rPr>
        <w:t>Efforts to consult with persons outside the agency:</w:t>
      </w:r>
    </w:p>
    <w:p w:rsidR="003B78E0" w:rsidRDefault="003B78E0">
      <w:pPr>
        <w:widowControl/>
        <w:tabs>
          <w:tab w:val="left" w:pos="-1440"/>
          <w:tab w:val="left" w:pos="-720"/>
          <w:tab w:val="left" w:pos="0"/>
          <w:tab w:val="left" w:pos="432"/>
          <w:tab w:val="left" w:pos="720"/>
        </w:tabs>
        <w:suppressAutoHyphens/>
        <w:rPr>
          <w:rFonts w:ascii="Times New Roman" w:hAnsi="Times New Roman"/>
          <w:u w:val="single"/>
        </w:rPr>
      </w:pPr>
    </w:p>
    <w:p w:rsidRPr="00220C44" w:rsidR="00220C44" w:rsidP="00220C44" w:rsidRDefault="00220C44">
      <w:pPr>
        <w:rPr>
          <w:rFonts w:ascii="Times New Roman" w:hAnsi="Times New Roman"/>
        </w:rPr>
      </w:pPr>
      <w:bookmarkStart w:name="OLE_LINK10" w:id="0"/>
      <w:bookmarkStart w:name="OLE_LINK11" w:id="1"/>
      <w:r w:rsidRPr="00220C44">
        <w:rPr>
          <w:rFonts w:ascii="Times New Roman" w:hAnsi="Times New Roman"/>
        </w:rPr>
        <w:t>On October 4, 2019, the FDIC, the F</w:t>
      </w:r>
      <w:r>
        <w:rPr>
          <w:rFonts w:ascii="Times New Roman" w:hAnsi="Times New Roman"/>
        </w:rPr>
        <w:t>RB</w:t>
      </w:r>
      <w:r w:rsidRPr="00220C44">
        <w:rPr>
          <w:rFonts w:ascii="Times New Roman" w:hAnsi="Times New Roman"/>
        </w:rPr>
        <w:t xml:space="preserve">, and the OCC jointly published an initial Paperwork Reduction Act </w:t>
      </w:r>
      <w:r w:rsidRPr="00220C44">
        <w:rPr>
          <w:rFonts w:ascii="Times New Roman" w:hAnsi="Times New Roman"/>
          <w:u w:val="single"/>
        </w:rPr>
        <w:t>Federal Register</w:t>
      </w:r>
      <w:r w:rsidRPr="00220C44">
        <w:rPr>
          <w:rFonts w:ascii="Times New Roman" w:hAnsi="Times New Roman"/>
        </w:rPr>
        <w:t xml:space="preserve"> notice proposing to extend, with revision, the </w:t>
      </w:r>
      <w:r>
        <w:rPr>
          <w:rFonts w:ascii="Times New Roman" w:hAnsi="Times New Roman"/>
        </w:rPr>
        <w:t xml:space="preserve">FFIEC 101 and the </w:t>
      </w:r>
      <w:r w:rsidRPr="00220C44">
        <w:rPr>
          <w:rFonts w:ascii="Times New Roman" w:hAnsi="Times New Roman"/>
        </w:rPr>
        <w:t>C</w:t>
      </w:r>
      <w:r w:rsidR="00056FFE">
        <w:rPr>
          <w:rFonts w:ascii="Times New Roman" w:hAnsi="Times New Roman"/>
        </w:rPr>
        <w:t>all Report</w:t>
      </w:r>
      <w:r w:rsidRPr="00220C44">
        <w:rPr>
          <w:rFonts w:ascii="Times New Roman" w:hAnsi="Times New Roman"/>
          <w:vertAlign w:val="superscript"/>
        </w:rPr>
        <w:footnoteReference w:id="12"/>
      </w:r>
      <w:r w:rsidRPr="00220C44">
        <w:rPr>
          <w:rFonts w:ascii="Times New Roman" w:hAnsi="Times New Roman"/>
        </w:rPr>
        <w:t xml:space="preserve"> (84 FR 53227).  The comment period ended on December 3, 2019.  The agencies received comments on the proposed reporting changes covered in the notice from four entities:  three bankers’ associations and one savings association.  </w:t>
      </w:r>
      <w:r w:rsidR="0038136E">
        <w:rPr>
          <w:rFonts w:ascii="Times New Roman" w:hAnsi="Times New Roman"/>
        </w:rPr>
        <w:t>Most of the comments received pertained to the C</w:t>
      </w:r>
      <w:r w:rsidR="00C32505">
        <w:rPr>
          <w:rFonts w:ascii="Times New Roman" w:hAnsi="Times New Roman"/>
        </w:rPr>
        <w:t xml:space="preserve">all </w:t>
      </w:r>
      <w:r w:rsidR="0038136E">
        <w:rPr>
          <w:rFonts w:ascii="Times New Roman" w:hAnsi="Times New Roman"/>
        </w:rPr>
        <w:t xml:space="preserve">Report.  </w:t>
      </w:r>
      <w:r w:rsidRPr="00220C44">
        <w:rPr>
          <w:rFonts w:ascii="Times New Roman" w:hAnsi="Times New Roman"/>
        </w:rPr>
        <w:t>After carefully considering the comments received on the October 2019 notice</w:t>
      </w:r>
      <w:r w:rsidR="0038136E">
        <w:rPr>
          <w:rFonts w:ascii="Times New Roman" w:hAnsi="Times New Roman"/>
        </w:rPr>
        <w:t xml:space="preserve"> that addressed the FFIEC 101, </w:t>
      </w:r>
      <w:r w:rsidRPr="00220C44">
        <w:rPr>
          <w:rFonts w:ascii="Times New Roman" w:hAnsi="Times New Roman"/>
        </w:rPr>
        <w:t>t</w:t>
      </w:r>
      <w:r w:rsidRPr="00220C44">
        <w:rPr>
          <w:rFonts w:ascii="Times New Roman" w:hAnsi="Times New Roman"/>
          <w:iCs/>
        </w:rPr>
        <w:t xml:space="preserve">he agencies are adopting the </w:t>
      </w:r>
      <w:r w:rsidR="0038136E">
        <w:rPr>
          <w:rFonts w:ascii="Times New Roman" w:hAnsi="Times New Roman"/>
          <w:iCs/>
        </w:rPr>
        <w:t xml:space="preserve">FFIEC 101 </w:t>
      </w:r>
      <w:r w:rsidRPr="00220C44">
        <w:rPr>
          <w:rFonts w:ascii="Times New Roman" w:hAnsi="Times New Roman"/>
          <w:iCs/>
        </w:rPr>
        <w:t xml:space="preserve">reporting changes proposed in that notice </w:t>
      </w:r>
      <w:r w:rsidR="0038136E">
        <w:rPr>
          <w:rFonts w:ascii="Times New Roman" w:hAnsi="Times New Roman"/>
          <w:iCs/>
        </w:rPr>
        <w:t xml:space="preserve"> </w:t>
      </w:r>
      <w:r w:rsidRPr="00220C44">
        <w:rPr>
          <w:rFonts w:ascii="Times New Roman" w:hAnsi="Times New Roman"/>
          <w:iCs/>
        </w:rPr>
        <w:t xml:space="preserve">(except for those for one regulatory capital rulemaking that has not yet been finalized) </w:t>
      </w:r>
      <w:r w:rsidR="0038136E">
        <w:rPr>
          <w:rFonts w:ascii="Times New Roman" w:hAnsi="Times New Roman"/>
          <w:iCs/>
        </w:rPr>
        <w:t>as proposed</w:t>
      </w:r>
      <w:r w:rsidR="00C32505">
        <w:rPr>
          <w:rFonts w:ascii="Times New Roman" w:hAnsi="Times New Roman"/>
          <w:iCs/>
        </w:rPr>
        <w:t>, but with a clarification of one caption in Supplementary Leverage Ratio Table 2</w:t>
      </w:r>
      <w:r w:rsidRPr="00220C44">
        <w:rPr>
          <w:rFonts w:ascii="Times New Roman" w:hAnsi="Times New Roman"/>
          <w:iCs/>
        </w:rPr>
        <w:t xml:space="preserve">.  </w:t>
      </w:r>
      <w:r w:rsidRPr="00220C44">
        <w:rPr>
          <w:rFonts w:ascii="Times New Roman" w:hAnsi="Times New Roman"/>
        </w:rPr>
        <w:t xml:space="preserve">The comments received </w:t>
      </w:r>
      <w:r w:rsidR="0038136E">
        <w:rPr>
          <w:rFonts w:ascii="Times New Roman" w:hAnsi="Times New Roman"/>
        </w:rPr>
        <w:t xml:space="preserve">that pertain to the FFIEC 101 </w:t>
      </w:r>
      <w:r w:rsidRPr="00220C44">
        <w:rPr>
          <w:rFonts w:ascii="Times New Roman" w:hAnsi="Times New Roman"/>
        </w:rPr>
        <w:t>and the agencies’ responses are discussed in the following sections.</w:t>
      </w:r>
    </w:p>
    <w:p w:rsidR="00056FFE" w:rsidRDefault="0081476E">
      <w:pPr>
        <w:rPr>
          <w:rFonts w:ascii="Times New Roman" w:hAnsi="Times New Roman"/>
        </w:rPr>
      </w:pPr>
      <w:r w:rsidRPr="002E6FEE">
        <w:rPr>
          <w:rFonts w:ascii="Times New Roman" w:hAnsi="Times New Roman"/>
        </w:rPr>
        <w:t xml:space="preserve"> </w:t>
      </w:r>
    </w:p>
    <w:p w:rsidRPr="00056FFE" w:rsidR="00056FFE" w:rsidP="00056FFE" w:rsidRDefault="00056FFE">
      <w:pPr>
        <w:rPr>
          <w:rFonts w:ascii="Times New Roman" w:hAnsi="Times New Roman"/>
        </w:rPr>
      </w:pPr>
      <w:r w:rsidRPr="00056FFE">
        <w:rPr>
          <w:rFonts w:ascii="Times New Roman" w:hAnsi="Times New Roman"/>
          <w:u w:val="single"/>
        </w:rPr>
        <w:t xml:space="preserve">Tailoring </w:t>
      </w:r>
      <w:r>
        <w:rPr>
          <w:rFonts w:ascii="Times New Roman" w:hAnsi="Times New Roman"/>
          <w:u w:val="single"/>
        </w:rPr>
        <w:t xml:space="preserve">Final </w:t>
      </w:r>
      <w:r w:rsidRPr="00056FFE">
        <w:rPr>
          <w:rFonts w:ascii="Times New Roman" w:hAnsi="Times New Roman"/>
          <w:u w:val="single"/>
        </w:rPr>
        <w:t>Rule Reporting Revisions</w:t>
      </w:r>
      <w:r w:rsidRPr="00056FFE">
        <w:rPr>
          <w:rFonts w:ascii="Times New Roman" w:hAnsi="Times New Roman"/>
        </w:rPr>
        <w:t xml:space="preserve"> ‒ </w:t>
      </w:r>
      <w:r w:rsidRPr="002E6FEE" w:rsidR="0081476E">
        <w:rPr>
          <w:rFonts w:ascii="Times New Roman" w:hAnsi="Times New Roman"/>
        </w:rPr>
        <w:t xml:space="preserve"> </w:t>
      </w:r>
      <w:r w:rsidRPr="00056FFE">
        <w:rPr>
          <w:rFonts w:ascii="Times New Roman" w:hAnsi="Times New Roman"/>
        </w:rPr>
        <w:t>Two commenters recommended that Category III institutions should not be required to file the FFIEC 101.  Such institutions are not required to calculate risk-weighted assets according to the advanced approaches rule, but are subject to the supplementary leverage ratio (SLR).  Thus, the only portions of the FFIEC 101 report applicable to Category III institutions are Supplementary Leverage Ratio Tables 1 and 2.  However, one commenter noted that depository institution subsidiaries of Category III institutions, which are themselves considered Category III institutions, are not required to complete these two tables in the FFIEC 101 and instead report specified SLR data only in Call Report Schedule RC-R, Part I.</w:t>
      </w:r>
    </w:p>
    <w:p w:rsidR="00C32505" w:rsidP="00056FFE" w:rsidRDefault="00C32505">
      <w:pPr>
        <w:rPr>
          <w:rFonts w:ascii="Times New Roman" w:hAnsi="Times New Roman"/>
        </w:rPr>
      </w:pPr>
    </w:p>
    <w:p w:rsidRPr="00056FFE" w:rsidR="00056FFE" w:rsidP="00056FFE" w:rsidRDefault="00056FFE">
      <w:pPr>
        <w:rPr>
          <w:rFonts w:ascii="Times New Roman" w:hAnsi="Times New Roman"/>
        </w:rPr>
      </w:pPr>
      <w:r w:rsidRPr="00056FFE">
        <w:rPr>
          <w:rFonts w:ascii="Times New Roman" w:hAnsi="Times New Roman"/>
        </w:rPr>
        <w:t>In support of their recommendation to eliminate SLR data from the FFIEC 101, these commenters asserted that holding companies that report detailed SLR information in the FFIEC</w:t>
      </w:r>
      <w:r w:rsidR="00C32505">
        <w:rPr>
          <w:rFonts w:ascii="Times New Roman" w:hAnsi="Times New Roman"/>
        </w:rPr>
        <w:t> </w:t>
      </w:r>
      <w:r w:rsidRPr="00056FFE">
        <w:rPr>
          <w:rFonts w:ascii="Times New Roman" w:hAnsi="Times New Roman"/>
        </w:rPr>
        <w:t>101 report duplicate information in the Board’s FR Y-15.</w:t>
      </w:r>
      <w:r w:rsidRPr="00056FFE">
        <w:rPr>
          <w:rFonts w:ascii="Times New Roman" w:hAnsi="Times New Roman"/>
          <w:vertAlign w:val="superscript"/>
        </w:rPr>
        <w:footnoteReference w:id="13"/>
      </w:r>
      <w:r w:rsidRPr="00056FFE">
        <w:rPr>
          <w:rFonts w:ascii="Times New Roman" w:hAnsi="Times New Roman"/>
        </w:rPr>
        <w:t xml:space="preserve">  However, the instructions for the FR Y-15 state that “[i]f the banking organization files the Regulatory Capital Reporting for Institutions Subject to the Advanced Capital Adequacy Framework (FFIEC 101) for the same reporting period, then”12 data items in Schedule A of the FR Y-15 “will be populated automatically” from the corresponding data items reported in FFIEC 101 SLR Table 2.  Furthermore, the FR Y-15 does not collect data comparable to the data reported in FFIEC 101 SLR Table 1, “Summary comparison of accounting assets and total leverage exposure.”</w:t>
      </w:r>
    </w:p>
    <w:p w:rsidR="00C32505" w:rsidP="00056FFE" w:rsidRDefault="00C32505">
      <w:pPr>
        <w:rPr>
          <w:rFonts w:ascii="Times New Roman" w:hAnsi="Times New Roman"/>
        </w:rPr>
      </w:pPr>
    </w:p>
    <w:p w:rsidRPr="00056FFE" w:rsidR="00056FFE" w:rsidP="00056FFE" w:rsidRDefault="00056FFE">
      <w:pPr>
        <w:rPr>
          <w:rFonts w:ascii="Times New Roman" w:hAnsi="Times New Roman"/>
        </w:rPr>
      </w:pPr>
      <w:r w:rsidRPr="00056FFE">
        <w:rPr>
          <w:rFonts w:ascii="Times New Roman" w:hAnsi="Times New Roman"/>
        </w:rPr>
        <w:t>Both commenters also noted that Table 13 of the Pillar 3 disclosures</w:t>
      </w:r>
      <w:r w:rsidRPr="00056FFE">
        <w:rPr>
          <w:rFonts w:ascii="Times New Roman" w:hAnsi="Times New Roman"/>
          <w:vertAlign w:val="superscript"/>
        </w:rPr>
        <w:footnoteReference w:id="14"/>
      </w:r>
      <w:r w:rsidRPr="00056FFE">
        <w:rPr>
          <w:rFonts w:ascii="Times New Roman" w:hAnsi="Times New Roman"/>
        </w:rPr>
        <w:t xml:space="preserve"> requires certain institutions to disclose the same SLR information as is reported in FFIEC 101 SLR Tables 1 and</w:t>
      </w:r>
      <w:r w:rsidR="00C32505">
        <w:rPr>
          <w:rFonts w:ascii="Times New Roman" w:hAnsi="Times New Roman"/>
        </w:rPr>
        <w:t> </w:t>
      </w:r>
      <w:r w:rsidRPr="00056FFE">
        <w:rPr>
          <w:rFonts w:ascii="Times New Roman" w:hAnsi="Times New Roman"/>
        </w:rPr>
        <w:t>2.  These commenters also cited these Pillar 3 disclosures as a reason for eliminating the SLR Tables from the FFIEC 101.  However, the agencies’ capital rule provides that the management of an institution required to make the Pillar 3 public disclosures may provide all of the required disclosures in one place on its public website “or may provide the disclosures in more than one public financial report or other regulatory reports,” provided the institution “publicly provides a summary table specifically indicating the location(s) of all such disclosures.”</w:t>
      </w:r>
      <w:r w:rsidRPr="00056FFE">
        <w:rPr>
          <w:rFonts w:ascii="Times New Roman" w:hAnsi="Times New Roman"/>
          <w:vertAlign w:val="superscript"/>
        </w:rPr>
        <w:footnoteReference w:id="15"/>
      </w:r>
      <w:r w:rsidRPr="00056FFE">
        <w:rPr>
          <w:rFonts w:ascii="Times New Roman" w:hAnsi="Times New Roman"/>
        </w:rPr>
        <w:t xml:space="preserve">  Thus, an institution could satisfy the Table 13 disclosure requirement through the use of FFIEC 101 SLR Tables 1 and 2, the location of which would be provided in the institution’s summary table.</w:t>
      </w:r>
    </w:p>
    <w:p w:rsidR="00C32505" w:rsidP="00056FFE" w:rsidRDefault="00C32505">
      <w:pPr>
        <w:rPr>
          <w:rFonts w:ascii="Times New Roman" w:hAnsi="Times New Roman"/>
        </w:rPr>
      </w:pPr>
    </w:p>
    <w:p w:rsidRPr="00056FFE" w:rsidR="00056FFE" w:rsidP="00056FFE" w:rsidRDefault="00056FFE">
      <w:pPr>
        <w:rPr>
          <w:rFonts w:ascii="Times New Roman" w:hAnsi="Times New Roman"/>
        </w:rPr>
      </w:pPr>
      <w:r w:rsidRPr="00056FFE">
        <w:rPr>
          <w:rFonts w:ascii="Times New Roman" w:hAnsi="Times New Roman"/>
        </w:rPr>
        <w:t>Although the agencies recognize the existence of overlaps between the SLR information in the FR Y-15, Table 13 of the Pillar 3 disclosures, and SLR Tables 1 and 2 of the FFIEC 101, the latter serves, or can serve, as the source for some or all of the SLR information in the other two.  Therefore, the agencies do not agree with the comments that SLR Tables 1 and 2 in the FFIEC</w:t>
      </w:r>
      <w:r w:rsidR="00C32505">
        <w:rPr>
          <w:rFonts w:ascii="Times New Roman" w:hAnsi="Times New Roman"/>
        </w:rPr>
        <w:t> </w:t>
      </w:r>
      <w:r w:rsidRPr="00056FFE">
        <w:rPr>
          <w:rFonts w:ascii="Times New Roman" w:hAnsi="Times New Roman"/>
        </w:rPr>
        <w:t>101 duplicate other available information and will retain these tables.</w:t>
      </w:r>
    </w:p>
    <w:p w:rsidR="00C32505" w:rsidP="00056FFE" w:rsidRDefault="00C32505">
      <w:pPr>
        <w:rPr>
          <w:rFonts w:ascii="Times New Roman" w:hAnsi="Times New Roman"/>
        </w:rPr>
      </w:pPr>
    </w:p>
    <w:p w:rsidR="00056FFE" w:rsidP="00056FFE" w:rsidRDefault="00056FFE">
      <w:pPr>
        <w:rPr>
          <w:rFonts w:ascii="Times New Roman" w:hAnsi="Times New Roman"/>
        </w:rPr>
      </w:pPr>
      <w:r w:rsidRPr="00056FFE">
        <w:rPr>
          <w:rFonts w:ascii="Times New Roman" w:hAnsi="Times New Roman"/>
        </w:rPr>
        <w:t xml:space="preserve">In addition, one commenter suggested that if the requirement to complete SLR Tables 1 and 2 is retained for top-tier Category III banking organizations, as </w:t>
      </w:r>
      <w:r w:rsidR="00C32505">
        <w:rPr>
          <w:rFonts w:ascii="Times New Roman" w:hAnsi="Times New Roman"/>
        </w:rPr>
        <w:t xml:space="preserve">the agencies had </w:t>
      </w:r>
      <w:r w:rsidRPr="00056FFE">
        <w:rPr>
          <w:rFonts w:ascii="Times New Roman" w:hAnsi="Times New Roman"/>
        </w:rPr>
        <w:t>proposed, “a change to Line 2.20 Tier 1 capital for Category III firms to account for Tier 1 capital calculation differences would be appropriate.”  On the FFIEC 101 reporting form, the caption for Item 2.20 currently says, “Tier 1 capital (from Schedule A, item 45).”  The agencies note that the existing instructions for Item 2.20 already state that an institution “that does not complete Schedule A, except for the SLR disclosures, must use the corresponding item as reported on the institution’s Schedule RC-R of the Call Report or Schedule HC-R of the FR Y-9C, as applicable.”  Thus, the Item 2.20 instructions already address the commenter’s suggestion.  However, the agencies will modify the caption for Item 2.20 to clarify the source for the amount of Tier 1 capital to be reported in this item.</w:t>
      </w:r>
    </w:p>
    <w:p w:rsidR="00C32505" w:rsidP="00056FFE" w:rsidRDefault="00C32505">
      <w:pPr>
        <w:rPr>
          <w:rFonts w:ascii="Times New Roman" w:hAnsi="Times New Roman"/>
        </w:rPr>
      </w:pPr>
    </w:p>
    <w:p w:rsidRPr="00C32505" w:rsidR="00C32505" w:rsidP="00C32505" w:rsidRDefault="00C32505">
      <w:pPr>
        <w:rPr>
          <w:rFonts w:ascii="Times New Roman" w:hAnsi="Times New Roman"/>
        </w:rPr>
      </w:pPr>
      <w:r w:rsidRPr="00C32505">
        <w:rPr>
          <w:rFonts w:ascii="Times New Roman" w:hAnsi="Times New Roman"/>
          <w:u w:val="single"/>
        </w:rPr>
        <w:t>Revisions to the Supplementary Leverage Ratio for Certain Central Bank Deposits of Custodial Banks</w:t>
      </w:r>
      <w:r w:rsidRPr="00C32505">
        <w:rPr>
          <w:rFonts w:ascii="Times New Roman" w:hAnsi="Times New Roman"/>
        </w:rPr>
        <w:t xml:space="preserve"> ‒ The agencies received no comments on the proposed changes to FFIEC 101 Schedule A for the SLR for custodial banks and will implement the changes as proposed.</w:t>
      </w:r>
    </w:p>
    <w:p w:rsidRPr="00C32505" w:rsidR="00C32505" w:rsidP="00C32505" w:rsidRDefault="00C32505">
      <w:pPr>
        <w:rPr>
          <w:rFonts w:ascii="Times New Roman" w:hAnsi="Times New Roman"/>
        </w:rPr>
      </w:pPr>
    </w:p>
    <w:p w:rsidR="00C32505" w:rsidP="00C32505" w:rsidRDefault="00C32505">
      <w:pPr>
        <w:rPr>
          <w:rFonts w:ascii="Times New Roman" w:hAnsi="Times New Roman"/>
        </w:rPr>
      </w:pPr>
      <w:r w:rsidRPr="00C32505">
        <w:rPr>
          <w:rFonts w:ascii="Times New Roman" w:hAnsi="Times New Roman"/>
          <w:u w:val="single"/>
        </w:rPr>
        <w:t>Standardized Approach for Counterparty Credit Risk on Derivative Contracts</w:t>
      </w:r>
      <w:r w:rsidRPr="00C32505">
        <w:rPr>
          <w:rFonts w:ascii="Times New Roman" w:hAnsi="Times New Roman"/>
        </w:rPr>
        <w:t xml:space="preserve"> ‒  The agencies did not receive comments specifically addressing their proposal to revise the instructions for </w:t>
      </w:r>
      <w:r w:rsidRPr="00D142BF" w:rsidR="00D142BF">
        <w:rPr>
          <w:rFonts w:ascii="Times New Roman" w:hAnsi="Times New Roman"/>
        </w:rPr>
        <w:t xml:space="preserve">FFIEC 101 Schedule A, SLR Table 2, </w:t>
      </w:r>
      <w:r w:rsidRPr="00C32505">
        <w:rPr>
          <w:rFonts w:ascii="Times New Roman" w:hAnsi="Times New Roman"/>
        </w:rPr>
        <w:t xml:space="preserve">consistent with the SA-CCR final rule.  </w:t>
      </w:r>
    </w:p>
    <w:p w:rsidR="00D142BF" w:rsidP="00C32505" w:rsidRDefault="00D142BF">
      <w:pPr>
        <w:rPr>
          <w:rFonts w:ascii="Times New Roman" w:hAnsi="Times New Roman"/>
        </w:rPr>
      </w:pPr>
    </w:p>
    <w:p w:rsidRPr="00D142BF" w:rsidR="00D142BF" w:rsidP="00D142BF" w:rsidRDefault="00D142BF">
      <w:pPr>
        <w:widowControl/>
        <w:rPr>
          <w:rFonts w:ascii="Times New Roman" w:hAnsi="Times New Roman"/>
        </w:rPr>
      </w:pPr>
      <w:r w:rsidRPr="00D142BF">
        <w:rPr>
          <w:rFonts w:ascii="Times New Roman" w:hAnsi="Times New Roman"/>
          <w:u w:val="single"/>
        </w:rPr>
        <w:t>High Volatility Commercial Real Estate (HVCRE) Exposures</w:t>
      </w:r>
      <w:r w:rsidRPr="00D142BF">
        <w:rPr>
          <w:rFonts w:ascii="Times New Roman" w:hAnsi="Times New Roman"/>
        </w:rPr>
        <w:t xml:space="preserve"> ‒ The agencies received no comments on their proposal to </w:t>
      </w:r>
      <w:r>
        <w:rPr>
          <w:rFonts w:ascii="Times New Roman" w:hAnsi="Times New Roman"/>
        </w:rPr>
        <w:t>make</w:t>
      </w:r>
      <w:r w:rsidRPr="00D142BF">
        <w:rPr>
          <w:rFonts w:ascii="Times New Roman" w:hAnsi="Times New Roman"/>
        </w:rPr>
        <w:t xml:space="preserve"> conforming revisions to the FFIEC 101 instructions to align </w:t>
      </w:r>
      <w:r w:rsidR="004035F2">
        <w:rPr>
          <w:rFonts w:ascii="Times New Roman" w:hAnsi="Times New Roman"/>
        </w:rPr>
        <w:t xml:space="preserve">them </w:t>
      </w:r>
      <w:r w:rsidRPr="00D142BF">
        <w:rPr>
          <w:rFonts w:ascii="Times New Roman" w:hAnsi="Times New Roman"/>
        </w:rPr>
        <w:t xml:space="preserve">with the new HVCRE exposure definition.  </w:t>
      </w:r>
    </w:p>
    <w:p w:rsidRPr="00056FFE" w:rsidR="00D142BF" w:rsidP="00C32505" w:rsidRDefault="00D142BF">
      <w:pPr>
        <w:rPr>
          <w:rFonts w:ascii="Times New Roman" w:hAnsi="Times New Roman"/>
        </w:rPr>
      </w:pPr>
    </w:p>
    <w:bookmarkEnd w:id="0"/>
    <w:bookmarkEnd w:id="1"/>
    <w:p w:rsidR="0036198E" w:rsidRDefault="0036198E">
      <w:pPr>
        <w:widowControl/>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9.  </w:t>
      </w:r>
      <w:r w:rsidRPr="009172D2" w:rsidR="000A0B4E">
        <w:rPr>
          <w:rFonts w:ascii="Times New Roman" w:hAnsi="Times New Roman"/>
          <w:szCs w:val="24"/>
          <w:u w:val="single"/>
        </w:rPr>
        <w:t xml:space="preserve">Payment or </w:t>
      </w:r>
      <w:r w:rsidR="000A0B4E">
        <w:rPr>
          <w:rFonts w:ascii="Times New Roman" w:hAnsi="Times New Roman"/>
          <w:szCs w:val="24"/>
          <w:u w:val="single"/>
        </w:rPr>
        <w:t>g</w:t>
      </w:r>
      <w:r w:rsidRPr="009172D2" w:rsidR="000A0B4E">
        <w:rPr>
          <w:rFonts w:ascii="Times New Roman" w:hAnsi="Times New Roman"/>
          <w:szCs w:val="24"/>
          <w:u w:val="single"/>
        </w:rPr>
        <w:t>ift</w:t>
      </w:r>
      <w:r w:rsidR="000A0B4E">
        <w:rPr>
          <w:rFonts w:ascii="Times New Roman" w:hAnsi="Times New Roman"/>
          <w:szCs w:val="24"/>
          <w:u w:val="single"/>
        </w:rPr>
        <w:t>s</w:t>
      </w:r>
      <w:r w:rsidRPr="009172D2" w:rsidR="000A0B4E">
        <w:rPr>
          <w:rFonts w:ascii="Times New Roman" w:hAnsi="Times New Roman"/>
          <w:szCs w:val="24"/>
          <w:u w:val="single"/>
        </w:rPr>
        <w:t xml:space="preserve"> to </w:t>
      </w:r>
      <w:r w:rsidR="000A0B4E">
        <w:rPr>
          <w:rFonts w:ascii="Times New Roman" w:hAnsi="Times New Roman"/>
          <w:szCs w:val="24"/>
          <w:u w:val="single"/>
        </w:rPr>
        <w:t>r</w:t>
      </w:r>
      <w:r w:rsidRPr="009172D2" w:rsidR="000A0B4E">
        <w:rPr>
          <w:rFonts w:ascii="Times New Roman" w:hAnsi="Times New Roman"/>
          <w:szCs w:val="24"/>
          <w:u w:val="single"/>
        </w:rPr>
        <w:t>espondents</w:t>
      </w:r>
      <w:r w:rsidR="000A0B4E">
        <w:rPr>
          <w:rFonts w:ascii="Times New Roman" w:hAnsi="Times New Roman"/>
          <w:szCs w:val="24"/>
          <w:u w:val="single"/>
        </w:rPr>
        <w:t>:</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No payment or gift will be provided to respondents.</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10.  </w:t>
      </w:r>
      <w:r w:rsidRPr="00647F97" w:rsidR="00A41B62">
        <w:rPr>
          <w:rFonts w:ascii="Times New Roman TUR" w:hAnsi="Times New Roman TUR" w:cs="Times New Roman TUR"/>
          <w:bCs/>
          <w:u w:val="single"/>
        </w:rPr>
        <w:t>Any assurance of confidentiality:</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490B60" w:rsidP="001D767E" w:rsidRDefault="003B78E0">
      <w:r>
        <w:rPr>
          <w:rFonts w:ascii="Times New Roman" w:hAnsi="Times New Roman"/>
        </w:rPr>
        <w:t xml:space="preserve">All data submitted in the FFIEC 101 report </w:t>
      </w:r>
      <w:r w:rsidR="00F6279C">
        <w:rPr>
          <w:rFonts w:ascii="Times New Roman" w:hAnsi="Times New Roman"/>
        </w:rPr>
        <w:t>is</w:t>
      </w:r>
      <w:r>
        <w:rPr>
          <w:rFonts w:ascii="Times New Roman" w:hAnsi="Times New Roman"/>
        </w:rPr>
        <w:t xml:space="preserve"> shared among the agencies but, pursuant to 5 U.S.C. § 552(b)(4) and (8), these data will not be released to the public </w:t>
      </w:r>
      <w:r w:rsidR="001D767E">
        <w:rPr>
          <w:rFonts w:ascii="Times New Roman" w:hAnsi="Times New Roman"/>
        </w:rPr>
        <w:t>except as follows</w:t>
      </w:r>
      <w:r>
        <w:rPr>
          <w:rFonts w:ascii="Times New Roman" w:hAnsi="Times New Roman"/>
        </w:rPr>
        <w:t>.</w:t>
      </w:r>
      <w:r w:rsidRPr="001D767E" w:rsidR="001D767E">
        <w:t xml:space="preserve"> </w:t>
      </w:r>
      <w:r w:rsidR="001D767E">
        <w:t xml:space="preserve"> </w:t>
      </w:r>
    </w:p>
    <w:p w:rsidRPr="008227C3" w:rsidR="00490B60" w:rsidP="001D767E" w:rsidRDefault="00490B60">
      <w:pPr>
        <w:rPr>
          <w:rFonts w:ascii="Times New Roman" w:hAnsi="Times New Roman"/>
        </w:rPr>
      </w:pPr>
    </w:p>
    <w:p w:rsidR="0081476E" w:rsidP="0081476E" w:rsidRDefault="0081476E">
      <w:pPr>
        <w:widowControl/>
        <w:tabs>
          <w:tab w:val="left" w:pos="-1440"/>
          <w:tab w:val="left" w:pos="-720"/>
          <w:tab w:val="left" w:pos="0"/>
          <w:tab w:val="left" w:pos="432"/>
          <w:tab w:val="left" w:pos="720"/>
        </w:tabs>
        <w:suppressAutoHyphens/>
        <w:rPr>
          <w:rFonts w:ascii="Times New Roman" w:hAnsi="Times New Roman"/>
        </w:rPr>
      </w:pPr>
      <w:r w:rsidRPr="0081476E">
        <w:rPr>
          <w:rFonts w:ascii="Times New Roman" w:hAnsi="Times New Roman"/>
        </w:rPr>
        <w:t>For report dates before a</w:t>
      </w:r>
      <w:r w:rsidR="004035F2">
        <w:rPr>
          <w:rFonts w:ascii="Times New Roman" w:hAnsi="Times New Roman"/>
        </w:rPr>
        <w:t xml:space="preserve">n advanced approaches </w:t>
      </w:r>
      <w:r w:rsidRPr="0081476E">
        <w:rPr>
          <w:rFonts w:ascii="Times New Roman" w:hAnsi="Times New Roman"/>
        </w:rPr>
        <w:t xml:space="preserve">reporting institution has completed its parallel run period, </w:t>
      </w:r>
      <w:r>
        <w:rPr>
          <w:rFonts w:ascii="Times New Roman" w:hAnsi="Times New Roman"/>
        </w:rPr>
        <w:t xml:space="preserve">FFIEC 101 </w:t>
      </w:r>
      <w:r w:rsidRPr="0081476E">
        <w:rPr>
          <w:rFonts w:ascii="Times New Roman" w:hAnsi="Times New Roman"/>
        </w:rPr>
        <w:t xml:space="preserve">Schedule A will be available to the public, except for items 78 (total eligible credit reserves calculated under the advanced approaches rules); 79 (amount of eligible credit reserves includable in tier 2 capital); 86 (expected credit loss that exceeds eligible credit reserves); 87 (advanced approaches risk-weighted assets); 88 (common equity tier 1 capital ratio calculated using the advanced approaches); 89 (additional tier 1 capital ratio calculated using the advanced approaches); and 90 (total capital ratio using the advanced approaches). </w:t>
      </w:r>
      <w:r>
        <w:rPr>
          <w:rFonts w:ascii="Times New Roman" w:hAnsi="Times New Roman"/>
        </w:rPr>
        <w:t xml:space="preserve"> </w:t>
      </w:r>
    </w:p>
    <w:p w:rsidRPr="0081476E" w:rsidR="0081476E" w:rsidP="0081476E" w:rsidRDefault="0081476E">
      <w:pPr>
        <w:widowControl/>
        <w:tabs>
          <w:tab w:val="left" w:pos="-1440"/>
          <w:tab w:val="left" w:pos="-720"/>
          <w:tab w:val="left" w:pos="0"/>
          <w:tab w:val="left" w:pos="432"/>
          <w:tab w:val="left" w:pos="720"/>
        </w:tabs>
        <w:suppressAutoHyphens/>
        <w:rPr>
          <w:rFonts w:ascii="Times New Roman" w:hAnsi="Times New Roman"/>
        </w:rPr>
      </w:pPr>
    </w:p>
    <w:p w:rsidR="0081476E" w:rsidP="0081476E" w:rsidRDefault="0081476E">
      <w:pPr>
        <w:widowControl/>
        <w:tabs>
          <w:tab w:val="left" w:pos="-1440"/>
          <w:tab w:val="left" w:pos="-720"/>
          <w:tab w:val="left" w:pos="0"/>
          <w:tab w:val="left" w:pos="432"/>
          <w:tab w:val="left" w:pos="720"/>
        </w:tabs>
        <w:suppressAutoHyphens/>
        <w:rPr>
          <w:rFonts w:ascii="Times New Roman" w:hAnsi="Times New Roman"/>
        </w:rPr>
      </w:pPr>
      <w:r w:rsidRPr="0081476E">
        <w:rPr>
          <w:rFonts w:ascii="Times New Roman" w:hAnsi="Times New Roman"/>
        </w:rPr>
        <w:t>For report dates after a</w:t>
      </w:r>
      <w:r w:rsidR="004035F2">
        <w:rPr>
          <w:rFonts w:ascii="Times New Roman" w:hAnsi="Times New Roman"/>
        </w:rPr>
        <w:t>n advanced approaches</w:t>
      </w:r>
      <w:r w:rsidRPr="0081476E">
        <w:rPr>
          <w:rFonts w:ascii="Times New Roman" w:hAnsi="Times New Roman"/>
        </w:rPr>
        <w:t xml:space="preserve"> reporting institution has completed its parallel run period, all items reported in </w:t>
      </w:r>
      <w:r w:rsidR="00B173C6">
        <w:rPr>
          <w:rFonts w:ascii="Times New Roman" w:hAnsi="Times New Roman"/>
        </w:rPr>
        <w:t xml:space="preserve">FFIEC 101 </w:t>
      </w:r>
      <w:r w:rsidRPr="0081476E">
        <w:rPr>
          <w:rFonts w:ascii="Times New Roman" w:hAnsi="Times New Roman"/>
        </w:rPr>
        <w:t>Schedules A and B and items</w:t>
      </w:r>
      <w:r w:rsidR="009447F7">
        <w:rPr>
          <w:rFonts w:ascii="Times New Roman" w:hAnsi="Times New Roman"/>
        </w:rPr>
        <w:t> </w:t>
      </w:r>
      <w:r w:rsidRPr="0081476E">
        <w:rPr>
          <w:rFonts w:ascii="Times New Roman" w:hAnsi="Times New Roman"/>
        </w:rPr>
        <w:t xml:space="preserve">1 and 2 of Schedule S </w:t>
      </w:r>
      <w:r w:rsidR="00D73339">
        <w:rPr>
          <w:rFonts w:ascii="Times New Roman" w:hAnsi="Times New Roman"/>
        </w:rPr>
        <w:t>are</w:t>
      </w:r>
      <w:r w:rsidRPr="0081476E">
        <w:rPr>
          <w:rFonts w:ascii="Times New Roman" w:hAnsi="Times New Roman"/>
        </w:rPr>
        <w:t xml:space="preserve"> available to the public.</w:t>
      </w:r>
      <w:r w:rsidR="00D73339">
        <w:rPr>
          <w:rFonts w:ascii="Times New Roman" w:hAnsi="Times New Roman"/>
        </w:rPr>
        <w:t xml:space="preserve">  </w:t>
      </w:r>
    </w:p>
    <w:p w:rsidRPr="0081476E" w:rsidR="0081476E" w:rsidP="0081476E" w:rsidRDefault="0081476E">
      <w:pPr>
        <w:widowControl/>
        <w:tabs>
          <w:tab w:val="left" w:pos="-1440"/>
          <w:tab w:val="left" w:pos="-720"/>
          <w:tab w:val="left" w:pos="0"/>
          <w:tab w:val="left" w:pos="432"/>
          <w:tab w:val="left" w:pos="720"/>
        </w:tabs>
        <w:suppressAutoHyphens/>
        <w:rPr>
          <w:rFonts w:ascii="Times New Roman" w:hAnsi="Times New Roman"/>
        </w:rPr>
      </w:pPr>
    </w:p>
    <w:p w:rsidRPr="0081476E" w:rsidR="0081476E" w:rsidP="0081476E" w:rsidRDefault="0081476E">
      <w:pPr>
        <w:widowControl/>
        <w:tabs>
          <w:tab w:val="left" w:pos="-1440"/>
          <w:tab w:val="left" w:pos="-720"/>
          <w:tab w:val="left" w:pos="0"/>
          <w:tab w:val="left" w:pos="432"/>
          <w:tab w:val="left" w:pos="720"/>
        </w:tabs>
        <w:suppressAutoHyphens/>
        <w:rPr>
          <w:rFonts w:ascii="Times New Roman" w:hAnsi="Times New Roman"/>
        </w:rPr>
      </w:pPr>
      <w:r w:rsidRPr="0081476E">
        <w:rPr>
          <w:rFonts w:ascii="Times New Roman" w:hAnsi="Times New Roman"/>
        </w:rPr>
        <w:t>To ensure transparency of regulatory capital data reported by banking organizations</w:t>
      </w:r>
      <w:r w:rsidR="004035F2">
        <w:rPr>
          <w:rFonts w:ascii="Times New Roman" w:hAnsi="Times New Roman"/>
        </w:rPr>
        <w:t xml:space="preserve"> subject to Category I, II, or III capital standards</w:t>
      </w:r>
      <w:r w:rsidRPr="0081476E">
        <w:rPr>
          <w:rFonts w:ascii="Times New Roman" w:hAnsi="Times New Roman"/>
        </w:rPr>
        <w:t>, the agencies make public the SLR information collected in SLR Tables 1 and 2 of FFIEC 101 Schedule A, regardless of a</w:t>
      </w:r>
      <w:r w:rsidR="004035F2">
        <w:rPr>
          <w:rFonts w:ascii="Times New Roman" w:hAnsi="Times New Roman"/>
        </w:rPr>
        <w:t>n advanced approaches</w:t>
      </w:r>
      <w:r>
        <w:rPr>
          <w:rFonts w:ascii="Times New Roman" w:hAnsi="Times New Roman"/>
        </w:rPr>
        <w:t xml:space="preserve"> reporting institution’s </w:t>
      </w:r>
      <w:r w:rsidRPr="0081476E">
        <w:rPr>
          <w:rFonts w:ascii="Times New Roman" w:hAnsi="Times New Roman"/>
        </w:rPr>
        <w:t>parallel run status.</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11.  </w:t>
      </w:r>
      <w:r w:rsidRPr="00647F97" w:rsidR="00A41B62">
        <w:rPr>
          <w:rFonts w:ascii="Times New Roman TUR" w:hAnsi="Times New Roman TUR" w:cs="Times New Roman TUR"/>
          <w:bCs/>
          <w:u w:val="single"/>
        </w:rPr>
        <w:t>Justification for questions of a sensitive nature:</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The FFIEC 101 report contains no questions of a sensitive nature.</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12.  </w:t>
      </w:r>
      <w:r w:rsidRPr="009E4FE6" w:rsidR="00A41B62">
        <w:rPr>
          <w:rFonts w:ascii="Times New Roman" w:hAnsi="Times New Roman"/>
          <w:u w:val="single"/>
        </w:rPr>
        <w:t xml:space="preserve">Estimate of </w:t>
      </w:r>
      <w:r w:rsidR="00A41B62">
        <w:rPr>
          <w:rFonts w:ascii="Times New Roman" w:hAnsi="Times New Roman"/>
          <w:u w:val="single"/>
        </w:rPr>
        <w:t>hour burden including annualized hourly c</w:t>
      </w:r>
      <w:r w:rsidRPr="009E4FE6" w:rsidR="00A41B62">
        <w:rPr>
          <w:rFonts w:ascii="Times New Roman" w:hAnsi="Times New Roman"/>
          <w:u w:val="single"/>
        </w:rPr>
        <w:t>osts:</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283764" w:rsidRDefault="006646DB">
      <w:pPr>
        <w:rPr>
          <w:rFonts w:ascii="Times New Roman" w:hAnsi="Times New Roman"/>
        </w:rPr>
      </w:pPr>
      <w:r>
        <w:rPr>
          <w:rFonts w:ascii="Times New Roman" w:hAnsi="Times New Roman"/>
        </w:rPr>
        <w:t xml:space="preserve">The proposed </w:t>
      </w:r>
      <w:r w:rsidR="000E11CC">
        <w:rPr>
          <w:rFonts w:ascii="Times New Roman" w:hAnsi="Times New Roman"/>
        </w:rPr>
        <w:t>revisions that are the subject of this submission are</w:t>
      </w:r>
      <w:r>
        <w:rPr>
          <w:rFonts w:ascii="Times New Roman" w:hAnsi="Times New Roman"/>
        </w:rPr>
        <w:t xml:space="preserve"> not expected to result in a change in the </w:t>
      </w:r>
      <w:r w:rsidR="004462E8">
        <w:rPr>
          <w:rFonts w:ascii="Times New Roman" w:hAnsi="Times New Roman"/>
        </w:rPr>
        <w:t xml:space="preserve">overall </w:t>
      </w:r>
      <w:r>
        <w:rPr>
          <w:rFonts w:ascii="Times New Roman" w:hAnsi="Times New Roman"/>
        </w:rPr>
        <w:t xml:space="preserve">reporting burden of completing the FFIEC 101 report, which is currently estimated at 674 hours per quarter, on average, for each FDIC-supervised institution required to prepare the FFIEC 101 report.  </w:t>
      </w:r>
    </w:p>
    <w:p w:rsidR="00283764" w:rsidRDefault="00283764">
      <w:pPr>
        <w:rPr>
          <w:rFonts w:ascii="Times New Roman" w:hAnsi="Times New Roman"/>
        </w:rPr>
      </w:pPr>
    </w:p>
    <w:p w:rsidR="003B78E0" w:rsidRDefault="003B78E0">
      <w:pPr>
        <w:rPr>
          <w:rFonts w:ascii="Times New Roman" w:hAnsi="Times New Roman"/>
        </w:rPr>
      </w:pPr>
      <w:r>
        <w:rPr>
          <w:rFonts w:ascii="Times New Roman" w:hAnsi="Times New Roman"/>
        </w:rPr>
        <w:t xml:space="preserve">There </w:t>
      </w:r>
      <w:r w:rsidR="005428E8">
        <w:rPr>
          <w:rFonts w:ascii="Times New Roman" w:hAnsi="Times New Roman"/>
        </w:rPr>
        <w:t>is</w:t>
      </w:r>
      <w:r>
        <w:rPr>
          <w:rFonts w:ascii="Times New Roman" w:hAnsi="Times New Roman"/>
        </w:rPr>
        <w:t xml:space="preserve"> </w:t>
      </w:r>
      <w:r w:rsidR="00283764">
        <w:rPr>
          <w:rFonts w:ascii="Times New Roman" w:hAnsi="Times New Roman"/>
        </w:rPr>
        <w:t xml:space="preserve">currently </w:t>
      </w:r>
      <w:r w:rsidR="005428E8">
        <w:rPr>
          <w:rFonts w:ascii="Times New Roman" w:hAnsi="Times New Roman"/>
        </w:rPr>
        <w:t>one</w:t>
      </w:r>
      <w:r>
        <w:rPr>
          <w:rFonts w:ascii="Times New Roman" w:hAnsi="Times New Roman"/>
        </w:rPr>
        <w:t> FDIC</w:t>
      </w:r>
      <w:r>
        <w:rPr>
          <w:rFonts w:ascii="Times New Roman" w:hAnsi="Times New Roman"/>
        </w:rPr>
        <w:noBreakHyphen/>
        <w:t xml:space="preserve">supervised </w:t>
      </w:r>
      <w:r w:rsidR="00312E63">
        <w:rPr>
          <w:rFonts w:ascii="Times New Roman" w:hAnsi="Times New Roman"/>
        </w:rPr>
        <w:t>institutions</w:t>
      </w:r>
      <w:r>
        <w:rPr>
          <w:rFonts w:ascii="Times New Roman" w:hAnsi="Times New Roman"/>
        </w:rPr>
        <w:t xml:space="preserve"> required to submit </w:t>
      </w:r>
      <w:r w:rsidR="00312E63">
        <w:rPr>
          <w:rFonts w:ascii="Times New Roman" w:hAnsi="Times New Roman"/>
        </w:rPr>
        <w:t xml:space="preserve">the FFIEC 101 report each </w:t>
      </w:r>
      <w:r>
        <w:rPr>
          <w:rFonts w:ascii="Times New Roman" w:hAnsi="Times New Roman"/>
        </w:rPr>
        <w:t xml:space="preserve">quarter.  The </w:t>
      </w:r>
      <w:r w:rsidR="00312E63">
        <w:rPr>
          <w:rFonts w:ascii="Times New Roman" w:hAnsi="Times New Roman"/>
        </w:rPr>
        <w:t>total</w:t>
      </w:r>
      <w:r>
        <w:rPr>
          <w:rFonts w:ascii="Times New Roman" w:hAnsi="Times New Roman"/>
        </w:rPr>
        <w:t xml:space="preserve"> estimated annual reporting burden for th</w:t>
      </w:r>
      <w:r w:rsidR="005428E8">
        <w:rPr>
          <w:rFonts w:ascii="Times New Roman" w:hAnsi="Times New Roman"/>
        </w:rPr>
        <w:t>is</w:t>
      </w:r>
      <w:r>
        <w:rPr>
          <w:rFonts w:ascii="Times New Roman" w:hAnsi="Times New Roman"/>
        </w:rPr>
        <w:t xml:space="preserve"> bank is </w:t>
      </w:r>
      <w:r w:rsidRPr="005428E8" w:rsidR="005428E8">
        <w:rPr>
          <w:rFonts w:ascii="Times New Roman" w:hAnsi="Times New Roman"/>
        </w:rPr>
        <w:t xml:space="preserve">2,696 </w:t>
      </w:r>
      <w:r>
        <w:rPr>
          <w:rFonts w:ascii="Times New Roman" w:hAnsi="Times New Roman"/>
        </w:rPr>
        <w:t>hours.  Th</w:t>
      </w:r>
      <w:r w:rsidR="00186BB3">
        <w:rPr>
          <w:rFonts w:ascii="Times New Roman" w:hAnsi="Times New Roman"/>
        </w:rPr>
        <w:t>is</w:t>
      </w:r>
      <w:r>
        <w:rPr>
          <w:rFonts w:ascii="Times New Roman" w:hAnsi="Times New Roman"/>
        </w:rPr>
        <w:t xml:space="preserve"> estimate reflect</w:t>
      </w:r>
      <w:r w:rsidR="00186BB3">
        <w:rPr>
          <w:rFonts w:ascii="Times New Roman" w:hAnsi="Times New Roman"/>
        </w:rPr>
        <w:t>s</w:t>
      </w:r>
      <w:r>
        <w:rPr>
          <w:rFonts w:ascii="Times New Roman" w:hAnsi="Times New Roman"/>
        </w:rPr>
        <w:t xml:space="preserve"> considerations pertaining to the time required to complete other types of regulatory reports as well as the greater level of detail required in the </w:t>
      </w:r>
      <w:r w:rsidR="00312E63">
        <w:rPr>
          <w:rFonts w:ascii="Times New Roman" w:hAnsi="Times New Roman"/>
        </w:rPr>
        <w:t xml:space="preserve">FFIEC 101 </w:t>
      </w:r>
      <w:r>
        <w:rPr>
          <w:rFonts w:ascii="Times New Roman" w:hAnsi="Times New Roman"/>
        </w:rPr>
        <w:t>report relative to other regulatory submissions.</w:t>
      </w:r>
    </w:p>
    <w:p w:rsidR="003B78E0" w:rsidRDefault="003B78E0">
      <w:pPr>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The annual recurring salary and employee benefit cost to the </w:t>
      </w:r>
      <w:r w:rsidR="00312E63">
        <w:rPr>
          <w:rFonts w:ascii="Times New Roman" w:hAnsi="Times New Roman"/>
        </w:rPr>
        <w:t>FDIC-supervised institutions</w:t>
      </w:r>
      <w:r>
        <w:rPr>
          <w:rFonts w:ascii="Times New Roman" w:hAnsi="Times New Roman"/>
        </w:rPr>
        <w:t xml:space="preserve"> that </w:t>
      </w:r>
      <w:r w:rsidR="005E54EE">
        <w:rPr>
          <w:rFonts w:ascii="Times New Roman" w:hAnsi="Times New Roman"/>
        </w:rPr>
        <w:t>are</w:t>
      </w:r>
      <w:r>
        <w:rPr>
          <w:rFonts w:ascii="Times New Roman" w:hAnsi="Times New Roman"/>
        </w:rPr>
        <w:t xml:space="preserve"> subject to the</w:t>
      </w:r>
      <w:r w:rsidR="005E54EE">
        <w:rPr>
          <w:rFonts w:ascii="Times New Roman" w:hAnsi="Times New Roman"/>
        </w:rPr>
        <w:t xml:space="preserve"> FFIEC 101</w:t>
      </w:r>
      <w:r>
        <w:rPr>
          <w:rFonts w:ascii="Times New Roman" w:hAnsi="Times New Roman"/>
        </w:rPr>
        <w:t xml:space="preserve"> reporting requirements for the burden hours shown above is estimated to be $</w:t>
      </w:r>
      <w:r w:rsidR="00EE7CEA">
        <w:rPr>
          <w:rFonts w:ascii="Times New Roman" w:hAnsi="Times New Roman"/>
        </w:rPr>
        <w:t>228,836</w:t>
      </w:r>
      <w:r>
        <w:rPr>
          <w:rFonts w:ascii="Times New Roman" w:hAnsi="Times New Roman"/>
        </w:rPr>
        <w:t>.  This cost is based on the application of an hourly rate of $</w:t>
      </w:r>
      <w:r w:rsidR="00EE7CEA">
        <w:rPr>
          <w:rFonts w:ascii="Times New Roman" w:hAnsi="Times New Roman"/>
        </w:rPr>
        <w:t>84.88</w:t>
      </w:r>
      <w:r w:rsidR="00EE7CEA">
        <w:rPr>
          <w:rStyle w:val="FootnoteReference"/>
          <w:rFonts w:ascii="Times New Roman" w:hAnsi="Times New Roman"/>
        </w:rPr>
        <w:footnoteReference w:id="16"/>
      </w:r>
      <w:r>
        <w:rPr>
          <w:rFonts w:ascii="Times New Roman" w:hAnsi="Times New Roman"/>
        </w:rPr>
        <w:t xml:space="preserve"> to the estimated </w:t>
      </w:r>
      <w:r w:rsidR="005428E8">
        <w:rPr>
          <w:rFonts w:ascii="Times New Roman" w:hAnsi="Times New Roman"/>
        </w:rPr>
        <w:t>2,696</w:t>
      </w:r>
      <w:r>
        <w:rPr>
          <w:rFonts w:ascii="Times New Roman" w:hAnsi="Times New Roman"/>
        </w:rPr>
        <w:t xml:space="preserve"> total hours of annual reporting burden, which considers the specialized technical skills in the fields of credit risk and operational risk of those bank staff members involved in implementing the Advanced Capital Adequacy Framework who are responsible for completing the regulatory reporting requirements </w:t>
      </w:r>
      <w:r w:rsidR="00312E63">
        <w:rPr>
          <w:rFonts w:ascii="Times New Roman" w:hAnsi="Times New Roman"/>
        </w:rPr>
        <w:t>as well as</w:t>
      </w:r>
      <w:r>
        <w:rPr>
          <w:rFonts w:ascii="Times New Roman" w:hAnsi="Times New Roman"/>
        </w:rPr>
        <w:t xml:space="preserve"> </w:t>
      </w:r>
      <w:r w:rsidR="00312E63">
        <w:rPr>
          <w:rFonts w:ascii="Times New Roman" w:hAnsi="Times New Roman"/>
        </w:rPr>
        <w:t xml:space="preserve">time spent by executive officers responsible for </w:t>
      </w:r>
      <w:r>
        <w:rPr>
          <w:rFonts w:ascii="Times New Roman" w:hAnsi="Times New Roman"/>
        </w:rPr>
        <w:t xml:space="preserve">reviewing and approving the completed FFIEC 101 report prior to submission.  </w:t>
      </w:r>
    </w:p>
    <w:p w:rsidR="003B78E0" w:rsidRDefault="003B78E0">
      <w:pPr>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13.  </w:t>
      </w:r>
      <w:r w:rsidRPr="009E4FE6" w:rsidR="00A41B62">
        <w:rPr>
          <w:rFonts w:ascii="Times New Roman" w:hAnsi="Times New Roman"/>
          <w:bCs/>
          <w:u w:val="single"/>
        </w:rPr>
        <w:t xml:space="preserve">Estimate of </w:t>
      </w:r>
      <w:r w:rsidR="00A41B62">
        <w:rPr>
          <w:rFonts w:ascii="Times New Roman" w:hAnsi="Times New Roman"/>
          <w:bCs/>
          <w:u w:val="single"/>
        </w:rPr>
        <w:t>s</w:t>
      </w:r>
      <w:r w:rsidRPr="009E4FE6" w:rsidR="00A41B62">
        <w:rPr>
          <w:rFonts w:ascii="Times New Roman" w:hAnsi="Times New Roman"/>
          <w:bCs/>
          <w:u w:val="single"/>
        </w:rPr>
        <w:t xml:space="preserve">tart-up </w:t>
      </w:r>
      <w:r w:rsidR="00A41B62">
        <w:rPr>
          <w:rFonts w:ascii="Times New Roman" w:hAnsi="Times New Roman"/>
          <w:bCs/>
          <w:u w:val="single"/>
        </w:rPr>
        <w:t>c</w:t>
      </w:r>
      <w:r w:rsidRPr="009E4FE6" w:rsidR="00A41B62">
        <w:rPr>
          <w:rFonts w:ascii="Times New Roman" w:hAnsi="Times New Roman"/>
          <w:bCs/>
          <w:u w:val="single"/>
        </w:rPr>
        <w:t xml:space="preserve">osts to </w:t>
      </w:r>
      <w:r w:rsidR="00A41B62">
        <w:rPr>
          <w:rFonts w:ascii="Times New Roman" w:hAnsi="Times New Roman"/>
          <w:bCs/>
          <w:u w:val="single"/>
        </w:rPr>
        <w:t>r</w:t>
      </w:r>
      <w:r w:rsidRPr="009E4FE6" w:rsidR="00A41B62">
        <w:rPr>
          <w:rFonts w:ascii="Times New Roman" w:hAnsi="Times New Roman"/>
          <w:bCs/>
          <w:u w:val="single"/>
        </w:rPr>
        <w:t>espondents:</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204495">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None</w:t>
      </w:r>
      <w:r w:rsidR="00B14127">
        <w:rPr>
          <w:rFonts w:ascii="Times New Roman" w:hAnsi="Times New Roman"/>
        </w:rPr>
        <w:t>.</w:t>
      </w:r>
    </w:p>
    <w:p w:rsidR="00B14127" w:rsidRDefault="00B14127">
      <w:pPr>
        <w:widowControl/>
        <w:tabs>
          <w:tab w:val="left" w:pos="-1440"/>
          <w:tab w:val="left" w:pos="-720"/>
          <w:tab w:val="left" w:pos="0"/>
          <w:tab w:val="left" w:pos="432"/>
          <w:tab w:val="left" w:pos="720"/>
        </w:tabs>
        <w:suppressAutoHyphens/>
        <w:rPr>
          <w:rFonts w:ascii="Times New Roman" w:hAnsi="Times New Roman"/>
        </w:rPr>
      </w:pPr>
    </w:p>
    <w:p w:rsidR="003B78E0" w:rsidP="00C02C8F" w:rsidRDefault="003B78E0">
      <w:pPr>
        <w:widowControl/>
        <w:rPr>
          <w:rFonts w:ascii="Times New Roman" w:hAnsi="Times New Roman"/>
        </w:rPr>
      </w:pPr>
      <w:r>
        <w:rPr>
          <w:rFonts w:ascii="Times New Roman" w:hAnsi="Times New Roman"/>
        </w:rPr>
        <w:t xml:space="preserve">14.  </w:t>
      </w:r>
      <w:r w:rsidRPr="00817DAE" w:rsidR="00A41B62">
        <w:rPr>
          <w:rFonts w:ascii="Times New Roman" w:hAnsi="Times New Roman"/>
          <w:bCs/>
          <w:u w:val="single"/>
        </w:rPr>
        <w:t>Estimate of annualized costs to the government:</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204495">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None.</w:t>
      </w:r>
      <w:r w:rsidR="003B78E0">
        <w:rPr>
          <w:rFonts w:ascii="Times New Roman" w:hAnsi="Times New Roman"/>
        </w:rPr>
        <w:t xml:space="preserve"> </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003B78E0" w:rsidRDefault="003B78E0">
      <w:pPr>
        <w:widowControl/>
        <w:tabs>
          <w:tab w:val="left" w:pos="-1440"/>
          <w:tab w:val="left" w:pos="-720"/>
          <w:tab w:val="left" w:pos="0"/>
          <w:tab w:val="left" w:pos="432"/>
          <w:tab w:val="left" w:pos="720"/>
        </w:tabs>
        <w:suppressAutoHyphens/>
        <w:rPr>
          <w:rFonts w:ascii="Times New Roman" w:hAnsi="Times New Roman"/>
        </w:rPr>
      </w:pPr>
      <w:r>
        <w:rPr>
          <w:rFonts w:ascii="Times New Roman" w:hAnsi="Times New Roman"/>
        </w:rPr>
        <w:t xml:space="preserve">15.  </w:t>
      </w:r>
      <w:r w:rsidRPr="00817DAE" w:rsidR="00A41B62">
        <w:rPr>
          <w:rFonts w:ascii="Times New Roman" w:hAnsi="Times New Roman"/>
          <w:u w:val="single"/>
        </w:rPr>
        <w:t>Analysis of change in burden:</w:t>
      </w:r>
    </w:p>
    <w:p w:rsidR="003B78E0" w:rsidRDefault="003B78E0">
      <w:pPr>
        <w:widowControl/>
        <w:tabs>
          <w:tab w:val="left" w:pos="-1440"/>
          <w:tab w:val="left" w:pos="-720"/>
          <w:tab w:val="left" w:pos="0"/>
          <w:tab w:val="left" w:pos="432"/>
          <w:tab w:val="left" w:pos="720"/>
        </w:tabs>
        <w:suppressAutoHyphens/>
        <w:rPr>
          <w:rFonts w:ascii="Times New Roman" w:hAnsi="Times New Roman"/>
        </w:rPr>
      </w:pPr>
    </w:p>
    <w:p w:rsidRPr="007D5FF9" w:rsidR="007D5FF9" w:rsidP="007D5FF9" w:rsidRDefault="007D5FF9">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sidRPr="007D5FF9">
        <w:rPr>
          <w:rFonts w:ascii="Times New Roman" w:hAnsi="Times New Roman"/>
        </w:rPr>
        <w:t xml:space="preserve">The change in burden associated with this submission is caused by a decrease </w:t>
      </w:r>
      <w:r w:rsidR="001F5CD1">
        <w:rPr>
          <w:rFonts w:ascii="Times New Roman" w:hAnsi="Times New Roman"/>
        </w:rPr>
        <w:t xml:space="preserve">from two to one </w:t>
      </w:r>
      <w:r w:rsidRPr="007D5FF9">
        <w:rPr>
          <w:rFonts w:ascii="Times New Roman" w:hAnsi="Times New Roman"/>
        </w:rPr>
        <w:t>in the number of reporting institutions supervised by the FDIC</w:t>
      </w:r>
      <w:r w:rsidR="001F5CD1">
        <w:rPr>
          <w:rFonts w:ascii="Times New Roman" w:hAnsi="Times New Roman"/>
        </w:rPr>
        <w:t xml:space="preserve"> required to file the FFIEC 101</w:t>
      </w:r>
      <w:r w:rsidRPr="007D5FF9">
        <w:rPr>
          <w:rFonts w:ascii="Times New Roman" w:hAnsi="Times New Roman"/>
        </w:rPr>
        <w:t xml:space="preserve">. </w:t>
      </w:r>
    </w:p>
    <w:p w:rsidRPr="007D5FF9" w:rsidR="007D5FF9" w:rsidP="007D5FF9" w:rsidRDefault="007D5FF9">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p>
    <w:p w:rsidR="00F667B6" w:rsidRDefault="005E54EE">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Pr>
          <w:rFonts w:ascii="Times New Roman" w:hAnsi="Times New Roman"/>
        </w:rPr>
        <w:t>As discussed in Item 12 above, t</w:t>
      </w:r>
      <w:r w:rsidR="003B78E0">
        <w:rPr>
          <w:rFonts w:ascii="Times New Roman" w:hAnsi="Times New Roman"/>
        </w:rPr>
        <w:t xml:space="preserve">he </w:t>
      </w:r>
      <w:r>
        <w:rPr>
          <w:rFonts w:ascii="Times New Roman" w:hAnsi="Times New Roman"/>
        </w:rPr>
        <w:t>proposed revisions to the FFIEC 101 report that are the subject of this submission are not expected to produce a change in the</w:t>
      </w:r>
      <w:r w:rsidR="000A6B8B">
        <w:rPr>
          <w:rFonts w:ascii="Times New Roman" w:hAnsi="Times New Roman"/>
        </w:rPr>
        <w:t xml:space="preserve"> overall</w:t>
      </w:r>
      <w:r>
        <w:rPr>
          <w:rFonts w:ascii="Times New Roman" w:hAnsi="Times New Roman"/>
        </w:rPr>
        <w:t xml:space="preserve"> reporting burden of completing the FFIEC 101 report, which is currently estimated at 674 hours per quarter</w:t>
      </w:r>
      <w:r w:rsidR="000962D8">
        <w:rPr>
          <w:rFonts w:ascii="Times New Roman" w:hAnsi="Times New Roman"/>
        </w:rPr>
        <w:t xml:space="preserve"> for FDIC-supervised institutions</w:t>
      </w:r>
      <w:r>
        <w:rPr>
          <w:rFonts w:ascii="Times New Roman" w:hAnsi="Times New Roman"/>
        </w:rPr>
        <w:t xml:space="preserve">.  </w:t>
      </w:r>
    </w:p>
    <w:p w:rsidR="00F667B6" w:rsidRDefault="00F667B6">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p>
    <w:p w:rsidR="00382F37" w:rsidRDefault="00382F37">
      <w:pPr>
        <w:widowControl/>
        <w:rPr>
          <w:rFonts w:ascii="Times New Roman" w:hAnsi="Times New Roman"/>
        </w:rPr>
      </w:pPr>
    </w:p>
    <w:p w:rsidR="003B78E0" w:rsidRDefault="000962D8">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Pr>
          <w:rFonts w:ascii="Times New Roman" w:hAnsi="Times New Roman"/>
        </w:rPr>
        <w:t>A comparison of the</w:t>
      </w:r>
      <w:r w:rsidR="003B78E0">
        <w:rPr>
          <w:rFonts w:ascii="Times New Roman" w:hAnsi="Times New Roman"/>
        </w:rPr>
        <w:t xml:space="preserve"> burden requested in this submission </w:t>
      </w:r>
      <w:r>
        <w:rPr>
          <w:rFonts w:ascii="Times New Roman" w:hAnsi="Times New Roman"/>
        </w:rPr>
        <w:t xml:space="preserve">with the currently approved burden </w:t>
      </w:r>
      <w:r w:rsidR="003B78E0">
        <w:rPr>
          <w:rFonts w:ascii="Times New Roman" w:hAnsi="Times New Roman"/>
        </w:rPr>
        <w:t>is as follows:</w:t>
      </w:r>
    </w:p>
    <w:p w:rsidR="003B78E0" w:rsidRDefault="003B78E0">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p>
    <w:p w:rsidR="003B78E0" w:rsidRDefault="003B78E0">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Pr>
          <w:rFonts w:ascii="Times New Roman" w:hAnsi="Times New Roman"/>
        </w:rPr>
        <w:t>Currently approved burden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962D8">
        <w:rPr>
          <w:rFonts w:ascii="Times New Roman" w:hAnsi="Times New Roman"/>
        </w:rPr>
        <w:t>5,392</w:t>
      </w:r>
      <w:r>
        <w:rPr>
          <w:rFonts w:ascii="Times New Roman" w:hAnsi="Times New Roman"/>
        </w:rPr>
        <w:t xml:space="preserve"> hours</w:t>
      </w:r>
      <w:r>
        <w:rPr>
          <w:rFonts w:ascii="Times New Roman" w:hAnsi="Times New Roman"/>
        </w:rPr>
        <w:tab/>
      </w:r>
    </w:p>
    <w:p w:rsidR="00556827" w:rsidP="004C500B" w:rsidRDefault="00556827">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sidRPr="00556827">
        <w:rPr>
          <w:rFonts w:ascii="Times New Roman" w:hAnsi="Times New Roman"/>
        </w:rPr>
        <w:t>Revisions to content of report (program change)</w:t>
      </w:r>
      <w:r w:rsidRPr="00556827">
        <w:rPr>
          <w:rFonts w:ascii="Times New Roman" w:hAnsi="Times New Roman"/>
        </w:rPr>
        <w:tab/>
      </w:r>
      <w:r w:rsidR="004C500B">
        <w:rPr>
          <w:rFonts w:ascii="Times New Roman" w:hAnsi="Times New Roman"/>
        </w:rPr>
        <w:tab/>
      </w:r>
      <w:r w:rsidR="000962D8">
        <w:rPr>
          <w:rFonts w:ascii="Times New Roman" w:hAnsi="Times New Roman"/>
        </w:rPr>
        <w:t>±</w:t>
      </w:r>
      <w:r w:rsidRPr="00556827">
        <w:rPr>
          <w:rFonts w:ascii="Times New Roman" w:hAnsi="Times New Roman"/>
        </w:rPr>
        <w:t xml:space="preserve"> </w:t>
      </w:r>
      <w:r w:rsidR="000962D8">
        <w:rPr>
          <w:rFonts w:ascii="Times New Roman" w:hAnsi="Times New Roman"/>
        </w:rPr>
        <w:t>0</w:t>
      </w:r>
      <w:r w:rsidRPr="00556827">
        <w:rPr>
          <w:rFonts w:ascii="Times New Roman" w:hAnsi="Times New Roman"/>
        </w:rPr>
        <w:t xml:space="preserve"> hours</w:t>
      </w:r>
    </w:p>
    <w:p w:rsidR="003B78E0" w:rsidRDefault="003B78E0">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u w:val="single"/>
        </w:rPr>
      </w:pPr>
      <w:r>
        <w:rPr>
          <w:rFonts w:ascii="Times New Roman" w:hAnsi="Times New Roman"/>
          <w:u w:val="single"/>
        </w:rPr>
        <w:t>Adjustment (change in use)</w:t>
      </w:r>
      <w:r>
        <w:rPr>
          <w:rFonts w:ascii="Times New Roman" w:hAnsi="Times New Roman"/>
          <w:u w:val="single"/>
        </w:rPr>
        <w:tab/>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sidR="00F667B6">
        <w:rPr>
          <w:rFonts w:ascii="Times New Roman" w:hAnsi="Times New Roman"/>
          <w:u w:val="single"/>
        </w:rPr>
        <w:t>- 2,696</w:t>
      </w:r>
      <w:r>
        <w:rPr>
          <w:rFonts w:ascii="Times New Roman" w:hAnsi="Times New Roman"/>
          <w:u w:val="single"/>
        </w:rPr>
        <w:t xml:space="preserve"> hours </w:t>
      </w:r>
    </w:p>
    <w:p w:rsidR="003B78E0" w:rsidP="004C500B" w:rsidRDefault="003B78E0">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Pr>
          <w:rFonts w:ascii="Times New Roman" w:hAnsi="Times New Roman"/>
        </w:rPr>
        <w:t>Requested burden: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D6EA0">
        <w:rPr>
          <w:rFonts w:ascii="Times New Roman" w:hAnsi="Times New Roman"/>
        </w:rPr>
        <w:tab/>
      </w:r>
      <w:r w:rsidR="00F667B6">
        <w:rPr>
          <w:rFonts w:ascii="Times New Roman" w:hAnsi="Times New Roman"/>
        </w:rPr>
        <w:t>2,696</w:t>
      </w:r>
      <w:r>
        <w:rPr>
          <w:rFonts w:ascii="Times New Roman" w:hAnsi="Times New Roman"/>
        </w:rPr>
        <w:t xml:space="preserve"> hours</w:t>
      </w:r>
    </w:p>
    <w:p w:rsidR="003B78E0" w:rsidRDefault="003B78E0">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p>
    <w:p w:rsidR="003B78E0" w:rsidRDefault="003B78E0">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p>
    <w:p w:rsidR="003B78E0" w:rsidRDefault="003B78E0">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Pr>
          <w:rFonts w:ascii="Times New Roman" w:hAnsi="Times New Roman"/>
        </w:rPr>
        <w:t>Net change in burden:</w:t>
      </w:r>
      <w:r>
        <w:rPr>
          <w:rFonts w:ascii="Times New Roman" w:hAnsi="Times New Roman"/>
        </w:rPr>
        <w:tab/>
        <w:t xml:space="preserve"> </w:t>
      </w:r>
      <w:r w:rsidR="00F667B6">
        <w:rPr>
          <w:rFonts w:ascii="Times New Roman" w:hAnsi="Times New Roman"/>
        </w:rPr>
        <w:t>- 2,696</w:t>
      </w:r>
      <w:r>
        <w:rPr>
          <w:rFonts w:ascii="Times New Roman" w:hAnsi="Times New Roman"/>
        </w:rPr>
        <w:t xml:space="preserve"> hours</w:t>
      </w:r>
    </w:p>
    <w:p w:rsidR="004067DA" w:rsidRDefault="004067DA">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p>
    <w:p w:rsidR="003B78E0" w:rsidRDefault="003B78E0">
      <w:pPr>
        <w:widowControl/>
        <w:tabs>
          <w:tab w:val="left" w:pos="-720"/>
          <w:tab w:val="left" w:pos="0"/>
          <w:tab w:val="left" w:pos="1008"/>
          <w:tab w:val="left" w:pos="2160"/>
          <w:tab w:val="left" w:pos="2856"/>
          <w:tab w:val="left" w:pos="3570"/>
          <w:tab w:val="left" w:pos="4794"/>
          <w:tab w:val="right" w:pos="6324"/>
          <w:tab w:val="right" w:pos="7854"/>
        </w:tabs>
        <w:suppressAutoHyphens/>
        <w:rPr>
          <w:rFonts w:ascii="Times New Roman" w:hAnsi="Times New Roman"/>
        </w:rPr>
      </w:pPr>
      <w:r>
        <w:rPr>
          <w:rFonts w:ascii="Times New Roman" w:hAnsi="Times New Roman"/>
        </w:rPr>
        <w:t xml:space="preserve">  </w:t>
      </w:r>
    </w:p>
    <w:p w:rsidR="003B78E0" w:rsidP="00A41B62" w:rsidRDefault="003B78E0">
      <w:pPr>
        <w:widowControl/>
        <w:tabs>
          <w:tab w:val="left" w:pos="-720"/>
          <w:tab w:val="left" w:pos="1008"/>
          <w:tab w:val="left" w:pos="2160"/>
          <w:tab w:val="left" w:pos="4176"/>
          <w:tab w:val="left" w:pos="5472"/>
          <w:tab w:val="left" w:pos="6912"/>
        </w:tabs>
        <w:suppressAutoHyphens/>
        <w:ind w:left="450" w:hanging="450"/>
        <w:rPr>
          <w:rFonts w:ascii="Times New Roman" w:hAnsi="Times New Roman"/>
        </w:rPr>
      </w:pPr>
      <w:r>
        <w:rPr>
          <w:rFonts w:ascii="Times New Roman" w:hAnsi="Times New Roman"/>
        </w:rPr>
        <w:t xml:space="preserve">16.  </w:t>
      </w:r>
      <w:r w:rsidRPr="00A41B62" w:rsidR="00A41B62">
        <w:rPr>
          <w:rFonts w:ascii="Times New Roman" w:hAnsi="Times New Roman"/>
          <w:bCs/>
          <w:u w:val="single"/>
        </w:rPr>
        <w:t>Information regarding collections whose results are planned to be published for statistical use:</w:t>
      </w:r>
    </w:p>
    <w:p w:rsidR="003B78E0" w:rsidRDefault="003B78E0">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3B78E0" w:rsidP="00D802AB" w:rsidRDefault="00B14127">
      <w:pPr>
        <w:rPr>
          <w:rFonts w:ascii="Times New Roman" w:hAnsi="Times New Roman"/>
        </w:rPr>
      </w:pPr>
      <w:r>
        <w:rPr>
          <w:rFonts w:ascii="Times New Roman" w:hAnsi="Times New Roman"/>
        </w:rPr>
        <w:t>Not applicable</w:t>
      </w:r>
      <w:r w:rsidR="00F667B6">
        <w:rPr>
          <w:rFonts w:ascii="Times New Roman" w:hAnsi="Times New Roman"/>
        </w:rPr>
        <w:t>.</w:t>
      </w:r>
    </w:p>
    <w:p w:rsidR="003B78E0" w:rsidRDefault="003B78E0">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3B78E0" w:rsidRDefault="003B78E0">
      <w:pPr>
        <w:widowControl/>
        <w:tabs>
          <w:tab w:val="left" w:pos="-720"/>
          <w:tab w:val="left" w:pos="0"/>
          <w:tab w:val="left" w:pos="1008"/>
          <w:tab w:val="left" w:pos="2160"/>
          <w:tab w:val="left" w:pos="4176"/>
          <w:tab w:val="left" w:pos="5472"/>
          <w:tab w:val="left" w:pos="6912"/>
        </w:tabs>
        <w:suppressAutoHyphens/>
        <w:rPr>
          <w:rFonts w:ascii="Times New Roman" w:hAnsi="Times New Roman"/>
        </w:rPr>
      </w:pPr>
      <w:r>
        <w:rPr>
          <w:rFonts w:ascii="Times New Roman" w:hAnsi="Times New Roman"/>
        </w:rPr>
        <w:t xml:space="preserve">17.  </w:t>
      </w:r>
      <w:r w:rsidRPr="003A1650" w:rsidR="00B14127">
        <w:rPr>
          <w:rFonts w:ascii="Times New Roman" w:hAnsi="Times New Roman"/>
          <w:szCs w:val="24"/>
          <w:u w:val="single"/>
        </w:rPr>
        <w:t xml:space="preserve">Exceptions to </w:t>
      </w:r>
      <w:r w:rsidRPr="003030A4" w:rsidR="00B14127">
        <w:rPr>
          <w:rFonts w:ascii="Times New Roman" w:hAnsi="Times New Roman"/>
          <w:szCs w:val="24"/>
          <w:u w:val="single"/>
        </w:rPr>
        <w:t xml:space="preserve">Display of </w:t>
      </w:r>
      <w:r w:rsidR="00B14127">
        <w:rPr>
          <w:rFonts w:ascii="Times New Roman" w:hAnsi="Times New Roman"/>
          <w:szCs w:val="24"/>
          <w:u w:val="single"/>
        </w:rPr>
        <w:t>e</w:t>
      </w:r>
      <w:r w:rsidRPr="003030A4" w:rsidR="00B14127">
        <w:rPr>
          <w:rFonts w:ascii="Times New Roman" w:hAnsi="Times New Roman"/>
          <w:szCs w:val="24"/>
          <w:u w:val="single"/>
        </w:rPr>
        <w:t xml:space="preserve">xpiration </w:t>
      </w:r>
      <w:r w:rsidR="00B14127">
        <w:rPr>
          <w:rFonts w:ascii="Times New Roman" w:hAnsi="Times New Roman"/>
          <w:szCs w:val="24"/>
          <w:u w:val="single"/>
        </w:rPr>
        <w:t>d</w:t>
      </w:r>
      <w:r w:rsidRPr="003030A4" w:rsidR="00B14127">
        <w:rPr>
          <w:rFonts w:ascii="Times New Roman" w:hAnsi="Times New Roman"/>
          <w:szCs w:val="24"/>
          <w:u w:val="single"/>
        </w:rPr>
        <w:t>ate</w:t>
      </w:r>
      <w:r w:rsidR="00B14127">
        <w:rPr>
          <w:rFonts w:ascii="Times New Roman" w:hAnsi="Times New Roman"/>
          <w:szCs w:val="24"/>
          <w:u w:val="single"/>
        </w:rPr>
        <w:t>:</w:t>
      </w:r>
    </w:p>
    <w:p w:rsidR="003B78E0" w:rsidRDefault="003B78E0">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3B78E0" w:rsidRDefault="00B14127">
      <w:pPr>
        <w:widowControl/>
        <w:tabs>
          <w:tab w:val="left" w:pos="-720"/>
          <w:tab w:val="left" w:pos="0"/>
          <w:tab w:val="left" w:pos="1008"/>
          <w:tab w:val="left" w:pos="2160"/>
          <w:tab w:val="left" w:pos="4176"/>
          <w:tab w:val="left" w:pos="5472"/>
          <w:tab w:val="left" w:pos="6912"/>
        </w:tabs>
        <w:suppressAutoHyphens/>
        <w:rPr>
          <w:rFonts w:ascii="Times New Roman" w:hAnsi="Times New Roman"/>
        </w:rPr>
      </w:pPr>
      <w:r>
        <w:rPr>
          <w:rFonts w:ascii="Times New Roman" w:hAnsi="Times New Roman"/>
        </w:rPr>
        <w:t>None</w:t>
      </w:r>
      <w:r w:rsidR="003B78E0">
        <w:rPr>
          <w:rFonts w:ascii="Times New Roman" w:hAnsi="Times New Roman"/>
        </w:rPr>
        <w:t>.</w:t>
      </w:r>
    </w:p>
    <w:p w:rsidR="00B14127" w:rsidRDefault="00B14127">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Pr="007E1EEE" w:rsidR="00B14127" w:rsidP="00B14127" w:rsidRDefault="00B14127">
      <w:pPr>
        <w:rPr>
          <w:rFonts w:ascii="Times New Roman" w:hAnsi="Times New Roman"/>
          <w:szCs w:val="24"/>
        </w:rPr>
      </w:pPr>
      <w:r w:rsidRPr="007E1EEE">
        <w:rPr>
          <w:rFonts w:ascii="Times New Roman" w:hAnsi="Times New Roman"/>
          <w:szCs w:val="24"/>
        </w:rPr>
        <w:t xml:space="preserve">18.  </w:t>
      </w:r>
      <w:r>
        <w:rPr>
          <w:rFonts w:ascii="Times New Roman" w:hAnsi="Times New Roman"/>
          <w:szCs w:val="24"/>
          <w:u w:val="single"/>
        </w:rPr>
        <w:t>Exceptions to c</w:t>
      </w:r>
      <w:r w:rsidRPr="003030A4">
        <w:rPr>
          <w:rFonts w:ascii="Times New Roman" w:hAnsi="Times New Roman"/>
          <w:szCs w:val="24"/>
          <w:u w:val="single"/>
        </w:rPr>
        <w:t>ertification</w:t>
      </w:r>
      <w:r>
        <w:rPr>
          <w:rFonts w:ascii="Times New Roman" w:hAnsi="Times New Roman"/>
          <w:szCs w:val="24"/>
          <w:u w:val="single"/>
        </w:rPr>
        <w:t>:</w:t>
      </w:r>
    </w:p>
    <w:p w:rsidRPr="007E1EEE" w:rsidR="00B14127" w:rsidP="00B14127" w:rsidRDefault="00B14127">
      <w:pPr>
        <w:rPr>
          <w:rFonts w:ascii="Times New Roman" w:hAnsi="Times New Roman"/>
          <w:szCs w:val="24"/>
        </w:rPr>
      </w:pPr>
    </w:p>
    <w:p w:rsidRPr="007E1EEE" w:rsidR="00B14127" w:rsidP="00B14127" w:rsidRDefault="00B14127">
      <w:pPr>
        <w:rPr>
          <w:rFonts w:ascii="Times New Roman" w:hAnsi="Times New Roman"/>
          <w:szCs w:val="24"/>
        </w:rPr>
      </w:pPr>
      <w:r w:rsidRPr="007E1EEE">
        <w:rPr>
          <w:rFonts w:ascii="Times New Roman" w:hAnsi="Times New Roman"/>
          <w:szCs w:val="24"/>
        </w:rPr>
        <w:t>None.</w:t>
      </w:r>
    </w:p>
    <w:p w:rsidR="003B78E0" w:rsidRDefault="003B78E0">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3B78E0" w:rsidRDefault="003B78E0">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3B78E0" w:rsidRDefault="003B78E0">
      <w:pPr>
        <w:widowControl/>
        <w:tabs>
          <w:tab w:val="left" w:pos="-720"/>
          <w:tab w:val="left" w:pos="0"/>
          <w:tab w:val="left" w:pos="1008"/>
          <w:tab w:val="left" w:pos="2160"/>
          <w:tab w:val="left" w:pos="4176"/>
          <w:tab w:val="left" w:pos="5472"/>
          <w:tab w:val="left" w:pos="6912"/>
        </w:tabs>
        <w:suppressAutoHyphens/>
        <w:rPr>
          <w:rFonts w:ascii="Times New Roman" w:hAnsi="Times New Roman"/>
        </w:rPr>
      </w:pPr>
      <w:r>
        <w:rPr>
          <w:rFonts w:ascii="Times New Roman" w:hAnsi="Times New Roman"/>
        </w:rPr>
        <w:t xml:space="preserve">B.  </w:t>
      </w:r>
      <w:r>
        <w:rPr>
          <w:rFonts w:ascii="Times New Roman" w:hAnsi="Times New Roman"/>
          <w:u w:val="single"/>
        </w:rPr>
        <w:t>COLLECTION OF INFORMATION EMPLOYING STATISTICAL METHODS</w:t>
      </w:r>
    </w:p>
    <w:p w:rsidR="003B78E0" w:rsidRDefault="003B78E0">
      <w:pPr>
        <w:widowControl/>
        <w:tabs>
          <w:tab w:val="left" w:pos="-720"/>
          <w:tab w:val="left" w:pos="0"/>
          <w:tab w:val="left" w:pos="1008"/>
          <w:tab w:val="left" w:pos="2160"/>
          <w:tab w:val="left" w:pos="4176"/>
          <w:tab w:val="left" w:pos="5472"/>
          <w:tab w:val="left" w:pos="6912"/>
        </w:tabs>
        <w:suppressAutoHyphens/>
        <w:rPr>
          <w:rFonts w:ascii="Times New Roman" w:hAnsi="Times New Roman"/>
        </w:rPr>
      </w:pPr>
    </w:p>
    <w:p w:rsidR="003B78E0" w:rsidRDefault="003B78E0">
      <w:pPr>
        <w:widowControl/>
        <w:tabs>
          <w:tab w:val="left" w:pos="-720"/>
          <w:tab w:val="left" w:pos="0"/>
          <w:tab w:val="left" w:pos="1008"/>
          <w:tab w:val="left" w:pos="2160"/>
          <w:tab w:val="left" w:pos="4176"/>
          <w:tab w:val="left" w:pos="5472"/>
          <w:tab w:val="left" w:pos="6912"/>
        </w:tabs>
        <w:suppressAutoHyphens/>
      </w:pPr>
      <w:r>
        <w:rPr>
          <w:rFonts w:ascii="Times New Roman" w:hAnsi="Times New Roman"/>
        </w:rPr>
        <w:t>Not applicable.</w:t>
      </w:r>
    </w:p>
    <w:sectPr w:rsidR="003B78E0" w:rsidSect="00DD4EC1">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EAE" w:rsidRDefault="00140EAE">
      <w:pPr>
        <w:widowControl/>
        <w:spacing w:line="20" w:lineRule="exact"/>
      </w:pPr>
    </w:p>
  </w:endnote>
  <w:endnote w:type="continuationSeparator" w:id="0">
    <w:p w:rsidR="00140EAE" w:rsidRDefault="00140EAE">
      <w:r>
        <w:t xml:space="preserve"> </w:t>
      </w:r>
    </w:p>
  </w:endnote>
  <w:endnote w:type="continuationNotice" w:id="1">
    <w:p w:rsidR="00140EAE" w:rsidRDefault="00140EA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8E0" w:rsidRDefault="003B78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78E0" w:rsidRDefault="003B7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8E0" w:rsidRDefault="003B78E0">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E7CEA">
      <w:rPr>
        <w:rStyle w:val="PageNumber"/>
        <w:rFonts w:ascii="Times New Roman" w:hAnsi="Times New Roman"/>
        <w:noProof/>
      </w:rPr>
      <w:t>11</w:t>
    </w:r>
    <w:r>
      <w:rPr>
        <w:rStyle w:val="PageNumber"/>
        <w:rFonts w:ascii="Times New Roman" w:hAnsi="Times New Roman"/>
      </w:rPr>
      <w:fldChar w:fldCharType="end"/>
    </w:r>
  </w:p>
  <w:p w:rsidR="003B78E0" w:rsidRDefault="003B78E0">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8E0" w:rsidRDefault="003B78E0">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E7CEA">
      <w:rPr>
        <w:rStyle w:val="PageNumber"/>
        <w:rFonts w:ascii="Times New Roman" w:hAnsi="Times New Roman"/>
        <w:noProof/>
      </w:rPr>
      <w:t>1</w:t>
    </w:r>
    <w:r>
      <w:rPr>
        <w:rStyle w:val="PageNumber"/>
        <w:rFonts w:ascii="Times New Roman" w:hAnsi="Times New Roman"/>
      </w:rPr>
      <w:fldChar w:fldCharType="end"/>
    </w:r>
  </w:p>
  <w:p w:rsidR="003B78E0" w:rsidRDefault="003B78E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EAE" w:rsidRDefault="00140EAE">
      <w:r>
        <w:separator/>
      </w:r>
    </w:p>
  </w:footnote>
  <w:footnote w:type="continuationSeparator" w:id="0">
    <w:p w:rsidR="00140EAE" w:rsidRDefault="00140EAE">
      <w:r>
        <w:continuationSeparator/>
      </w:r>
    </w:p>
  </w:footnote>
  <w:footnote w:id="1">
    <w:p w:rsidR="00960DC6" w:rsidRPr="00960DC6" w:rsidRDefault="00960DC6">
      <w:pPr>
        <w:pStyle w:val="FootnoteText"/>
        <w:rPr>
          <w:rFonts w:ascii="Times New Roman" w:hAnsi="Times New Roman"/>
          <w:sz w:val="20"/>
        </w:rPr>
      </w:pPr>
      <w:r w:rsidRPr="00960DC6">
        <w:rPr>
          <w:rStyle w:val="FootnoteReference"/>
          <w:rFonts w:ascii="Times New Roman" w:hAnsi="Times New Roman"/>
          <w:sz w:val="20"/>
        </w:rPr>
        <w:footnoteRef/>
      </w:r>
      <w:r w:rsidRPr="00960DC6">
        <w:rPr>
          <w:rFonts w:ascii="Times New Roman" w:hAnsi="Times New Roman"/>
          <w:sz w:val="20"/>
        </w:rPr>
        <w:t xml:space="preserve"> See the advanced approaches risk-based capital rule: 12 CFR part 3, subpart E (OCC); 12 CFR part 217, subpart E (</w:t>
      </w:r>
      <w:r>
        <w:rPr>
          <w:rFonts w:ascii="Times New Roman" w:hAnsi="Times New Roman"/>
          <w:sz w:val="20"/>
        </w:rPr>
        <w:t>FR</w:t>
      </w:r>
      <w:r w:rsidRPr="00960DC6">
        <w:rPr>
          <w:rFonts w:ascii="Times New Roman" w:hAnsi="Times New Roman"/>
          <w:sz w:val="20"/>
        </w:rPr>
        <w:t>B); and 12 CFR part 324, subpart E (FDIC).</w:t>
      </w:r>
    </w:p>
  </w:footnote>
  <w:footnote w:id="2">
    <w:p w:rsidR="002410F0" w:rsidRPr="00EB14F0" w:rsidRDefault="002410F0">
      <w:pPr>
        <w:pStyle w:val="FootnoteText"/>
        <w:rPr>
          <w:rFonts w:ascii="Times New Roman" w:hAnsi="Times New Roman"/>
          <w:sz w:val="20"/>
        </w:rPr>
      </w:pPr>
      <w:r w:rsidRPr="002410F0">
        <w:rPr>
          <w:rStyle w:val="FootnoteReference"/>
          <w:rFonts w:ascii="Times New Roman" w:hAnsi="Times New Roman"/>
          <w:sz w:val="20"/>
        </w:rPr>
        <w:footnoteRef/>
      </w:r>
      <w:r w:rsidRPr="002410F0">
        <w:rPr>
          <w:rFonts w:ascii="Times New Roman" w:hAnsi="Times New Roman"/>
          <w:sz w:val="20"/>
        </w:rPr>
        <w:t xml:space="preserve"> Under the agencies’ recently adopted tailoring final rule</w:t>
      </w:r>
      <w:r>
        <w:rPr>
          <w:rFonts w:ascii="Times New Roman" w:hAnsi="Times New Roman"/>
          <w:sz w:val="20"/>
        </w:rPr>
        <w:t xml:space="preserve"> (see 84 FR 59231 (November 1, 2019))</w:t>
      </w:r>
      <w:r w:rsidRPr="002410F0">
        <w:rPr>
          <w:rFonts w:ascii="Times New Roman" w:hAnsi="Times New Roman"/>
          <w:sz w:val="20"/>
        </w:rPr>
        <w:t xml:space="preserve">, institutions subject to </w:t>
      </w:r>
      <w:r w:rsidRPr="00EB14F0">
        <w:rPr>
          <w:rFonts w:ascii="Times New Roman" w:hAnsi="Times New Roman"/>
          <w:sz w:val="20"/>
        </w:rPr>
        <w:t>Category I and II capital standards, and consolidated subsidiaries of such institutions, are advanced approaches institutions.</w:t>
      </w:r>
    </w:p>
  </w:footnote>
  <w:footnote w:id="3">
    <w:p w:rsidR="00EB14F0" w:rsidRPr="00EB14F0" w:rsidRDefault="00EB14F0">
      <w:pPr>
        <w:pStyle w:val="FootnoteText"/>
        <w:rPr>
          <w:rFonts w:ascii="Times New Roman" w:hAnsi="Times New Roman"/>
          <w:sz w:val="20"/>
        </w:rPr>
      </w:pPr>
      <w:r w:rsidRPr="00EB14F0">
        <w:rPr>
          <w:rStyle w:val="FootnoteReference"/>
          <w:rFonts w:ascii="Times New Roman" w:hAnsi="Times New Roman"/>
          <w:sz w:val="20"/>
        </w:rPr>
        <w:footnoteRef/>
      </w:r>
      <w:r w:rsidRPr="00EB14F0">
        <w:rPr>
          <w:rFonts w:ascii="Times New Roman" w:hAnsi="Times New Roman"/>
          <w:sz w:val="20"/>
        </w:rPr>
        <w:t xml:space="preserve"> </w:t>
      </w:r>
      <w:r w:rsidRPr="00EB14F0">
        <w:rPr>
          <w:rFonts w:ascii="Times New Roman" w:hAnsi="Times New Roman"/>
          <w:i/>
          <w:sz w:val="20"/>
        </w:rPr>
        <w:t>See</w:t>
      </w:r>
      <w:r w:rsidRPr="00EB14F0">
        <w:rPr>
          <w:rFonts w:ascii="Times New Roman" w:hAnsi="Times New Roman"/>
          <w:sz w:val="20"/>
        </w:rPr>
        <w:t xml:space="preserve"> 84 FR 59231 (November 1, 2019).</w:t>
      </w:r>
    </w:p>
  </w:footnote>
  <w:footnote w:id="4">
    <w:p w:rsidR="00EB14F0" w:rsidRPr="00EB14F0" w:rsidRDefault="00EB14F0">
      <w:pPr>
        <w:pStyle w:val="FootnoteText"/>
        <w:rPr>
          <w:rFonts w:ascii="Times New Roman" w:hAnsi="Times New Roman"/>
          <w:sz w:val="20"/>
        </w:rPr>
      </w:pPr>
      <w:r w:rsidRPr="00EB14F0">
        <w:rPr>
          <w:rStyle w:val="FootnoteReference"/>
          <w:rFonts w:ascii="Times New Roman" w:hAnsi="Times New Roman"/>
          <w:sz w:val="20"/>
        </w:rPr>
        <w:footnoteRef/>
      </w:r>
      <w:r w:rsidRPr="00EB14F0">
        <w:rPr>
          <w:rFonts w:ascii="Times New Roman" w:hAnsi="Times New Roman"/>
          <w:sz w:val="20"/>
        </w:rPr>
        <w:t xml:space="preserve"> </w:t>
      </w:r>
      <w:r w:rsidRPr="00EB14F0">
        <w:rPr>
          <w:rFonts w:ascii="Times New Roman" w:hAnsi="Times New Roman"/>
          <w:i/>
          <w:sz w:val="20"/>
        </w:rPr>
        <w:t>See</w:t>
      </w:r>
      <w:r w:rsidRPr="00EB14F0">
        <w:rPr>
          <w:rFonts w:ascii="Times New Roman" w:hAnsi="Times New Roman"/>
          <w:sz w:val="20"/>
        </w:rPr>
        <w:t xml:space="preserve"> 85 FR 4569 (January 27, 2020).</w:t>
      </w:r>
    </w:p>
  </w:footnote>
  <w:footnote w:id="5">
    <w:p w:rsidR="00EB14F0" w:rsidRPr="00EB14F0" w:rsidRDefault="00EB14F0">
      <w:pPr>
        <w:pStyle w:val="FootnoteText"/>
        <w:rPr>
          <w:rFonts w:ascii="Times New Roman" w:hAnsi="Times New Roman"/>
          <w:sz w:val="20"/>
        </w:rPr>
      </w:pPr>
      <w:r w:rsidRPr="00EB14F0">
        <w:rPr>
          <w:rStyle w:val="FootnoteReference"/>
          <w:rFonts w:ascii="Times New Roman" w:hAnsi="Times New Roman"/>
          <w:sz w:val="20"/>
        </w:rPr>
        <w:footnoteRef/>
      </w:r>
      <w:r w:rsidRPr="00EB14F0">
        <w:rPr>
          <w:rFonts w:ascii="Times New Roman" w:hAnsi="Times New Roman"/>
          <w:sz w:val="20"/>
        </w:rPr>
        <w:t xml:space="preserve"> </w:t>
      </w:r>
      <w:r w:rsidRPr="00EB14F0">
        <w:rPr>
          <w:rFonts w:ascii="Times New Roman" w:hAnsi="Times New Roman"/>
          <w:i/>
          <w:sz w:val="20"/>
        </w:rPr>
        <w:t>See</w:t>
      </w:r>
      <w:r w:rsidRPr="00EB14F0">
        <w:rPr>
          <w:rFonts w:ascii="Times New Roman" w:hAnsi="Times New Roman"/>
          <w:sz w:val="20"/>
        </w:rPr>
        <w:t xml:space="preserve"> 85 FR 4362 (January 24, 2020).</w:t>
      </w:r>
    </w:p>
  </w:footnote>
  <w:footnote w:id="6">
    <w:p w:rsidR="00EB14F0" w:rsidRDefault="00EB14F0">
      <w:pPr>
        <w:pStyle w:val="FootnoteText"/>
      </w:pPr>
      <w:r w:rsidRPr="00EB14F0">
        <w:rPr>
          <w:rStyle w:val="FootnoteReference"/>
          <w:rFonts w:ascii="Times New Roman" w:hAnsi="Times New Roman"/>
          <w:sz w:val="20"/>
        </w:rPr>
        <w:footnoteRef/>
      </w:r>
      <w:r w:rsidRPr="00EB14F0">
        <w:rPr>
          <w:rFonts w:ascii="Times New Roman" w:hAnsi="Times New Roman"/>
          <w:sz w:val="20"/>
        </w:rPr>
        <w:t xml:space="preserve"> </w:t>
      </w:r>
      <w:r w:rsidRPr="00EB14F0">
        <w:rPr>
          <w:rFonts w:ascii="Times New Roman" w:hAnsi="Times New Roman"/>
          <w:i/>
          <w:sz w:val="20"/>
        </w:rPr>
        <w:t>See</w:t>
      </w:r>
      <w:r w:rsidRPr="00EB14F0">
        <w:rPr>
          <w:rFonts w:ascii="Times New Roman" w:hAnsi="Times New Roman"/>
          <w:sz w:val="20"/>
        </w:rPr>
        <w:t xml:space="preserve"> 84 FR 68019</w:t>
      </w:r>
      <w:r w:rsidRPr="0082252C">
        <w:rPr>
          <w:rFonts w:ascii="Times New Roman" w:hAnsi="Times New Roman"/>
          <w:sz w:val="20"/>
        </w:rPr>
        <w:t xml:space="preserve"> (December 13, 2019).</w:t>
      </w:r>
    </w:p>
  </w:footnote>
  <w:footnote w:id="7">
    <w:p w:rsidR="009D6909" w:rsidRPr="009D6909" w:rsidRDefault="009D6909" w:rsidP="009D6909">
      <w:pPr>
        <w:pStyle w:val="FootnoteText"/>
        <w:rPr>
          <w:rFonts w:ascii="Times New Roman" w:hAnsi="Times New Roman"/>
          <w:sz w:val="20"/>
        </w:rPr>
      </w:pPr>
      <w:r w:rsidRPr="009D6909">
        <w:rPr>
          <w:rStyle w:val="FootnoteReference"/>
          <w:rFonts w:ascii="Times New Roman" w:hAnsi="Times New Roman"/>
          <w:sz w:val="20"/>
        </w:rPr>
        <w:footnoteRef/>
      </w:r>
      <w:r w:rsidRPr="009D6909">
        <w:rPr>
          <w:rFonts w:ascii="Times New Roman" w:hAnsi="Times New Roman"/>
          <w:sz w:val="20"/>
        </w:rPr>
        <w:t xml:space="preserve"> </w:t>
      </w:r>
      <w:r w:rsidR="00143877" w:rsidRPr="00143877">
        <w:rPr>
          <w:rFonts w:ascii="Times New Roman" w:hAnsi="Times New Roman"/>
          <w:i/>
          <w:sz w:val="20"/>
        </w:rPr>
        <w:t>See</w:t>
      </w:r>
      <w:r w:rsidR="00143877">
        <w:rPr>
          <w:rFonts w:ascii="Times New Roman" w:hAnsi="Times New Roman"/>
          <w:sz w:val="20"/>
        </w:rPr>
        <w:t xml:space="preserve"> </w:t>
      </w:r>
      <w:r w:rsidRPr="009D6909">
        <w:rPr>
          <w:rFonts w:ascii="Times New Roman" w:hAnsi="Times New Roman"/>
          <w:sz w:val="20"/>
        </w:rPr>
        <w:t>84 FR 59230 (November 1, 2019).</w:t>
      </w:r>
    </w:p>
  </w:footnote>
  <w:footnote w:id="8">
    <w:p w:rsidR="009D6909" w:rsidRPr="009D6909" w:rsidRDefault="009D6909" w:rsidP="009D6909">
      <w:pPr>
        <w:pStyle w:val="FootnoteText"/>
        <w:rPr>
          <w:rFonts w:ascii="Times New Roman" w:hAnsi="Times New Roman"/>
          <w:sz w:val="20"/>
        </w:rPr>
      </w:pPr>
      <w:r w:rsidRPr="009D6909">
        <w:rPr>
          <w:rStyle w:val="FootnoteReference"/>
          <w:rFonts w:ascii="Times New Roman" w:hAnsi="Times New Roman"/>
          <w:sz w:val="20"/>
        </w:rPr>
        <w:footnoteRef/>
      </w:r>
      <w:r w:rsidRPr="009D6909">
        <w:rPr>
          <w:rFonts w:ascii="Times New Roman" w:hAnsi="Times New Roman"/>
          <w:sz w:val="20"/>
        </w:rPr>
        <w:t xml:space="preserve"> However, standardized liquidity requirements apply only to depository institution subsidiaries with $10 billion or more in total consolidated assets under Categories I through III, and such requirements do not apply to depository institution subsidiaries under Category IV.</w:t>
      </w:r>
    </w:p>
    <w:p w:rsidR="009D6909" w:rsidRPr="009D6909" w:rsidRDefault="009D6909" w:rsidP="009D6909">
      <w:pPr>
        <w:pStyle w:val="FootnoteText"/>
        <w:rPr>
          <w:rFonts w:ascii="Times New Roman" w:hAnsi="Times New Roman"/>
          <w:sz w:val="20"/>
        </w:rPr>
      </w:pPr>
      <w:r w:rsidRPr="009D6909">
        <w:rPr>
          <w:rFonts w:ascii="Times New Roman" w:hAnsi="Times New Roman"/>
          <w:sz w:val="20"/>
        </w:rPr>
        <w:t xml:space="preserve">  </w:t>
      </w:r>
    </w:p>
  </w:footnote>
  <w:footnote w:id="9">
    <w:p w:rsidR="00BF20A4" w:rsidRPr="009D6909" w:rsidRDefault="00BF20A4" w:rsidP="00BF20A4">
      <w:pPr>
        <w:pStyle w:val="FootnoteText"/>
        <w:rPr>
          <w:rFonts w:ascii="Times New Roman" w:hAnsi="Times New Roman"/>
          <w:sz w:val="20"/>
        </w:rPr>
      </w:pPr>
      <w:r w:rsidRPr="009D6909">
        <w:rPr>
          <w:rStyle w:val="FootnoteReference"/>
          <w:rFonts w:ascii="Times New Roman" w:hAnsi="Times New Roman"/>
          <w:sz w:val="20"/>
        </w:rPr>
        <w:footnoteRef/>
      </w:r>
      <w:r w:rsidRPr="009D6909">
        <w:rPr>
          <w:rFonts w:ascii="Times New Roman" w:hAnsi="Times New Roman"/>
          <w:sz w:val="20"/>
        </w:rPr>
        <w:t xml:space="preserve"> For simplicity, and unless otherwise indicated, the term “bank” includes banks, savings associations, bank holding companies, savings and loan holding companies</w:t>
      </w:r>
      <w:r w:rsidR="002B6E70" w:rsidRPr="009D6909">
        <w:rPr>
          <w:rFonts w:ascii="Times New Roman" w:hAnsi="Times New Roman"/>
          <w:sz w:val="20"/>
        </w:rPr>
        <w:t>, and U.S. intermediate holding companies</w:t>
      </w:r>
      <w:r w:rsidRPr="009D6909">
        <w:rPr>
          <w:rFonts w:ascii="Times New Roman" w:hAnsi="Times New Roman"/>
          <w:sz w:val="20"/>
        </w:rPr>
        <w:t>.</w:t>
      </w:r>
    </w:p>
  </w:footnote>
  <w:footnote w:id="10">
    <w:p w:rsidR="00040460" w:rsidRPr="009D6909" w:rsidRDefault="00040460" w:rsidP="00040460">
      <w:pPr>
        <w:pStyle w:val="FootnoteText"/>
        <w:rPr>
          <w:rFonts w:ascii="Times New Roman" w:hAnsi="Times New Roman"/>
          <w:sz w:val="20"/>
        </w:rPr>
      </w:pPr>
      <w:r w:rsidRPr="009D6909">
        <w:rPr>
          <w:rStyle w:val="FootnoteReference"/>
          <w:rFonts w:ascii="Times New Roman" w:hAnsi="Times New Roman"/>
          <w:sz w:val="20"/>
        </w:rPr>
        <w:footnoteRef/>
      </w:r>
      <w:r w:rsidRPr="009D6909">
        <w:rPr>
          <w:rFonts w:ascii="Times New Roman" w:hAnsi="Times New Roman"/>
          <w:sz w:val="20"/>
        </w:rPr>
        <w:t xml:space="preserve"> See 79 FR 57725 (September 26, 2014).</w:t>
      </w:r>
    </w:p>
  </w:footnote>
  <w:footnote w:id="11">
    <w:p w:rsidR="001B513A" w:rsidRPr="0081476E" w:rsidRDefault="001B513A">
      <w:pPr>
        <w:pStyle w:val="FootnoteText"/>
        <w:rPr>
          <w:rFonts w:ascii="Times New Roman" w:hAnsi="Times New Roman"/>
          <w:sz w:val="20"/>
        </w:rPr>
      </w:pPr>
      <w:r w:rsidRPr="0081476E">
        <w:rPr>
          <w:rStyle w:val="FootnoteReference"/>
          <w:rFonts w:ascii="Times New Roman" w:hAnsi="Times New Roman"/>
          <w:sz w:val="20"/>
        </w:rPr>
        <w:footnoteRef/>
      </w:r>
      <w:r w:rsidRPr="0081476E">
        <w:rPr>
          <w:rFonts w:ascii="Times New Roman" w:hAnsi="Times New Roman"/>
          <w:sz w:val="20"/>
        </w:rPr>
        <w:t xml:space="preserve"> For the FDIC, OMB No. 3064-0052. </w:t>
      </w:r>
    </w:p>
  </w:footnote>
  <w:footnote w:id="12">
    <w:p w:rsidR="00220C44" w:rsidRPr="00056FFE" w:rsidRDefault="00220C44" w:rsidP="00220C44">
      <w:pPr>
        <w:pStyle w:val="FootnoteText"/>
        <w:rPr>
          <w:rFonts w:ascii="Times New Roman" w:hAnsi="Times New Roman"/>
          <w:sz w:val="20"/>
        </w:rPr>
      </w:pPr>
      <w:r w:rsidRPr="00056FFE">
        <w:rPr>
          <w:rStyle w:val="FootnoteReference"/>
          <w:rFonts w:ascii="Times New Roman" w:hAnsi="Times New Roman"/>
          <w:sz w:val="20"/>
        </w:rPr>
        <w:footnoteRef/>
      </w:r>
      <w:r w:rsidRPr="00056FFE">
        <w:rPr>
          <w:rFonts w:ascii="Times New Roman" w:hAnsi="Times New Roman"/>
          <w:sz w:val="20"/>
        </w:rPr>
        <w:t xml:space="preserve"> Ibid.</w:t>
      </w:r>
    </w:p>
  </w:footnote>
  <w:footnote w:id="13">
    <w:p w:rsidR="00056FFE" w:rsidRPr="00056FFE" w:rsidRDefault="00056FFE" w:rsidP="00056FFE">
      <w:pPr>
        <w:rPr>
          <w:rFonts w:ascii="Times New Roman" w:hAnsi="Times New Roman"/>
          <w:sz w:val="20"/>
        </w:rPr>
      </w:pPr>
      <w:r w:rsidRPr="00056FFE">
        <w:rPr>
          <w:rStyle w:val="FootnoteReference"/>
          <w:rFonts w:ascii="Times New Roman" w:hAnsi="Times New Roman"/>
          <w:sz w:val="20"/>
        </w:rPr>
        <w:footnoteRef/>
      </w:r>
      <w:r w:rsidRPr="00056FFE">
        <w:rPr>
          <w:rFonts w:ascii="Times New Roman" w:hAnsi="Times New Roman"/>
          <w:sz w:val="20"/>
        </w:rPr>
        <w:t xml:space="preserve"> </w:t>
      </w:r>
      <w:r w:rsidRPr="00056FFE">
        <w:rPr>
          <w:rFonts w:ascii="Times New Roman" w:hAnsi="Times New Roman"/>
          <w:iCs/>
          <w:sz w:val="20"/>
        </w:rPr>
        <w:t xml:space="preserve">Banking Organization Systemic Risk Report (FR Y-15), </w:t>
      </w:r>
      <w:r>
        <w:rPr>
          <w:rFonts w:ascii="Times New Roman" w:hAnsi="Times New Roman"/>
          <w:iCs/>
          <w:sz w:val="20"/>
        </w:rPr>
        <w:t xml:space="preserve">FRB </w:t>
      </w:r>
      <w:r w:rsidRPr="00056FFE">
        <w:rPr>
          <w:rFonts w:ascii="Times New Roman" w:hAnsi="Times New Roman"/>
          <w:iCs/>
          <w:sz w:val="20"/>
        </w:rPr>
        <w:t>OMB No. 3064-0352.</w:t>
      </w:r>
    </w:p>
    <w:p w:rsidR="00056FFE" w:rsidRPr="00953541" w:rsidRDefault="00056FFE" w:rsidP="00056FFE">
      <w:pPr>
        <w:pStyle w:val="FootnoteText"/>
        <w:rPr>
          <w:b/>
          <w:szCs w:val="24"/>
        </w:rPr>
      </w:pPr>
    </w:p>
  </w:footnote>
  <w:footnote w:id="14">
    <w:p w:rsidR="00056FFE" w:rsidRPr="00056FFE" w:rsidRDefault="00056FFE" w:rsidP="00056FFE">
      <w:pPr>
        <w:pStyle w:val="FootnoteText"/>
        <w:rPr>
          <w:rFonts w:ascii="Times New Roman" w:hAnsi="Times New Roman"/>
          <w:sz w:val="20"/>
        </w:rPr>
      </w:pPr>
      <w:r w:rsidRPr="00056FFE">
        <w:rPr>
          <w:rStyle w:val="FootnoteReference"/>
          <w:rFonts w:ascii="Times New Roman" w:hAnsi="Times New Roman"/>
          <w:sz w:val="20"/>
        </w:rPr>
        <w:footnoteRef/>
      </w:r>
      <w:r w:rsidRPr="00056FFE">
        <w:rPr>
          <w:rFonts w:ascii="Times New Roman" w:hAnsi="Times New Roman"/>
          <w:sz w:val="20"/>
        </w:rPr>
        <w:t xml:space="preserve"> </w:t>
      </w:r>
      <w:r w:rsidRPr="00056FFE">
        <w:rPr>
          <w:rFonts w:ascii="Times New Roman" w:hAnsi="Times New Roman"/>
          <w:i/>
          <w:sz w:val="20"/>
        </w:rPr>
        <w:t>See</w:t>
      </w:r>
      <w:r w:rsidRPr="00056FFE">
        <w:rPr>
          <w:rFonts w:ascii="Times New Roman" w:hAnsi="Times New Roman"/>
          <w:sz w:val="20"/>
        </w:rPr>
        <w:t xml:space="preserve"> 12 CFR section 3.173 (OCC); 12 CFR section 217.173 (Board); 12 CFR section 324.173 (FDIC).  </w:t>
      </w:r>
    </w:p>
  </w:footnote>
  <w:footnote w:id="15">
    <w:p w:rsidR="00056FFE" w:rsidRPr="00056FFE" w:rsidRDefault="00056FFE" w:rsidP="00056FFE">
      <w:pPr>
        <w:pStyle w:val="FootnoteText"/>
        <w:rPr>
          <w:rFonts w:ascii="Times New Roman" w:hAnsi="Times New Roman"/>
          <w:sz w:val="20"/>
        </w:rPr>
      </w:pPr>
      <w:r w:rsidRPr="00056FFE">
        <w:rPr>
          <w:rStyle w:val="FootnoteReference"/>
          <w:rFonts w:ascii="Times New Roman" w:hAnsi="Times New Roman"/>
          <w:sz w:val="20"/>
        </w:rPr>
        <w:footnoteRef/>
      </w:r>
      <w:r w:rsidRPr="00056FFE">
        <w:rPr>
          <w:rFonts w:ascii="Times New Roman" w:hAnsi="Times New Roman"/>
          <w:sz w:val="20"/>
        </w:rPr>
        <w:t xml:space="preserve"> </w:t>
      </w:r>
      <w:r w:rsidRPr="00056FFE">
        <w:rPr>
          <w:rFonts w:ascii="Times New Roman" w:hAnsi="Times New Roman"/>
          <w:i/>
          <w:sz w:val="20"/>
        </w:rPr>
        <w:t>See</w:t>
      </w:r>
      <w:r w:rsidRPr="00056FFE">
        <w:rPr>
          <w:rFonts w:ascii="Times New Roman" w:hAnsi="Times New Roman"/>
          <w:sz w:val="20"/>
        </w:rPr>
        <w:t xml:space="preserve"> 12 CFR section 3.172(c)(1) (OCC); 12 CFR section 217.172(c)(1) (Board); 12 CFR section 324.172(c)(1) (FDIC).  </w:t>
      </w:r>
    </w:p>
  </w:footnote>
  <w:footnote w:id="16">
    <w:p w:rsidR="00EE7CEA" w:rsidRPr="00EE7CEA" w:rsidRDefault="00EE7CEA" w:rsidP="00EE7CEA">
      <w:pPr>
        <w:pStyle w:val="FootnoteText"/>
        <w:rPr>
          <w:rFonts w:ascii="Times New Roman" w:hAnsi="Times New Roman"/>
          <w:snapToGrid/>
          <w:sz w:val="20"/>
        </w:rPr>
      </w:pPr>
      <w:r>
        <w:rPr>
          <w:rStyle w:val="FootnoteReference"/>
        </w:rPr>
        <w:footnoteRef/>
      </w:r>
      <w:r>
        <w:t xml:space="preserve"> </w:t>
      </w:r>
      <w:r w:rsidRPr="00EE7CEA">
        <w:rPr>
          <w:rFonts w:ascii="Times New Roman" w:hAnsi="Times New Roman"/>
          <w:snapToGrid/>
          <w:sz w:val="20"/>
        </w:rPr>
        <w:t>This estimate is derived from the May 2018 75</w:t>
      </w:r>
      <w:r w:rsidRPr="00EE7CEA">
        <w:rPr>
          <w:rFonts w:ascii="Times New Roman" w:hAnsi="Times New Roman"/>
          <w:snapToGrid/>
          <w:sz w:val="20"/>
          <w:vertAlign w:val="superscript"/>
        </w:rPr>
        <w:t>th</w:t>
      </w:r>
      <w:r w:rsidRPr="00EE7CEA">
        <w:rPr>
          <w:rFonts w:ascii="Times New Roman" w:hAnsi="Times New Roman"/>
          <w:snapToGrid/>
          <w:sz w:val="20"/>
        </w:rPr>
        <w:t xml:space="preserve"> percentile hourly wage rate reported by the Bureau of Labor Statistics, National Industry-Specific Occupational Employment, and Wage Estimates for Financial Managers ($71.49), Bookkeeping, Accounting, and Auditing Clerks ($23.31), and Financial Specialists ($46.29), and the mean hourly wage for Chief Executives ($102.30) and Lawyers ($86.14) in the Depository Credit Intermediation sector. The wage rates have been adjusted for changes in the Consumer Price Index for all Urban Consumers between May 2018 and September 2019 (2.28 percent) and grossed up by 51 percent to account for non-monetary compensation as reported by the September 2019 Employer Costs for Employee Compensation Data. Assuming that 15 percent of the work would require the skills of a chief executive at an hourly cost of $158.05, 5 percent would require a Lawyer at an hourly cost of $133.09, 25 percent would require a Financial Manager at an hourly cost of $110.45, 35 percent would require a Bookkeeping, Accounting, and Auditing Clerk at an hourly cost of $36.01, and 20 percent would require a Financial Specialist at an hourly cost of $71.52, the hourly wage estimate for this information collection is (0.15*158.05 + 0.05*$133.09 + 0.25*$110.45 + 0.35*$36.01 + 0.2*$71.52 = $84.88).</w:t>
      </w:r>
    </w:p>
    <w:p w:rsidR="00EE7CEA" w:rsidRDefault="00EE7CEA">
      <w:pPr>
        <w:pStyle w:val="FootnoteText"/>
      </w:pPr>
      <w:bookmarkStart w:id="2" w:name="_GoBack"/>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8E0" w:rsidRDefault="003B78E0">
    <w:pPr>
      <w:tabs>
        <w:tab w:val="left" w:pos="-1440"/>
        <w:tab w:val="left" w:pos="-720"/>
        <w:tab w:val="left" w:pos="0"/>
        <w:tab w:val="left" w:pos="432"/>
        <w:tab w:val="left" w:pos="720"/>
        <w:tab w:val="left" w:pos="1008"/>
        <w:tab w:val="left" w:pos="1440"/>
      </w:tabs>
      <w:suppressAutoHyphens/>
      <w:jc w:val="both"/>
    </w:pPr>
  </w:p>
  <w:p w:rsidR="003B78E0" w:rsidRDefault="003B78E0">
    <w:pPr>
      <w:tabs>
        <w:tab w:val="left" w:pos="-1440"/>
        <w:tab w:val="left" w:pos="-720"/>
        <w:tab w:val="left" w:pos="0"/>
        <w:tab w:val="left" w:pos="432"/>
        <w:tab w:val="left" w:pos="720"/>
        <w:tab w:val="left" w:pos="1008"/>
        <w:tab w:val="left" w:pos="1440"/>
      </w:tabs>
      <w:suppressAutoHyphens/>
      <w:spacing w:after="140" w:line="100" w:lineRule="exact"/>
      <w:jc w:val="both"/>
      <w:rPr>
        <w:sz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8E0" w:rsidRDefault="003B78E0">
    <w:pPr>
      <w:pStyle w:val="Header"/>
      <w:jc w:val="right"/>
      <w:rPr>
        <w:rFonts w:ascii="Times New Roman" w:hAnsi="Times New Roman"/>
        <w:color w:val="C0C0C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781E"/>
    <w:multiLevelType w:val="hybridMultilevel"/>
    <w:tmpl w:val="EBFEEEEC"/>
    <w:lvl w:ilvl="0" w:tplc="E6D2957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9135771"/>
    <w:multiLevelType w:val="singleLevel"/>
    <w:tmpl w:val="2EDC24D0"/>
    <w:lvl w:ilvl="0">
      <w:start w:val="1"/>
      <w:numFmt w:val="bullet"/>
      <w:lvlText w:val=""/>
      <w:lvlJc w:val="left"/>
      <w:pPr>
        <w:tabs>
          <w:tab w:val="num" w:pos="504"/>
        </w:tabs>
        <w:ind w:left="504" w:hanging="504"/>
      </w:pPr>
      <w:rPr>
        <w:rFonts w:ascii="Symbol" w:hAnsi="Symbol" w:hint="default"/>
      </w:rPr>
    </w:lvl>
  </w:abstractNum>
  <w:abstractNum w:abstractNumId="2" w15:restartNumberingAfterBreak="0">
    <w:nsid w:val="0C8A446B"/>
    <w:multiLevelType w:val="singleLevel"/>
    <w:tmpl w:val="BE36AEE0"/>
    <w:lvl w:ilvl="0">
      <w:start w:val="1"/>
      <w:numFmt w:val="decimal"/>
      <w:lvlText w:val="(%1)"/>
      <w:lvlJc w:val="left"/>
      <w:pPr>
        <w:tabs>
          <w:tab w:val="num" w:pos="504"/>
        </w:tabs>
        <w:ind w:left="504" w:hanging="504"/>
      </w:pPr>
    </w:lvl>
  </w:abstractNum>
  <w:abstractNum w:abstractNumId="3" w15:restartNumberingAfterBreak="0">
    <w:nsid w:val="116D4231"/>
    <w:multiLevelType w:val="singleLevel"/>
    <w:tmpl w:val="BE36AEE0"/>
    <w:lvl w:ilvl="0">
      <w:start w:val="1"/>
      <w:numFmt w:val="decimal"/>
      <w:lvlText w:val="(%1)"/>
      <w:lvlJc w:val="left"/>
      <w:pPr>
        <w:tabs>
          <w:tab w:val="num" w:pos="504"/>
        </w:tabs>
        <w:ind w:left="504" w:hanging="504"/>
      </w:pPr>
    </w:lvl>
  </w:abstractNum>
  <w:abstractNum w:abstractNumId="4" w15:restartNumberingAfterBreak="0">
    <w:nsid w:val="11B051B3"/>
    <w:multiLevelType w:val="singleLevel"/>
    <w:tmpl w:val="223231D2"/>
    <w:lvl w:ilvl="0">
      <w:start w:val="1"/>
      <w:numFmt w:val="bullet"/>
      <w:lvlText w:val=""/>
      <w:lvlJc w:val="left"/>
      <w:pPr>
        <w:tabs>
          <w:tab w:val="num" w:pos="504"/>
        </w:tabs>
        <w:ind w:left="504" w:hanging="504"/>
      </w:pPr>
      <w:rPr>
        <w:rFonts w:ascii="Symbol" w:hAnsi="Symbol" w:hint="default"/>
      </w:rPr>
    </w:lvl>
  </w:abstractNum>
  <w:abstractNum w:abstractNumId="5" w15:restartNumberingAfterBreak="0">
    <w:nsid w:val="16FD1EBA"/>
    <w:multiLevelType w:val="singleLevel"/>
    <w:tmpl w:val="F82C3C94"/>
    <w:lvl w:ilvl="0">
      <w:start w:val="1"/>
      <w:numFmt w:val="decimal"/>
      <w:lvlText w:val="(%1)"/>
      <w:lvlJc w:val="left"/>
      <w:pPr>
        <w:tabs>
          <w:tab w:val="num" w:pos="1125"/>
        </w:tabs>
        <w:ind w:left="1125" w:hanging="405"/>
      </w:pPr>
      <w:rPr>
        <w:rFonts w:hint="default"/>
      </w:rPr>
    </w:lvl>
  </w:abstractNum>
  <w:abstractNum w:abstractNumId="6" w15:restartNumberingAfterBreak="0">
    <w:nsid w:val="1BEB4AB2"/>
    <w:multiLevelType w:val="hybridMultilevel"/>
    <w:tmpl w:val="BF721D18"/>
    <w:lvl w:ilvl="0" w:tplc="527A681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10"/>
        </w:tabs>
        <w:ind w:left="1210" w:hanging="360"/>
      </w:pPr>
      <w:rPr>
        <w:rFonts w:ascii="Courier New" w:hAnsi="Courier New" w:cs="Courier New" w:hint="default"/>
      </w:rPr>
    </w:lvl>
    <w:lvl w:ilvl="2" w:tplc="04090005" w:tentative="1">
      <w:start w:val="1"/>
      <w:numFmt w:val="bullet"/>
      <w:lvlText w:val=""/>
      <w:lvlJc w:val="left"/>
      <w:pPr>
        <w:tabs>
          <w:tab w:val="num" w:pos="1930"/>
        </w:tabs>
        <w:ind w:left="1930" w:hanging="360"/>
      </w:pPr>
      <w:rPr>
        <w:rFonts w:ascii="Wingdings" w:hAnsi="Wingdings" w:hint="default"/>
      </w:rPr>
    </w:lvl>
    <w:lvl w:ilvl="3" w:tplc="04090001" w:tentative="1">
      <w:start w:val="1"/>
      <w:numFmt w:val="bullet"/>
      <w:lvlText w:val=""/>
      <w:lvlJc w:val="left"/>
      <w:pPr>
        <w:tabs>
          <w:tab w:val="num" w:pos="2650"/>
        </w:tabs>
        <w:ind w:left="2650" w:hanging="360"/>
      </w:pPr>
      <w:rPr>
        <w:rFonts w:ascii="Symbol" w:hAnsi="Symbol" w:hint="default"/>
      </w:rPr>
    </w:lvl>
    <w:lvl w:ilvl="4" w:tplc="04090003" w:tentative="1">
      <w:start w:val="1"/>
      <w:numFmt w:val="bullet"/>
      <w:lvlText w:val="o"/>
      <w:lvlJc w:val="left"/>
      <w:pPr>
        <w:tabs>
          <w:tab w:val="num" w:pos="3370"/>
        </w:tabs>
        <w:ind w:left="3370" w:hanging="360"/>
      </w:pPr>
      <w:rPr>
        <w:rFonts w:ascii="Courier New" w:hAnsi="Courier New" w:cs="Courier New" w:hint="default"/>
      </w:rPr>
    </w:lvl>
    <w:lvl w:ilvl="5" w:tplc="04090005" w:tentative="1">
      <w:start w:val="1"/>
      <w:numFmt w:val="bullet"/>
      <w:lvlText w:val=""/>
      <w:lvlJc w:val="left"/>
      <w:pPr>
        <w:tabs>
          <w:tab w:val="num" w:pos="4090"/>
        </w:tabs>
        <w:ind w:left="4090" w:hanging="360"/>
      </w:pPr>
      <w:rPr>
        <w:rFonts w:ascii="Wingdings" w:hAnsi="Wingdings" w:hint="default"/>
      </w:rPr>
    </w:lvl>
    <w:lvl w:ilvl="6" w:tplc="04090001" w:tentative="1">
      <w:start w:val="1"/>
      <w:numFmt w:val="bullet"/>
      <w:lvlText w:val=""/>
      <w:lvlJc w:val="left"/>
      <w:pPr>
        <w:tabs>
          <w:tab w:val="num" w:pos="4810"/>
        </w:tabs>
        <w:ind w:left="4810" w:hanging="360"/>
      </w:pPr>
      <w:rPr>
        <w:rFonts w:ascii="Symbol" w:hAnsi="Symbol" w:hint="default"/>
      </w:rPr>
    </w:lvl>
    <w:lvl w:ilvl="7" w:tplc="04090003" w:tentative="1">
      <w:start w:val="1"/>
      <w:numFmt w:val="bullet"/>
      <w:lvlText w:val="o"/>
      <w:lvlJc w:val="left"/>
      <w:pPr>
        <w:tabs>
          <w:tab w:val="num" w:pos="5530"/>
        </w:tabs>
        <w:ind w:left="5530" w:hanging="360"/>
      </w:pPr>
      <w:rPr>
        <w:rFonts w:ascii="Courier New" w:hAnsi="Courier New" w:cs="Courier New" w:hint="default"/>
      </w:rPr>
    </w:lvl>
    <w:lvl w:ilvl="8" w:tplc="04090005" w:tentative="1">
      <w:start w:val="1"/>
      <w:numFmt w:val="bullet"/>
      <w:lvlText w:val=""/>
      <w:lvlJc w:val="left"/>
      <w:pPr>
        <w:tabs>
          <w:tab w:val="num" w:pos="6250"/>
        </w:tabs>
        <w:ind w:left="6250" w:hanging="360"/>
      </w:pPr>
      <w:rPr>
        <w:rFonts w:ascii="Wingdings" w:hAnsi="Wingdings" w:hint="default"/>
      </w:rPr>
    </w:lvl>
  </w:abstractNum>
  <w:abstractNum w:abstractNumId="7" w15:restartNumberingAfterBreak="0">
    <w:nsid w:val="208C44B7"/>
    <w:multiLevelType w:val="singleLevel"/>
    <w:tmpl w:val="C64A8546"/>
    <w:lvl w:ilvl="0">
      <w:start w:val="1"/>
      <w:numFmt w:val="bullet"/>
      <w:lvlText w:val=""/>
      <w:lvlJc w:val="left"/>
      <w:pPr>
        <w:tabs>
          <w:tab w:val="num" w:pos="360"/>
        </w:tabs>
        <w:ind w:left="360" w:hanging="360"/>
      </w:pPr>
      <w:rPr>
        <w:rFonts w:ascii="Symbol" w:hAnsi="Symbol" w:hint="default"/>
        <w:b w:val="0"/>
        <w:i w:val="0"/>
        <w:sz w:val="20"/>
      </w:rPr>
    </w:lvl>
  </w:abstractNum>
  <w:abstractNum w:abstractNumId="8" w15:restartNumberingAfterBreak="0">
    <w:nsid w:val="231F0EB6"/>
    <w:multiLevelType w:val="singleLevel"/>
    <w:tmpl w:val="BE36AEE0"/>
    <w:lvl w:ilvl="0">
      <w:start w:val="1"/>
      <w:numFmt w:val="decimal"/>
      <w:lvlText w:val="(%1)"/>
      <w:lvlJc w:val="left"/>
      <w:pPr>
        <w:tabs>
          <w:tab w:val="num" w:pos="504"/>
        </w:tabs>
        <w:ind w:left="504" w:hanging="504"/>
      </w:pPr>
    </w:lvl>
  </w:abstractNum>
  <w:abstractNum w:abstractNumId="9" w15:restartNumberingAfterBreak="0">
    <w:nsid w:val="24BA1AE0"/>
    <w:multiLevelType w:val="singleLevel"/>
    <w:tmpl w:val="EFF67184"/>
    <w:lvl w:ilvl="0">
      <w:start w:val="1"/>
      <w:numFmt w:val="bullet"/>
      <w:lvlText w:val=""/>
      <w:lvlJc w:val="left"/>
      <w:pPr>
        <w:tabs>
          <w:tab w:val="num" w:pos="360"/>
        </w:tabs>
        <w:ind w:left="360" w:hanging="360"/>
      </w:pPr>
      <w:rPr>
        <w:rFonts w:ascii="Symbol" w:hAnsi="Symbol" w:hint="default"/>
        <w:sz w:val="28"/>
      </w:rPr>
    </w:lvl>
  </w:abstractNum>
  <w:abstractNum w:abstractNumId="10" w15:restartNumberingAfterBreak="0">
    <w:nsid w:val="26426020"/>
    <w:multiLevelType w:val="hybridMultilevel"/>
    <w:tmpl w:val="D05E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6715B"/>
    <w:multiLevelType w:val="singleLevel"/>
    <w:tmpl w:val="E0B0737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AD1ACF"/>
    <w:multiLevelType w:val="hybridMultilevel"/>
    <w:tmpl w:val="7D7EB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3C5247"/>
    <w:multiLevelType w:val="hybridMultilevel"/>
    <w:tmpl w:val="5DB4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7F1"/>
    <w:multiLevelType w:val="singleLevel"/>
    <w:tmpl w:val="04090019"/>
    <w:lvl w:ilvl="0">
      <w:start w:val="1"/>
      <w:numFmt w:val="lowerLetter"/>
      <w:lvlText w:val="(%1)"/>
      <w:lvlJc w:val="left"/>
      <w:pPr>
        <w:tabs>
          <w:tab w:val="num" w:pos="360"/>
        </w:tabs>
        <w:ind w:left="360" w:hanging="360"/>
      </w:pPr>
      <w:rPr>
        <w:rFonts w:hint="default"/>
      </w:rPr>
    </w:lvl>
  </w:abstractNum>
  <w:abstractNum w:abstractNumId="15" w15:restartNumberingAfterBreak="0">
    <w:nsid w:val="3F35131D"/>
    <w:multiLevelType w:val="hybridMultilevel"/>
    <w:tmpl w:val="CBBCA072"/>
    <w:lvl w:ilvl="0" w:tplc="50CE7BA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2037703"/>
    <w:multiLevelType w:val="multilevel"/>
    <w:tmpl w:val="CBBCA07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3C339E8"/>
    <w:multiLevelType w:val="singleLevel"/>
    <w:tmpl w:val="4D261396"/>
    <w:lvl w:ilvl="0">
      <w:start w:val="1"/>
      <w:numFmt w:val="decimal"/>
      <w:lvlText w:val="%1."/>
      <w:lvlJc w:val="left"/>
      <w:pPr>
        <w:tabs>
          <w:tab w:val="num" w:pos="360"/>
        </w:tabs>
        <w:ind w:left="360" w:hanging="360"/>
      </w:pPr>
      <w:rPr>
        <w:rFonts w:hint="default"/>
      </w:rPr>
    </w:lvl>
  </w:abstractNum>
  <w:abstractNum w:abstractNumId="18" w15:restartNumberingAfterBreak="0">
    <w:nsid w:val="542B3EF1"/>
    <w:multiLevelType w:val="singleLevel"/>
    <w:tmpl w:val="B98CB33C"/>
    <w:lvl w:ilvl="0">
      <w:start w:val="1"/>
      <w:numFmt w:val="bullet"/>
      <w:lvlText w:val=""/>
      <w:lvlJc w:val="left"/>
      <w:pPr>
        <w:tabs>
          <w:tab w:val="num" w:pos="1008"/>
        </w:tabs>
        <w:ind w:left="1008" w:hanging="504"/>
      </w:pPr>
      <w:rPr>
        <w:rFonts w:ascii="Symbol" w:hAnsi="Symbol" w:hint="default"/>
      </w:rPr>
    </w:lvl>
  </w:abstractNum>
  <w:abstractNum w:abstractNumId="19" w15:restartNumberingAfterBreak="0">
    <w:nsid w:val="56DF6008"/>
    <w:multiLevelType w:val="singleLevel"/>
    <w:tmpl w:val="0178B63E"/>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58A91EB4"/>
    <w:multiLevelType w:val="singleLevel"/>
    <w:tmpl w:val="2EDC24D0"/>
    <w:lvl w:ilvl="0">
      <w:start w:val="1"/>
      <w:numFmt w:val="bullet"/>
      <w:lvlText w:val=""/>
      <w:lvlJc w:val="left"/>
      <w:pPr>
        <w:tabs>
          <w:tab w:val="num" w:pos="504"/>
        </w:tabs>
        <w:ind w:left="504" w:hanging="504"/>
      </w:pPr>
      <w:rPr>
        <w:rFonts w:ascii="Symbol" w:hAnsi="Symbol" w:hint="default"/>
      </w:rPr>
    </w:lvl>
  </w:abstractNum>
  <w:abstractNum w:abstractNumId="21" w15:restartNumberingAfterBreak="0">
    <w:nsid w:val="61F52E20"/>
    <w:multiLevelType w:val="singleLevel"/>
    <w:tmpl w:val="FB62884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2311BD"/>
    <w:multiLevelType w:val="singleLevel"/>
    <w:tmpl w:val="785E5116"/>
    <w:lvl w:ilvl="0">
      <w:start w:val="1"/>
      <w:numFmt w:val="lowerLetter"/>
      <w:lvlText w:val="(%1)"/>
      <w:lvlJc w:val="left"/>
      <w:pPr>
        <w:tabs>
          <w:tab w:val="num" w:pos="504"/>
        </w:tabs>
        <w:ind w:left="504" w:hanging="504"/>
      </w:pPr>
    </w:lvl>
  </w:abstractNum>
  <w:abstractNum w:abstractNumId="23" w15:restartNumberingAfterBreak="0">
    <w:nsid w:val="6271465F"/>
    <w:multiLevelType w:val="singleLevel"/>
    <w:tmpl w:val="5A4A1B5A"/>
    <w:lvl w:ilvl="0">
      <w:start w:val="1"/>
      <w:numFmt w:val="bullet"/>
      <w:lvlText w:val=""/>
      <w:lvlJc w:val="left"/>
      <w:pPr>
        <w:tabs>
          <w:tab w:val="num" w:pos="720"/>
        </w:tabs>
        <w:ind w:left="720" w:hanging="360"/>
      </w:pPr>
      <w:rPr>
        <w:rFonts w:ascii="Symbol" w:hAnsi="Symbol" w:hint="default"/>
        <w:sz w:val="28"/>
      </w:rPr>
    </w:lvl>
  </w:abstractNum>
  <w:abstractNum w:abstractNumId="24" w15:restartNumberingAfterBreak="0">
    <w:nsid w:val="6676179A"/>
    <w:multiLevelType w:val="hybridMultilevel"/>
    <w:tmpl w:val="6E7E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E53EC7"/>
    <w:multiLevelType w:val="singleLevel"/>
    <w:tmpl w:val="2E9C911A"/>
    <w:lvl w:ilvl="0">
      <w:start w:val="1"/>
      <w:numFmt w:val="bullet"/>
      <w:lvlText w:val=""/>
      <w:lvlJc w:val="left"/>
      <w:pPr>
        <w:tabs>
          <w:tab w:val="num" w:pos="504"/>
        </w:tabs>
        <w:ind w:left="504" w:hanging="504"/>
      </w:pPr>
      <w:rPr>
        <w:rFonts w:ascii="Symbol" w:hAnsi="Symbol" w:hint="default"/>
      </w:rPr>
    </w:lvl>
  </w:abstractNum>
  <w:abstractNum w:abstractNumId="26" w15:restartNumberingAfterBreak="0">
    <w:nsid w:val="696E6EC1"/>
    <w:multiLevelType w:val="singleLevel"/>
    <w:tmpl w:val="996C6E2A"/>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6BEA395D"/>
    <w:multiLevelType w:val="singleLevel"/>
    <w:tmpl w:val="1486BF14"/>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28" w15:restartNumberingAfterBreak="0">
    <w:nsid w:val="6F666DD0"/>
    <w:multiLevelType w:val="singleLevel"/>
    <w:tmpl w:val="AA82C2B2"/>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714F26CE"/>
    <w:multiLevelType w:val="singleLevel"/>
    <w:tmpl w:val="ABEAC91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2FA38AF"/>
    <w:multiLevelType w:val="hybridMultilevel"/>
    <w:tmpl w:val="9E54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1856C9"/>
    <w:multiLevelType w:val="hybridMultilevel"/>
    <w:tmpl w:val="46BA9928"/>
    <w:lvl w:ilvl="0" w:tplc="D8CCBE8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79EF0DA0"/>
    <w:multiLevelType w:val="singleLevel"/>
    <w:tmpl w:val="B6928DDE"/>
    <w:lvl w:ilvl="0">
      <w:start w:val="1"/>
      <w:numFmt w:val="bullet"/>
      <w:lvlText w:val=""/>
      <w:lvlJc w:val="left"/>
      <w:pPr>
        <w:tabs>
          <w:tab w:val="num" w:pos="504"/>
        </w:tabs>
        <w:ind w:left="504" w:hanging="504"/>
      </w:pPr>
      <w:rPr>
        <w:rFonts w:ascii="Symbol" w:hAnsi="Symbol" w:hint="default"/>
      </w:rPr>
    </w:lvl>
  </w:abstractNum>
  <w:num w:numId="1">
    <w:abstractNumId w:val="4"/>
  </w:num>
  <w:num w:numId="2">
    <w:abstractNumId w:val="20"/>
  </w:num>
  <w:num w:numId="3">
    <w:abstractNumId w:val="1"/>
  </w:num>
  <w:num w:numId="4">
    <w:abstractNumId w:val="32"/>
  </w:num>
  <w:num w:numId="5">
    <w:abstractNumId w:val="5"/>
  </w:num>
  <w:num w:numId="6">
    <w:abstractNumId w:val="22"/>
  </w:num>
  <w:num w:numId="7">
    <w:abstractNumId w:val="14"/>
  </w:num>
  <w:num w:numId="8">
    <w:abstractNumId w:val="3"/>
  </w:num>
  <w:num w:numId="9">
    <w:abstractNumId w:val="8"/>
  </w:num>
  <w:num w:numId="10">
    <w:abstractNumId w:val="2"/>
  </w:num>
  <w:num w:numId="11">
    <w:abstractNumId w:val="25"/>
  </w:num>
  <w:num w:numId="12">
    <w:abstractNumId w:val="18"/>
  </w:num>
  <w:num w:numId="13">
    <w:abstractNumId w:val="23"/>
  </w:num>
  <w:num w:numId="14">
    <w:abstractNumId w:val="9"/>
  </w:num>
  <w:num w:numId="15">
    <w:abstractNumId w:val="27"/>
  </w:num>
  <w:num w:numId="16">
    <w:abstractNumId w:val="17"/>
  </w:num>
  <w:num w:numId="17">
    <w:abstractNumId w:val="21"/>
  </w:num>
  <w:num w:numId="18">
    <w:abstractNumId w:val="26"/>
  </w:num>
  <w:num w:numId="19">
    <w:abstractNumId w:val="28"/>
  </w:num>
  <w:num w:numId="20">
    <w:abstractNumId w:val="19"/>
  </w:num>
  <w:num w:numId="21">
    <w:abstractNumId w:val="7"/>
  </w:num>
  <w:num w:numId="22">
    <w:abstractNumId w:val="11"/>
  </w:num>
  <w:num w:numId="23">
    <w:abstractNumId w:val="29"/>
  </w:num>
  <w:num w:numId="24">
    <w:abstractNumId w:val="0"/>
  </w:num>
  <w:num w:numId="25">
    <w:abstractNumId w:val="15"/>
  </w:num>
  <w:num w:numId="26">
    <w:abstractNumId w:val="16"/>
  </w:num>
  <w:num w:numId="27">
    <w:abstractNumId w:val="31"/>
  </w:num>
  <w:num w:numId="28">
    <w:abstractNumId w:val="6"/>
  </w:num>
  <w:num w:numId="29">
    <w:abstractNumId w:val="24"/>
  </w:num>
  <w:num w:numId="30">
    <w:abstractNumId w:val="30"/>
  </w:num>
  <w:num w:numId="31">
    <w:abstractNumId w:val="13"/>
  </w:num>
  <w:num w:numId="32">
    <w:abstractNumId w:val="1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62"/>
    <w:rsid w:val="00000A6C"/>
    <w:rsid w:val="00040460"/>
    <w:rsid w:val="00045BC6"/>
    <w:rsid w:val="00056EF7"/>
    <w:rsid w:val="00056FFE"/>
    <w:rsid w:val="00091712"/>
    <w:rsid w:val="000962D8"/>
    <w:rsid w:val="000A090E"/>
    <w:rsid w:val="000A0B4E"/>
    <w:rsid w:val="000A6B8B"/>
    <w:rsid w:val="000E11CC"/>
    <w:rsid w:val="000E535E"/>
    <w:rsid w:val="000F0BDD"/>
    <w:rsid w:val="000F5CF2"/>
    <w:rsid w:val="0012786B"/>
    <w:rsid w:val="00140EAE"/>
    <w:rsid w:val="00143877"/>
    <w:rsid w:val="001666AC"/>
    <w:rsid w:val="00186369"/>
    <w:rsid w:val="00186BB3"/>
    <w:rsid w:val="00190FDA"/>
    <w:rsid w:val="00195165"/>
    <w:rsid w:val="001B513A"/>
    <w:rsid w:val="001C3E2A"/>
    <w:rsid w:val="001C4CFC"/>
    <w:rsid w:val="001C6401"/>
    <w:rsid w:val="001D137F"/>
    <w:rsid w:val="001D767E"/>
    <w:rsid w:val="001F3598"/>
    <w:rsid w:val="001F5CD1"/>
    <w:rsid w:val="00204495"/>
    <w:rsid w:val="00220C44"/>
    <w:rsid w:val="00225C45"/>
    <w:rsid w:val="002410F0"/>
    <w:rsid w:val="00262D6C"/>
    <w:rsid w:val="00283764"/>
    <w:rsid w:val="00294B13"/>
    <w:rsid w:val="002A5C92"/>
    <w:rsid w:val="002B6E70"/>
    <w:rsid w:val="002D16AB"/>
    <w:rsid w:val="002D6B83"/>
    <w:rsid w:val="002D7BFC"/>
    <w:rsid w:val="00312E63"/>
    <w:rsid w:val="00335D46"/>
    <w:rsid w:val="0036198E"/>
    <w:rsid w:val="00373B98"/>
    <w:rsid w:val="0038136E"/>
    <w:rsid w:val="00382F37"/>
    <w:rsid w:val="00391805"/>
    <w:rsid w:val="003B4879"/>
    <w:rsid w:val="003B78E0"/>
    <w:rsid w:val="003C1AF0"/>
    <w:rsid w:val="003F47CF"/>
    <w:rsid w:val="004035F2"/>
    <w:rsid w:val="004067DA"/>
    <w:rsid w:val="004462E8"/>
    <w:rsid w:val="004853D4"/>
    <w:rsid w:val="004875A6"/>
    <w:rsid w:val="00490B60"/>
    <w:rsid w:val="004A72E3"/>
    <w:rsid w:val="004B00D5"/>
    <w:rsid w:val="004B5861"/>
    <w:rsid w:val="004C500B"/>
    <w:rsid w:val="004D6EA0"/>
    <w:rsid w:val="004E05C1"/>
    <w:rsid w:val="004F4F77"/>
    <w:rsid w:val="00522F38"/>
    <w:rsid w:val="00531C0D"/>
    <w:rsid w:val="005428E8"/>
    <w:rsid w:val="0054428D"/>
    <w:rsid w:val="00556827"/>
    <w:rsid w:val="00577CC5"/>
    <w:rsid w:val="005C5783"/>
    <w:rsid w:val="005E54EE"/>
    <w:rsid w:val="006111E5"/>
    <w:rsid w:val="0064048C"/>
    <w:rsid w:val="006646DB"/>
    <w:rsid w:val="006713FF"/>
    <w:rsid w:val="006818C8"/>
    <w:rsid w:val="006848E7"/>
    <w:rsid w:val="00685D7E"/>
    <w:rsid w:val="0069061F"/>
    <w:rsid w:val="006C0646"/>
    <w:rsid w:val="006C2B3C"/>
    <w:rsid w:val="006D3985"/>
    <w:rsid w:val="006F10E1"/>
    <w:rsid w:val="007077C1"/>
    <w:rsid w:val="00717E74"/>
    <w:rsid w:val="007212D5"/>
    <w:rsid w:val="0074714B"/>
    <w:rsid w:val="007557CF"/>
    <w:rsid w:val="00776B29"/>
    <w:rsid w:val="00792C73"/>
    <w:rsid w:val="007B27DD"/>
    <w:rsid w:val="007C38EE"/>
    <w:rsid w:val="007D5FF9"/>
    <w:rsid w:val="007E1D7C"/>
    <w:rsid w:val="007E43EC"/>
    <w:rsid w:val="007F0E1C"/>
    <w:rsid w:val="0081476E"/>
    <w:rsid w:val="008227C3"/>
    <w:rsid w:val="00831EF2"/>
    <w:rsid w:val="008543D0"/>
    <w:rsid w:val="00874F41"/>
    <w:rsid w:val="008761ED"/>
    <w:rsid w:val="0089197B"/>
    <w:rsid w:val="008A5733"/>
    <w:rsid w:val="008B3AD6"/>
    <w:rsid w:val="008C328E"/>
    <w:rsid w:val="008C74A8"/>
    <w:rsid w:val="008F20C9"/>
    <w:rsid w:val="00934F1C"/>
    <w:rsid w:val="009447F7"/>
    <w:rsid w:val="00960DC6"/>
    <w:rsid w:val="009A424C"/>
    <w:rsid w:val="009D651B"/>
    <w:rsid w:val="009D6909"/>
    <w:rsid w:val="009F3E80"/>
    <w:rsid w:val="00A3261D"/>
    <w:rsid w:val="00A41B62"/>
    <w:rsid w:val="00A52F21"/>
    <w:rsid w:val="00B14127"/>
    <w:rsid w:val="00B14F46"/>
    <w:rsid w:val="00B173C6"/>
    <w:rsid w:val="00B323EA"/>
    <w:rsid w:val="00B32EDB"/>
    <w:rsid w:val="00B50E5E"/>
    <w:rsid w:val="00B56A36"/>
    <w:rsid w:val="00B64321"/>
    <w:rsid w:val="00B9279F"/>
    <w:rsid w:val="00BA1FAC"/>
    <w:rsid w:val="00BA63CD"/>
    <w:rsid w:val="00BB446E"/>
    <w:rsid w:val="00BC6285"/>
    <w:rsid w:val="00BD033B"/>
    <w:rsid w:val="00BD0454"/>
    <w:rsid w:val="00BE27EF"/>
    <w:rsid w:val="00BF20A4"/>
    <w:rsid w:val="00BF3E4F"/>
    <w:rsid w:val="00BF58C3"/>
    <w:rsid w:val="00C02C8F"/>
    <w:rsid w:val="00C04A51"/>
    <w:rsid w:val="00C06461"/>
    <w:rsid w:val="00C32505"/>
    <w:rsid w:val="00C42963"/>
    <w:rsid w:val="00C64409"/>
    <w:rsid w:val="00C67EAF"/>
    <w:rsid w:val="00C73A2F"/>
    <w:rsid w:val="00C770DB"/>
    <w:rsid w:val="00C8196F"/>
    <w:rsid w:val="00C87899"/>
    <w:rsid w:val="00CD3AA1"/>
    <w:rsid w:val="00CD4E6B"/>
    <w:rsid w:val="00CD5F18"/>
    <w:rsid w:val="00CF04F2"/>
    <w:rsid w:val="00CF342D"/>
    <w:rsid w:val="00D10843"/>
    <w:rsid w:val="00D142BF"/>
    <w:rsid w:val="00D267FE"/>
    <w:rsid w:val="00D32F81"/>
    <w:rsid w:val="00D346EB"/>
    <w:rsid w:val="00D73339"/>
    <w:rsid w:val="00D74ACD"/>
    <w:rsid w:val="00D802AB"/>
    <w:rsid w:val="00DC0AA6"/>
    <w:rsid w:val="00DD4EC1"/>
    <w:rsid w:val="00DD6BED"/>
    <w:rsid w:val="00E20527"/>
    <w:rsid w:val="00E34114"/>
    <w:rsid w:val="00E42EF5"/>
    <w:rsid w:val="00E46BAD"/>
    <w:rsid w:val="00E50185"/>
    <w:rsid w:val="00E61A52"/>
    <w:rsid w:val="00EA371F"/>
    <w:rsid w:val="00EA4A90"/>
    <w:rsid w:val="00EA7B6C"/>
    <w:rsid w:val="00EB14F0"/>
    <w:rsid w:val="00EB2C19"/>
    <w:rsid w:val="00EB4F62"/>
    <w:rsid w:val="00EE7CEA"/>
    <w:rsid w:val="00F2238A"/>
    <w:rsid w:val="00F34B8E"/>
    <w:rsid w:val="00F35587"/>
    <w:rsid w:val="00F37D9D"/>
    <w:rsid w:val="00F52988"/>
    <w:rsid w:val="00F6279C"/>
    <w:rsid w:val="00F667B6"/>
    <w:rsid w:val="00F81EA6"/>
    <w:rsid w:val="00F93E61"/>
    <w:rsid w:val="00FA5278"/>
    <w:rsid w:val="00FB2D8D"/>
    <w:rsid w:val="00FF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1E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1440"/>
        <w:tab w:val="left" w:pos="-720"/>
        <w:tab w:val="left" w:pos="0"/>
        <w:tab w:val="left" w:pos="432"/>
        <w:tab w:val="left" w:pos="720"/>
        <w:tab w:val="left" w:pos="1008"/>
        <w:tab w:val="left" w:pos="1440"/>
      </w:tabs>
      <w:suppressAutoHyphens/>
      <w:outlineLvl w:val="0"/>
    </w:pPr>
    <w:rPr>
      <w:rFonts w:ascii="CG Times" w:hAnsi="CG Times"/>
      <w:sz w:val="22"/>
      <w:u w:val="single"/>
    </w:rPr>
  </w:style>
  <w:style w:type="paragraph" w:styleId="Heading2">
    <w:name w:val="heading 2"/>
    <w:basedOn w:val="Normal"/>
    <w:next w:val="Normal"/>
    <w:qFormat/>
    <w:pPr>
      <w:keepNext/>
      <w:tabs>
        <w:tab w:val="left" w:pos="-1440"/>
        <w:tab w:val="left" w:pos="-720"/>
        <w:tab w:val="left" w:pos="0"/>
        <w:tab w:val="left" w:pos="432"/>
        <w:tab w:val="left" w:pos="720"/>
        <w:tab w:val="left" w:pos="1008"/>
        <w:tab w:val="left" w:pos="1440"/>
      </w:tabs>
      <w:suppressAutoHyphens/>
      <w:outlineLvl w:val="1"/>
    </w:pPr>
    <w:rPr>
      <w:rFonts w:ascii="CG Times" w:hAnsi="CG Time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Char,Fußnote"/>
    <w:basedOn w:val="Normal"/>
    <w:link w:val="FootnoteTextChar"/>
    <w:uiPriority w:val="99"/>
    <w:qFormat/>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BVI fnr"/>
    <w:uiPriority w:val="99"/>
    <w:qFormat/>
    <w:rPr>
      <w:vertAlign w:val="superscript"/>
    </w:rPr>
  </w:style>
  <w:style w:type="character" w:customStyle="1" w:styleId="MEMO-FROM">
    <w:name w:val="MEMO-FROM"/>
    <w:rPr>
      <w:rFonts w:ascii="Courier" w:hAnsi="Courier"/>
      <w:noProof w:val="0"/>
      <w:sz w:val="24"/>
      <w:lang w:val="en-US"/>
    </w:rPr>
  </w:style>
  <w:style w:type="character" w:customStyle="1" w:styleId="MEMO-SUBJ">
    <w:name w:val="MEMO-SUBJ"/>
    <w:rPr>
      <w:rFonts w:ascii="Courier" w:hAnsi="Courier"/>
      <w:noProof w:val="0"/>
      <w:sz w:val="24"/>
      <w:lang w:val="en-US"/>
    </w:rPr>
  </w:style>
  <w:style w:type="character" w:customStyle="1" w:styleId="MEMO-TO">
    <w:name w:val="MEMO-TO"/>
    <w:rPr>
      <w:rFonts w:ascii="Courier" w:hAnsi="Courier"/>
      <w:noProof w:val="0"/>
      <w:sz w:val="24"/>
      <w:lang w:val="en-US"/>
    </w:rPr>
  </w:style>
  <w:style w:type="character" w:customStyle="1" w:styleId="MEMO-TEXT">
    <w:name w:val="MEMO-TEXT"/>
    <w:rPr>
      <w:rFonts w:ascii="Courier" w:hAnsi="Courier"/>
      <w:noProof w:val="0"/>
      <w:sz w:val="24"/>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text">
    <w:name w:val="text"/>
    <w:rPr>
      <w:rFonts w:ascii="Courier" w:hAnsi="Courier"/>
      <w:noProof w:val="0"/>
      <w:sz w:val="24"/>
      <w:lang w:val="en-US"/>
    </w:rPr>
  </w:style>
  <w:style w:type="character" w:customStyle="1" w:styleId="Header1">
    <w:name w:val="Header1"/>
    <w:rPr>
      <w:rFonts w:ascii="Univers" w:hAnsi="Univers"/>
      <w:b/>
      <w:noProof w:val="0"/>
      <w:color w:val="000000"/>
      <w:sz w:val="28"/>
      <w:lang w:val="en-US"/>
    </w:rPr>
  </w:style>
  <w:style w:type="character" w:customStyle="1" w:styleId="a">
    <w:name w:val="•"/>
    <w:basedOn w:val="DefaultParagraphFont"/>
  </w:style>
  <w:style w:type="character" w:customStyle="1" w:styleId="a0">
    <w:name w:val="_"/>
    <w:basedOn w:val="DefaultParagraphFont"/>
  </w:style>
  <w:style w:type="paragraph" w:customStyle="1" w:styleId="DefaultPara">
    <w:name w:val="Default Para"/>
    <w:pPr>
      <w:widowControl w:val="0"/>
      <w:tabs>
        <w:tab w:val="left" w:pos="-720"/>
      </w:tabs>
      <w:suppressAutoHyphens/>
    </w:pPr>
    <w:rPr>
      <w:rFonts w:ascii="CG Times" w:hAnsi="CG Times"/>
      <w:snapToGrid w:val="0"/>
    </w:r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Attachment">
    <w:name w:val="Attachment"/>
    <w:pPr>
      <w:widowControl w:val="0"/>
      <w:tabs>
        <w:tab w:val="left" w:pos="-720"/>
      </w:tabs>
      <w:suppressAutoHyphens/>
      <w:jc w:val="center"/>
    </w:pPr>
    <w:rPr>
      <w:rFonts w:ascii="Courier" w:hAnsi="Courier"/>
      <w:b/>
      <w:snapToGrid w:val="0"/>
      <w:sz w:val="22"/>
    </w:rPr>
  </w:style>
  <w:style w:type="paragraph" w:customStyle="1" w:styleId="AtTitle">
    <w:name w:val="At Title"/>
    <w:pPr>
      <w:widowControl w:val="0"/>
      <w:tabs>
        <w:tab w:val="left" w:pos="-720"/>
      </w:tabs>
      <w:suppressAutoHyphens/>
      <w:jc w:val="center"/>
    </w:pPr>
    <w:rPr>
      <w:rFonts w:ascii="Courier" w:hAnsi="Courier"/>
      <w:b/>
      <w:snapToGrid w:val="0"/>
      <w:sz w:val="26"/>
    </w:rPr>
  </w:style>
  <w:style w:type="character" w:customStyle="1" w:styleId="h1">
    <w:name w:val="h1"/>
    <w:rPr>
      <w:rFonts w:ascii="Courier" w:hAnsi="Courier"/>
      <w:noProof w:val="0"/>
      <w:sz w:val="24"/>
      <w:lang w:val="en-US"/>
    </w:rPr>
  </w:style>
  <w:style w:type="character" w:customStyle="1" w:styleId="h2">
    <w:name w:val="h2"/>
    <w:rPr>
      <w:rFonts w:ascii="Courier" w:hAnsi="Courier"/>
      <w:noProof w:val="0"/>
      <w:sz w:val="24"/>
      <w:lang w:val="en-US"/>
    </w:rPr>
  </w:style>
  <w:style w:type="character" w:customStyle="1" w:styleId="BulletList">
    <w:name w:val="Bullet List"/>
    <w:basedOn w:val="DefaultParagraphFont"/>
  </w:style>
  <w:style w:type="character" w:customStyle="1" w:styleId="Draft">
    <w:name w:val="Draft"/>
    <w:basedOn w:val="DefaultParagraphFont"/>
  </w:style>
  <w:style w:type="character" w:customStyle="1" w:styleId="memohdr">
    <w:name w:val="memohdr"/>
    <w:rPr>
      <w:rFonts w:ascii="Courier" w:hAnsi="Courier"/>
      <w:noProof w:val="0"/>
      <w:sz w:val="24"/>
      <w:lang w:val="en-US"/>
    </w:rPr>
  </w:style>
  <w:style w:type="paragraph" w:customStyle="1" w:styleId="memo">
    <w:name w:val="memo"/>
    <w:pPr>
      <w:widowControl w:val="0"/>
      <w:tabs>
        <w:tab w:val="left" w:pos="-1440"/>
        <w:tab w:val="left" w:pos="-720"/>
      </w:tabs>
      <w:suppressAutoHyphens/>
    </w:pPr>
    <w:rPr>
      <w:rFonts w:ascii="Courier" w:hAnsi="Courier"/>
      <w:snapToGrid w:val="0"/>
      <w:sz w:val="24"/>
    </w:rPr>
  </w:style>
  <w:style w:type="paragraph" w:customStyle="1" w:styleId="letter">
    <w:name w:val="letter"/>
    <w:pPr>
      <w:widowControl w:val="0"/>
      <w:tabs>
        <w:tab w:val="left" w:pos="-1440"/>
        <w:tab w:val="left" w:pos="-720"/>
      </w:tabs>
      <w:suppressAutoHyphens/>
    </w:pPr>
    <w:rPr>
      <w:rFonts w:ascii="Courier" w:hAnsi="Courier"/>
      <w:snapToGrid w:val="0"/>
      <w:sz w:val="24"/>
    </w:rPr>
  </w:style>
  <w:style w:type="character" w:customStyle="1" w:styleId="1">
    <w:name w:val="1"/>
    <w:rPr>
      <w:rFonts w:ascii="Courier" w:hAnsi="Courier"/>
      <w:noProof w:val="0"/>
      <w:sz w:val="24"/>
      <w:lang w:val="en-US"/>
    </w:rPr>
  </w:style>
  <w:style w:type="character" w:customStyle="1" w:styleId="HEADING">
    <w:name w:val="HEADING"/>
    <w:rPr>
      <w:rFonts w:ascii="Courier" w:hAnsi="Courier"/>
      <w:noProof w:val="0"/>
      <w:sz w:val="24"/>
      <w:lang w:val="en-US"/>
    </w:rPr>
  </w:style>
  <w:style w:type="character" w:customStyle="1" w:styleId="memo-head-en">
    <w:name w:val="memo-head-en"/>
    <w:rPr>
      <w:rFonts w:ascii="Courier" w:hAnsi="Courier"/>
      <w:noProof w:val="0"/>
      <w:sz w:val="24"/>
      <w:lang w:val="en-US"/>
    </w:rPr>
  </w:style>
  <w:style w:type="paragraph" w:customStyle="1" w:styleId="memo-date">
    <w:name w:val="memo-date"/>
    <w:pPr>
      <w:widowControl w:val="0"/>
      <w:tabs>
        <w:tab w:val="left" w:pos="-1440"/>
        <w:tab w:val="left" w:pos="-720"/>
        <w:tab w:val="left" w:pos="1152"/>
      </w:tabs>
      <w:suppressAutoHyphens/>
      <w:ind w:left="1152" w:hanging="1152"/>
    </w:pPr>
    <w:rPr>
      <w:rFonts w:ascii="CG Times" w:hAnsi="CG Times"/>
      <w:snapToGrid w:val="0"/>
      <w:sz w:val="24"/>
    </w:rPr>
  </w:style>
  <w:style w:type="character" w:customStyle="1" w:styleId="memo-subject">
    <w:name w:val="memo-subject"/>
    <w:rPr>
      <w:rFonts w:ascii="Courier" w:hAnsi="Courier"/>
      <w:noProof w:val="0"/>
      <w:sz w:val="24"/>
      <w:lang w:val="en-US"/>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Hyperlink">
    <w:name w:val="Hyperlink"/>
    <w:rPr>
      <w:color w:val="0000FF"/>
      <w:u w:val="single"/>
    </w:rPr>
  </w:style>
  <w:style w:type="paragraph" w:styleId="BodyText">
    <w:name w:val="Body Text"/>
    <w:basedOn w:val="Normal"/>
    <w:link w:val="BodyTextChar"/>
    <w:pPr>
      <w:tabs>
        <w:tab w:val="left" w:pos="-720"/>
        <w:tab w:val="left" w:pos="0"/>
        <w:tab w:val="left" w:pos="1008"/>
        <w:tab w:val="left" w:pos="2160"/>
        <w:tab w:val="left" w:pos="4176"/>
        <w:tab w:val="left" w:pos="5472"/>
        <w:tab w:val="left" w:pos="6912"/>
      </w:tabs>
      <w:suppressAutoHyphens/>
    </w:pPr>
    <w:rPr>
      <w:rFonts w:ascii="CG Times" w:hAnsi="CG Times"/>
      <w:sz w:val="22"/>
    </w:rPr>
  </w:style>
  <w:style w:type="paragraph" w:styleId="BodyText3">
    <w:name w:val="Body Text 3"/>
    <w:basedOn w:val="Normal"/>
    <w:pPr>
      <w:widowControl/>
      <w:tabs>
        <w:tab w:val="left" w:pos="-1440"/>
        <w:tab w:val="left" w:pos="-720"/>
        <w:tab w:val="left" w:pos="0"/>
        <w:tab w:val="left" w:pos="720"/>
        <w:tab w:val="left" w:pos="1440"/>
        <w:tab w:val="left" w:pos="2592"/>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paragraph" w:styleId="BodyTextIndent">
    <w:name w:val="Body Text Indent"/>
    <w:basedOn w:val="Normal"/>
    <w:pPr>
      <w:suppressAutoHyphens/>
      <w:spacing w:line="480" w:lineRule="auto"/>
      <w:ind w:firstLine="720"/>
    </w:pPr>
    <w:rPr>
      <w:rFonts w:ascii="CG Times" w:hAnsi="CG Time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widowControl/>
      <w:spacing w:before="100" w:beforeAutospacing="1" w:after="100" w:afterAutospacing="1"/>
    </w:pPr>
    <w:rPr>
      <w:rFonts w:ascii="Times New Roman" w:hAnsi="Times New Roman"/>
      <w:snapToGrid/>
      <w:color w:val="000000"/>
      <w:szCs w:val="24"/>
    </w:rPr>
  </w:style>
  <w:style w:type="paragraph" w:styleId="BodyTextIndent3">
    <w:name w:val="Body Text Indent 3"/>
    <w:basedOn w:val="Normal"/>
    <w:pPr>
      <w:spacing w:after="120"/>
      <w:ind w:left="360"/>
    </w:pPr>
    <w:rPr>
      <w:sz w:val="16"/>
      <w:szCs w:val="16"/>
    </w:rPr>
  </w:style>
  <w:style w:type="character" w:customStyle="1" w:styleId="BodyTextChar">
    <w:name w:val="Body Text Char"/>
    <w:link w:val="BodyText"/>
    <w:rPr>
      <w:rFonts w:ascii="CG Times" w:hAnsi="CG Times"/>
      <w:snapToGrid w:val="0"/>
      <w:sz w:val="22"/>
      <w:lang w:val="en-US" w:eastAsia="en-US" w:bidi="ar-SA"/>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color w:val="000000"/>
      <w:sz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link w:val="FootnoteText"/>
    <w:uiPriority w:val="99"/>
    <w:rsid w:val="0081476E"/>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13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E004C-D5D2-4A4F-B45B-FBA2449D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4820</Words>
  <Characters>27203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2020-02-03T17:49:00Z</dcterms:created>
  <dcterms:modified xsi:type="dcterms:W3CDTF">2020-02-04T15:40:00Z</dcterms:modified>
</cp:coreProperties>
</file>