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14:paraId="121DEDEA" w14:textId="77777777">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71052F" w:rsidRDefault="00F040F7" w14:paraId="213CDF36" w14:textId="77777777">
      <w:pPr>
        <w:jc w:val="center"/>
        <w:rPr>
          <w:rFonts w:ascii="Times New Roman" w:hAnsi="Times New Roman"/>
          <w:b/>
          <w:bCs/>
        </w:rPr>
      </w:pPr>
      <w:r>
        <w:rPr>
          <w:rFonts w:ascii="Times New Roman" w:hAnsi="Times New Roman"/>
          <w:b/>
          <w:bCs/>
        </w:rPr>
        <w:t>REVERSE MORTGAGE PRODUCTS</w:t>
      </w:r>
    </w:p>
    <w:p w:rsidRPr="004A5959" w:rsidR="004A5959" w:rsidP="0071052F" w:rsidRDefault="0071052F" w14:paraId="374BCCBF" w14:textId="77777777">
      <w:pPr>
        <w:jc w:val="center"/>
        <w:rPr>
          <w:rFonts w:ascii="Times New Roman" w:hAnsi="Times New Roman"/>
          <w:b/>
        </w:rPr>
      </w:pPr>
      <w:r w:rsidRPr="0071052F">
        <w:rPr>
          <w:rFonts w:ascii="Times New Roman" w:hAnsi="Times New Roman"/>
          <w:b/>
          <w:bCs/>
        </w:rPr>
        <w:t>(OMB No. 3064-017</w:t>
      </w:r>
      <w:r w:rsidR="008A7B8F">
        <w:rPr>
          <w:rFonts w:ascii="Times New Roman" w:hAnsi="Times New Roman"/>
          <w:b/>
          <w:bCs/>
        </w:rPr>
        <w:t>6</w:t>
      </w:r>
      <w:r>
        <w:rPr>
          <w:rFonts w:ascii="Times New Roman" w:hAnsi="Times New Roman"/>
          <w:b/>
          <w:bCs/>
        </w:rPr>
        <w:t>)</w:t>
      </w:r>
    </w:p>
    <w:p w:rsidR="007B6C63" w:rsidRDefault="007B6C63" w14:paraId="71FA82B7" w14:textId="77777777">
      <w:pPr>
        <w:rPr>
          <w:rFonts w:ascii="Times New Roman" w:hAnsi="Times New Roman"/>
        </w:rPr>
      </w:pPr>
    </w:p>
    <w:p w:rsidRPr="004C5B45" w:rsidR="007B6C63" w:rsidRDefault="007B6C63" w14:paraId="3275A3B0" w14:textId="77777777">
      <w:pPr>
        <w:rPr>
          <w:rFonts w:ascii="Times New Roman" w:hAnsi="Times New Roman"/>
          <w:b/>
        </w:rPr>
      </w:pPr>
      <w:r w:rsidRPr="004C5B45">
        <w:rPr>
          <w:rFonts w:ascii="Times New Roman" w:hAnsi="Times New Roman"/>
          <w:b/>
        </w:rPr>
        <w:t>INTRODUCTION</w:t>
      </w:r>
    </w:p>
    <w:p w:rsidR="007B6C63" w:rsidRDefault="007B6C63" w14:paraId="66155E7E" w14:textId="77777777">
      <w:pPr>
        <w:rPr>
          <w:rFonts w:ascii="Times New Roman" w:hAnsi="Times New Roman"/>
        </w:rPr>
      </w:pPr>
    </w:p>
    <w:p w:rsidR="007B6C63" w:rsidRDefault="007B6C63" w14:paraId="5CD6F385" w14:textId="562C0648">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 xml:space="preserve">“Reverse Mortgage Products” (OMB Control No. 3064-0176) which consists of </w:t>
      </w:r>
      <w:r w:rsidR="00F040F7">
        <w:rPr>
          <w:rFonts w:ascii="Times New Roman" w:hAnsi="Times New Roman"/>
          <w:color w:val="000000"/>
          <w:szCs w:val="24"/>
        </w:rPr>
        <w:t xml:space="preserve">reporting requirements contained in a guidance document, </w:t>
      </w:r>
      <w:r w:rsidR="00F040F7">
        <w:rPr>
          <w:rFonts w:ascii="Times New Roman" w:hAnsi="Times New Roman"/>
          <w:i/>
          <w:color w:val="000000"/>
          <w:szCs w:val="24"/>
        </w:rPr>
        <w:t>Reverse Mortgage Products: Products: Guidance for Managing Compliance and Reputation Risks</w:t>
      </w:r>
      <w:r w:rsidR="00F040F7">
        <w:rPr>
          <w:rFonts w:ascii="Times New Roman" w:hAnsi="Times New Roman"/>
          <w:color w:val="000000"/>
          <w:szCs w:val="24"/>
        </w:rPr>
        <w:t xml:space="preserve"> (Reverse Mortgage Guidance), jointly issued by the federal financial institution regulatory agencies, including the FDIC.</w:t>
      </w:r>
      <w:r w:rsidR="00D765D6">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Ju</w:t>
      </w:r>
      <w:r w:rsidR="00B06BE7">
        <w:rPr>
          <w:rFonts w:ascii="Times New Roman" w:hAnsi="Times New Roman"/>
        </w:rPr>
        <w:t>ne</w:t>
      </w:r>
      <w:r w:rsidR="00655078">
        <w:rPr>
          <w:rFonts w:ascii="Times New Roman" w:hAnsi="Times New Roman"/>
        </w:rPr>
        <w:t xml:space="preserve"> 3</w:t>
      </w:r>
      <w:r w:rsidR="00B06BE7">
        <w:rPr>
          <w:rFonts w:ascii="Times New Roman" w:hAnsi="Times New Roman"/>
        </w:rPr>
        <w:t>0</w:t>
      </w:r>
      <w:r w:rsidR="00655078">
        <w:rPr>
          <w:rFonts w:ascii="Times New Roman" w:hAnsi="Times New Roman"/>
        </w:rPr>
        <w:t>,</w:t>
      </w:r>
      <w:r>
        <w:rPr>
          <w:rFonts w:ascii="Times New Roman" w:hAnsi="Times New Roman"/>
        </w:rPr>
        <w:t xml:space="preserve"> </w:t>
      </w:r>
      <w:r w:rsidR="00FB759A">
        <w:rPr>
          <w:rFonts w:ascii="Times New Roman" w:hAnsi="Times New Roman"/>
        </w:rPr>
        <w:t>2020.</w:t>
      </w:r>
    </w:p>
    <w:p w:rsidR="007B6C63" w:rsidRDefault="007B6C63" w14:paraId="3D4916CC" w14:textId="77777777">
      <w:pPr>
        <w:rPr>
          <w:rFonts w:ascii="Times New Roman" w:hAnsi="Times New Roman"/>
        </w:rPr>
      </w:pPr>
    </w:p>
    <w:p w:rsidR="007B6C63" w:rsidRDefault="007B6C63" w14:paraId="37FC7603" w14:textId="77777777">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14:paraId="6B482C20" w14:textId="77777777">
      <w:pPr>
        <w:rPr>
          <w:rFonts w:ascii="Times New Roman" w:hAnsi="Times New Roman"/>
        </w:rPr>
      </w:pPr>
    </w:p>
    <w:p w:rsidR="007B6C63" w:rsidP="00A1019D" w:rsidRDefault="007B6C63" w14:paraId="4AD1BC10" w14:textId="77777777">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14:paraId="6B289624" w14:textId="77777777">
      <w:pPr>
        <w:rPr>
          <w:rFonts w:ascii="Times New Roman" w:hAnsi="Times New Roman"/>
        </w:rPr>
      </w:pPr>
    </w:p>
    <w:p w:rsidR="00D765D6" w:rsidP="007729D8" w:rsidRDefault="00862421" w14:paraId="0F14C53D" w14:textId="77777777">
      <w:pPr>
        <w:ind w:left="720"/>
        <w:rPr>
          <w:rFonts w:ascii="Times New Roman" w:hAnsi="Times New Roman"/>
        </w:rPr>
      </w:pPr>
      <w:r>
        <w:rPr>
          <w:rFonts w:ascii="Times New Roman" w:hAnsi="Times New Roman"/>
          <w:szCs w:val="24"/>
        </w:rPr>
        <w:t xml:space="preserve">Section 1828(o) of the Federal Deposit Insurance Act requires each federal banking agency to adopt uniform regulations prescribing real estate lending standards.  </w:t>
      </w:r>
      <w:r>
        <w:rPr>
          <w:rFonts w:ascii="Times New Roman" w:hAnsi="Times New Roman"/>
          <w:spacing w:val="-3"/>
        </w:rPr>
        <w:t xml:space="preserve">Part 365 of the FDIC Rules and Regulations and Appendix A to Part 365 implement section 1828(o) and, among other things, require institutions to have real estate lending policies that include limits and standards consistent with safe and sound banking practices and prudent underwriting standards.  While part 365 and Appendix A to part 365 primarily address the credit, interest rate, and liquidity risks to safety and soundness posed by real estate lending, such loans, particularly reverse mortgage loans, also present compliance and reputation risks that must be managed by an institution.  </w:t>
      </w:r>
      <w:r w:rsidR="008565C5">
        <w:rPr>
          <w:rFonts w:ascii="Times New Roman" w:hAnsi="Times New Roman"/>
          <w:spacing w:val="-3"/>
        </w:rPr>
        <w:t>T</w:t>
      </w:r>
      <w:r>
        <w:rPr>
          <w:rFonts w:ascii="Times New Roman" w:hAnsi="Times New Roman"/>
          <w:spacing w:val="-3"/>
        </w:rPr>
        <w:t>he Federal Financial Institutions Examination Council (FFIEC) developed the Reverse Mortgage Guidance to address the unique compliance and reputation risks associated with such mortgages and recommended that each of the FFIEC member agencies issue the document as supervisory guidance.</w:t>
      </w:r>
      <w:r w:rsidR="008565C5">
        <w:rPr>
          <w:rFonts w:ascii="Times New Roman" w:hAnsi="Times New Roman"/>
          <w:spacing w:val="-3"/>
        </w:rPr>
        <w:t xml:space="preserve">  The FDIC issued its Reverse Mortgage Guidance </w:t>
      </w:r>
      <w:r w:rsidR="00630C5C">
        <w:rPr>
          <w:rFonts w:ascii="Times New Roman" w:hAnsi="Times New Roman"/>
          <w:spacing w:val="-3"/>
        </w:rPr>
        <w:t>on August 17, 2010.</w:t>
      </w:r>
      <w:r w:rsidRPr="00630C5C" w:rsidR="00630C5C">
        <w:rPr>
          <w:rStyle w:val="FootnoteReference"/>
          <w:rFonts w:ascii="Times New Roman" w:hAnsi="Times New Roman"/>
          <w:spacing w:val="-3"/>
          <w:vertAlign w:val="superscript"/>
        </w:rPr>
        <w:footnoteReference w:id="1"/>
      </w:r>
      <w:r w:rsidR="007729D8">
        <w:rPr>
          <w:rFonts w:ascii="Times New Roman" w:hAnsi="Times New Roman"/>
        </w:rPr>
        <w:t xml:space="preserve">  </w:t>
      </w:r>
      <w:r w:rsidR="00D765D6">
        <w:rPr>
          <w:rFonts w:ascii="Times New Roman" w:hAnsi="Times New Roman"/>
          <w:color w:val="000000"/>
          <w:szCs w:val="24"/>
        </w:rPr>
        <w:t xml:space="preserve">The guidance sets forth standards intended to </w:t>
      </w:r>
      <w:r w:rsidR="0054621E">
        <w:rPr>
          <w:rFonts w:ascii="Times New Roman" w:hAnsi="Times New Roman"/>
          <w:color w:val="000000"/>
          <w:szCs w:val="24"/>
        </w:rPr>
        <w:t>encourage</w:t>
      </w:r>
      <w:r w:rsidR="00D765D6">
        <w:rPr>
          <w:rFonts w:ascii="Times New Roman" w:hAnsi="Times New Roman"/>
          <w:color w:val="000000"/>
          <w:szCs w:val="24"/>
        </w:rPr>
        <w:t xml:space="preserve"> </w:t>
      </w:r>
      <w:r w:rsidR="0054621E">
        <w:rPr>
          <w:rFonts w:ascii="Times New Roman" w:hAnsi="Times New Roman"/>
          <w:color w:val="000000"/>
          <w:szCs w:val="24"/>
        </w:rPr>
        <w:t>FDIC-supervised</w:t>
      </w:r>
      <w:r w:rsidR="00D765D6">
        <w:rPr>
          <w:rFonts w:ascii="Times New Roman" w:hAnsi="Times New Roman"/>
          <w:color w:val="000000"/>
          <w:szCs w:val="24"/>
        </w:rPr>
        <w:t xml:space="preserve"> institutions </w:t>
      </w:r>
      <w:r w:rsidR="0054621E">
        <w:rPr>
          <w:rFonts w:ascii="Times New Roman" w:hAnsi="Times New Roman"/>
          <w:color w:val="000000"/>
          <w:szCs w:val="24"/>
        </w:rPr>
        <w:t>to</w:t>
      </w:r>
      <w:r w:rsidR="007729D8">
        <w:rPr>
          <w:rFonts w:ascii="Times New Roman" w:hAnsi="Times New Roman"/>
          <w:color w:val="000000"/>
          <w:szCs w:val="24"/>
        </w:rPr>
        <w:t xml:space="preserve"> </w:t>
      </w:r>
      <w:r w:rsidR="00D765D6">
        <w:rPr>
          <w:rFonts w:ascii="Times New Roman" w:hAnsi="Times New Roman"/>
          <w:color w:val="000000"/>
          <w:szCs w:val="24"/>
        </w:rPr>
        <w:t>effectively assess and manage the compliance and reputation risks associated with reverse mortgage products.</w:t>
      </w:r>
    </w:p>
    <w:p w:rsidR="007B6C63" w:rsidRDefault="007B6C63" w14:paraId="2ADF66D7" w14:textId="77777777">
      <w:pPr>
        <w:rPr>
          <w:rFonts w:ascii="Times New Roman" w:hAnsi="Times New Roman"/>
        </w:rPr>
      </w:pPr>
    </w:p>
    <w:p w:rsidR="007B6C63" w:rsidP="00A1019D" w:rsidRDefault="007B6C63" w14:paraId="577909FD" w14:textId="77777777">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14:paraId="59811E7A" w14:textId="77777777">
      <w:pPr>
        <w:rPr>
          <w:rFonts w:ascii="Times New Roman" w:hAnsi="Times New Roman"/>
        </w:rPr>
      </w:pPr>
    </w:p>
    <w:p w:rsidR="007B6C63" w:rsidP="0054621E" w:rsidRDefault="00414ECF" w14:paraId="497B19EB" w14:textId="77777777">
      <w:pPr>
        <w:ind w:left="720"/>
        <w:rPr>
          <w:rFonts w:ascii="Times New Roman" w:hAnsi="Times New Roman"/>
          <w:spacing w:val="-3"/>
        </w:rPr>
      </w:pPr>
      <w:r>
        <w:rPr>
          <w:rFonts w:ascii="Times New Roman" w:hAnsi="Times New Roman"/>
          <w:spacing w:val="-3"/>
        </w:rPr>
        <w:t xml:space="preserve">The FDIC will use the information as part of its supervisory process.  </w:t>
      </w:r>
      <w:r w:rsidRPr="0054621E" w:rsidR="0054621E">
        <w:rPr>
          <w:rFonts w:ascii="Times New Roman" w:hAnsi="Times New Roman"/>
          <w:spacing w:val="-3"/>
        </w:rPr>
        <w:t>The information collection will allow the FDIC to evaluate the adequacy of an institution’s internal policies and procedures as they relate to reverse mortgage products.</w:t>
      </w:r>
      <w:r w:rsidR="0054621E">
        <w:rPr>
          <w:rFonts w:ascii="Times New Roman" w:hAnsi="Times New Roman"/>
          <w:spacing w:val="-3"/>
        </w:rPr>
        <w:t xml:space="preserve"> </w:t>
      </w:r>
      <w:r>
        <w:rPr>
          <w:rFonts w:ascii="Times New Roman" w:hAnsi="Times New Roman"/>
          <w:spacing w:val="-3"/>
        </w:rPr>
        <w:t>Examiners will assess</w:t>
      </w:r>
      <w:r w:rsidRPr="0054621E" w:rsidR="0054621E">
        <w:rPr>
          <w:rFonts w:ascii="Times New Roman" w:hAnsi="Times New Roman"/>
        </w:rPr>
        <w:t xml:space="preserve"> </w:t>
      </w:r>
      <w:r w:rsidR="0054621E">
        <w:rPr>
          <w:rFonts w:ascii="Times New Roman" w:hAnsi="Times New Roman"/>
        </w:rPr>
        <w:t>whether reverse mortgage loans made by the institutions are consistent with existing statutory and regulatory consumer protection criteria, as well as principles of risk management</w:t>
      </w:r>
      <w:r>
        <w:rPr>
          <w:rFonts w:ascii="Times New Roman" w:hAnsi="Times New Roman"/>
          <w:spacing w:val="-3"/>
        </w:rPr>
        <w:t xml:space="preserve"> as part of the safety and soundness examination of the institution.</w:t>
      </w:r>
    </w:p>
    <w:p w:rsidRPr="0054621E" w:rsidR="0054621E" w:rsidP="0054621E" w:rsidRDefault="0054621E" w14:paraId="129E1FEB" w14:textId="77777777">
      <w:pPr>
        <w:ind w:left="720"/>
        <w:rPr>
          <w:rFonts w:ascii="Times New Roman" w:hAnsi="Times New Roman"/>
          <w:spacing w:val="-3"/>
        </w:rPr>
      </w:pPr>
    </w:p>
    <w:p w:rsidR="007B6C63" w:rsidRDefault="007B6C63" w14:paraId="573B4227" w14:textId="77777777">
      <w:pPr>
        <w:ind w:left="720"/>
        <w:rPr>
          <w:rFonts w:ascii="Times New Roman" w:hAnsi="Times New Roman"/>
        </w:rPr>
      </w:pPr>
    </w:p>
    <w:p w:rsidR="007B6C63" w:rsidP="00990A9E" w:rsidRDefault="007B6C63" w14:paraId="1765AC76" w14:textId="77777777">
      <w:pPr>
        <w:keepNext/>
        <w:tabs>
          <w:tab w:val="left" w:pos="-1440"/>
        </w:tabs>
        <w:ind w:left="720" w:hanging="360"/>
        <w:rPr>
          <w:rFonts w:ascii="Times New Roman" w:hAnsi="Times New Roman"/>
        </w:rPr>
      </w:pPr>
      <w:r>
        <w:rPr>
          <w:rFonts w:ascii="Times New Roman" w:hAnsi="Times New Roman"/>
        </w:rPr>
        <w:lastRenderedPageBreak/>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14:paraId="3295D9A0" w14:textId="77777777">
      <w:pPr>
        <w:keepNext/>
        <w:rPr>
          <w:rFonts w:ascii="Times New Roman" w:hAnsi="Times New Roman"/>
        </w:rPr>
      </w:pPr>
    </w:p>
    <w:p w:rsidR="000855E4" w:rsidP="00990A9E" w:rsidRDefault="00BD7F95" w14:paraId="39CA8FCA" w14:textId="77777777">
      <w:pPr>
        <w:keepNext/>
        <w:ind w:left="720"/>
        <w:rPr>
          <w:rFonts w:ascii="Times New Roman" w:hAnsi="Times New Roman"/>
        </w:rPr>
      </w:pPr>
      <w:r>
        <w:rPr>
          <w:rFonts w:ascii="Times New Roman" w:hAnsi="Times New Roman"/>
        </w:rPr>
        <w:t>FDIC-supervised institutions may use any technology they wish in order to lessen the burden of meeting this recordkeeping requirement.</w:t>
      </w:r>
    </w:p>
    <w:p w:rsidR="007B6C63" w:rsidRDefault="007B6C63" w14:paraId="2AFB08DB" w14:textId="77777777">
      <w:pPr>
        <w:ind w:left="1440"/>
        <w:rPr>
          <w:rFonts w:ascii="Times New Roman" w:hAnsi="Times New Roman"/>
        </w:rPr>
      </w:pPr>
    </w:p>
    <w:p w:rsidR="007B6C63" w:rsidRDefault="007B6C63" w14:paraId="7B8F968B" w14:textId="77777777">
      <w:pPr>
        <w:rPr>
          <w:rFonts w:ascii="Times New Roman" w:hAnsi="Times New Roman"/>
        </w:rPr>
      </w:pPr>
    </w:p>
    <w:p w:rsidR="007B6C63" w:rsidP="00A1019D" w:rsidRDefault="007B6C63" w14:paraId="4E8F3C4B" w14:textId="77777777">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14:paraId="6808F55E" w14:textId="77777777">
      <w:pPr>
        <w:ind w:left="1440"/>
        <w:rPr>
          <w:rFonts w:ascii="Times New Roman" w:hAnsi="Times New Roman"/>
        </w:rPr>
      </w:pPr>
    </w:p>
    <w:p w:rsidR="007B6C63" w:rsidP="000B0581" w:rsidRDefault="009C759A" w14:paraId="3AB9F51C" w14:textId="77777777">
      <w:pPr>
        <w:ind w:left="720"/>
        <w:rPr>
          <w:rFonts w:ascii="Times New Roman" w:hAnsi="Times New Roman"/>
        </w:rPr>
      </w:pPr>
      <w:r>
        <w:rPr>
          <w:rFonts w:ascii="Times New Roman" w:hAnsi="Times New Roman"/>
          <w:color w:val="000000"/>
          <w:szCs w:val="24"/>
        </w:rPr>
        <w:t>To the extent that institutions already have policies in place that comply with the requirements of the guidance, no new policies would be necessary.  Generally, the requirement to adopt policies and internal controls for reverse mortgage products would be supplementary to a bank’s existing loan policies.</w:t>
      </w:r>
    </w:p>
    <w:p w:rsidR="007B6C63" w:rsidRDefault="007B6C63" w14:paraId="0AFD0479" w14:textId="77777777">
      <w:pPr>
        <w:rPr>
          <w:rFonts w:ascii="Times New Roman" w:hAnsi="Times New Roman"/>
        </w:rPr>
      </w:pPr>
    </w:p>
    <w:p w:rsidR="007B6C63" w:rsidP="00A1019D" w:rsidRDefault="007B6C63" w14:paraId="27A14C82" w14:textId="77777777">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14:paraId="7200D3B1" w14:textId="77777777">
      <w:pPr>
        <w:rPr>
          <w:rFonts w:ascii="Times New Roman" w:hAnsi="Times New Roman"/>
        </w:rPr>
      </w:pPr>
    </w:p>
    <w:p w:rsidR="007B6C63" w:rsidP="000B0581" w:rsidRDefault="007B6C63" w14:paraId="24C61D8C" w14:textId="77777777">
      <w:pPr>
        <w:ind w:left="720"/>
        <w:rPr>
          <w:rFonts w:ascii="Times New Roman" w:hAnsi="Times New Roman"/>
        </w:rPr>
      </w:pPr>
      <w:r>
        <w:rPr>
          <w:rFonts w:ascii="Times New Roman" w:hAnsi="Times New Roman"/>
        </w:rPr>
        <w:t xml:space="preserve">All </w:t>
      </w:r>
      <w:r w:rsidR="00003E86">
        <w:rPr>
          <w:rFonts w:ascii="Times New Roman" w:hAnsi="Times New Roman"/>
        </w:rPr>
        <w:t>FDIC-supervised</w:t>
      </w:r>
      <w:r>
        <w:rPr>
          <w:rFonts w:ascii="Times New Roman" w:hAnsi="Times New Roman"/>
        </w:rPr>
        <w:t xml:space="preserve"> institutions, large and small, are </w:t>
      </w:r>
      <w:r w:rsidR="00371017">
        <w:rPr>
          <w:rFonts w:ascii="Times New Roman" w:hAnsi="Times New Roman"/>
        </w:rPr>
        <w:t>affected</w:t>
      </w:r>
      <w:r w:rsidR="000855E4">
        <w:rPr>
          <w:rFonts w:ascii="Times New Roman" w:hAnsi="Times New Roman"/>
        </w:rPr>
        <w:t xml:space="preserve">. </w:t>
      </w:r>
      <w:r w:rsidR="00003E86">
        <w:rPr>
          <w:rFonts w:ascii="Times New Roman" w:hAnsi="Times New Roman"/>
          <w:spacing w:val="-3"/>
        </w:rPr>
        <w:t xml:space="preserve">Small insured state nonmember banks and state savings associations generally have a narrower range of products and less complex </w:t>
      </w:r>
      <w:r w:rsidR="00414ECF">
        <w:rPr>
          <w:rFonts w:ascii="Times New Roman" w:hAnsi="Times New Roman"/>
          <w:spacing w:val="-3"/>
        </w:rPr>
        <w:t>operations</w:t>
      </w:r>
      <w:r w:rsidR="00003E86">
        <w:rPr>
          <w:rFonts w:ascii="Times New Roman" w:hAnsi="Times New Roman"/>
          <w:spacing w:val="-3"/>
        </w:rPr>
        <w:t xml:space="preserve">. </w:t>
      </w:r>
      <w:r w:rsidR="00414ECF">
        <w:rPr>
          <w:rFonts w:ascii="Times New Roman" w:hAnsi="Times New Roman"/>
          <w:spacing w:val="-3"/>
        </w:rPr>
        <w:t xml:space="preserve">Therefore, these smaller institutions may not </w:t>
      </w:r>
      <w:r w:rsidR="001305D1">
        <w:rPr>
          <w:rFonts w:ascii="Times New Roman" w:hAnsi="Times New Roman"/>
          <w:spacing w:val="-3"/>
        </w:rPr>
        <w:t>offer reverse mortgages</w:t>
      </w:r>
      <w:r w:rsidR="00371017">
        <w:rPr>
          <w:rFonts w:ascii="Times New Roman" w:hAnsi="Times New Roman"/>
          <w:spacing w:val="-3"/>
        </w:rPr>
        <w:t xml:space="preserve">.  </w:t>
      </w:r>
      <w:r w:rsidR="001305D1">
        <w:rPr>
          <w:rFonts w:ascii="Times New Roman" w:hAnsi="Times New Roman"/>
          <w:szCs w:val="24"/>
        </w:rPr>
        <w:t>The requirement that institutions adopt policies and internal controls to ensure appropriate consumer disclosures is the minimum necessary to ensure that the compliance and reputation risk arising from reverse mortgage products are adequately addressed.  Small entities can choose whether to offer reverse mortgage products.</w:t>
      </w:r>
    </w:p>
    <w:p w:rsidR="007B6C63" w:rsidRDefault="007B6C63" w14:paraId="5F683B3B" w14:textId="77777777">
      <w:pPr>
        <w:rPr>
          <w:rFonts w:ascii="Times New Roman" w:hAnsi="Times New Roman"/>
        </w:rPr>
      </w:pPr>
    </w:p>
    <w:p w:rsidRPr="00FC41DF" w:rsidR="007B6C63" w:rsidP="00A1019D" w:rsidRDefault="007B6C63" w14:paraId="3CB52931" w14:textId="77777777">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14:paraId="0CF9FFB7" w14:textId="77777777">
      <w:pPr>
        <w:rPr>
          <w:rFonts w:ascii="Times New Roman" w:hAnsi="Times New Roman"/>
        </w:rPr>
      </w:pPr>
    </w:p>
    <w:p w:rsidR="007B6C63" w:rsidP="000B0581" w:rsidRDefault="007B6C63" w14:paraId="6DD3CAD2" w14:textId="77777777">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hinder the FDIC’s ability to assess the safety and soundness of FDIC-supervised institutions and take corrective action as needed.</w:t>
      </w:r>
    </w:p>
    <w:p w:rsidRPr="00386C94" w:rsidR="007B6C63" w:rsidRDefault="007B6C63" w14:paraId="7118D518" w14:textId="77777777">
      <w:pPr>
        <w:rPr>
          <w:rFonts w:ascii="Times New Roman" w:hAnsi="Times New Roman"/>
        </w:rPr>
      </w:pPr>
    </w:p>
    <w:p w:rsidRPr="00386C94" w:rsidR="00386C94" w:rsidP="00A1019D" w:rsidRDefault="007B6C63" w14:paraId="60B3EED4" w14:textId="77777777">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14:paraId="71DE379E" w14:textId="77777777">
      <w:pPr>
        <w:rPr>
          <w:rFonts w:ascii="Times New Roman" w:hAnsi="Times New Roman"/>
        </w:rPr>
      </w:pPr>
    </w:p>
    <w:p w:rsidR="007B6C63" w:rsidP="000B0581" w:rsidRDefault="00386C94" w14:paraId="7508AB38" w14:textId="77777777">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14:paraId="689D893D" w14:textId="77777777">
      <w:pPr>
        <w:rPr>
          <w:rFonts w:ascii="Times New Roman" w:hAnsi="Times New Roman"/>
        </w:rPr>
      </w:pPr>
    </w:p>
    <w:p w:rsidR="007B6C63" w:rsidP="00A1019D" w:rsidRDefault="007B6C63" w14:paraId="7EA6D9C6" w14:textId="77777777">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14:paraId="61FD815B" w14:textId="77777777">
      <w:pPr>
        <w:rPr>
          <w:rFonts w:ascii="Times New Roman" w:hAnsi="Times New Roman"/>
        </w:rPr>
      </w:pPr>
    </w:p>
    <w:p w:rsidR="007B6C63" w:rsidP="000B0581" w:rsidRDefault="007B6C63" w14:paraId="555866C9" w14:textId="77777777">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1305D1">
        <w:rPr>
          <w:rFonts w:ascii="Times New Roman" w:hAnsi="Times New Roman"/>
        </w:rPr>
        <w:t>April 14,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1305D1">
        <w:rPr>
          <w:rFonts w:ascii="Times New Roman" w:hAnsi="Times New Roman"/>
        </w:rPr>
        <w:t>20688</w:t>
      </w:r>
      <w:r w:rsidR="00DE2D0B">
        <w:rPr>
          <w:rFonts w:ascii="Times New Roman" w:hAnsi="Times New Roman"/>
        </w:rPr>
        <w:t>)</w:t>
      </w:r>
      <w:r>
        <w:rPr>
          <w:rFonts w:ascii="Times New Roman" w:hAnsi="Times New Roman"/>
        </w:rPr>
        <w:t>.  No comments were received.</w:t>
      </w:r>
    </w:p>
    <w:p w:rsidR="007B6C63" w:rsidRDefault="007B6C63" w14:paraId="3B6C07FC" w14:textId="77777777">
      <w:pPr>
        <w:rPr>
          <w:rFonts w:ascii="Times New Roman" w:hAnsi="Times New Roman"/>
        </w:rPr>
      </w:pPr>
    </w:p>
    <w:p w:rsidR="007B6C63" w:rsidP="00A1019D" w:rsidRDefault="007B6C63" w14:paraId="3A7B15A8" w14:textId="77777777">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14:paraId="1EFA8FF8" w14:textId="77777777">
      <w:pPr>
        <w:rPr>
          <w:rFonts w:ascii="Times New Roman" w:hAnsi="Times New Roman"/>
        </w:rPr>
      </w:pPr>
    </w:p>
    <w:p w:rsidR="007B6C63" w:rsidP="000B0581" w:rsidRDefault="007B6C63" w14:paraId="0D71F0F1" w14:textId="77777777">
      <w:pPr>
        <w:ind w:left="720"/>
        <w:rPr>
          <w:rFonts w:ascii="Times New Roman" w:hAnsi="Times New Roman"/>
        </w:rPr>
      </w:pPr>
      <w:r>
        <w:rPr>
          <w:rFonts w:ascii="Times New Roman" w:hAnsi="Times New Roman"/>
        </w:rPr>
        <w:t>None.</w:t>
      </w:r>
    </w:p>
    <w:p w:rsidR="007B6C63" w:rsidP="00437618" w:rsidRDefault="007B6C63" w14:paraId="67350AD7" w14:textId="77777777">
      <w:pPr>
        <w:keepNext/>
        <w:ind w:left="720" w:firstLine="720"/>
        <w:rPr>
          <w:rFonts w:ascii="Times New Roman" w:hAnsi="Times New Roman"/>
        </w:rPr>
      </w:pPr>
    </w:p>
    <w:p w:rsidR="007B6C63" w:rsidP="00437618" w:rsidRDefault="007B6C63" w14:paraId="78EDCA45" w14:textId="77777777">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14:paraId="5575B60C" w14:textId="77777777">
      <w:pPr>
        <w:keepNext/>
        <w:rPr>
          <w:rFonts w:ascii="Times New Roman" w:hAnsi="Times New Roman"/>
        </w:rPr>
      </w:pPr>
    </w:p>
    <w:p w:rsidR="00881712" w:rsidP="00437618" w:rsidRDefault="00881712" w14:paraId="1FD5C34D" w14:textId="77777777">
      <w:pPr>
        <w:keepNext/>
        <w:ind w:left="720"/>
        <w:rPr>
          <w:rFonts w:ascii="Times New Roman" w:hAnsi="Times New Roman"/>
        </w:rPr>
      </w:pPr>
      <w:r>
        <w:rPr>
          <w:rFonts w:ascii="Times New Roman" w:hAnsi="Times New Roman"/>
        </w:rPr>
        <w:t>Information is kept private to the extent allowed by law</w:t>
      </w:r>
      <w:r w:rsidRPr="00371017" w:rsidR="00371017">
        <w:rPr>
          <w:rFonts w:ascii="Times New Roman" w:hAnsi="Times New Roman"/>
        </w:rPr>
        <w:t>.</w:t>
      </w:r>
    </w:p>
    <w:p w:rsidR="007B6C63" w:rsidRDefault="007B6C63" w14:paraId="66B22BC0" w14:textId="77777777">
      <w:pPr>
        <w:ind w:left="720" w:firstLine="720"/>
        <w:rPr>
          <w:rFonts w:ascii="Times New Roman" w:hAnsi="Times New Roman"/>
        </w:rPr>
      </w:pPr>
    </w:p>
    <w:p w:rsidRPr="00F04445" w:rsidR="00881712" w:rsidP="00A1019D" w:rsidRDefault="007B6C63" w14:paraId="5C45493A" w14:textId="77777777">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14:paraId="69172629" w14:textId="77777777">
      <w:pPr>
        <w:tabs>
          <w:tab w:val="left" w:pos="-1440"/>
        </w:tabs>
        <w:ind w:firstLine="720"/>
        <w:rPr>
          <w:rFonts w:ascii="Times New Roman" w:hAnsi="Times New Roman"/>
        </w:rPr>
      </w:pPr>
    </w:p>
    <w:p w:rsidR="007B6C63" w:rsidP="009557A1" w:rsidRDefault="00881712" w14:paraId="381FE8E8" w14:textId="77777777">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rsidRDefault="00615BAD" w14:paraId="3B36E958" w14:textId="77777777">
      <w:pPr>
        <w:rPr>
          <w:rFonts w:ascii="Times New Roman" w:hAnsi="Times New Roman"/>
        </w:rPr>
      </w:pPr>
    </w:p>
    <w:p w:rsidR="00285D59" w:rsidP="00285D59" w:rsidRDefault="007B6C63" w14:paraId="44A29F5F" w14:textId="77777777">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rsidRDefault="00285D59" w14:paraId="2DC8E783" w14:textId="77777777">
      <w:pPr>
        <w:keepNext/>
        <w:tabs>
          <w:tab w:val="left" w:pos="-1440"/>
        </w:tabs>
        <w:ind w:firstLine="720"/>
        <w:rPr>
          <w:rFonts w:ascii="Times New Roman" w:hAnsi="Times New Roman"/>
          <w:b/>
          <w:bCs/>
          <w:iCs/>
          <w:szCs w:val="24"/>
          <w:u w:val="single"/>
        </w:rPr>
      </w:pPr>
    </w:p>
    <w:p w:rsidRPr="000A7A4C" w:rsidR="00881712" w:rsidP="00285D59" w:rsidRDefault="005B79C4" w14:paraId="0F666AEE" w14:textId="77777777">
      <w:pPr>
        <w:keepNext/>
        <w:ind w:left="720"/>
        <w:rPr>
          <w:rFonts w:ascii="Times New Roman" w:hAnsi="Times New Roman"/>
          <w:i/>
        </w:rPr>
      </w:pPr>
      <w:r>
        <w:rPr>
          <w:rFonts w:ascii="Times New Roman" w:hAnsi="Times New Roman"/>
          <w:bCs/>
          <w:i/>
          <w:iCs/>
          <w:szCs w:val="24"/>
        </w:rPr>
        <w:tab/>
      </w:r>
      <w:r w:rsidRPr="000A7A4C" w:rsidR="00881712">
        <w:rPr>
          <w:rFonts w:ascii="Times New Roman" w:hAnsi="Times New Roman"/>
          <w:i/>
        </w:rPr>
        <w:t>Estimated</w:t>
      </w:r>
      <w:r w:rsidRPr="000A7A4C" w:rsidR="00881712">
        <w:rPr>
          <w:rFonts w:ascii="Times New Roman" w:hAnsi="Times New Roman"/>
          <w:bCs/>
          <w:i/>
          <w:iCs/>
          <w:szCs w:val="24"/>
        </w:rPr>
        <w:t xml:space="preserve"> Annual Burden</w:t>
      </w:r>
      <w:bookmarkStart w:name="_GoBack" w:id="0"/>
      <w:bookmarkEnd w:id="0"/>
      <w:r w:rsidRPr="000A7A4C">
        <w:rPr>
          <w:rFonts w:ascii="Times New Roman" w:hAnsi="Times New Roman"/>
          <w:bCs/>
          <w:i/>
          <w:iCs/>
          <w:szCs w:val="24"/>
        </w:rPr>
        <w:t>:</w:t>
      </w:r>
    </w:p>
    <w:p w:rsidRPr="000A7A4C" w:rsidR="005B79C4" w:rsidP="00285D59" w:rsidRDefault="005B79C4" w14:paraId="6720D3DF" w14:textId="77777777">
      <w:pPr>
        <w:keepNext/>
        <w:rPr>
          <w:rFonts w:ascii="Times New Roman" w:hAnsi="Times New Roman"/>
          <w:snapToGrid/>
        </w:rPr>
      </w:pPr>
    </w:p>
    <w:p w:rsidR="00846A1A" w:rsidP="00A249E9" w:rsidRDefault="00846A1A" w14:paraId="716D00AE" w14:textId="77777777">
      <w:pPr>
        <w:ind w:left="720"/>
        <w:rPr>
          <w:rFonts w:ascii="Times New Roman" w:hAnsi="Times New Roman"/>
          <w:snapToGrid/>
          <w:szCs w:val="24"/>
        </w:rPr>
      </w:pPr>
      <w:r w:rsidRPr="00846A1A">
        <w:rPr>
          <w:rFonts w:ascii="Times New Roman" w:hAnsi="Times New Roman"/>
          <w:snapToGrid/>
          <w:szCs w:val="24"/>
        </w:rPr>
        <w:t xml:space="preserve">The </w:t>
      </w:r>
      <w:r>
        <w:rPr>
          <w:rFonts w:ascii="Times New Roman" w:hAnsi="Times New Roman"/>
          <w:snapToGrid/>
          <w:szCs w:val="24"/>
        </w:rPr>
        <w:t>Reverse Mortgage Guidance</w:t>
      </w:r>
      <w:r w:rsidRPr="00846A1A">
        <w:rPr>
          <w:rFonts w:ascii="Times New Roman" w:hAnsi="Times New Roman"/>
          <w:snapToGrid/>
          <w:szCs w:val="24"/>
        </w:rPr>
        <w:t xml:space="preserve"> includes reporting, recordkeeping, and disclosure requirements applicable to both proprietary and HECM reverse mortgages.  However, a number of the recommended practices in the guidance are already covered, for both proprietary and HECM reverse mortgages, under existing consumer protection information collections (e.g., Truth in Lending).  In addition, other recommended practices in the guidance are already covered, at least for HECM reverse mortgages, under an existing Department of Housing and Urban Development (HUD) information collection for HECM loans. The </w:t>
      </w:r>
      <w:r>
        <w:rPr>
          <w:rFonts w:ascii="Times New Roman" w:hAnsi="Times New Roman"/>
          <w:snapToGrid/>
          <w:szCs w:val="24"/>
        </w:rPr>
        <w:t>FDIC</w:t>
      </w:r>
      <w:r w:rsidRPr="00846A1A">
        <w:rPr>
          <w:rFonts w:ascii="Times New Roman" w:hAnsi="Times New Roman"/>
          <w:snapToGrid/>
          <w:szCs w:val="24"/>
        </w:rPr>
        <w:t xml:space="preserve"> </w:t>
      </w:r>
      <w:r>
        <w:rPr>
          <w:rFonts w:ascii="Times New Roman" w:hAnsi="Times New Roman"/>
          <w:snapToGrid/>
          <w:szCs w:val="24"/>
        </w:rPr>
        <w:t>is</w:t>
      </w:r>
      <w:r w:rsidRPr="00846A1A">
        <w:rPr>
          <w:rFonts w:ascii="Times New Roman" w:hAnsi="Times New Roman"/>
          <w:snapToGrid/>
          <w:szCs w:val="24"/>
        </w:rPr>
        <w:t xml:space="preserve"> seeking to renew </w:t>
      </w:r>
      <w:r>
        <w:rPr>
          <w:rFonts w:ascii="Times New Roman" w:hAnsi="Times New Roman"/>
          <w:snapToGrid/>
          <w:szCs w:val="24"/>
        </w:rPr>
        <w:t xml:space="preserve">recordkeeping </w:t>
      </w:r>
      <w:r w:rsidRPr="00846A1A">
        <w:rPr>
          <w:rFonts w:ascii="Times New Roman" w:hAnsi="Times New Roman"/>
          <w:snapToGrid/>
          <w:szCs w:val="24"/>
        </w:rPr>
        <w:t>requirements, for HECM and proprietary reverse mortgages, related to policies and internal controls.</w:t>
      </w:r>
    </w:p>
    <w:p w:rsidR="00846A1A" w:rsidP="00A249E9" w:rsidRDefault="00846A1A" w14:paraId="7DBFF7E9" w14:textId="77777777">
      <w:pPr>
        <w:ind w:left="720"/>
        <w:rPr>
          <w:rFonts w:ascii="Times New Roman" w:hAnsi="Times New Roman"/>
          <w:snapToGrid/>
          <w:szCs w:val="24"/>
        </w:rPr>
      </w:pPr>
    </w:p>
    <w:p w:rsidRPr="00A249E9" w:rsidR="00A249E9" w:rsidP="00A249E9" w:rsidRDefault="00A249E9" w14:paraId="4896AAA4" w14:textId="77777777">
      <w:pPr>
        <w:ind w:left="720"/>
        <w:rPr>
          <w:rFonts w:ascii="Times New Roman" w:hAnsi="Times New Roman"/>
          <w:snapToGrid/>
          <w:szCs w:val="24"/>
        </w:rPr>
      </w:pPr>
      <w:r w:rsidRPr="00A249E9">
        <w:rPr>
          <w:rFonts w:ascii="Times New Roman" w:hAnsi="Times New Roman"/>
          <w:snapToGrid/>
          <w:szCs w:val="24"/>
        </w:rPr>
        <w:t xml:space="preserve">The </w:t>
      </w:r>
      <w:r>
        <w:rPr>
          <w:rFonts w:ascii="Times New Roman" w:hAnsi="Times New Roman"/>
          <w:snapToGrid/>
          <w:szCs w:val="24"/>
        </w:rPr>
        <w:t>FDIC</w:t>
      </w:r>
      <w:r w:rsidRPr="00A249E9">
        <w:rPr>
          <w:rFonts w:ascii="Times New Roman" w:hAnsi="Times New Roman"/>
          <w:snapToGrid/>
          <w:szCs w:val="24"/>
        </w:rPr>
        <w:t xml:space="preserve"> revised </w:t>
      </w:r>
      <w:r>
        <w:rPr>
          <w:rFonts w:ascii="Times New Roman" w:hAnsi="Times New Roman"/>
          <w:snapToGrid/>
          <w:szCs w:val="24"/>
        </w:rPr>
        <w:t>its</w:t>
      </w:r>
      <w:r w:rsidRPr="00A249E9">
        <w:rPr>
          <w:rFonts w:ascii="Times New Roman" w:hAnsi="Times New Roman"/>
          <w:snapToGrid/>
          <w:szCs w:val="24"/>
        </w:rPr>
        <w:t xml:space="preserve"> estimates of the number of respondents to this </w:t>
      </w:r>
      <w:r>
        <w:rPr>
          <w:rFonts w:ascii="Times New Roman" w:hAnsi="Times New Roman"/>
          <w:snapToGrid/>
          <w:szCs w:val="24"/>
        </w:rPr>
        <w:t>information collection</w:t>
      </w:r>
      <w:r w:rsidR="00846A1A">
        <w:rPr>
          <w:rFonts w:ascii="Times New Roman" w:hAnsi="Times New Roman"/>
          <w:snapToGrid/>
          <w:szCs w:val="24"/>
        </w:rPr>
        <w:t xml:space="preserve"> based on changes in the estimated number of respondents due to economic conditions.</w:t>
      </w:r>
      <w:r>
        <w:rPr>
          <w:rFonts w:ascii="Times New Roman" w:hAnsi="Times New Roman"/>
          <w:snapToGrid/>
          <w:szCs w:val="24"/>
        </w:rPr>
        <w:t xml:space="preserve"> </w:t>
      </w:r>
      <w:r w:rsidR="00846A1A">
        <w:rPr>
          <w:rFonts w:ascii="Times New Roman" w:hAnsi="Times New Roman"/>
          <w:snapToGrid/>
          <w:szCs w:val="24"/>
        </w:rPr>
        <w:t>T</w:t>
      </w:r>
      <w:r>
        <w:rPr>
          <w:rFonts w:ascii="Times New Roman" w:hAnsi="Times New Roman"/>
          <w:snapToGrid/>
          <w:szCs w:val="24"/>
        </w:rPr>
        <w:t xml:space="preserve">he </w:t>
      </w:r>
      <w:r w:rsidR="00F90EAE">
        <w:rPr>
          <w:rFonts w:ascii="Times New Roman" w:hAnsi="Times New Roman"/>
          <w:snapToGrid/>
          <w:szCs w:val="24"/>
        </w:rPr>
        <w:t>hourly burden per response</w:t>
      </w:r>
      <w:r w:rsidR="00846A1A">
        <w:rPr>
          <w:rFonts w:ascii="Times New Roman" w:hAnsi="Times New Roman"/>
          <w:snapToGrid/>
          <w:szCs w:val="24"/>
        </w:rPr>
        <w:t xml:space="preserve"> remains the same,</w:t>
      </w:r>
      <w:r w:rsidR="00F90EAE">
        <w:rPr>
          <w:rFonts w:ascii="Times New Roman" w:hAnsi="Times New Roman"/>
          <w:snapToGrid/>
          <w:szCs w:val="24"/>
        </w:rPr>
        <w:t xml:space="preserve"> recognizing a difference between the amount of time required to implement policies and procedures and the amount of time required to maintain records on an ongoing basis once those policies and procedures have been established.</w:t>
      </w:r>
    </w:p>
    <w:p w:rsidRPr="00A249E9" w:rsidR="00A249E9" w:rsidP="00A249E9" w:rsidRDefault="00A249E9" w14:paraId="571D3F4D" w14:textId="77777777">
      <w:pPr>
        <w:ind w:left="720"/>
        <w:rPr>
          <w:rFonts w:ascii="Times New Roman" w:hAnsi="Times New Roman"/>
          <w:snapToGrid/>
          <w:szCs w:val="24"/>
        </w:rPr>
      </w:pPr>
    </w:p>
    <w:p w:rsidRPr="00A249E9" w:rsidR="00A249E9" w:rsidP="00A249E9" w:rsidRDefault="00A249E9" w14:paraId="18125221" w14:textId="77777777">
      <w:pPr>
        <w:ind w:left="720" w:firstLine="720"/>
        <w:rPr>
          <w:rFonts w:ascii="Times New Roman" w:hAnsi="Times New Roman"/>
          <w:i/>
          <w:snapToGrid/>
          <w:szCs w:val="24"/>
        </w:rPr>
      </w:pPr>
      <w:r w:rsidRPr="00A249E9">
        <w:rPr>
          <w:rFonts w:ascii="Times New Roman" w:hAnsi="Times New Roman"/>
          <w:i/>
          <w:snapToGrid/>
          <w:szCs w:val="24"/>
        </w:rPr>
        <w:t>Total Estimated Number of Respondents</w:t>
      </w:r>
    </w:p>
    <w:p w:rsidRPr="00A249E9" w:rsidR="00A249E9" w:rsidP="00A249E9" w:rsidRDefault="00A249E9" w14:paraId="11E577B6" w14:textId="77777777">
      <w:pPr>
        <w:ind w:left="720"/>
        <w:rPr>
          <w:rFonts w:ascii="Times New Roman" w:hAnsi="Times New Roman"/>
          <w:snapToGrid/>
          <w:szCs w:val="24"/>
        </w:rPr>
      </w:pPr>
    </w:p>
    <w:p w:rsidR="003A055C" w:rsidP="00BF3B99" w:rsidRDefault="00F90EAE" w14:paraId="2B2E2BAE" w14:textId="77777777">
      <w:pPr>
        <w:ind w:left="720"/>
        <w:rPr>
          <w:rFonts w:ascii="Times New Roman" w:hAnsi="Times New Roman"/>
          <w:snapToGrid/>
          <w:szCs w:val="24"/>
        </w:rPr>
      </w:pPr>
      <w:r>
        <w:rPr>
          <w:rFonts w:ascii="Times New Roman" w:hAnsi="Times New Roman"/>
          <w:snapToGrid/>
          <w:szCs w:val="24"/>
        </w:rPr>
        <w:t xml:space="preserve">FDIC </w:t>
      </w:r>
      <w:r w:rsidRPr="00A249E9" w:rsidR="00A249E9">
        <w:rPr>
          <w:rFonts w:ascii="Times New Roman" w:hAnsi="Times New Roman"/>
          <w:snapToGrid/>
          <w:szCs w:val="24"/>
        </w:rPr>
        <w:t xml:space="preserve">revised </w:t>
      </w:r>
      <w:r>
        <w:rPr>
          <w:rFonts w:ascii="Times New Roman" w:hAnsi="Times New Roman"/>
          <w:snapToGrid/>
          <w:szCs w:val="24"/>
        </w:rPr>
        <w:t>its</w:t>
      </w:r>
      <w:r w:rsidRPr="00A249E9" w:rsidR="00A249E9">
        <w:rPr>
          <w:rFonts w:ascii="Times New Roman" w:hAnsi="Times New Roman"/>
          <w:snapToGrid/>
          <w:szCs w:val="24"/>
        </w:rPr>
        <w:t xml:space="preserve"> estimate of the number of respondents to this </w:t>
      </w:r>
      <w:r>
        <w:rPr>
          <w:rFonts w:ascii="Times New Roman" w:hAnsi="Times New Roman"/>
          <w:snapToGrid/>
          <w:szCs w:val="24"/>
        </w:rPr>
        <w:t>information collection</w:t>
      </w:r>
      <w:r w:rsidRPr="00A249E9" w:rsidR="00A249E9">
        <w:rPr>
          <w:rFonts w:ascii="Times New Roman" w:hAnsi="Times New Roman"/>
          <w:snapToGrid/>
          <w:szCs w:val="24"/>
        </w:rPr>
        <w:t xml:space="preserve">. Potential respondents to this </w:t>
      </w:r>
      <w:r>
        <w:rPr>
          <w:rFonts w:ascii="Times New Roman" w:hAnsi="Times New Roman"/>
          <w:snapToGrid/>
          <w:szCs w:val="24"/>
        </w:rPr>
        <w:t>information collection</w:t>
      </w:r>
      <w:r w:rsidRPr="00A249E9" w:rsidR="00A249E9">
        <w:rPr>
          <w:rFonts w:ascii="Times New Roman" w:hAnsi="Times New Roman"/>
          <w:snapToGrid/>
          <w:szCs w:val="24"/>
        </w:rPr>
        <w:t xml:space="preserve"> include all FDIC-supervised institutions that adopt or revise </w:t>
      </w:r>
      <w:r w:rsidR="003F0288">
        <w:rPr>
          <w:rFonts w:ascii="Times New Roman" w:hAnsi="Times New Roman"/>
          <w:snapToGrid/>
          <w:szCs w:val="24"/>
        </w:rPr>
        <w:t>policies and procedures regarding reverse mortgage offerings</w:t>
      </w:r>
      <w:r w:rsidR="003A055C">
        <w:rPr>
          <w:rFonts w:ascii="Times New Roman" w:hAnsi="Times New Roman"/>
          <w:snapToGrid/>
          <w:szCs w:val="24"/>
        </w:rPr>
        <w:t>.</w:t>
      </w:r>
    </w:p>
    <w:p w:rsidR="003A055C" w:rsidP="00BF3B99" w:rsidRDefault="003A055C" w14:paraId="254E6C48" w14:textId="77777777">
      <w:pPr>
        <w:ind w:left="720"/>
        <w:rPr>
          <w:rFonts w:ascii="Times New Roman" w:hAnsi="Times New Roman"/>
          <w:snapToGrid/>
          <w:szCs w:val="24"/>
        </w:rPr>
      </w:pPr>
    </w:p>
    <w:p w:rsidR="00563449" w:rsidP="00BF3B99" w:rsidRDefault="003A055C" w14:paraId="4C9CD73A" w14:textId="77777777">
      <w:pPr>
        <w:ind w:left="720"/>
        <w:rPr>
          <w:rFonts w:ascii="Times New Roman" w:hAnsi="Times New Roman"/>
          <w:snapToGrid/>
          <w:szCs w:val="24"/>
        </w:rPr>
      </w:pPr>
      <w:r>
        <w:rPr>
          <w:rFonts w:ascii="Times New Roman" w:hAnsi="Times New Roman"/>
          <w:snapToGrid/>
          <w:szCs w:val="24"/>
        </w:rPr>
        <w:t>T</w:t>
      </w:r>
      <w:r w:rsidRPr="003A055C">
        <w:rPr>
          <w:rFonts w:ascii="Times New Roman" w:hAnsi="Times New Roman"/>
          <w:snapToGrid/>
          <w:szCs w:val="24"/>
        </w:rPr>
        <w:t xml:space="preserve">he estimate for respondents with ongoing reverse mortgage products was calculated using 2018 Home Mortgage Disclosure Act (HMDA) data and 2018 monthly U.S. Department of Housing and Urban Development (HUD) Home Equity Conversion Mortgage (HECM) data. For the 2018 HMDA data, the </w:t>
      </w:r>
      <w:r>
        <w:rPr>
          <w:rFonts w:ascii="Times New Roman" w:hAnsi="Times New Roman"/>
          <w:snapToGrid/>
          <w:szCs w:val="24"/>
        </w:rPr>
        <w:t>FDIC</w:t>
      </w:r>
      <w:r w:rsidRPr="003A055C">
        <w:rPr>
          <w:rFonts w:ascii="Times New Roman" w:hAnsi="Times New Roman"/>
          <w:snapToGrid/>
          <w:szCs w:val="24"/>
        </w:rPr>
        <w:t xml:space="preserve"> identified 27 institutions that had at least 1 application for a reverse mortgage.</w:t>
      </w:r>
      <w:r w:rsidRPr="003A055C">
        <w:rPr>
          <w:rFonts w:ascii="Times New Roman" w:hAnsi="Times New Roman"/>
          <w:snapToGrid/>
          <w:szCs w:val="24"/>
          <w:vertAlign w:val="superscript"/>
        </w:rPr>
        <w:footnoteReference w:id="2"/>
      </w:r>
      <w:r w:rsidRPr="003A055C">
        <w:rPr>
          <w:rFonts w:ascii="Times New Roman" w:hAnsi="Times New Roman"/>
          <w:snapToGrid/>
          <w:szCs w:val="24"/>
        </w:rPr>
        <w:t xml:space="preserve"> In order to account for reverse mortgage originators who did not report HMDA</w:t>
      </w:r>
      <w:r>
        <w:rPr>
          <w:rFonts w:ascii="Times New Roman" w:hAnsi="Times New Roman"/>
          <w:snapToGrid/>
          <w:szCs w:val="24"/>
        </w:rPr>
        <w:t xml:space="preserve"> data</w:t>
      </w:r>
      <w:r w:rsidRPr="003A055C">
        <w:rPr>
          <w:rFonts w:ascii="Times New Roman" w:hAnsi="Times New Roman"/>
          <w:snapToGrid/>
          <w:szCs w:val="24"/>
        </w:rPr>
        <w:t xml:space="preserve">, the </w:t>
      </w:r>
      <w:r>
        <w:rPr>
          <w:rFonts w:ascii="Times New Roman" w:hAnsi="Times New Roman"/>
          <w:snapToGrid/>
          <w:szCs w:val="24"/>
        </w:rPr>
        <w:t>FDIC</w:t>
      </w:r>
      <w:r w:rsidRPr="003A055C">
        <w:rPr>
          <w:rFonts w:ascii="Times New Roman" w:hAnsi="Times New Roman"/>
          <w:snapToGrid/>
          <w:szCs w:val="24"/>
        </w:rPr>
        <w:t xml:space="preserve"> cross referenced to the 2018 HUD HECM data and identified 6 institutions with at least 1 application in the 2018 HUD HECM data. Three of those institutions were also identified in the 2018 HMDA data; thus, the </w:t>
      </w:r>
      <w:r>
        <w:rPr>
          <w:rFonts w:ascii="Times New Roman" w:hAnsi="Times New Roman"/>
          <w:snapToGrid/>
          <w:szCs w:val="24"/>
        </w:rPr>
        <w:t>FDIC</w:t>
      </w:r>
      <w:r w:rsidRPr="003A055C">
        <w:rPr>
          <w:rFonts w:ascii="Times New Roman" w:hAnsi="Times New Roman"/>
          <w:snapToGrid/>
          <w:szCs w:val="24"/>
        </w:rPr>
        <w:t xml:space="preserve"> identified 30 total reverse mortgage originators using 2018 data from the two sources.</w:t>
      </w:r>
    </w:p>
    <w:p w:rsidR="00563449" w:rsidP="00BF3B99" w:rsidRDefault="00563449" w14:paraId="37F9BA71" w14:textId="77777777">
      <w:pPr>
        <w:ind w:left="720"/>
        <w:rPr>
          <w:rFonts w:ascii="Times New Roman" w:hAnsi="Times New Roman"/>
          <w:snapToGrid/>
          <w:szCs w:val="24"/>
        </w:rPr>
      </w:pPr>
    </w:p>
    <w:p w:rsidR="000B0581" w:rsidP="00563449" w:rsidRDefault="00563449" w14:paraId="027249E3" w14:textId="77777777">
      <w:pPr>
        <w:ind w:left="720"/>
        <w:rPr>
          <w:rFonts w:ascii="Times New Roman" w:hAnsi="Times New Roman"/>
          <w:snapToGrid/>
          <w:szCs w:val="24"/>
        </w:rPr>
      </w:pPr>
      <w:r>
        <w:rPr>
          <w:rFonts w:ascii="Times New Roman" w:hAnsi="Times New Roman"/>
          <w:snapToGrid/>
          <w:szCs w:val="24"/>
        </w:rPr>
        <w:t xml:space="preserve">To estimate the number of institutions facing implementation burden, FDIC looked at the change in the estimated number of respondents facing ongoing burden for revising existing policies and procedures.  In 2016 </w:t>
      </w:r>
      <w:r w:rsidR="003A055C">
        <w:rPr>
          <w:rFonts w:ascii="Times New Roman" w:hAnsi="Times New Roman"/>
          <w:snapToGrid/>
          <w:szCs w:val="24"/>
        </w:rPr>
        <w:t>FDIC estimated the number of respondent</w:t>
      </w:r>
      <w:r>
        <w:rPr>
          <w:rFonts w:ascii="Times New Roman" w:hAnsi="Times New Roman"/>
          <w:snapToGrid/>
          <w:szCs w:val="24"/>
        </w:rPr>
        <w:t>s facing ongoing burden to be 26.  The current estimated number of FDIC-supervised institutions that offer reverse mortgages is 30.  The FDIC assumes that approximately 4 institutions began offering reverse mortgages over the last three years and</w:t>
      </w:r>
      <w:r w:rsidRPr="003A055C" w:rsidR="003A055C">
        <w:rPr>
          <w:rFonts w:ascii="Times New Roman" w:hAnsi="Times New Roman"/>
          <w:snapToGrid/>
          <w:szCs w:val="24"/>
        </w:rPr>
        <w:t xml:space="preserve"> estimate</w:t>
      </w:r>
      <w:r>
        <w:rPr>
          <w:rFonts w:ascii="Times New Roman" w:hAnsi="Times New Roman"/>
          <w:snapToGrid/>
          <w:szCs w:val="24"/>
        </w:rPr>
        <w:t>s</w:t>
      </w:r>
      <w:r w:rsidRPr="003A055C" w:rsidR="003A055C">
        <w:rPr>
          <w:rFonts w:ascii="Times New Roman" w:hAnsi="Times New Roman"/>
          <w:snapToGrid/>
          <w:szCs w:val="24"/>
        </w:rPr>
        <w:t xml:space="preserve"> the number of respondents implementing reverse mortgage products to be </w:t>
      </w:r>
      <w:r>
        <w:rPr>
          <w:rFonts w:ascii="Times New Roman" w:hAnsi="Times New Roman"/>
          <w:snapToGrid/>
          <w:szCs w:val="24"/>
        </w:rPr>
        <w:t xml:space="preserve">approximately </w:t>
      </w:r>
      <w:r w:rsidRPr="003A055C" w:rsidR="003A055C">
        <w:rPr>
          <w:rFonts w:ascii="Times New Roman" w:hAnsi="Times New Roman"/>
          <w:snapToGrid/>
          <w:szCs w:val="24"/>
        </w:rPr>
        <w:t xml:space="preserve">one </w:t>
      </w:r>
      <w:r>
        <w:rPr>
          <w:rFonts w:ascii="Times New Roman" w:hAnsi="Times New Roman"/>
          <w:snapToGrid/>
          <w:szCs w:val="24"/>
        </w:rPr>
        <w:t>per year.</w:t>
      </w:r>
    </w:p>
    <w:p w:rsidR="00BF3B99" w:rsidP="00BF3B99" w:rsidRDefault="00BF3B99" w14:paraId="75892BDB" w14:textId="77777777">
      <w:pPr>
        <w:ind w:left="720"/>
        <w:rPr>
          <w:rFonts w:ascii="Times New Roman" w:hAnsi="Times New Roman"/>
          <w:snapToGrid/>
          <w:szCs w:val="24"/>
        </w:rPr>
      </w:pPr>
    </w:p>
    <w:p w:rsidRPr="00BF3B99" w:rsidR="00BF3B99" w:rsidP="00BF3B99" w:rsidRDefault="00BF3B99" w14:paraId="2A6458B7" w14:textId="77777777">
      <w:pPr>
        <w:ind w:left="720" w:firstLine="720"/>
        <w:rPr>
          <w:rFonts w:ascii="Times New Roman" w:hAnsi="Times New Roman"/>
          <w:i/>
          <w:snapToGrid/>
          <w:szCs w:val="24"/>
        </w:rPr>
      </w:pPr>
      <w:r w:rsidRPr="00BF3B99">
        <w:rPr>
          <w:rFonts w:ascii="Times New Roman" w:hAnsi="Times New Roman"/>
          <w:i/>
          <w:snapToGrid/>
          <w:szCs w:val="24"/>
        </w:rPr>
        <w:t>Estimated Hourly Burden</w:t>
      </w:r>
    </w:p>
    <w:p w:rsidRPr="00BF3B99" w:rsidR="00BF3B99" w:rsidP="00BF3B99" w:rsidRDefault="00BF3B99" w14:paraId="66AC1B1A" w14:textId="77777777">
      <w:pPr>
        <w:ind w:left="720"/>
        <w:rPr>
          <w:rFonts w:ascii="Times New Roman" w:hAnsi="Times New Roman"/>
          <w:snapToGrid/>
          <w:szCs w:val="24"/>
        </w:rPr>
      </w:pPr>
    </w:p>
    <w:p w:rsidR="00BF3B99" w:rsidP="004B2F21" w:rsidRDefault="000171AA" w14:paraId="73989E3E" w14:textId="77777777">
      <w:pPr>
        <w:keepNext/>
        <w:ind w:left="720"/>
        <w:rPr>
          <w:rFonts w:ascii="Times New Roman" w:hAnsi="Times New Roman"/>
          <w:snapToGrid/>
          <w:szCs w:val="24"/>
        </w:rPr>
      </w:pPr>
      <w:r>
        <w:rPr>
          <w:rFonts w:ascii="Times New Roman" w:hAnsi="Times New Roman"/>
          <w:snapToGrid/>
          <w:szCs w:val="24"/>
        </w:rPr>
        <w:t>FDIC estimates</w:t>
      </w:r>
      <w:r w:rsidRPr="00BF3B99" w:rsidR="00BF3B99">
        <w:rPr>
          <w:rFonts w:ascii="Times New Roman" w:hAnsi="Times New Roman"/>
          <w:snapToGrid/>
          <w:szCs w:val="24"/>
        </w:rPr>
        <w:t xml:space="preserve"> </w:t>
      </w:r>
      <w:r>
        <w:rPr>
          <w:rFonts w:ascii="Times New Roman" w:hAnsi="Times New Roman"/>
          <w:snapToGrid/>
          <w:szCs w:val="24"/>
        </w:rPr>
        <w:t xml:space="preserve">the recordkeeping burden associated with implementing and </w:t>
      </w:r>
      <w:r w:rsidRPr="004B2F21">
        <w:rPr>
          <w:rFonts w:ascii="Times New Roman" w:hAnsi="Times New Roman"/>
        </w:rPr>
        <w:t>documenting</w:t>
      </w:r>
      <w:r>
        <w:rPr>
          <w:rFonts w:ascii="Times New Roman" w:hAnsi="Times New Roman"/>
          <w:snapToGrid/>
          <w:szCs w:val="24"/>
        </w:rPr>
        <w:t xml:space="preserve"> incentive-based compensation policies and procedures to be</w:t>
      </w:r>
      <w:r w:rsidRPr="00BF3B99" w:rsidR="00BF3B99">
        <w:rPr>
          <w:rFonts w:ascii="Times New Roman" w:hAnsi="Times New Roman"/>
          <w:snapToGrid/>
          <w:szCs w:val="24"/>
        </w:rPr>
        <w:t xml:space="preserve"> 40 hours per respondent, per year</w:t>
      </w:r>
      <w:r>
        <w:rPr>
          <w:rFonts w:ascii="Times New Roman" w:hAnsi="Times New Roman"/>
          <w:snapToGrid/>
          <w:szCs w:val="24"/>
        </w:rPr>
        <w:t>.</w:t>
      </w:r>
      <w:r w:rsidRPr="00BF3B99" w:rsidR="00BF3B99">
        <w:rPr>
          <w:rFonts w:ascii="Times New Roman" w:hAnsi="Times New Roman"/>
          <w:snapToGrid/>
          <w:szCs w:val="24"/>
        </w:rPr>
        <w:t xml:space="preserve"> </w:t>
      </w:r>
      <w:r>
        <w:rPr>
          <w:rFonts w:ascii="Times New Roman" w:hAnsi="Times New Roman"/>
          <w:snapToGrid/>
          <w:szCs w:val="24"/>
        </w:rPr>
        <w:t xml:space="preserve">FDIC estimates the recordkeeping </w:t>
      </w:r>
      <w:r w:rsidRPr="00BF3B99" w:rsidR="00BF3B99">
        <w:rPr>
          <w:rFonts w:ascii="Times New Roman" w:hAnsi="Times New Roman"/>
          <w:snapToGrid/>
          <w:szCs w:val="24"/>
        </w:rPr>
        <w:t xml:space="preserve">burden </w:t>
      </w:r>
      <w:r>
        <w:rPr>
          <w:rFonts w:ascii="Times New Roman" w:hAnsi="Times New Roman"/>
          <w:snapToGrid/>
          <w:szCs w:val="24"/>
        </w:rPr>
        <w:t>associated with revising and documenting incentive-based compensation policies and procedures previously adopted and documented to be</w:t>
      </w:r>
      <w:r w:rsidRPr="00BF3B99">
        <w:rPr>
          <w:rFonts w:ascii="Times New Roman" w:hAnsi="Times New Roman"/>
          <w:snapToGrid/>
          <w:szCs w:val="24"/>
        </w:rPr>
        <w:t xml:space="preserve"> </w:t>
      </w:r>
      <w:r w:rsidR="00CF2C13">
        <w:rPr>
          <w:rFonts w:ascii="Times New Roman" w:hAnsi="Times New Roman"/>
          <w:snapToGrid/>
          <w:szCs w:val="24"/>
        </w:rPr>
        <w:t>8</w:t>
      </w:r>
      <w:r w:rsidRPr="00BF3B99">
        <w:rPr>
          <w:rFonts w:ascii="Times New Roman" w:hAnsi="Times New Roman"/>
          <w:snapToGrid/>
          <w:szCs w:val="24"/>
        </w:rPr>
        <w:t xml:space="preserve"> hours per respondent, per year</w:t>
      </w:r>
      <w:r>
        <w:rPr>
          <w:rFonts w:ascii="Times New Roman" w:hAnsi="Times New Roman"/>
          <w:snapToGrid/>
          <w:szCs w:val="24"/>
        </w:rPr>
        <w:t>.</w:t>
      </w:r>
    </w:p>
    <w:p w:rsidRPr="00285D59" w:rsidR="00A249E9" w:rsidP="00285D59" w:rsidRDefault="00A249E9" w14:paraId="40FB9CA5" w14:textId="77777777">
      <w:pPr>
        <w:ind w:left="720"/>
        <w:rPr>
          <w:rFonts w:ascii="Times New Roman" w:hAnsi="Times New Roman"/>
          <w:snapToGrid/>
          <w:szCs w:val="24"/>
        </w:rPr>
      </w:pPr>
    </w:p>
    <w:p w:rsidR="00FC41DF" w:rsidP="000B0581" w:rsidRDefault="00FC41DF" w14:paraId="0FB543FB" w14:textId="77777777">
      <w:pPr>
        <w:ind w:left="720"/>
        <w:rPr>
          <w:rFonts w:ascii="Times New Roman" w:hAnsi="Times New Roman"/>
        </w:rPr>
      </w:pPr>
    </w:p>
    <w:tbl>
      <w:tblPr>
        <w:tblW w:w="9850" w:type="dxa"/>
        <w:tblInd w:w="-25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38"/>
        <w:gridCol w:w="1225"/>
        <w:gridCol w:w="1016"/>
      </w:tblGrid>
      <w:tr w:rsidRPr="004F7E3A" w:rsidR="00844536" w:rsidTr="00BD64F8" w14:paraId="540EC327" w14:textId="77777777">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844536" w:rsidP="009B62D9" w:rsidRDefault="00844536" w14:paraId="37FDA616" w14:textId="77777777">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14:paraId="18D972C9"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14:paraId="691545DC"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14:paraId="7025F5A4"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14:paraId="7B4D83EB"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844536" w:rsidP="009B62D9" w:rsidRDefault="00844536" w14:paraId="67CACB93"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sidR="009557A1">
              <w:rPr>
                <w:rFonts w:ascii="Times New Roman" w:hAnsi="Times New Roman"/>
                <w:snapToGrid/>
                <w:color w:val="000000"/>
                <w:sz w:val="18"/>
                <w:szCs w:val="16"/>
              </w:rPr>
              <w:t>Hours</w:t>
            </w:r>
            <w:r w:rsidRPr="004F7E3A">
              <w:rPr>
                <w:rFonts w:ascii="Times New Roman" w:hAnsi="Times New Roman"/>
                <w:snapToGrid/>
                <w:color w:val="000000"/>
                <w:sz w:val="18"/>
                <w:szCs w:val="16"/>
              </w:rPr>
              <w:t>)</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14:paraId="69F0B452"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844536" w:rsidP="009B62D9" w:rsidRDefault="00844536" w14:paraId="52429989"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844536" w:rsidP="009B62D9" w:rsidRDefault="00844536" w14:paraId="6008FE40" w14:textId="77777777">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844536" w:rsidTr="00BD64F8" w14:paraId="6679413A" w14:textId="77777777">
        <w:trPr>
          <w:trHeight w:val="576"/>
        </w:trPr>
        <w:tc>
          <w:tcPr>
            <w:tcW w:w="2983" w:type="dxa"/>
            <w:tcBorders>
              <w:left w:val="single" w:color="auto" w:sz="8" w:space="0"/>
              <w:bottom w:val="nil"/>
              <w:right w:val="single" w:color="auto" w:sz="6" w:space="0"/>
            </w:tcBorders>
            <w:shd w:val="clear" w:color="auto" w:fill="auto"/>
            <w:vAlign w:val="center"/>
          </w:tcPr>
          <w:p w:rsidRPr="004F7E3A" w:rsidR="00844536" w:rsidP="009B62D9" w:rsidRDefault="000171AA" w14:paraId="55618A34" w14:textId="77777777">
            <w:pPr>
              <w:widowControl/>
              <w:rPr>
                <w:rFonts w:ascii="Times New Roman" w:hAnsi="Times New Roman"/>
                <w:bCs/>
                <w:i/>
                <w:snapToGrid/>
                <w:color w:val="000000"/>
                <w:sz w:val="20"/>
              </w:rPr>
            </w:pPr>
            <w:r>
              <w:rPr>
                <w:rFonts w:ascii="Times New Roman" w:hAnsi="Times New Roman"/>
                <w:iCs/>
                <w:snapToGrid/>
                <w:color w:val="000000"/>
                <w:sz w:val="20"/>
              </w:rPr>
              <w:t xml:space="preserve">Implementation of </w:t>
            </w:r>
            <w:r w:rsidR="00CF2C13">
              <w:rPr>
                <w:rFonts w:ascii="Times New Roman" w:hAnsi="Times New Roman"/>
                <w:iCs/>
                <w:snapToGrid/>
                <w:color w:val="000000"/>
                <w:sz w:val="20"/>
              </w:rPr>
              <w:t>Reverse Mortgage Products</w:t>
            </w:r>
            <w:r>
              <w:rPr>
                <w:rFonts w:ascii="Times New Roman" w:hAnsi="Times New Roman"/>
                <w:iCs/>
                <w:snapToGrid/>
                <w:color w:val="000000"/>
                <w:sz w:val="20"/>
              </w:rPr>
              <w:t xml:space="preserve"> Policies and Procedures</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9557A1" w14:paraId="19FFE155"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14:paraId="087437B3"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14:paraId="6D897BE2"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14:paraId="4E626D3C"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0171AA" w14:paraId="3105726F"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One Time</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9B62D9" w:rsidRDefault="000171AA" w14:paraId="3903EBC9"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r>
      <w:tr w:rsidRPr="004F7E3A" w:rsidR="000171AA" w:rsidTr="00BD64F8" w14:paraId="37ADF609" w14:textId="77777777">
        <w:trPr>
          <w:trHeight w:val="576"/>
        </w:trPr>
        <w:tc>
          <w:tcPr>
            <w:tcW w:w="2983" w:type="dxa"/>
            <w:tcBorders>
              <w:left w:val="single" w:color="auto" w:sz="8" w:space="0"/>
              <w:bottom w:val="nil"/>
              <w:right w:val="single" w:color="auto" w:sz="6" w:space="0"/>
            </w:tcBorders>
            <w:shd w:val="clear" w:color="auto" w:fill="auto"/>
            <w:vAlign w:val="center"/>
          </w:tcPr>
          <w:p w:rsidR="000171AA" w:rsidP="009B62D9" w:rsidRDefault="00CF2C13" w14:paraId="54C84BA6" w14:textId="77777777">
            <w:pPr>
              <w:widowControl/>
              <w:rPr>
                <w:rFonts w:ascii="Times New Roman" w:hAnsi="Times New Roman"/>
                <w:iCs/>
                <w:snapToGrid/>
                <w:color w:val="000000"/>
                <w:sz w:val="20"/>
              </w:rPr>
            </w:pPr>
            <w:r>
              <w:rPr>
                <w:rFonts w:ascii="Times New Roman" w:hAnsi="Times New Roman"/>
                <w:iCs/>
                <w:snapToGrid/>
                <w:color w:val="000000"/>
                <w:sz w:val="20"/>
              </w:rPr>
              <w:t xml:space="preserve">Review and </w:t>
            </w:r>
            <w:r w:rsidR="000171AA">
              <w:rPr>
                <w:rFonts w:ascii="Times New Roman" w:hAnsi="Times New Roman"/>
                <w:iCs/>
                <w:snapToGrid/>
                <w:color w:val="000000"/>
                <w:sz w:val="20"/>
              </w:rPr>
              <w:t>Maint</w:t>
            </w:r>
            <w:r w:rsidR="00A152B6">
              <w:rPr>
                <w:rFonts w:ascii="Times New Roman" w:hAnsi="Times New Roman"/>
                <w:iCs/>
                <w:snapToGrid/>
                <w:color w:val="000000"/>
                <w:sz w:val="20"/>
              </w:rPr>
              <w:t xml:space="preserve">enance of Existing </w:t>
            </w:r>
            <w:r>
              <w:rPr>
                <w:rFonts w:ascii="Times New Roman" w:hAnsi="Times New Roman"/>
                <w:iCs/>
                <w:snapToGrid/>
                <w:color w:val="000000"/>
                <w:sz w:val="20"/>
              </w:rPr>
              <w:t>Reverse Mortgage Products</w:t>
            </w:r>
            <w:r w:rsidR="00A152B6">
              <w:rPr>
                <w:rFonts w:ascii="Times New Roman" w:hAnsi="Times New Roman"/>
                <w:iCs/>
                <w:snapToGrid/>
                <w:color w:val="000000"/>
                <w:sz w:val="20"/>
              </w:rPr>
              <w:t xml:space="preserve"> Policies and Procedures</w:t>
            </w:r>
          </w:p>
        </w:tc>
        <w:tc>
          <w:tcPr>
            <w:tcW w:w="1348" w:type="dxa"/>
            <w:tcBorders>
              <w:left w:val="single" w:color="auto" w:sz="6" w:space="0"/>
              <w:bottom w:val="single" w:color="auto" w:sz="8" w:space="0"/>
              <w:right w:val="single" w:color="auto" w:sz="6" w:space="0"/>
            </w:tcBorders>
            <w:shd w:val="clear" w:color="auto" w:fill="auto"/>
            <w:vAlign w:val="center"/>
          </w:tcPr>
          <w:p w:rsidR="000171AA" w:rsidP="009B62D9" w:rsidRDefault="00A152B6" w14:paraId="230B09A1"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Recordkeeping</w:t>
            </w:r>
          </w:p>
        </w:tc>
        <w:tc>
          <w:tcPr>
            <w:tcW w:w="1170" w:type="dxa"/>
            <w:tcBorders>
              <w:left w:val="single" w:color="auto" w:sz="6" w:space="0"/>
              <w:bottom w:val="single" w:color="auto" w:sz="8" w:space="0"/>
              <w:right w:val="single" w:color="auto" w:sz="6" w:space="0"/>
            </w:tcBorders>
            <w:shd w:val="clear" w:color="auto" w:fill="auto"/>
            <w:vAlign w:val="center"/>
          </w:tcPr>
          <w:p w:rsidR="000171AA" w:rsidP="009B62D9" w:rsidRDefault="00A152B6" w14:paraId="797D35A9"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000171AA" w:rsidP="009B62D9" w:rsidRDefault="00CF2C13" w14:paraId="53807BDF"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30</w:t>
            </w:r>
          </w:p>
        </w:tc>
        <w:tc>
          <w:tcPr>
            <w:tcW w:w="938" w:type="dxa"/>
            <w:tcBorders>
              <w:left w:val="single" w:color="auto" w:sz="6" w:space="0"/>
              <w:bottom w:val="single" w:color="auto" w:sz="8" w:space="0"/>
              <w:right w:val="single" w:color="auto" w:sz="6" w:space="0"/>
            </w:tcBorders>
            <w:shd w:val="clear" w:color="auto" w:fill="auto"/>
            <w:vAlign w:val="center"/>
          </w:tcPr>
          <w:p w:rsidR="000171AA" w:rsidP="009B62D9" w:rsidRDefault="00CF2C13" w14:paraId="031CEE03"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8</w:t>
            </w:r>
          </w:p>
        </w:tc>
        <w:tc>
          <w:tcPr>
            <w:tcW w:w="1225" w:type="dxa"/>
            <w:tcBorders>
              <w:left w:val="single" w:color="auto" w:sz="6" w:space="0"/>
              <w:bottom w:val="single" w:color="auto" w:sz="8" w:space="0"/>
              <w:right w:val="single" w:color="auto" w:sz="6" w:space="0"/>
            </w:tcBorders>
            <w:shd w:val="clear" w:color="auto" w:fill="auto"/>
            <w:vAlign w:val="center"/>
          </w:tcPr>
          <w:p w:rsidR="000171AA" w:rsidP="009B62D9" w:rsidRDefault="00B66881" w14:paraId="07E38DF5"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000171AA" w:rsidP="009B62D9" w:rsidRDefault="00CF2C13" w14:paraId="3FC9B192"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240</w:t>
            </w:r>
          </w:p>
        </w:tc>
      </w:tr>
      <w:tr w:rsidRPr="004F7E3A" w:rsidR="00844536" w:rsidTr="00BD64F8" w14:paraId="6277A900" w14:textId="77777777">
        <w:trPr>
          <w:trHeight w:val="340"/>
        </w:trPr>
        <w:tc>
          <w:tcPr>
            <w:tcW w:w="8834" w:type="dxa"/>
            <w:gridSpan w:val="6"/>
            <w:tcBorders>
              <w:left w:val="single" w:color="auto" w:sz="8" w:space="0"/>
              <w:bottom w:val="single" w:color="auto" w:sz="8" w:space="0"/>
              <w:right w:val="single" w:color="auto" w:sz="8" w:space="0"/>
            </w:tcBorders>
            <w:shd w:val="clear" w:color="auto" w:fill="auto"/>
            <w:vAlign w:val="center"/>
          </w:tcPr>
          <w:p w:rsidRPr="004F7E3A" w:rsidR="00844536" w:rsidP="00844536" w:rsidRDefault="00844536" w14:paraId="27C4972E"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844536" w:rsidRDefault="00CF2C13" w14:paraId="3BE8865E"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280</w:t>
            </w:r>
          </w:p>
        </w:tc>
      </w:tr>
    </w:tbl>
    <w:p w:rsidR="007B6C63" w:rsidRDefault="007B6C63" w14:paraId="239B5193" w14:textId="77777777">
      <w:pPr>
        <w:rPr>
          <w:rFonts w:ascii="Times New Roman" w:hAnsi="Times New Roman"/>
        </w:rPr>
      </w:pPr>
    </w:p>
    <w:p w:rsidR="00881712" w:rsidP="00881712" w:rsidRDefault="00881712" w14:paraId="18952F73" w14:textId="77777777">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14:paraId="2E4A075A" w14:textId="77777777">
      <w:pPr>
        <w:rPr>
          <w:rFonts w:ascii="Times New Roman" w:hAnsi="Times New Roman"/>
        </w:rPr>
      </w:pPr>
    </w:p>
    <w:p w:rsidRPr="00856473" w:rsidR="00856473" w:rsidP="004B2F21" w:rsidRDefault="00856473" w14:paraId="6908C07D" w14:textId="77777777">
      <w:pPr>
        <w:keepNext/>
        <w:ind w:left="720"/>
        <w:rPr>
          <w:rFonts w:ascii="Times New Roman" w:hAnsi="Times New Roman"/>
          <w:snapToGrid/>
          <w:szCs w:val="24"/>
        </w:rPr>
      </w:pPr>
      <w:r w:rsidRPr="00856473">
        <w:rPr>
          <w:rFonts w:ascii="Times New Roman" w:hAnsi="Times New Roman"/>
          <w:snapToGrid/>
          <w:szCs w:val="24"/>
        </w:rPr>
        <w:t xml:space="preserve">To estimate the weighted average hourly cost of compensation, </w:t>
      </w:r>
      <w:r>
        <w:rPr>
          <w:rFonts w:ascii="Times New Roman" w:hAnsi="Times New Roman"/>
          <w:snapToGrid/>
          <w:szCs w:val="24"/>
        </w:rPr>
        <w:t>FDIC</w:t>
      </w:r>
      <w:r w:rsidRPr="00856473">
        <w:rPr>
          <w:rFonts w:ascii="Times New Roman" w:hAnsi="Times New Roman"/>
          <w:snapToGrid/>
          <w:szCs w:val="24"/>
        </w:rPr>
        <w:t xml:space="preserve"> use</w:t>
      </w:r>
      <w:r>
        <w:rPr>
          <w:rFonts w:ascii="Times New Roman" w:hAnsi="Times New Roman"/>
          <w:snapToGrid/>
          <w:szCs w:val="24"/>
        </w:rPr>
        <w:t>s</w:t>
      </w:r>
      <w:r w:rsidRPr="00856473">
        <w:rPr>
          <w:rFonts w:ascii="Times New Roman" w:hAnsi="Times New Roman"/>
          <w:snapToGrid/>
          <w:szCs w:val="24"/>
        </w:rPr>
        <w:t xml:space="preserve"> the 75</w:t>
      </w:r>
      <w:r w:rsidRPr="00856473">
        <w:rPr>
          <w:rFonts w:ascii="Times New Roman" w:hAnsi="Times New Roman"/>
          <w:snapToGrid/>
          <w:szCs w:val="24"/>
          <w:vertAlign w:val="superscript"/>
        </w:rPr>
        <w:t>th</w:t>
      </w:r>
      <w:r w:rsidRPr="00856473">
        <w:rPr>
          <w:rFonts w:ascii="Times New Roman" w:hAnsi="Times New Roman"/>
          <w:snapToGrid/>
          <w:szCs w:val="24"/>
        </w:rPr>
        <w:t xml:space="preserve"> percentile hourly wages reported by the Bureau of Labor Statistics (BLS) National Industry-Specific Occupational </w:t>
      </w:r>
      <w:r w:rsidRPr="004B2F21">
        <w:rPr>
          <w:rFonts w:ascii="Times New Roman" w:hAnsi="Times New Roman"/>
        </w:rPr>
        <w:t>Employment</w:t>
      </w:r>
      <w:r w:rsidRPr="00856473">
        <w:rPr>
          <w:rFonts w:ascii="Times New Roman" w:hAnsi="Times New Roman"/>
          <w:snapToGrid/>
          <w:szCs w:val="24"/>
        </w:rPr>
        <w:t xml:space="preserve"> and Wage Estimates for the relevant occupations in the Depository Credit Intermediation sector, as of December 2019. </w:t>
      </w:r>
    </w:p>
    <w:p w:rsidRPr="00856473" w:rsidR="00856473" w:rsidP="00856473" w:rsidRDefault="00856473" w14:paraId="0FCD6F7A" w14:textId="77777777">
      <w:pPr>
        <w:widowControl/>
        <w:rPr>
          <w:rFonts w:ascii="Times New Roman" w:hAnsi="Times New Roman"/>
          <w:snapToGrid/>
          <w:szCs w:val="24"/>
        </w:rPr>
      </w:pPr>
    </w:p>
    <w:p w:rsidRPr="00856473" w:rsidR="00856473" w:rsidP="004B2F21" w:rsidRDefault="00856473" w14:paraId="573A5CA8" w14:textId="77777777">
      <w:pPr>
        <w:keepNext/>
        <w:widowControl/>
        <w:ind w:left="720"/>
        <w:rPr>
          <w:rFonts w:ascii="Times New Roman" w:hAnsi="Times New Roman"/>
          <w:snapToGrid/>
          <w:szCs w:val="24"/>
        </w:rPr>
      </w:pPr>
      <w:r w:rsidRPr="00856473">
        <w:rPr>
          <w:rFonts w:ascii="Times New Roman" w:hAnsi="Times New Roman"/>
          <w:snapToGrid/>
          <w:szCs w:val="24"/>
        </w:rPr>
        <w:t xml:space="preserve">The hourly wage rates reported </w:t>
      </w:r>
      <w:r>
        <w:rPr>
          <w:rFonts w:ascii="Times New Roman" w:hAnsi="Times New Roman"/>
          <w:snapToGrid/>
          <w:szCs w:val="24"/>
        </w:rPr>
        <w:t xml:space="preserve">by BLS </w:t>
      </w:r>
      <w:r w:rsidRPr="00856473">
        <w:rPr>
          <w:rFonts w:ascii="Times New Roman" w:hAnsi="Times New Roman"/>
          <w:snapToGrid/>
          <w:szCs w:val="24"/>
        </w:rPr>
        <w:t>do not include non-monetary compensation. According to the December 2019 Employer Cost of Employee Compensation data, compensation rates for health and other benefits are 33.8 percent of total compensation. To account for non-monetary compensation, </w:t>
      </w:r>
      <w:r>
        <w:rPr>
          <w:rFonts w:ascii="Times New Roman" w:hAnsi="Times New Roman"/>
          <w:snapToGrid/>
          <w:szCs w:val="24"/>
        </w:rPr>
        <w:t>FDIC</w:t>
      </w:r>
      <w:r w:rsidRPr="00856473">
        <w:rPr>
          <w:rFonts w:ascii="Times New Roman" w:hAnsi="Times New Roman"/>
          <w:snapToGrid/>
          <w:szCs w:val="24"/>
        </w:rPr>
        <w:t xml:space="preserve"> adjust</w:t>
      </w:r>
      <w:r>
        <w:rPr>
          <w:rFonts w:ascii="Times New Roman" w:hAnsi="Times New Roman"/>
          <w:snapToGrid/>
          <w:szCs w:val="24"/>
        </w:rPr>
        <w:t>ed</w:t>
      </w:r>
      <w:r w:rsidRPr="00856473">
        <w:rPr>
          <w:rFonts w:ascii="Times New Roman" w:hAnsi="Times New Roman"/>
          <w:snapToGrid/>
          <w:szCs w:val="24"/>
        </w:rPr>
        <w:t xml:space="preserve"> the hourly wage rates reported by BLS by that percentage. </w:t>
      </w:r>
      <w:r>
        <w:rPr>
          <w:rFonts w:ascii="Times New Roman" w:hAnsi="Times New Roman"/>
          <w:snapToGrid/>
          <w:szCs w:val="24"/>
        </w:rPr>
        <w:t>FDIC</w:t>
      </w:r>
      <w:r w:rsidRPr="00856473">
        <w:rPr>
          <w:rFonts w:ascii="Times New Roman" w:hAnsi="Times New Roman"/>
          <w:snapToGrid/>
          <w:szCs w:val="24"/>
        </w:rPr>
        <w:t xml:space="preserve"> also adjust</w:t>
      </w:r>
      <w:r>
        <w:rPr>
          <w:rFonts w:ascii="Times New Roman" w:hAnsi="Times New Roman"/>
          <w:snapToGrid/>
          <w:szCs w:val="24"/>
        </w:rPr>
        <w:t>ed</w:t>
      </w:r>
      <w:r w:rsidRPr="00856473">
        <w:rPr>
          <w:rFonts w:ascii="Times New Roman" w:hAnsi="Times New Roman"/>
          <w:snapToGrid/>
          <w:szCs w:val="24"/>
        </w:rPr>
        <w:t xml:space="preserve"> the hourly wage by 3.11 percent based on changes in the Consumer Price Index for Urban Consumers (CPI-U) from May 2018 to December 2019 to account for inflation and ensure that the </w:t>
      </w:r>
      <w:r w:rsidRPr="004B2F21">
        <w:rPr>
          <w:rFonts w:ascii="Times New Roman" w:hAnsi="Times New Roman"/>
        </w:rPr>
        <w:t>wage</w:t>
      </w:r>
      <w:r w:rsidRPr="00856473">
        <w:rPr>
          <w:rFonts w:ascii="Times New Roman" w:hAnsi="Times New Roman"/>
          <w:snapToGrid/>
          <w:szCs w:val="24"/>
        </w:rPr>
        <w:t xml:space="preserve"> information is contemporaneous with the non-monetary compensation statistic. </w:t>
      </w:r>
    </w:p>
    <w:p w:rsidRPr="00856473" w:rsidR="00856473" w:rsidP="00856473" w:rsidRDefault="00856473" w14:paraId="750181DA" w14:textId="77777777">
      <w:pPr>
        <w:widowControl/>
        <w:rPr>
          <w:rFonts w:ascii="Times New Roman" w:hAnsi="Times New Roman"/>
          <w:snapToGrid/>
          <w:szCs w:val="24"/>
        </w:rPr>
      </w:pPr>
    </w:p>
    <w:p w:rsidRPr="00856473" w:rsidR="00856473" w:rsidP="004B2F21" w:rsidRDefault="00856473" w14:paraId="55DF8CD1" w14:textId="77777777">
      <w:pPr>
        <w:keepNext/>
        <w:ind w:left="720"/>
        <w:rPr>
          <w:rFonts w:ascii="Times New Roman" w:hAnsi="Times New Roman"/>
          <w:snapToGrid/>
          <w:szCs w:val="24"/>
        </w:rPr>
      </w:pPr>
      <w:r w:rsidRPr="00856473">
        <w:rPr>
          <w:rFonts w:ascii="Times New Roman" w:hAnsi="Times New Roman"/>
          <w:snapToGrid/>
          <w:szCs w:val="24"/>
        </w:rPr>
        <w:t xml:space="preserve">After calculating these adjustments, </w:t>
      </w:r>
      <w:r>
        <w:rPr>
          <w:rFonts w:ascii="Times New Roman" w:hAnsi="Times New Roman"/>
          <w:snapToGrid/>
          <w:szCs w:val="24"/>
        </w:rPr>
        <w:t>FDIC</w:t>
      </w:r>
      <w:r w:rsidRPr="00856473">
        <w:rPr>
          <w:rFonts w:ascii="Times New Roman" w:hAnsi="Times New Roman"/>
          <w:snapToGrid/>
          <w:szCs w:val="24"/>
        </w:rPr>
        <w:t xml:space="preserve"> then weight</w:t>
      </w:r>
      <w:r>
        <w:rPr>
          <w:rFonts w:ascii="Times New Roman" w:hAnsi="Times New Roman"/>
          <w:snapToGrid/>
          <w:szCs w:val="24"/>
        </w:rPr>
        <w:t>ed</w:t>
      </w:r>
      <w:r w:rsidRPr="00856473">
        <w:rPr>
          <w:rFonts w:ascii="Times New Roman" w:hAnsi="Times New Roman"/>
          <w:snapToGrid/>
          <w:szCs w:val="24"/>
        </w:rPr>
        <w:t xml:space="preserve"> the total hourly compensation </w:t>
      </w:r>
      <w:r>
        <w:rPr>
          <w:rFonts w:ascii="Times New Roman" w:hAnsi="Times New Roman"/>
          <w:snapToGrid/>
          <w:szCs w:val="24"/>
        </w:rPr>
        <w:t>across</w:t>
      </w:r>
      <w:r w:rsidRPr="00856473">
        <w:rPr>
          <w:rFonts w:ascii="Times New Roman" w:hAnsi="Times New Roman"/>
          <w:snapToGrid/>
          <w:szCs w:val="24"/>
        </w:rPr>
        <w:t xml:space="preserve"> the four </w:t>
      </w:r>
      <w:r w:rsidRPr="004B2F21">
        <w:rPr>
          <w:rFonts w:ascii="Times New Roman" w:hAnsi="Times New Roman"/>
        </w:rPr>
        <w:t>occupations</w:t>
      </w:r>
      <w:r w:rsidRPr="00856473">
        <w:rPr>
          <w:rFonts w:ascii="Times New Roman" w:hAnsi="Times New Roman"/>
          <w:snapToGrid/>
          <w:szCs w:val="24"/>
        </w:rPr>
        <w:t xml:space="preserve"> (Executives and Managers, Lawyers, Compliance Officer, and Clerical) </w:t>
      </w:r>
      <w:r>
        <w:rPr>
          <w:rFonts w:ascii="Times New Roman" w:hAnsi="Times New Roman"/>
          <w:snapToGrid/>
          <w:szCs w:val="24"/>
        </w:rPr>
        <w:t xml:space="preserve">FDIC estimates are involved in responding to this information collection </w:t>
      </w:r>
      <w:r w:rsidRPr="00856473">
        <w:rPr>
          <w:rFonts w:ascii="Times New Roman" w:hAnsi="Times New Roman"/>
          <w:snapToGrid/>
          <w:szCs w:val="24"/>
        </w:rPr>
        <w:t xml:space="preserve">as follows: </w:t>
      </w:r>
    </w:p>
    <w:p w:rsidRPr="00856473" w:rsidR="00856473" w:rsidP="00856473" w:rsidRDefault="00856473" w14:paraId="7C2A1B3E" w14:textId="77777777">
      <w:pPr>
        <w:widowControl/>
        <w:rPr>
          <w:rFonts w:ascii="Times New Roman" w:hAnsi="Times New Roman"/>
          <w:snapToGrid/>
          <w:szCs w:val="24"/>
        </w:rPr>
      </w:pPr>
    </w:p>
    <w:p w:rsidRPr="00856473" w:rsidR="00856473" w:rsidP="00856473" w:rsidRDefault="00856473" w14:paraId="76641A3F" w14:textId="77777777">
      <w:pPr>
        <w:widowControl/>
        <w:rPr>
          <w:rFonts w:ascii="Times New Roman" w:hAnsi="Times New Roman"/>
          <w:b/>
          <w:snapToGrid/>
          <w:szCs w:val="24"/>
        </w:rPr>
      </w:pPr>
      <w:r w:rsidRPr="00856473">
        <w:rPr>
          <w:rFonts w:ascii="Times New Roman" w:hAnsi="Times New Roman"/>
          <w:b/>
          <w:snapToGrid/>
          <w:szCs w:val="24"/>
        </w:rPr>
        <w:t>Summary of Hourly Burden Cost Estimate (3064-0</w:t>
      </w:r>
      <w:r w:rsidR="009104FE">
        <w:rPr>
          <w:rFonts w:ascii="Times New Roman" w:hAnsi="Times New Roman"/>
          <w:b/>
          <w:snapToGrid/>
          <w:szCs w:val="24"/>
        </w:rPr>
        <w:t>176</w:t>
      </w:r>
      <w:r w:rsidRPr="00856473">
        <w:rPr>
          <w:rFonts w:ascii="Times New Roman" w:hAnsi="Times New Roman"/>
          <w:b/>
          <w:snapToGrid/>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0F7E08" w:rsidR="00856473" w:rsidTr="000F7E08" w14:paraId="2AF89B61" w14:textId="77777777">
        <w:tc>
          <w:tcPr>
            <w:tcW w:w="2875" w:type="dxa"/>
            <w:shd w:val="clear" w:color="auto" w:fill="auto"/>
            <w:vAlign w:val="center"/>
          </w:tcPr>
          <w:p w:rsidRPr="000F7E08" w:rsidR="00856473" w:rsidP="000F7E08" w:rsidRDefault="00856473" w14:paraId="794FE57C"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Category of Personnel Responsible for Complying with the PRA Burden</w:t>
            </w:r>
          </w:p>
        </w:tc>
        <w:tc>
          <w:tcPr>
            <w:tcW w:w="2160" w:type="dxa"/>
            <w:shd w:val="clear" w:color="auto" w:fill="auto"/>
            <w:vAlign w:val="center"/>
          </w:tcPr>
          <w:p w:rsidRPr="000F7E08" w:rsidR="00856473" w:rsidP="000F7E08" w:rsidRDefault="00856473" w14:paraId="0923B6F8"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Total Estimated Hourly Compensation</w:t>
            </w:r>
          </w:p>
        </w:tc>
        <w:tc>
          <w:tcPr>
            <w:tcW w:w="2160" w:type="dxa"/>
            <w:shd w:val="clear" w:color="auto" w:fill="auto"/>
            <w:vAlign w:val="center"/>
          </w:tcPr>
          <w:p w:rsidRPr="000F7E08" w:rsidR="00856473" w:rsidP="000F7E08" w:rsidRDefault="00856473" w14:paraId="3A2EF161"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Weights</w:t>
            </w:r>
          </w:p>
        </w:tc>
        <w:tc>
          <w:tcPr>
            <w:tcW w:w="2155" w:type="dxa"/>
            <w:shd w:val="clear" w:color="auto" w:fill="auto"/>
            <w:vAlign w:val="center"/>
          </w:tcPr>
          <w:p w:rsidRPr="000F7E08" w:rsidR="00856473" w:rsidP="000F7E08" w:rsidRDefault="00856473" w14:paraId="35EEF34D"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Weighted Hourly Wage</w:t>
            </w:r>
          </w:p>
        </w:tc>
      </w:tr>
      <w:tr w:rsidRPr="000F7E08" w:rsidR="00856473" w:rsidTr="000F7E08" w14:paraId="6A1EC094" w14:textId="77777777">
        <w:tc>
          <w:tcPr>
            <w:tcW w:w="2875" w:type="dxa"/>
            <w:shd w:val="clear" w:color="auto" w:fill="auto"/>
            <w:vAlign w:val="center"/>
          </w:tcPr>
          <w:p w:rsidRPr="000F7E08" w:rsidR="00856473" w:rsidP="000F7E08" w:rsidRDefault="00856473" w14:paraId="1E6D99E1"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Executives &amp; Managers</w:t>
            </w:r>
            <w:r w:rsidRPr="000F7E08">
              <w:rPr>
                <w:rFonts w:ascii="Times New Roman" w:hAnsi="Times New Roman" w:eastAsia="Calibri"/>
                <w:snapToGrid/>
                <w:sz w:val="22"/>
                <w:szCs w:val="24"/>
                <w:vertAlign w:val="superscript"/>
              </w:rPr>
              <w:footnoteReference w:id="3"/>
            </w:r>
          </w:p>
        </w:tc>
        <w:tc>
          <w:tcPr>
            <w:tcW w:w="2160" w:type="dxa"/>
            <w:shd w:val="clear" w:color="auto" w:fill="auto"/>
            <w:vAlign w:val="center"/>
          </w:tcPr>
          <w:p w:rsidRPr="000F7E08" w:rsidR="00856473" w:rsidP="000F7E08" w:rsidRDefault="00856473" w14:paraId="6DB504B5"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$121.88</w:t>
            </w:r>
          </w:p>
        </w:tc>
        <w:tc>
          <w:tcPr>
            <w:tcW w:w="2160" w:type="dxa"/>
            <w:shd w:val="clear" w:color="auto" w:fill="auto"/>
            <w:vAlign w:val="center"/>
          </w:tcPr>
          <w:p w:rsidRPr="000F7E08" w:rsidR="00856473" w:rsidP="000F7E08" w:rsidRDefault="00856473" w14:paraId="548287E4" w14:textId="77777777">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14:paraId="2EA424A6"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$6.09</w:t>
            </w:r>
          </w:p>
        </w:tc>
      </w:tr>
      <w:tr w:rsidRPr="000F7E08" w:rsidR="00856473" w:rsidTr="000F7E08" w14:paraId="0D1F8B11" w14:textId="77777777">
        <w:tc>
          <w:tcPr>
            <w:tcW w:w="2875" w:type="dxa"/>
            <w:shd w:val="clear" w:color="auto" w:fill="auto"/>
            <w:vAlign w:val="center"/>
          </w:tcPr>
          <w:p w:rsidRPr="000F7E08" w:rsidR="00856473" w:rsidP="000F7E08" w:rsidRDefault="00856473" w14:paraId="38CEEA86"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Lawyers</w:t>
            </w:r>
            <w:r w:rsidRPr="000F7E08">
              <w:rPr>
                <w:rFonts w:ascii="Times New Roman" w:hAnsi="Times New Roman" w:eastAsia="Calibri"/>
                <w:snapToGrid/>
                <w:sz w:val="22"/>
                <w:szCs w:val="24"/>
                <w:vertAlign w:val="superscript"/>
              </w:rPr>
              <w:footnoteReference w:id="4"/>
            </w:r>
          </w:p>
        </w:tc>
        <w:tc>
          <w:tcPr>
            <w:tcW w:w="2160" w:type="dxa"/>
            <w:shd w:val="clear" w:color="auto" w:fill="auto"/>
            <w:vAlign w:val="center"/>
          </w:tcPr>
          <w:p w:rsidRPr="000F7E08" w:rsidR="00856473" w:rsidP="000F7E08" w:rsidRDefault="00856473" w14:paraId="7507DAB6"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154.50</w:t>
            </w:r>
          </w:p>
        </w:tc>
        <w:tc>
          <w:tcPr>
            <w:tcW w:w="2160" w:type="dxa"/>
            <w:shd w:val="clear" w:color="auto" w:fill="auto"/>
            <w:vAlign w:val="center"/>
          </w:tcPr>
          <w:p w:rsidRPr="000F7E08" w:rsidR="00856473" w:rsidP="000F7E08" w:rsidRDefault="00856473" w14:paraId="495E759F" w14:textId="77777777">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14:paraId="47D33831"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$7.73</w:t>
            </w:r>
          </w:p>
        </w:tc>
      </w:tr>
      <w:tr w:rsidRPr="000F7E08" w:rsidR="00856473" w:rsidTr="000F7E08" w14:paraId="3DB1D48F" w14:textId="77777777">
        <w:tc>
          <w:tcPr>
            <w:tcW w:w="2875" w:type="dxa"/>
            <w:shd w:val="clear" w:color="auto" w:fill="auto"/>
            <w:vAlign w:val="center"/>
          </w:tcPr>
          <w:p w:rsidRPr="000F7E08" w:rsidR="00856473" w:rsidP="000F7E08" w:rsidRDefault="00856473" w14:paraId="0E26C7CC"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Compliance Officer</w:t>
            </w:r>
            <w:r w:rsidRPr="000F7E08">
              <w:rPr>
                <w:rFonts w:ascii="Times New Roman" w:hAnsi="Times New Roman" w:eastAsia="Calibri"/>
                <w:snapToGrid/>
                <w:sz w:val="22"/>
                <w:szCs w:val="24"/>
                <w:vertAlign w:val="superscript"/>
              </w:rPr>
              <w:footnoteReference w:id="5"/>
            </w:r>
          </w:p>
        </w:tc>
        <w:tc>
          <w:tcPr>
            <w:tcW w:w="2160" w:type="dxa"/>
            <w:shd w:val="clear" w:color="auto" w:fill="auto"/>
            <w:vAlign w:val="center"/>
          </w:tcPr>
          <w:p w:rsidRPr="000F7E08" w:rsidR="00856473" w:rsidP="000F7E08" w:rsidRDefault="00856473" w14:paraId="00CB8E91"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$65.42</w:t>
            </w:r>
          </w:p>
        </w:tc>
        <w:tc>
          <w:tcPr>
            <w:tcW w:w="2160" w:type="dxa"/>
            <w:shd w:val="clear" w:color="auto" w:fill="auto"/>
            <w:vAlign w:val="center"/>
          </w:tcPr>
          <w:p w:rsidRPr="000F7E08" w:rsidR="00856473" w:rsidP="000F7E08" w:rsidRDefault="00856473" w14:paraId="1C28FFA9" w14:textId="77777777">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85%</w:t>
            </w:r>
          </w:p>
        </w:tc>
        <w:tc>
          <w:tcPr>
            <w:tcW w:w="2155" w:type="dxa"/>
            <w:shd w:val="clear" w:color="auto" w:fill="auto"/>
            <w:vAlign w:val="center"/>
          </w:tcPr>
          <w:p w:rsidRPr="000F7E08" w:rsidR="00856473" w:rsidP="000F7E08" w:rsidRDefault="00856473" w14:paraId="6BE4A599"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$54.76</w:t>
            </w:r>
          </w:p>
        </w:tc>
      </w:tr>
      <w:tr w:rsidRPr="000F7E08" w:rsidR="00856473" w:rsidTr="000F7E08" w14:paraId="7FAE4747" w14:textId="77777777">
        <w:tc>
          <w:tcPr>
            <w:tcW w:w="2875" w:type="dxa"/>
            <w:shd w:val="clear" w:color="auto" w:fill="auto"/>
            <w:vAlign w:val="center"/>
          </w:tcPr>
          <w:p w:rsidRPr="000F7E08" w:rsidR="00856473" w:rsidP="000F7E08" w:rsidRDefault="00856473" w14:paraId="6A343874" w14:textId="77777777">
            <w:pPr>
              <w:widowControl/>
              <w:rPr>
                <w:rFonts w:ascii="Times New Roman" w:hAnsi="Times New Roman" w:eastAsia="Calibri"/>
                <w:snapToGrid/>
                <w:sz w:val="22"/>
                <w:szCs w:val="24"/>
              </w:rPr>
            </w:pPr>
            <w:r w:rsidRPr="000F7E08">
              <w:rPr>
                <w:rFonts w:ascii="Times New Roman" w:hAnsi="Times New Roman" w:eastAsia="Calibri"/>
                <w:snapToGrid/>
                <w:sz w:val="22"/>
                <w:szCs w:val="24"/>
              </w:rPr>
              <w:t>Clerical</w:t>
            </w:r>
            <w:r w:rsidRPr="000F7E08">
              <w:rPr>
                <w:rFonts w:ascii="Times New Roman" w:hAnsi="Times New Roman" w:eastAsia="Calibri"/>
                <w:snapToGrid/>
                <w:sz w:val="22"/>
                <w:szCs w:val="24"/>
                <w:vertAlign w:val="superscript"/>
              </w:rPr>
              <w:footnoteReference w:id="6"/>
            </w:r>
          </w:p>
        </w:tc>
        <w:tc>
          <w:tcPr>
            <w:tcW w:w="2160" w:type="dxa"/>
            <w:shd w:val="clear" w:color="auto" w:fill="auto"/>
            <w:vAlign w:val="center"/>
          </w:tcPr>
          <w:p w:rsidRPr="000F7E08" w:rsidR="00856473" w:rsidP="000F7E08" w:rsidRDefault="00856473" w14:paraId="7066B76B"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$32.59</w:t>
            </w:r>
          </w:p>
        </w:tc>
        <w:tc>
          <w:tcPr>
            <w:tcW w:w="2160" w:type="dxa"/>
            <w:shd w:val="clear" w:color="auto" w:fill="auto"/>
            <w:vAlign w:val="center"/>
          </w:tcPr>
          <w:p w:rsidRPr="000F7E08" w:rsidR="00856473" w:rsidP="000F7E08" w:rsidRDefault="00856473" w14:paraId="2F9778B0" w14:textId="77777777">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14:paraId="60FDB24E"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$1.63</w:t>
            </w:r>
          </w:p>
        </w:tc>
      </w:tr>
      <w:tr w:rsidRPr="000F7E08" w:rsidR="00856473" w:rsidTr="000F7E08" w14:paraId="04B24404" w14:textId="77777777">
        <w:tc>
          <w:tcPr>
            <w:tcW w:w="2875" w:type="dxa"/>
            <w:shd w:val="clear" w:color="auto" w:fill="auto"/>
            <w:vAlign w:val="bottom"/>
          </w:tcPr>
          <w:p w:rsidRPr="000F7E08" w:rsidR="00856473" w:rsidP="000F7E08" w:rsidRDefault="00856473" w14:paraId="5BF1730A" w14:textId="77777777">
            <w:pPr>
              <w:widowControl/>
              <w:rPr>
                <w:rFonts w:ascii="Times New Roman" w:hAnsi="Times New Roman" w:eastAsia="Calibri"/>
                <w:snapToGrid/>
                <w:sz w:val="22"/>
                <w:szCs w:val="24"/>
              </w:rPr>
            </w:pPr>
            <w:r w:rsidRPr="000F7E08">
              <w:rPr>
                <w:rFonts w:ascii="Times New Roman" w:hAnsi="Times New Roman" w:eastAsia="Calibri"/>
                <w:b/>
                <w:bCs/>
                <w:snapToGrid/>
                <w:sz w:val="22"/>
                <w:szCs w:val="24"/>
              </w:rPr>
              <w:t>Weighted Average</w:t>
            </w:r>
          </w:p>
        </w:tc>
        <w:tc>
          <w:tcPr>
            <w:tcW w:w="2160" w:type="dxa"/>
            <w:shd w:val="clear" w:color="auto" w:fill="auto"/>
            <w:vAlign w:val="bottom"/>
          </w:tcPr>
          <w:p w:rsidRPr="000F7E08" w:rsidR="00856473" w:rsidP="000F7E08" w:rsidRDefault="00856473" w14:paraId="58D73766" w14:textId="77777777">
            <w:pPr>
              <w:widowControl/>
              <w:jc w:val="right"/>
              <w:rPr>
                <w:rFonts w:ascii="Times New Roman" w:hAnsi="Times New Roman" w:eastAsia="Calibri"/>
                <w:snapToGrid/>
                <w:sz w:val="22"/>
                <w:szCs w:val="24"/>
              </w:rPr>
            </w:pPr>
          </w:p>
        </w:tc>
        <w:tc>
          <w:tcPr>
            <w:tcW w:w="2160" w:type="dxa"/>
            <w:shd w:val="clear" w:color="auto" w:fill="auto"/>
            <w:vAlign w:val="center"/>
          </w:tcPr>
          <w:p w:rsidRPr="000F7E08" w:rsidR="00856473" w:rsidP="000F7E08" w:rsidRDefault="00856473" w14:paraId="53752C0E" w14:textId="77777777">
            <w:pPr>
              <w:widowControl/>
              <w:jc w:val="right"/>
              <w:rPr>
                <w:rFonts w:ascii="Times New Roman" w:hAnsi="Times New Roman" w:eastAsia="Calibri"/>
                <w:snapToGrid/>
                <w:sz w:val="22"/>
                <w:szCs w:val="24"/>
              </w:rPr>
            </w:pPr>
          </w:p>
        </w:tc>
        <w:tc>
          <w:tcPr>
            <w:tcW w:w="2155" w:type="dxa"/>
            <w:shd w:val="clear" w:color="auto" w:fill="auto"/>
            <w:vAlign w:val="center"/>
          </w:tcPr>
          <w:p w:rsidRPr="000F7E08" w:rsidR="00856473" w:rsidP="000F7E08" w:rsidRDefault="00856473" w14:paraId="5127F36C" w14:textId="77777777">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$70.21</w:t>
            </w:r>
          </w:p>
        </w:tc>
      </w:tr>
    </w:tbl>
    <w:p w:rsidRPr="00856473" w:rsidR="00856473" w:rsidP="00856473" w:rsidRDefault="00856473" w14:paraId="45E7EF65" w14:textId="77777777">
      <w:pPr>
        <w:widowControl/>
        <w:rPr>
          <w:rFonts w:ascii="Times New Roman" w:hAnsi="Times New Roman"/>
          <w:snapToGrid/>
          <w:szCs w:val="24"/>
        </w:rPr>
      </w:pPr>
      <w:r w:rsidRPr="00856473">
        <w:rPr>
          <w:rFonts w:ascii="Times New Roman" w:hAnsi="Times New Roman"/>
          <w:snapToGrid/>
          <w:szCs w:val="24"/>
        </w:rPr>
        <w:t>Source: Bureau of Labor Statistics: "National Industry-Specific Occupational Employment and Wage Estimates: Depository Credit Intermediation Sector" (May 2018), Employer Cost of Employee Compensation (December 2019), Consumer Price Index (December 2019).</w:t>
      </w:r>
    </w:p>
    <w:p w:rsidRPr="002A5F6B" w:rsidR="00856473" w:rsidP="002A5F6B" w:rsidRDefault="00856473" w14:paraId="6DD7DA64" w14:textId="77777777">
      <w:pPr>
        <w:widowControl/>
        <w:rPr>
          <w:rFonts w:ascii="Times New Roman" w:hAnsi="Times New Roman"/>
          <w:snapToGrid/>
          <w:sz w:val="20"/>
        </w:rPr>
      </w:pPr>
    </w:p>
    <w:p w:rsidRPr="002A5F6B" w:rsidR="002A5F6B" w:rsidP="002A5F6B" w:rsidRDefault="002A5F6B" w14:paraId="0CE23354" w14:textId="77777777">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14:paraId="5CD7E0E0" w14:textId="77777777">
      <w:pPr>
        <w:widowControl/>
        <w:rPr>
          <w:rFonts w:ascii="Times New Roman" w:hAnsi="Times New Roman"/>
          <w:b/>
          <w:snapToGrid/>
          <w:szCs w:val="24"/>
        </w:rPr>
      </w:pPr>
    </w:p>
    <w:p w:rsidRPr="005709AF" w:rsidR="007562B8" w:rsidP="004B2F21" w:rsidRDefault="00A26153" w14:paraId="60DAD687" w14:textId="77777777">
      <w:pPr>
        <w:keepNext/>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913902">
        <w:rPr>
          <w:rFonts w:ascii="Times New Roman" w:hAnsi="Times New Roman"/>
          <w:snapToGrid/>
          <w:szCs w:val="24"/>
        </w:rPr>
        <w:t>280</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4B2F21">
        <w:rPr>
          <w:rFonts w:ascii="Times New Roman" w:hAnsi="Times New Roman"/>
          <w:snapToGrid/>
          <w:szCs w:val="24"/>
        </w:rPr>
        <w:t>70.21</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B37DD6">
        <w:rPr>
          <w:rFonts w:ascii="Times New Roman" w:hAnsi="Times New Roman"/>
          <w:snapToGrid/>
          <w:szCs w:val="24"/>
        </w:rPr>
        <w:t>1</w:t>
      </w:r>
      <w:r w:rsidR="004B2F21">
        <w:rPr>
          <w:rFonts w:ascii="Times New Roman" w:hAnsi="Times New Roman"/>
          <w:snapToGrid/>
          <w:szCs w:val="24"/>
        </w:rPr>
        <w:t>9</w:t>
      </w:r>
      <w:r w:rsidR="00B37DD6">
        <w:rPr>
          <w:rFonts w:ascii="Times New Roman" w:hAnsi="Times New Roman"/>
          <w:snapToGrid/>
          <w:szCs w:val="24"/>
        </w:rPr>
        <w:t>,</w:t>
      </w:r>
      <w:r w:rsidR="004B2F21">
        <w:rPr>
          <w:rFonts w:ascii="Times New Roman" w:hAnsi="Times New Roman"/>
          <w:snapToGrid/>
          <w:szCs w:val="24"/>
        </w:rPr>
        <w:t>658</w:t>
      </w:r>
      <w:r w:rsidR="006B3465">
        <w:rPr>
          <w:rFonts w:ascii="Times New Roman" w:hAnsi="Times New Roman"/>
          <w:snapToGrid/>
          <w:szCs w:val="24"/>
        </w:rPr>
        <w:t>.</w:t>
      </w:r>
      <w:r w:rsidR="004B2F21">
        <w:rPr>
          <w:rFonts w:ascii="Times New Roman" w:hAnsi="Times New Roman"/>
          <w:snapToGrid/>
          <w:szCs w:val="24"/>
        </w:rPr>
        <w:t>80</w:t>
      </w:r>
      <w:r w:rsidRPr="002A5F6B" w:rsidR="002A5F6B">
        <w:rPr>
          <w:rFonts w:ascii="Times New Roman" w:hAnsi="Times New Roman"/>
          <w:snapToGrid/>
          <w:szCs w:val="24"/>
        </w:rPr>
        <w:t xml:space="preserve"> per year. </w:t>
      </w:r>
    </w:p>
    <w:p w:rsidR="007562B8" w:rsidRDefault="007562B8" w14:paraId="4664DB20" w14:textId="77777777">
      <w:pPr>
        <w:rPr>
          <w:rFonts w:ascii="Times New Roman" w:hAnsi="Times New Roman"/>
        </w:rPr>
      </w:pPr>
    </w:p>
    <w:p w:rsidRPr="000B0581" w:rsidR="007B6C63" w:rsidP="000B0581" w:rsidRDefault="007B6C63" w14:paraId="26372B8D" w14:textId="77777777">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14:paraId="2D8E7A4B" w14:textId="77777777">
      <w:pPr>
        <w:rPr>
          <w:rFonts w:ascii="Times New Roman" w:hAnsi="Times New Roman"/>
          <w:b/>
          <w:u w:val="single"/>
        </w:rPr>
      </w:pPr>
    </w:p>
    <w:p w:rsidR="007B6C63" w:rsidP="000B0581" w:rsidRDefault="007B6C63" w14:paraId="4DF66051" w14:textId="77777777">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14:paraId="7FD9F1CB" w14:textId="77777777">
      <w:pPr>
        <w:rPr>
          <w:rFonts w:ascii="Times New Roman" w:hAnsi="Times New Roman"/>
        </w:rPr>
      </w:pPr>
    </w:p>
    <w:p w:rsidR="007B6C63" w:rsidP="00A1019D" w:rsidRDefault="007B6C63" w14:paraId="671DE7F0" w14:textId="77777777">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14:paraId="0157D14F" w14:textId="77777777">
      <w:pPr>
        <w:ind w:firstLine="720"/>
        <w:rPr>
          <w:rFonts w:ascii="Times New Roman" w:hAnsi="Times New Roman"/>
        </w:rPr>
      </w:pPr>
    </w:p>
    <w:p w:rsidR="007B6C63" w:rsidP="000B0581" w:rsidRDefault="00243D0C" w14:paraId="2105857D"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14:paraId="6BDED251" w14:textId="77777777">
      <w:pPr>
        <w:rPr>
          <w:rFonts w:ascii="Times New Roman" w:hAnsi="Times New Roman"/>
        </w:rPr>
      </w:pPr>
    </w:p>
    <w:p w:rsidR="007B6C63" w:rsidP="00B61AD2" w:rsidRDefault="007B6C63" w14:paraId="5E3764D3" w14:textId="77777777">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14:paraId="0E23CA66" w14:textId="77777777">
      <w:pPr>
        <w:keepNext/>
        <w:rPr>
          <w:rFonts w:ascii="Times New Roman" w:hAnsi="Times New Roman"/>
        </w:rPr>
      </w:pPr>
    </w:p>
    <w:p w:rsidR="007B6C63" w:rsidP="00B61AD2" w:rsidRDefault="00B61AD2" w14:paraId="0E185312" w14:textId="77777777">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0B5588">
        <w:rPr>
          <w:rFonts w:ascii="Times New Roman" w:hAnsi="Times New Roman"/>
        </w:rPr>
        <w:t xml:space="preserve"> solely to an increase in the number of institutions now offering reverse mortgages which increased from 26 to 30. </w:t>
      </w:r>
      <w:r w:rsidR="00125A5D">
        <w:rPr>
          <w:rFonts w:ascii="Times New Roman" w:hAnsi="Times New Roman"/>
          <w:snapToGrid/>
          <w:szCs w:val="24"/>
        </w:rPr>
        <w:t xml:space="preserve">The hourly burden per response remains the same.  </w:t>
      </w:r>
      <w:r w:rsidR="00125A5D">
        <w:rPr>
          <w:rFonts w:ascii="Times New Roman" w:hAnsi="Times New Roman"/>
        </w:rPr>
        <w:t xml:space="preserve">All 30 respondents are assumed to have gone through the implementation phase and are assumed face an ongoing burden of 8 hours per respondent to maintain records. </w:t>
      </w:r>
      <w:r w:rsidR="00D50321">
        <w:rPr>
          <w:rFonts w:ascii="Times New Roman" w:hAnsi="Times New Roman"/>
        </w:rPr>
        <w:t>As a result</w:t>
      </w:r>
      <w:r w:rsidR="00D65C01">
        <w:rPr>
          <w:rFonts w:ascii="Times New Roman" w:hAnsi="Times New Roman"/>
        </w:rPr>
        <w:t xml:space="preserve"> of the increase in estimated respondents from 26 to 30</w:t>
      </w:r>
      <w:r w:rsidR="00D50321">
        <w:rPr>
          <w:rFonts w:ascii="Times New Roman" w:hAnsi="Times New Roman"/>
        </w:rPr>
        <w:t xml:space="preserve">, total estimated annual burden for this information collection has </w:t>
      </w:r>
      <w:r w:rsidR="00D65C01">
        <w:rPr>
          <w:rFonts w:ascii="Times New Roman" w:hAnsi="Times New Roman"/>
        </w:rPr>
        <w:t>increased</w:t>
      </w:r>
      <w:r w:rsidR="00D50321">
        <w:rPr>
          <w:rFonts w:ascii="Times New Roman" w:hAnsi="Times New Roman"/>
        </w:rPr>
        <w:t xml:space="preserve"> by</w:t>
      </w:r>
      <w:r w:rsidR="00C858DF">
        <w:rPr>
          <w:rFonts w:ascii="Times New Roman" w:hAnsi="Times New Roman"/>
        </w:rPr>
        <w:t xml:space="preserve"> </w:t>
      </w:r>
      <w:r w:rsidR="00D65C01">
        <w:rPr>
          <w:rFonts w:ascii="Times New Roman" w:hAnsi="Times New Roman"/>
        </w:rPr>
        <w:t>32</w:t>
      </w:r>
      <w:r w:rsidR="00D746BF">
        <w:rPr>
          <w:rFonts w:ascii="Times New Roman" w:hAnsi="Times New Roman"/>
        </w:rPr>
        <w:t xml:space="preserve"> hours</w:t>
      </w:r>
      <w:r w:rsidR="00D65C01">
        <w:rPr>
          <w:rFonts w:ascii="Times New Roman" w:hAnsi="Times New Roman"/>
        </w:rPr>
        <w:t xml:space="preserve"> from 248 hours to 280 hours</w:t>
      </w:r>
      <w:r w:rsidR="00D746BF">
        <w:rPr>
          <w:rFonts w:ascii="Times New Roman" w:hAnsi="Times New Roman"/>
        </w:rPr>
        <w:t>.</w:t>
      </w:r>
    </w:p>
    <w:p w:rsidRPr="00A1019D" w:rsidR="00D35001" w:rsidP="00A1019D" w:rsidRDefault="00D35001" w14:paraId="56378CDD" w14:textId="77777777">
      <w:pPr>
        <w:tabs>
          <w:tab w:val="left" w:pos="-1440"/>
        </w:tabs>
        <w:ind w:left="720" w:hanging="360"/>
        <w:rPr>
          <w:rFonts w:ascii="Times New Roman" w:hAnsi="Times New Roman"/>
          <w:b/>
          <w:bCs/>
          <w:iCs/>
          <w:u w:val="single"/>
        </w:rPr>
      </w:pPr>
    </w:p>
    <w:p w:rsidRPr="00D64624" w:rsidR="00937218" w:rsidP="00A1019D" w:rsidRDefault="007B6C63" w14:paraId="2C23E463" w14:textId="77777777">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14:paraId="77FD653B" w14:textId="77777777">
      <w:pPr>
        <w:rPr>
          <w:rFonts w:ascii="Times New Roman" w:hAnsi="Times New Roman"/>
        </w:rPr>
      </w:pPr>
    </w:p>
    <w:p w:rsidR="007B6C63" w:rsidP="000B0581" w:rsidRDefault="007B6C63" w14:paraId="4F217C46" w14:textId="77777777">
      <w:pPr>
        <w:ind w:left="720"/>
        <w:rPr>
          <w:rFonts w:ascii="Times New Roman" w:hAnsi="Times New Roman"/>
        </w:rPr>
      </w:pPr>
      <w:r>
        <w:rPr>
          <w:rFonts w:ascii="Times New Roman" w:hAnsi="Times New Roman"/>
        </w:rPr>
        <w:t>The information collected is for internal FDIC use only and is not published.</w:t>
      </w:r>
    </w:p>
    <w:p w:rsidR="007B6C63" w:rsidRDefault="007B6C63" w14:paraId="52A95C60" w14:textId="77777777">
      <w:pPr>
        <w:rPr>
          <w:rFonts w:ascii="Times New Roman" w:hAnsi="Times New Roman"/>
        </w:rPr>
      </w:pPr>
    </w:p>
    <w:p w:rsidR="007B6C63" w:rsidP="00A1019D" w:rsidRDefault="007B6C63" w14:paraId="4649ABA3" w14:textId="77777777">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14:paraId="134A611D" w14:textId="77777777">
      <w:pPr>
        <w:rPr>
          <w:rFonts w:ascii="Times New Roman" w:hAnsi="Times New Roman"/>
        </w:rPr>
      </w:pPr>
    </w:p>
    <w:p w:rsidR="007B6C63" w:rsidP="000B0581" w:rsidRDefault="00937218" w14:paraId="277C414C" w14:textId="77777777">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recordkeeping requirements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w:history="1" r:id="rId8">
        <w:r w:rsidRPr="00DD71EB" w:rsidR="00B76DC2">
          <w:rPr>
            <w:rStyle w:val="Hyperlink"/>
            <w:rFonts w:ascii="Times New Roman" w:hAnsi="Times New Roman"/>
          </w:rPr>
          <w:t>www.reginfo.gov</w:t>
        </w:r>
      </w:hyperlink>
      <w:r w:rsidRPr="00B76DC2" w:rsidR="00B76DC2">
        <w:rPr>
          <w:rStyle w:val="FootnoteReference"/>
          <w:rFonts w:ascii="Times New Roman" w:hAnsi="Times New Roman"/>
          <w:vertAlign w:val="superscript"/>
        </w:rPr>
        <w:footnoteReference w:id="7"/>
      </w:r>
    </w:p>
    <w:p w:rsidR="007B6C63" w:rsidRDefault="007B6C63" w14:paraId="64E1B715" w14:textId="77777777">
      <w:pPr>
        <w:rPr>
          <w:rFonts w:ascii="Times New Roman" w:hAnsi="Times New Roman"/>
        </w:rPr>
      </w:pPr>
    </w:p>
    <w:p w:rsidR="007B6C63" w:rsidP="00A1019D" w:rsidRDefault="007B6C63" w14:paraId="42397C7E" w14:textId="77777777">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14:paraId="3269BBC6" w14:textId="77777777">
      <w:pPr>
        <w:tabs>
          <w:tab w:val="left" w:pos="-1440"/>
        </w:tabs>
        <w:ind w:firstLine="360"/>
        <w:rPr>
          <w:rFonts w:ascii="Times New Roman" w:hAnsi="Times New Roman"/>
        </w:rPr>
      </w:pPr>
    </w:p>
    <w:p w:rsidR="007B6C63" w:rsidP="000B0581" w:rsidRDefault="007B6C63" w14:paraId="1D557825"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14:paraId="72EED56A" w14:textId="77777777">
      <w:pPr>
        <w:ind w:left="720"/>
        <w:rPr>
          <w:rFonts w:ascii="Times New Roman" w:hAnsi="Times New Roman"/>
        </w:rPr>
      </w:pPr>
    </w:p>
    <w:p w:rsidR="007B6C63" w:rsidP="00715C41" w:rsidRDefault="007B6C63" w14:paraId="4F7E49A1" w14:textId="77777777">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14:paraId="3ADB84B9" w14:textId="77777777">
      <w:pPr>
        <w:keepNext/>
        <w:rPr>
          <w:rFonts w:ascii="Times New Roman" w:hAnsi="Times New Roman"/>
        </w:rPr>
      </w:pPr>
    </w:p>
    <w:p w:rsidR="007B6C63" w:rsidP="00715C41" w:rsidRDefault="007B6C63" w14:paraId="127F81E1" w14:textId="77777777">
      <w:pPr>
        <w:keepNext/>
        <w:ind w:left="720"/>
        <w:rPr>
          <w:rFonts w:ascii="Times New Roman" w:hAnsi="Times New Roman"/>
        </w:rPr>
      </w:pPr>
      <w:r>
        <w:rPr>
          <w:rFonts w:ascii="Times New Roman" w:hAnsi="Times New Roman"/>
        </w:rPr>
        <w:t>Not applicable.</w:t>
      </w:r>
    </w:p>
    <w:p w:rsidR="007B6C63" w:rsidRDefault="007B6C63" w14:paraId="40A651F4" w14:textId="77777777">
      <w:pPr>
        <w:rPr>
          <w:rFonts w:ascii="Times New Roman" w:hAnsi="Times New Roman"/>
        </w:rPr>
      </w:pPr>
    </w:p>
    <w:p w:rsidR="007B6C63" w:rsidRDefault="007B6C63" w14:paraId="47A2E6D7" w14:textId="77777777">
      <w:pPr>
        <w:rPr>
          <w:rFonts w:ascii="Times New Roman" w:hAnsi="Times New Roman"/>
        </w:rPr>
      </w:pPr>
    </w:p>
    <w:sectPr w:rsidR="007B6C6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A10E0" w14:textId="77777777" w:rsidR="00800409" w:rsidRDefault="00800409">
      <w:r>
        <w:separator/>
      </w:r>
    </w:p>
  </w:endnote>
  <w:endnote w:type="continuationSeparator" w:id="0">
    <w:p w14:paraId="12172CE2" w14:textId="77777777" w:rsidR="00800409" w:rsidRDefault="0080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4E901" w14:textId="77777777"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CCB4" w14:textId="77777777" w:rsidR="007B6C63" w:rsidRDefault="007B6C63">
    <w:pPr>
      <w:spacing w:line="240" w:lineRule="exact"/>
    </w:pPr>
  </w:p>
  <w:p w14:paraId="6F9AE18D" w14:textId="1CB7240F"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A7A4C">
      <w:rPr>
        <w:rFonts w:ascii="Times New Roman" w:hAnsi="Times New Roman"/>
        <w:noProof/>
      </w:rPr>
      <w:t>3</w:t>
    </w:r>
    <w:r>
      <w:rPr>
        <w:rFonts w:ascii="Times New Roman" w:hAnsi="Times New Roman"/>
      </w:rPr>
      <w:fldChar w:fldCharType="end"/>
    </w:r>
  </w:p>
  <w:p w14:paraId="23CBE3BF" w14:textId="77777777"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1C4A" w14:textId="77777777"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ECD15" w14:textId="77777777" w:rsidR="00800409" w:rsidRDefault="00800409">
      <w:r>
        <w:separator/>
      </w:r>
    </w:p>
  </w:footnote>
  <w:footnote w:type="continuationSeparator" w:id="0">
    <w:p w14:paraId="26EC4C54" w14:textId="77777777" w:rsidR="00800409" w:rsidRDefault="00800409">
      <w:r>
        <w:continuationSeparator/>
      </w:r>
    </w:p>
  </w:footnote>
  <w:footnote w:id="1">
    <w:p w14:paraId="26526512" w14:textId="77777777" w:rsidR="00630C5C" w:rsidRDefault="00630C5C">
      <w:pPr>
        <w:pStyle w:val="FootnoteText"/>
      </w:pPr>
      <w:r w:rsidRPr="0054621E">
        <w:rPr>
          <w:rStyle w:val="FootnoteReference"/>
          <w:rFonts w:ascii="Times New Roman" w:hAnsi="Times New Roman"/>
          <w:vertAlign w:val="superscript"/>
        </w:rPr>
        <w:footnoteRef/>
      </w:r>
      <w:r>
        <w:t xml:space="preserve"> </w:t>
      </w:r>
      <w:r w:rsidRPr="0054621E">
        <w:rPr>
          <w:rFonts w:ascii="Times New Roman" w:hAnsi="Times New Roman"/>
        </w:rPr>
        <w:t xml:space="preserve">75 FR </w:t>
      </w:r>
      <w:r w:rsidR="0054621E" w:rsidRPr="0054621E">
        <w:rPr>
          <w:rFonts w:ascii="Times New Roman" w:hAnsi="Times New Roman"/>
        </w:rPr>
        <w:t>50801 (August 17, 2010)</w:t>
      </w:r>
      <w:r w:rsidR="0054621E">
        <w:rPr>
          <w:rFonts w:ascii="Times New Roman" w:hAnsi="Times New Roman"/>
        </w:rPr>
        <w:t>.</w:t>
      </w:r>
    </w:p>
  </w:footnote>
  <w:footnote w:id="2">
    <w:p w14:paraId="41FC1E82" w14:textId="77777777" w:rsidR="003A055C" w:rsidRDefault="003A055C" w:rsidP="003A055C">
      <w:pPr>
        <w:pStyle w:val="FootnoteText"/>
      </w:pPr>
      <w:r w:rsidRPr="003A055C">
        <w:rPr>
          <w:rStyle w:val="FootnoteReference"/>
          <w:rFonts w:ascii="Times New Roman" w:hAnsi="Times New Roman"/>
          <w:vertAlign w:val="superscript"/>
        </w:rPr>
        <w:footnoteRef/>
      </w:r>
      <w:r w:rsidRPr="003A055C">
        <w:rPr>
          <w:rFonts w:ascii="Times New Roman" w:hAnsi="Times New Roman"/>
          <w:vertAlign w:val="superscript"/>
        </w:rPr>
        <w:t xml:space="preserve"> </w:t>
      </w:r>
      <w:r w:rsidRPr="003A055C">
        <w:rPr>
          <w:rFonts w:ascii="Times New Roman" w:hAnsi="Times New Roman"/>
        </w:rPr>
        <w:t>HMDA only began tracking reverse mortgages with the 2018 HMDA data, meaning that there is no way to identify reverse mortgages in HMDA data in 2017 or earlier</w:t>
      </w:r>
      <w:r>
        <w:t xml:space="preserve">. </w:t>
      </w:r>
    </w:p>
  </w:footnote>
  <w:footnote w:id="3">
    <w:p w14:paraId="002B3932" w14:textId="77777777" w:rsidR="00856473" w:rsidRPr="00245E41" w:rsidRDefault="00856473" w:rsidP="00856473">
      <w:pPr>
        <w:pStyle w:val="FootnoteText"/>
        <w:rPr>
          <w:rFonts w:ascii="Times New Roman" w:hAnsi="Times New Roman"/>
        </w:rPr>
      </w:pPr>
      <w:r w:rsidRPr="00245E41">
        <w:rPr>
          <w:rStyle w:val="FootnoteReference"/>
          <w:rFonts w:ascii="Times New Roman" w:hAnsi="Times New Roman"/>
          <w:vertAlign w:val="superscript"/>
        </w:rPr>
        <w:footnoteRef/>
      </w:r>
      <w:r w:rsidRPr="00245E41">
        <w:rPr>
          <w:rFonts w:ascii="Times New Roman" w:hAnsi="Times New Roman"/>
        </w:rPr>
        <w:t xml:space="preserve"> Occupation (SOC Code): Management Occupations (110000).</w:t>
      </w:r>
    </w:p>
  </w:footnote>
  <w:footnote w:id="4">
    <w:p w14:paraId="153DF015" w14:textId="77777777"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Lawyers, Judges, and Related Workers (231000). </w:t>
      </w:r>
    </w:p>
  </w:footnote>
  <w:footnote w:id="5">
    <w:p w14:paraId="043022F6" w14:textId="77777777"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Compliance Officers (131041).</w:t>
      </w:r>
    </w:p>
  </w:footnote>
  <w:footnote w:id="6">
    <w:p w14:paraId="45B9E43B" w14:textId="77777777" w:rsidR="00856473" w:rsidRDefault="00245E41" w:rsidP="00856473">
      <w:pPr>
        <w:pStyle w:val="FootnoteText"/>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Office and Administrative Support Occupations (430000).</w:t>
      </w:r>
      <w:r w:rsidR="00856473">
        <w:t xml:space="preserve"> </w:t>
      </w:r>
    </w:p>
  </w:footnote>
  <w:footnote w:id="7">
    <w:p w14:paraId="0775858F" w14:textId="77777777" w:rsidR="00B76DC2" w:rsidRDefault="00B76DC2">
      <w:pPr>
        <w:pStyle w:val="FootnoteText"/>
      </w:pPr>
      <w:r w:rsidRPr="00B76DC2">
        <w:rPr>
          <w:rStyle w:val="FootnoteReference"/>
          <w:vertAlign w:val="superscript"/>
        </w:rPr>
        <w:footnoteRef/>
      </w:r>
      <w:r>
        <w:t xml:space="preserve"> </w:t>
      </w:r>
      <w:hyperlink r:id="rId1" w:history="1">
        <w:r w:rsidR="00245E41" w:rsidRPr="00A80495">
          <w:rPr>
            <w:rStyle w:val="Hyperlink"/>
            <w:rFonts w:ascii="Times New Roman" w:hAnsi="Times New Roman"/>
          </w:rPr>
          <w:t>https://www.reginfo.gov/public/Forward?SearchTarget=PRA&amp;textfield=3064-0176</w:t>
        </w:r>
      </w:hyperlink>
      <w:r w:rsidR="00245E41">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8717" w14:textId="77777777"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60F2" w14:textId="77777777"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C770" w14:textId="77777777"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855E4"/>
    <w:rsid w:val="00093D0F"/>
    <w:rsid w:val="000A7A4C"/>
    <w:rsid w:val="000B0581"/>
    <w:rsid w:val="000B5588"/>
    <w:rsid w:val="000F7E08"/>
    <w:rsid w:val="00125A5D"/>
    <w:rsid w:val="001305D1"/>
    <w:rsid w:val="00175893"/>
    <w:rsid w:val="00177720"/>
    <w:rsid w:val="001778A3"/>
    <w:rsid w:val="00182279"/>
    <w:rsid w:val="001D78D3"/>
    <w:rsid w:val="002331BC"/>
    <w:rsid w:val="00234383"/>
    <w:rsid w:val="00240097"/>
    <w:rsid w:val="00243D0C"/>
    <w:rsid w:val="00245E41"/>
    <w:rsid w:val="0025784A"/>
    <w:rsid w:val="00285D59"/>
    <w:rsid w:val="002A35F4"/>
    <w:rsid w:val="002A5F6B"/>
    <w:rsid w:val="002B1AFA"/>
    <w:rsid w:val="002F26D8"/>
    <w:rsid w:val="00304C3E"/>
    <w:rsid w:val="00371017"/>
    <w:rsid w:val="00386C94"/>
    <w:rsid w:val="003A055C"/>
    <w:rsid w:val="003B3219"/>
    <w:rsid w:val="003E3404"/>
    <w:rsid w:val="003E5901"/>
    <w:rsid w:val="003F0288"/>
    <w:rsid w:val="003F2FF8"/>
    <w:rsid w:val="00414ECF"/>
    <w:rsid w:val="00435A15"/>
    <w:rsid w:val="00437618"/>
    <w:rsid w:val="00454007"/>
    <w:rsid w:val="0048245A"/>
    <w:rsid w:val="004A5959"/>
    <w:rsid w:val="004B2F21"/>
    <w:rsid w:val="004C5B45"/>
    <w:rsid w:val="00523B22"/>
    <w:rsid w:val="0054621E"/>
    <w:rsid w:val="00563449"/>
    <w:rsid w:val="005709AF"/>
    <w:rsid w:val="005B79C4"/>
    <w:rsid w:val="005C5B63"/>
    <w:rsid w:val="005E62DB"/>
    <w:rsid w:val="00615BAD"/>
    <w:rsid w:val="00630C5C"/>
    <w:rsid w:val="0063734B"/>
    <w:rsid w:val="00653821"/>
    <w:rsid w:val="00655078"/>
    <w:rsid w:val="00686F68"/>
    <w:rsid w:val="006B0048"/>
    <w:rsid w:val="006B3465"/>
    <w:rsid w:val="0071052F"/>
    <w:rsid w:val="00715C41"/>
    <w:rsid w:val="007562B8"/>
    <w:rsid w:val="007729D8"/>
    <w:rsid w:val="007B6C63"/>
    <w:rsid w:val="00800409"/>
    <w:rsid w:val="0080546E"/>
    <w:rsid w:val="00820F79"/>
    <w:rsid w:val="00826F32"/>
    <w:rsid w:val="008332CE"/>
    <w:rsid w:val="00844536"/>
    <w:rsid w:val="00846A1A"/>
    <w:rsid w:val="00856473"/>
    <w:rsid w:val="008565C5"/>
    <w:rsid w:val="00862421"/>
    <w:rsid w:val="00863A45"/>
    <w:rsid w:val="00881712"/>
    <w:rsid w:val="008A7B8F"/>
    <w:rsid w:val="008B2102"/>
    <w:rsid w:val="008D5FC7"/>
    <w:rsid w:val="008F19EA"/>
    <w:rsid w:val="009104FE"/>
    <w:rsid w:val="00913902"/>
    <w:rsid w:val="00921EFB"/>
    <w:rsid w:val="00937218"/>
    <w:rsid w:val="009557A1"/>
    <w:rsid w:val="0096157F"/>
    <w:rsid w:val="00990A9E"/>
    <w:rsid w:val="009B62D9"/>
    <w:rsid w:val="009B7A15"/>
    <w:rsid w:val="009C2BFF"/>
    <w:rsid w:val="009C759A"/>
    <w:rsid w:val="00A0001C"/>
    <w:rsid w:val="00A1019D"/>
    <w:rsid w:val="00A152B6"/>
    <w:rsid w:val="00A249E9"/>
    <w:rsid w:val="00A26153"/>
    <w:rsid w:val="00A270BF"/>
    <w:rsid w:val="00A81BD7"/>
    <w:rsid w:val="00B06BE7"/>
    <w:rsid w:val="00B13760"/>
    <w:rsid w:val="00B17BBF"/>
    <w:rsid w:val="00B17F71"/>
    <w:rsid w:val="00B37DD6"/>
    <w:rsid w:val="00B61AD2"/>
    <w:rsid w:val="00B64991"/>
    <w:rsid w:val="00B66881"/>
    <w:rsid w:val="00B76DC2"/>
    <w:rsid w:val="00B977B5"/>
    <w:rsid w:val="00BD64F8"/>
    <w:rsid w:val="00BD7F95"/>
    <w:rsid w:val="00BF3B99"/>
    <w:rsid w:val="00C14D80"/>
    <w:rsid w:val="00C15EA7"/>
    <w:rsid w:val="00C750AB"/>
    <w:rsid w:val="00C772BC"/>
    <w:rsid w:val="00C8275D"/>
    <w:rsid w:val="00C858DF"/>
    <w:rsid w:val="00CB2ED5"/>
    <w:rsid w:val="00CC7A55"/>
    <w:rsid w:val="00CF2C13"/>
    <w:rsid w:val="00D0274E"/>
    <w:rsid w:val="00D1720C"/>
    <w:rsid w:val="00D35001"/>
    <w:rsid w:val="00D50321"/>
    <w:rsid w:val="00D50914"/>
    <w:rsid w:val="00D55074"/>
    <w:rsid w:val="00D65C01"/>
    <w:rsid w:val="00D746BF"/>
    <w:rsid w:val="00D765D6"/>
    <w:rsid w:val="00D804A5"/>
    <w:rsid w:val="00DA5092"/>
    <w:rsid w:val="00DD29EA"/>
    <w:rsid w:val="00DE2D0B"/>
    <w:rsid w:val="00E50911"/>
    <w:rsid w:val="00F01C6F"/>
    <w:rsid w:val="00F040F7"/>
    <w:rsid w:val="00F34CBE"/>
    <w:rsid w:val="00F90EAE"/>
    <w:rsid w:val="00F9430B"/>
    <w:rsid w:val="00FB759A"/>
    <w:rsid w:val="00FC0FB9"/>
    <w:rsid w:val="00FC41DF"/>
    <w:rsid w:val="00FC6915"/>
    <w:rsid w:val="00FC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394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character" w:styleId="CommentReference">
    <w:name w:val="annotation reference"/>
    <w:basedOn w:val="DefaultParagraphFont"/>
    <w:rsid w:val="008D5FC7"/>
    <w:rPr>
      <w:sz w:val="16"/>
      <w:szCs w:val="16"/>
    </w:rPr>
  </w:style>
  <w:style w:type="paragraph" w:styleId="CommentText">
    <w:name w:val="annotation text"/>
    <w:basedOn w:val="Normal"/>
    <w:link w:val="CommentTextChar"/>
    <w:rsid w:val="008D5FC7"/>
    <w:rPr>
      <w:sz w:val="20"/>
    </w:rPr>
  </w:style>
  <w:style w:type="character" w:customStyle="1" w:styleId="CommentTextChar">
    <w:name w:val="Comment Text Char"/>
    <w:basedOn w:val="DefaultParagraphFont"/>
    <w:link w:val="CommentText"/>
    <w:rsid w:val="008D5FC7"/>
    <w:rPr>
      <w:rFonts w:ascii="Courier" w:hAnsi="Courier"/>
      <w:snapToGrid w:val="0"/>
    </w:rPr>
  </w:style>
  <w:style w:type="paragraph" w:styleId="CommentSubject">
    <w:name w:val="annotation subject"/>
    <w:basedOn w:val="CommentText"/>
    <w:next w:val="CommentText"/>
    <w:link w:val="CommentSubjectChar"/>
    <w:rsid w:val="008D5FC7"/>
    <w:rPr>
      <w:b/>
      <w:bCs/>
    </w:rPr>
  </w:style>
  <w:style w:type="character" w:customStyle="1" w:styleId="CommentSubjectChar">
    <w:name w:val="Comment Subject Char"/>
    <w:basedOn w:val="CommentTextChar"/>
    <w:link w:val="CommentSubject"/>
    <w:rsid w:val="008D5FC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Forward?SearchTarget=PRA&amp;textfield=3064-0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9783-EAC6-47F5-9AC1-B32E2315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10413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7733290</vt:i4>
      </vt:variant>
      <vt:variant>
        <vt:i4>0</vt:i4>
      </vt:variant>
      <vt:variant>
        <vt:i4>0</vt:i4>
      </vt:variant>
      <vt:variant>
        <vt:i4>5</vt:i4>
      </vt:variant>
      <vt:variant>
        <vt:lpwstr>https://www.reginfo.gov/public/Forward?SearchTarget=PRA&amp;textfield=3064-0176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2020-06-16T11:51:00Z</dcterms:created>
  <dcterms:modified xsi:type="dcterms:W3CDTF">2020-06-16T11:51:00Z</dcterms:modified>
</cp:coreProperties>
</file>