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4E6" w:rsidRDefault="003414E6">
      <w:pPr>
        <w:jc w:val="center"/>
      </w:pPr>
      <w:bookmarkStart w:name="_GoBack" w:id="0"/>
      <w:bookmarkEnd w:id="0"/>
    </w:p>
    <w:p w:rsidR="003414E6" w:rsidRDefault="003414E6">
      <w:pPr>
        <w:jc w:val="center"/>
      </w:pPr>
    </w:p>
    <w:p w:rsidR="0067719F" w:rsidRDefault="0067719F">
      <w:pPr>
        <w:jc w:val="center"/>
      </w:pPr>
      <w:r>
        <w:t>OMB SUPPORTING STATEMENT</w:t>
      </w:r>
    </w:p>
    <w:p w:rsidR="0067719F" w:rsidRDefault="0067719F"/>
    <w:p w:rsidR="003414E6" w:rsidRDefault="003414E6"/>
    <w:p w:rsidR="0067719F" w:rsidRDefault="0067719F">
      <w:r>
        <w:t xml:space="preserve">OPM Form 2809 – Health Benefits </w:t>
      </w:r>
      <w:r w:rsidR="003120F3">
        <w:t>Elect</w:t>
      </w:r>
      <w:r>
        <w:t>ion Form</w:t>
      </w:r>
    </w:p>
    <w:p w:rsidR="0067719F" w:rsidRDefault="0067719F"/>
    <w:p w:rsidR="00A86050" w:rsidRDefault="00A86050"/>
    <w:p w:rsidR="00A86050" w:rsidP="00A86050" w:rsidRDefault="00A86050">
      <w:pPr>
        <w:numPr>
          <w:ilvl w:val="0"/>
          <w:numId w:val="3"/>
        </w:numPr>
      </w:pPr>
      <w:r>
        <w:t>Justification</w:t>
      </w:r>
    </w:p>
    <w:p w:rsidR="00A86050" w:rsidP="00A86050" w:rsidRDefault="00A86050"/>
    <w:p w:rsidRPr="00741061" w:rsidR="00A86050" w:rsidP="00A86050" w:rsidRDefault="00A86050">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86050" w:rsidRDefault="00A86050"/>
    <w:p w:rsidR="00A86050" w:rsidP="00A86050" w:rsidRDefault="0067719F">
      <w:pPr>
        <w:ind w:left="720"/>
      </w:pPr>
      <w:r>
        <w:t xml:space="preserve">Title 5, U. S. Code, Chapter 89, sections 8905 and 8905a specify the opportunities and conditions under which a retiree, survivor annuitant, or former spouse of a retiree is eligible to enroll or to change enrollment in the Federal Employees Health Benefits Program (FEHBP).  OPM Form 2809 is completed by the person who wishes to enroll or to make an enrollment change, other than an open season change. The circumstances which allow these actions are explained on the form.  </w:t>
      </w:r>
    </w:p>
    <w:p w:rsidR="00A86050" w:rsidP="00A86050" w:rsidRDefault="00A86050">
      <w:pPr>
        <w:ind w:left="360"/>
      </w:pPr>
    </w:p>
    <w:p w:rsidRPr="00741061" w:rsidR="00A86050" w:rsidP="00A86050" w:rsidRDefault="00A86050">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A86050" w:rsidP="00A86050" w:rsidRDefault="00A86050"/>
    <w:p w:rsidR="0067719F" w:rsidP="00A86050" w:rsidRDefault="007438A8">
      <w:pPr>
        <w:ind w:left="720"/>
      </w:pPr>
      <w:r>
        <w:rPr>
          <w:noProof/>
        </w:rPr>
        <w:pict>
          <v:rect id="Ink 1" style="position:absolute;left:0;text-align:left;margin-left:254pt;margin-top:44.45pt;width:4.2pt;height:2.05pt;z-index:251657728;visibility:visible" coordsize="97,21" coordorigin="1,1" o:spid="_x0000_s1026" filled="f" strokeweight=".5mm">
            <v:stroke endcap="round"/>
            <v:path fillok="f" shadowok="f" insetpenok="f" o:extrusionok="f"/>
            <o:lock v:ext="edit" rotation="t" text="t"/>
            <o:ink i="AGIdAhAGARBYz1SK5pfFT48G+LrS4ZsiAwZIEEUyRjIFAzgLZBkLOAkA/v8DAAAAAAAKMAqCnrxz&#10;OtqD9T4HrhqITACH8D8HgJf4Pzlv9/x7g38v8WDIAAoAESDgng4fMdLVAd==&#10;" annotation="t"/>
          </v:rect>
        </w:pict>
      </w:r>
      <w:r w:rsidRPr="009A6C84" w:rsidR="009A6C84">
        <w:t>OPM 2809, Health Benefits Election form, is used by annuitants and former spouses to elect, cancel, suspend, or change health benefits enrollment during periods other than open season.</w:t>
      </w:r>
      <w:r w:rsidR="009A6C84">
        <w:t xml:space="preserve"> </w:t>
      </w:r>
      <w:r w:rsidR="0067719F">
        <w:t xml:space="preserve">If this information were not collected, OPM could not comply with the provisions of title 5, U. S. Code, Chapter 89. </w:t>
      </w:r>
      <w:r w:rsidR="00D82F63">
        <w:t>The Privacy Act Statement has been revised due to a systematic review by our Chief Privacy Officer.</w:t>
      </w:r>
      <w:r w:rsidR="0067719F">
        <w:t xml:space="preserve"> The Public Burden Statement meets the requirements of 5 CFR 1320.8(b)(3).</w:t>
      </w:r>
      <w:r w:rsidR="009A6C84">
        <w:t xml:space="preserve"> </w:t>
      </w:r>
    </w:p>
    <w:p w:rsidR="0067719F" w:rsidRDefault="0067719F"/>
    <w:p w:rsidRPr="00741061" w:rsidR="006B37C6" w:rsidP="006B37C6" w:rsidRDefault="006B37C6">
      <w:pPr>
        <w:pStyle w:val="ListParagraph"/>
        <w:numPr>
          <w:ilvl w:val="0"/>
          <w:numId w:val="4"/>
        </w:numPr>
        <w:shd w:val="pct25" w:color="auto" w:fill="auto"/>
        <w:tabs>
          <w:tab w:val="left" w:pos="-720"/>
        </w:tabs>
        <w:suppressAutoHyphens/>
        <w:contextualSpacing/>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6B37C6" w:rsidP="006B37C6" w:rsidRDefault="006B37C6">
      <w:pPr>
        <w:ind w:left="720"/>
      </w:pPr>
    </w:p>
    <w:p w:rsidR="0067719F" w:rsidP="002B1643" w:rsidRDefault="002B1643">
      <w:pPr>
        <w:ind w:left="720"/>
      </w:pPr>
      <w:r w:rsidRPr="002B1643">
        <w:t>Use of improved information technology to reduce the burden is not practical. The information collected can only be obtained from the respondents. However, this form will be available in a PDF fillable format on our website and meets our GPEA requirements.</w:t>
      </w:r>
    </w:p>
    <w:p w:rsidR="002B1643" w:rsidP="002B1643" w:rsidRDefault="002B1643">
      <w:pPr>
        <w:ind w:left="720"/>
      </w:pPr>
    </w:p>
    <w:p w:rsidRPr="00741061" w:rsidR="006B37C6" w:rsidP="006B37C6" w:rsidRDefault="006B37C6">
      <w:pPr>
        <w:pStyle w:val="ListParagraph"/>
        <w:numPr>
          <w:ilvl w:val="0"/>
          <w:numId w:val="4"/>
        </w:numPr>
        <w:shd w:val="pct25" w:color="auto" w:fill="auto"/>
        <w:tabs>
          <w:tab w:val="left" w:pos="-720"/>
        </w:tabs>
        <w:suppressAutoHyphens/>
        <w:contextualSpacing/>
      </w:pPr>
      <w:r w:rsidRPr="00741061">
        <w:t>Describe eff</w:t>
      </w:r>
      <w:r>
        <w:t xml:space="preserve">orts to identify duplication.  </w:t>
      </w:r>
      <w:r w:rsidRPr="00741061">
        <w:t xml:space="preserve">Show specifically why any similar information already available cannot be used or modified for use for the purposes described in Item 2 above. </w:t>
      </w:r>
    </w:p>
    <w:p w:rsidR="006B37C6" w:rsidP="006B37C6" w:rsidRDefault="006B37C6">
      <w:pPr>
        <w:ind w:firstLine="720"/>
      </w:pPr>
    </w:p>
    <w:p w:rsidR="002B1643" w:rsidP="002B1643" w:rsidRDefault="002B1643">
      <w:pPr>
        <w:ind w:left="300" w:firstLine="420"/>
      </w:pPr>
      <w:r>
        <w:t xml:space="preserve">Every effort is made to identify and avoid duplication. The information is collected       </w:t>
      </w:r>
    </w:p>
    <w:p w:rsidR="002B1643" w:rsidP="0047295A" w:rsidRDefault="0047295A">
      <w:pPr>
        <w:ind w:left="720"/>
      </w:pPr>
      <w:r>
        <w:lastRenderedPageBreak/>
        <w:t>i</w:t>
      </w:r>
      <w:r w:rsidR="002B1643">
        <w:t xml:space="preserve">ndividually and respondents with no earnings are asked not to respond. There is no other way to obtain this information. </w:t>
      </w:r>
    </w:p>
    <w:p w:rsidR="006B37C6" w:rsidP="006B37C6" w:rsidRDefault="006B37C6">
      <w:pPr>
        <w:ind w:firstLine="720"/>
      </w:pPr>
    </w:p>
    <w:p w:rsidRPr="00741061" w:rsidR="006B37C6" w:rsidP="006B37C6" w:rsidRDefault="006B37C6">
      <w:pPr>
        <w:pStyle w:val="ListParagraph"/>
        <w:numPr>
          <w:ilvl w:val="0"/>
          <w:numId w:val="4"/>
        </w:numPr>
        <w:shd w:val="pct25" w:color="auto" w:fill="auto"/>
        <w:tabs>
          <w:tab w:val="left" w:pos="-720"/>
        </w:tabs>
        <w:suppressAutoHyphens/>
        <w:contextualSpacing/>
      </w:pPr>
      <w:r w:rsidRPr="00741061">
        <w:t>If the collection of information impacts small businesses or other small entities (Item 5 of OMB Form 83-I), describe any methods used to minimize.</w:t>
      </w:r>
    </w:p>
    <w:p w:rsidR="006B37C6" w:rsidP="006B37C6" w:rsidRDefault="006B37C6">
      <w:pPr>
        <w:ind w:left="720"/>
      </w:pPr>
    </w:p>
    <w:p w:rsidR="0067719F" w:rsidP="006B37C6" w:rsidRDefault="002B1643">
      <w:pPr>
        <w:ind w:left="720"/>
      </w:pPr>
      <w:r>
        <w:t>This information collection request has no impact on small businesses and organizations.</w:t>
      </w:r>
    </w:p>
    <w:p w:rsidR="006B37C6" w:rsidP="006B37C6" w:rsidRDefault="006B37C6">
      <w:pPr>
        <w:ind w:left="720"/>
      </w:pPr>
    </w:p>
    <w:p w:rsidRPr="00741061" w:rsidR="006B37C6" w:rsidP="006B37C6" w:rsidRDefault="006B37C6">
      <w:pPr>
        <w:pStyle w:val="ListParagraph"/>
        <w:numPr>
          <w:ilvl w:val="0"/>
          <w:numId w:val="4"/>
        </w:numPr>
        <w:shd w:val="pct25" w:color="auto" w:fill="auto"/>
        <w:tabs>
          <w:tab w:val="left" w:pos="-720"/>
        </w:tabs>
        <w:suppressAutoHyphens/>
        <w:contextualSpacing/>
      </w:pPr>
      <w:r w:rsidRPr="00741061">
        <w:t>Describe the consequence to Federal/DHS program or policy activities if the collection of information is not conducted, or is conducted less frequently, as well as any technical or legal obstacles to reducing burden.</w:t>
      </w:r>
    </w:p>
    <w:p w:rsidR="0067719F" w:rsidRDefault="0067719F"/>
    <w:p w:rsidR="006B37C6" w:rsidP="006B37C6" w:rsidRDefault="006B37C6">
      <w:pPr>
        <w:ind w:left="720"/>
      </w:pPr>
      <w:r w:rsidRPr="00337437">
        <w:t xml:space="preserve">This information collection </w:t>
      </w:r>
      <w:r>
        <w:t xml:space="preserve">is made when OPM needs to recompute the annuity without the reduction. </w:t>
      </w:r>
      <w:r w:rsidRPr="002C1F76">
        <w:t>This information collection is consistent wi</w:t>
      </w:r>
      <w:r>
        <w:t>th the guidelines in 5 CFR 1320.8(b)(3). If this information were not collected, annuitants could be paid less than the law provides.</w:t>
      </w:r>
    </w:p>
    <w:p w:rsidR="00CB0B42" w:rsidP="006B37C6" w:rsidRDefault="00CB0B42">
      <w:pPr>
        <w:ind w:left="720"/>
      </w:pPr>
    </w:p>
    <w:p w:rsidR="00CB0B42" w:rsidP="00CB0B42" w:rsidRDefault="00CB0B42">
      <w:pPr>
        <w:pStyle w:val="ListParagraph"/>
        <w:numPr>
          <w:ilvl w:val="0"/>
          <w:numId w:val="4"/>
        </w:numPr>
        <w:shd w:val="pct25" w:color="auto" w:fill="auto"/>
        <w:tabs>
          <w:tab w:val="left" w:pos="-720"/>
        </w:tabs>
        <w:suppressAutoHyphens/>
        <w:contextualSpacing/>
      </w:pPr>
      <w:r w:rsidRPr="009B7453">
        <w:t>Explain any special circumstances that would cause an information collection to be conducted in a manner:</w:t>
      </w:r>
      <w:r>
        <w:t xml:space="preserve"> </w:t>
      </w:r>
    </w:p>
    <w:p w:rsidR="00CB0B42" w:rsidP="00CB0B42" w:rsidRDefault="00CB0B42">
      <w:pPr>
        <w:pStyle w:val="ListParagraph"/>
        <w:shd w:val="pct25" w:color="auto" w:fill="auto"/>
        <w:tabs>
          <w:tab w:val="left" w:pos="-720"/>
        </w:tabs>
        <w:suppressAutoHyphens/>
      </w:pPr>
      <w:r>
        <w:t xml:space="preserve">• requiring respondents to report information to the agency more often than quarterly; </w:t>
      </w:r>
    </w:p>
    <w:p w:rsidR="00CB0B42" w:rsidP="00CB0B42" w:rsidRDefault="00CB0B42">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CB0B42" w:rsidP="00CB0B42" w:rsidRDefault="00CB0B42">
      <w:pPr>
        <w:pStyle w:val="ListParagraph"/>
        <w:shd w:val="pct25" w:color="auto" w:fill="auto"/>
        <w:tabs>
          <w:tab w:val="left" w:pos="-720"/>
        </w:tabs>
        <w:suppressAutoHyphens/>
      </w:pPr>
      <w:r>
        <w:t xml:space="preserve">•requiring respondents to submit more than an original and two copies of any document; </w:t>
      </w:r>
    </w:p>
    <w:p w:rsidR="00CB0B42" w:rsidP="00CB0B42" w:rsidRDefault="00CB0B42">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CB0B42" w:rsidP="00CB0B42" w:rsidRDefault="00CB0B42">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CB0B42" w:rsidP="00CB0B42" w:rsidRDefault="00CB0B42">
      <w:pPr>
        <w:pStyle w:val="ListParagraph"/>
        <w:shd w:val="pct25" w:color="auto" w:fill="auto"/>
        <w:tabs>
          <w:tab w:val="left" w:pos="-720"/>
        </w:tabs>
        <w:suppressAutoHyphens/>
      </w:pPr>
      <w:r>
        <w:t xml:space="preserve">• requiring the use of a statistical data classification that has not been reviewed and approved by OMB; </w:t>
      </w:r>
    </w:p>
    <w:p w:rsidR="00CB0B42" w:rsidP="00CB0B42" w:rsidRDefault="00CB0B42">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B0B42" w:rsidP="00CB0B42" w:rsidRDefault="00CB0B42">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CB0B42" w:rsidP="00CB0B42" w:rsidRDefault="00CB0B42">
      <w:pPr>
        <w:ind w:left="720"/>
      </w:pPr>
      <w:r>
        <w:br/>
        <w:t>There are no special circumstances involved in the collection of this information.</w:t>
      </w:r>
    </w:p>
    <w:p w:rsidR="00CB0B42" w:rsidP="00CB0B42" w:rsidRDefault="00CB0B42">
      <w:pPr>
        <w:ind w:left="720"/>
      </w:pPr>
    </w:p>
    <w:p w:rsidRPr="00741061" w:rsidR="00CB0B42" w:rsidP="00CB0B42" w:rsidRDefault="00CB0B42">
      <w:pPr>
        <w:pStyle w:val="ListParagraph"/>
        <w:numPr>
          <w:ilvl w:val="0"/>
          <w:numId w:val="4"/>
        </w:numPr>
        <w:shd w:val="pct25" w:color="auto" w:fill="auto"/>
        <w:tabs>
          <w:tab w:val="left" w:pos="-720"/>
        </w:tabs>
        <w:suppressAutoHyphens/>
        <w:contextualSpacing/>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proofErr w:type="gramStart"/>
      <w:r w:rsidRPr="00741061">
        <w:t>publication</w:t>
      </w:r>
      <w:proofErr w:type="gramEnd"/>
      <w:r w:rsidRPr="00741061">
        <w:t xml:space="preserve"> in the Federal Register of the agency’s notice soliciting comments on the information collection prior to submission to OMB</w:t>
      </w:r>
    </w:p>
    <w:p w:rsidR="00CB0B42" w:rsidP="00CB0B42" w:rsidRDefault="00CB0B42">
      <w:pPr>
        <w:ind w:left="720"/>
      </w:pPr>
      <w:r>
        <w:br/>
        <w:t>On August 20, 2019, a 60 Day Federal Register Notice was published at 84 FR 43191 requesting comment. No comments were received.</w:t>
      </w:r>
    </w:p>
    <w:p w:rsidR="00CB0B42" w:rsidP="0047295A" w:rsidRDefault="00CB0B42"/>
    <w:p w:rsidR="00CB0B42" w:rsidP="00CB0B42" w:rsidRDefault="00CB0B42">
      <w:pPr>
        <w:ind w:left="720"/>
      </w:pPr>
    </w:p>
    <w:p w:rsidRPr="00741061" w:rsidR="00CB0B42" w:rsidP="00CB0B42" w:rsidRDefault="00CB0B42">
      <w:pPr>
        <w:pStyle w:val="ListParagraph"/>
        <w:numPr>
          <w:ilvl w:val="0"/>
          <w:numId w:val="4"/>
        </w:numPr>
        <w:shd w:val="pct25" w:color="auto" w:fill="auto"/>
        <w:tabs>
          <w:tab w:val="left" w:pos="-720"/>
        </w:tabs>
        <w:suppressAutoHyphens/>
        <w:ind w:right="-288"/>
        <w:contextualSpacing/>
      </w:pPr>
      <w:r w:rsidRPr="00741061">
        <w:t>Explain any decision to provide any payment or gift to respondents, other than remuneration of contractors or grantees.</w:t>
      </w:r>
    </w:p>
    <w:p w:rsidR="002B1643" w:rsidP="006B37C6" w:rsidRDefault="002B1643">
      <w:pPr>
        <w:ind w:left="720"/>
      </w:pPr>
    </w:p>
    <w:p w:rsidR="006B37C6" w:rsidP="006B37C6" w:rsidRDefault="002B1643">
      <w:pPr>
        <w:ind w:left="720"/>
      </w:pPr>
      <w:r>
        <w:t>No payment or gift is provided to respondents.</w:t>
      </w:r>
    </w:p>
    <w:p w:rsidR="002B1643" w:rsidP="006B37C6" w:rsidRDefault="002B1643">
      <w:pPr>
        <w:ind w:left="720"/>
      </w:pPr>
    </w:p>
    <w:p w:rsidRPr="00741061" w:rsidR="00CB0B42" w:rsidP="00CB0B42" w:rsidRDefault="00CB0B42">
      <w:pPr>
        <w:pStyle w:val="ListParagraph"/>
        <w:numPr>
          <w:ilvl w:val="0"/>
          <w:numId w:val="4"/>
        </w:numPr>
        <w:shd w:val="pct25" w:color="auto" w:fill="auto"/>
        <w:tabs>
          <w:tab w:val="clear" w:pos="720"/>
          <w:tab w:val="left" w:pos="-720"/>
          <w:tab w:val="num" w:pos="630"/>
        </w:tabs>
        <w:suppressAutoHyphens/>
        <w:ind w:left="630" w:right="-288"/>
        <w:contextualSpacing/>
      </w:pPr>
      <w:r w:rsidRPr="00741061">
        <w:t xml:space="preserve">Describe any assurance of confidentiality provided to respondents and the basis for the assurance in statute, regulation, or agency policy.  </w:t>
      </w:r>
    </w:p>
    <w:p w:rsidR="00CB0B42" w:rsidP="00CB0B42" w:rsidRDefault="00CB0B42">
      <w:pPr>
        <w:pStyle w:val="ListParagraph"/>
        <w:ind w:right="-288"/>
      </w:pPr>
    </w:p>
    <w:p w:rsidR="00CB0B42" w:rsidP="00CB0B42" w:rsidRDefault="00CB0B42">
      <w:pPr>
        <w:ind w:left="720" w:right="-288"/>
      </w:pPr>
      <w:r>
        <w:t>This information collection is protected by the Privacy Act of 1974 and OPM regulations</w:t>
      </w:r>
      <w:r>
        <w:br/>
        <w:t xml:space="preserve">(5 CFR 831.106).  The routine uses of disclosure appear in the </w:t>
      </w:r>
      <w:r w:rsidRPr="006C4545">
        <w:rPr>
          <w:i/>
        </w:rPr>
        <w:t>Federal Register</w:t>
      </w:r>
      <w:r>
        <w:t xml:space="preserve"> for </w:t>
      </w:r>
    </w:p>
    <w:p w:rsidR="00CB0B42" w:rsidP="00CB0B42" w:rsidRDefault="00CB0B42">
      <w:pPr>
        <w:ind w:right="-288" w:firstLine="720"/>
      </w:pPr>
      <w:r>
        <w:t xml:space="preserve">OPM/Central-1 (73 FR 15013, </w:t>
      </w:r>
      <w:r w:rsidRPr="006C4545">
        <w:rPr>
          <w:i/>
        </w:rPr>
        <w:t>et seq</w:t>
      </w:r>
      <w:r>
        <w:t>., March 20, 2008).</w:t>
      </w:r>
    </w:p>
    <w:p w:rsidR="00CB0B42" w:rsidP="00CB0B42" w:rsidRDefault="00CB0B42">
      <w:pPr>
        <w:ind w:right="-288" w:firstLine="720"/>
      </w:pPr>
    </w:p>
    <w:p w:rsidRPr="00741061" w:rsidR="00CB0B42" w:rsidP="00CB0B42" w:rsidRDefault="00CB0B42">
      <w:pPr>
        <w:pStyle w:val="ListParagraph"/>
        <w:numPr>
          <w:ilvl w:val="0"/>
          <w:numId w:val="4"/>
        </w:numPr>
        <w:shd w:val="pct25" w:color="auto" w:fill="auto"/>
        <w:tabs>
          <w:tab w:val="clear" w:pos="720"/>
          <w:tab w:val="left" w:pos="-720"/>
          <w:tab w:val="num" w:pos="63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B0B42" w:rsidP="00CB0B42" w:rsidRDefault="00CB0B42">
      <w:pPr>
        <w:spacing w:before="240"/>
        <w:ind w:left="720"/>
      </w:pPr>
      <w:r>
        <w:t xml:space="preserve">The information collection does not include questions of a sensitive nature, such as sexual behavior and attitudes, religious beliefs, and other matters that are commonly considered private. </w:t>
      </w:r>
    </w:p>
    <w:p w:rsidR="00CB0B42" w:rsidP="00CB0B42" w:rsidRDefault="00CB0B42">
      <w:pPr>
        <w:ind w:right="-288" w:firstLine="720"/>
      </w:pPr>
    </w:p>
    <w:p w:rsidRPr="00741061" w:rsidR="00CB0B42" w:rsidP="00CB0B42" w:rsidRDefault="00CB0B42">
      <w:pPr>
        <w:pStyle w:val="ListParagraph"/>
        <w:shd w:val="pct25" w:color="auto" w:fill="FFFFFF"/>
        <w:tabs>
          <w:tab w:val="left" w:pos="-720"/>
        </w:tabs>
        <w:suppressAutoHyphens/>
        <w:ind w:left="360"/>
      </w:pPr>
      <w:r w:rsidRPr="00741061">
        <w:t>12. Provide estimates of the hour burden of the collection of information.  The statement should:</w:t>
      </w:r>
    </w:p>
    <w:p w:rsidRPr="00741061" w:rsidR="00CB0B42" w:rsidP="00CB0B42" w:rsidRDefault="00CB0B42">
      <w:pPr>
        <w:pStyle w:val="ListParagraph"/>
        <w:tabs>
          <w:tab w:val="left" w:pos="-720"/>
        </w:tabs>
        <w:suppressAutoHyphens/>
        <w:ind w:left="360"/>
      </w:pPr>
    </w:p>
    <w:p w:rsidR="00CB0B42" w:rsidP="00CB0B42" w:rsidRDefault="00CB0B42">
      <w:pPr>
        <w:pStyle w:val="ListParagraph"/>
        <w:shd w:val="pct25" w:color="auto" w:fill="auto"/>
        <w:tabs>
          <w:tab w:val="left" w:pos="-720"/>
        </w:tabs>
        <w:suppressAutoHyphens/>
        <w:ind w:left="360"/>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CB0B42" w:rsidP="00CB0B42" w:rsidRDefault="00CB0B42">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t xml:space="preserve"> </w:t>
      </w:r>
    </w:p>
    <w:p w:rsidRPr="00741061" w:rsidR="00CB0B42" w:rsidP="00C1773B" w:rsidRDefault="00CB0B42">
      <w:pPr>
        <w:pStyle w:val="ListParagraph"/>
        <w:shd w:val="pct25" w:color="auto" w:fill="auto"/>
        <w:tabs>
          <w:tab w:val="left" w:pos="-720"/>
        </w:tabs>
        <w:suppressAutoHyphens/>
        <w:ind w:left="360"/>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11A92" w:rsidP="0047295A" w:rsidRDefault="00C1773B">
      <w:pPr>
        <w:ind w:left="720"/>
      </w:pPr>
      <w:r>
        <w:br/>
      </w:r>
      <w:r w:rsidR="00FC4360">
        <w:t>Approximately 30,000 changes to health benefits coverage</w:t>
      </w:r>
      <w:r w:rsidR="00EB0FB2">
        <w:t xml:space="preserve"> </w:t>
      </w:r>
      <w:r w:rsidRPr="00EB0FB2" w:rsidR="00EB0FB2">
        <w:t>are processed</w:t>
      </w:r>
      <w:r w:rsidR="00FC4360">
        <w:t xml:space="preserve"> per year.  Of these, 20,000 are submitted on OPM Form 2809 and 10,000 verbally or in written correspondence.  Each form takes approximately 30 minutes to complete; data collection by telephone or mail takes approximately 10 minutes.  The annual burden for the form is 11,667 hours; the burden for not using the form is 1,667 hours.  The total burden is 11,667 hours.</w:t>
      </w:r>
    </w:p>
    <w:p w:rsidR="0047295A" w:rsidP="0047295A" w:rsidRDefault="0047295A">
      <w:pPr>
        <w:ind w:left="720"/>
      </w:pPr>
    </w:p>
    <w:p w:rsidR="0047295A" w:rsidP="0047295A" w:rsidRDefault="0047295A">
      <w:pPr>
        <w:ind w:left="720"/>
      </w:pPr>
    </w:p>
    <w:p w:rsidR="0047295A" w:rsidP="0047295A" w:rsidRDefault="0047295A">
      <w:pPr>
        <w:ind w:left="720"/>
      </w:pPr>
    </w:p>
    <w:p w:rsidR="0047295A" w:rsidP="0047295A" w:rsidRDefault="0047295A">
      <w:pPr>
        <w:ind w:left="720"/>
      </w:pPr>
    </w:p>
    <w:p w:rsidR="0047295A" w:rsidP="0047295A" w:rsidRDefault="0047295A">
      <w:pPr>
        <w:ind w:left="720"/>
      </w:pPr>
    </w:p>
    <w:p w:rsidR="0047295A" w:rsidP="0047295A" w:rsidRDefault="0047295A">
      <w:pPr>
        <w:ind w:left="720"/>
      </w:pPr>
    </w:p>
    <w:p w:rsidR="0047295A" w:rsidP="0047295A" w:rsidRDefault="0047295A">
      <w:pPr>
        <w:ind w:left="720"/>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
        <w:gridCol w:w="1053"/>
        <w:gridCol w:w="1230"/>
        <w:gridCol w:w="1176"/>
        <w:gridCol w:w="1114"/>
        <w:gridCol w:w="1037"/>
        <w:gridCol w:w="1064"/>
        <w:gridCol w:w="1176"/>
      </w:tblGrid>
      <w:tr w:rsidR="00C11A92" w:rsidTr="0034372F">
        <w:tc>
          <w:tcPr>
            <w:tcW w:w="1006" w:type="dxa"/>
            <w:shd w:val="clear" w:color="auto" w:fill="D9D9D9"/>
          </w:tcPr>
          <w:p w:rsidRPr="0034372F" w:rsidR="00C11A92" w:rsidP="0034372F" w:rsidRDefault="00C11A92">
            <w:pPr>
              <w:spacing w:before="240"/>
              <w:rPr>
                <w:rFonts w:ascii="Arial" w:hAnsi="Arial" w:cs="Arial"/>
                <w:b/>
                <w:sz w:val="16"/>
                <w:szCs w:val="16"/>
              </w:rPr>
            </w:pPr>
            <w:r w:rsidRPr="0034372F">
              <w:rPr>
                <w:rFonts w:ascii="Arial" w:hAnsi="Arial" w:cs="Arial"/>
                <w:b/>
                <w:sz w:val="16"/>
                <w:szCs w:val="16"/>
              </w:rPr>
              <w:t>Form Name</w:t>
            </w:r>
          </w:p>
        </w:tc>
        <w:tc>
          <w:tcPr>
            <w:tcW w:w="1053" w:type="dxa"/>
            <w:shd w:val="clear" w:color="auto" w:fill="D9D9D9"/>
          </w:tcPr>
          <w:p w:rsidRPr="0034372F" w:rsidR="00C11A92" w:rsidP="0034372F" w:rsidRDefault="00C11A92">
            <w:pPr>
              <w:spacing w:before="240"/>
              <w:rPr>
                <w:rFonts w:ascii="Arial" w:hAnsi="Arial" w:cs="Arial"/>
                <w:b/>
                <w:sz w:val="16"/>
                <w:szCs w:val="16"/>
              </w:rPr>
            </w:pPr>
            <w:r w:rsidRPr="0034372F">
              <w:rPr>
                <w:rFonts w:ascii="Arial" w:hAnsi="Arial" w:cs="Arial"/>
                <w:b/>
                <w:sz w:val="16"/>
                <w:szCs w:val="16"/>
              </w:rPr>
              <w:t>Form Number</w:t>
            </w:r>
          </w:p>
        </w:tc>
        <w:tc>
          <w:tcPr>
            <w:tcW w:w="1230" w:type="dxa"/>
            <w:shd w:val="clear" w:color="auto" w:fill="D9D9D9"/>
          </w:tcPr>
          <w:p w:rsidRPr="0034372F" w:rsidR="00C11A92" w:rsidP="0034372F" w:rsidRDefault="00C11A92">
            <w:pPr>
              <w:spacing w:before="240"/>
              <w:rPr>
                <w:rFonts w:ascii="Arial" w:hAnsi="Arial" w:cs="Arial"/>
                <w:b/>
                <w:sz w:val="16"/>
                <w:szCs w:val="16"/>
              </w:rPr>
            </w:pPr>
            <w:r w:rsidRPr="0034372F">
              <w:rPr>
                <w:rFonts w:ascii="Arial" w:hAnsi="Arial" w:cs="Arial"/>
                <w:b/>
                <w:sz w:val="16"/>
                <w:szCs w:val="16"/>
              </w:rPr>
              <w:t>No. of Respondents</w:t>
            </w:r>
          </w:p>
        </w:tc>
        <w:tc>
          <w:tcPr>
            <w:tcW w:w="1176" w:type="dxa"/>
            <w:shd w:val="clear" w:color="auto" w:fill="D9D9D9"/>
          </w:tcPr>
          <w:p w:rsidRPr="0034372F" w:rsidR="00C11A92" w:rsidP="0034372F" w:rsidRDefault="00C11A92">
            <w:pPr>
              <w:spacing w:before="240"/>
              <w:rPr>
                <w:rFonts w:ascii="Arial" w:hAnsi="Arial" w:cs="Arial"/>
                <w:b/>
                <w:sz w:val="16"/>
                <w:szCs w:val="16"/>
              </w:rPr>
            </w:pPr>
            <w:r w:rsidRPr="0034372F">
              <w:rPr>
                <w:rFonts w:ascii="Arial" w:hAnsi="Arial" w:cs="Arial"/>
                <w:b/>
                <w:sz w:val="16"/>
                <w:szCs w:val="16"/>
              </w:rPr>
              <w:t>No. of Responses per Respondent</w:t>
            </w:r>
          </w:p>
        </w:tc>
        <w:tc>
          <w:tcPr>
            <w:tcW w:w="1114" w:type="dxa"/>
            <w:shd w:val="clear" w:color="auto" w:fill="D9D9D9"/>
          </w:tcPr>
          <w:p w:rsidRPr="0034372F" w:rsidR="00C11A92" w:rsidP="0034372F" w:rsidRDefault="00C11A92">
            <w:pPr>
              <w:spacing w:before="240"/>
              <w:rPr>
                <w:rFonts w:ascii="Arial" w:hAnsi="Arial" w:cs="Arial"/>
                <w:b/>
                <w:sz w:val="16"/>
                <w:szCs w:val="16"/>
              </w:rPr>
            </w:pPr>
            <w:r w:rsidRPr="0034372F">
              <w:rPr>
                <w:rFonts w:ascii="Arial" w:hAnsi="Arial" w:cs="Arial"/>
                <w:b/>
                <w:sz w:val="16"/>
                <w:szCs w:val="16"/>
              </w:rPr>
              <w:t>Average Burden per Response (in hours)</w:t>
            </w:r>
          </w:p>
        </w:tc>
        <w:tc>
          <w:tcPr>
            <w:tcW w:w="1037" w:type="dxa"/>
            <w:shd w:val="clear" w:color="auto" w:fill="D9D9D9"/>
          </w:tcPr>
          <w:p w:rsidRPr="0034372F" w:rsidR="00C11A92" w:rsidP="0034372F" w:rsidRDefault="00C11A92">
            <w:pPr>
              <w:spacing w:before="240"/>
              <w:rPr>
                <w:rFonts w:ascii="Arial" w:hAnsi="Arial" w:cs="Arial"/>
                <w:b/>
                <w:sz w:val="16"/>
                <w:szCs w:val="16"/>
              </w:rPr>
            </w:pPr>
            <w:r w:rsidRPr="0034372F">
              <w:rPr>
                <w:rFonts w:ascii="Arial" w:hAnsi="Arial" w:cs="Arial"/>
                <w:b/>
                <w:sz w:val="16"/>
                <w:szCs w:val="16"/>
              </w:rPr>
              <w:t>Total Annual Burden (in hours)</w:t>
            </w:r>
          </w:p>
        </w:tc>
        <w:tc>
          <w:tcPr>
            <w:tcW w:w="1064" w:type="dxa"/>
            <w:shd w:val="clear" w:color="auto" w:fill="D9D9D9"/>
          </w:tcPr>
          <w:p w:rsidRPr="0034372F" w:rsidR="00C11A92" w:rsidP="0034372F" w:rsidRDefault="00C11A92">
            <w:pPr>
              <w:spacing w:before="240"/>
              <w:rPr>
                <w:rFonts w:ascii="Arial" w:hAnsi="Arial" w:cs="Arial"/>
                <w:b/>
                <w:sz w:val="16"/>
                <w:szCs w:val="16"/>
              </w:rPr>
            </w:pPr>
            <w:r w:rsidRPr="0034372F">
              <w:rPr>
                <w:rFonts w:ascii="Arial" w:hAnsi="Arial" w:cs="Arial"/>
                <w:b/>
                <w:sz w:val="16"/>
                <w:szCs w:val="16"/>
              </w:rPr>
              <w:t>Average Hourly Wage Rate</w:t>
            </w:r>
          </w:p>
        </w:tc>
        <w:tc>
          <w:tcPr>
            <w:tcW w:w="1176" w:type="dxa"/>
            <w:shd w:val="clear" w:color="auto" w:fill="D9D9D9"/>
          </w:tcPr>
          <w:p w:rsidRPr="0034372F" w:rsidR="00C11A92" w:rsidP="0034372F" w:rsidRDefault="00C11A92">
            <w:pPr>
              <w:spacing w:before="240"/>
              <w:rPr>
                <w:rFonts w:ascii="Arial" w:hAnsi="Arial" w:cs="Arial"/>
                <w:b/>
                <w:sz w:val="16"/>
                <w:szCs w:val="16"/>
              </w:rPr>
            </w:pPr>
            <w:r w:rsidRPr="0034372F">
              <w:rPr>
                <w:rFonts w:ascii="Arial" w:hAnsi="Arial" w:cs="Arial"/>
                <w:b/>
                <w:sz w:val="16"/>
                <w:szCs w:val="16"/>
              </w:rPr>
              <w:t>Total Annual Respondent Cost</w:t>
            </w:r>
          </w:p>
        </w:tc>
      </w:tr>
      <w:tr w:rsidR="00C11A92" w:rsidTr="0034372F">
        <w:tc>
          <w:tcPr>
            <w:tcW w:w="1006" w:type="dxa"/>
            <w:shd w:val="clear" w:color="auto" w:fill="auto"/>
          </w:tcPr>
          <w:p w:rsidRPr="0034372F" w:rsidR="00C11A92" w:rsidP="0034372F" w:rsidRDefault="00E26880">
            <w:pPr>
              <w:spacing w:before="240"/>
              <w:rPr>
                <w:sz w:val="18"/>
                <w:szCs w:val="18"/>
              </w:rPr>
            </w:pPr>
            <w:r w:rsidRPr="00E26880">
              <w:rPr>
                <w:sz w:val="18"/>
                <w:szCs w:val="18"/>
              </w:rPr>
              <w:t>Health Benefits Election Form</w:t>
            </w:r>
          </w:p>
        </w:tc>
        <w:tc>
          <w:tcPr>
            <w:tcW w:w="1053" w:type="dxa"/>
            <w:shd w:val="clear" w:color="auto" w:fill="auto"/>
          </w:tcPr>
          <w:p w:rsidRPr="0034372F" w:rsidR="00C11A92" w:rsidP="0034372F" w:rsidRDefault="00E26880">
            <w:pPr>
              <w:spacing w:before="240"/>
              <w:rPr>
                <w:sz w:val="18"/>
                <w:szCs w:val="18"/>
              </w:rPr>
            </w:pPr>
            <w:r w:rsidRPr="00E26880">
              <w:rPr>
                <w:sz w:val="18"/>
                <w:szCs w:val="18"/>
              </w:rPr>
              <w:t xml:space="preserve">OPM 2809 </w:t>
            </w:r>
          </w:p>
        </w:tc>
        <w:tc>
          <w:tcPr>
            <w:tcW w:w="1230" w:type="dxa"/>
            <w:shd w:val="clear" w:color="auto" w:fill="auto"/>
          </w:tcPr>
          <w:p w:rsidRPr="0034372F" w:rsidR="00C11A92" w:rsidP="0034372F" w:rsidRDefault="0032674C">
            <w:pPr>
              <w:spacing w:before="240"/>
              <w:jc w:val="right"/>
              <w:rPr>
                <w:sz w:val="18"/>
                <w:szCs w:val="18"/>
              </w:rPr>
            </w:pPr>
            <w:r>
              <w:rPr>
                <w:sz w:val="18"/>
                <w:szCs w:val="18"/>
              </w:rPr>
              <w:t>2</w:t>
            </w:r>
            <w:r w:rsidR="00B721CC">
              <w:rPr>
                <w:sz w:val="18"/>
                <w:szCs w:val="18"/>
              </w:rPr>
              <w:t>0</w:t>
            </w:r>
            <w:r w:rsidRPr="0034372F" w:rsidR="00C11A92">
              <w:rPr>
                <w:sz w:val="18"/>
                <w:szCs w:val="18"/>
              </w:rPr>
              <w:t>,000</w:t>
            </w:r>
          </w:p>
        </w:tc>
        <w:tc>
          <w:tcPr>
            <w:tcW w:w="1176" w:type="dxa"/>
            <w:shd w:val="clear" w:color="auto" w:fill="auto"/>
          </w:tcPr>
          <w:p w:rsidRPr="0034372F" w:rsidR="00C11A92" w:rsidP="0034372F" w:rsidRDefault="00C11A92">
            <w:pPr>
              <w:spacing w:before="240"/>
              <w:jc w:val="right"/>
              <w:rPr>
                <w:sz w:val="18"/>
                <w:szCs w:val="18"/>
              </w:rPr>
            </w:pPr>
            <w:r w:rsidRPr="0034372F">
              <w:rPr>
                <w:sz w:val="18"/>
                <w:szCs w:val="18"/>
              </w:rPr>
              <w:t>1</w:t>
            </w:r>
          </w:p>
        </w:tc>
        <w:tc>
          <w:tcPr>
            <w:tcW w:w="1114" w:type="dxa"/>
            <w:shd w:val="clear" w:color="auto" w:fill="auto"/>
          </w:tcPr>
          <w:p w:rsidRPr="0034372F" w:rsidR="00C11A92" w:rsidP="0034372F" w:rsidRDefault="0032674C">
            <w:pPr>
              <w:spacing w:before="240"/>
              <w:jc w:val="right"/>
              <w:rPr>
                <w:sz w:val="18"/>
                <w:szCs w:val="18"/>
              </w:rPr>
            </w:pPr>
            <w:r>
              <w:rPr>
                <w:sz w:val="18"/>
                <w:szCs w:val="18"/>
              </w:rPr>
              <w:t>.5</w:t>
            </w:r>
          </w:p>
        </w:tc>
        <w:tc>
          <w:tcPr>
            <w:tcW w:w="1037" w:type="dxa"/>
            <w:shd w:val="clear" w:color="auto" w:fill="auto"/>
          </w:tcPr>
          <w:p w:rsidRPr="0034372F" w:rsidR="00C11A92" w:rsidP="0034372F" w:rsidRDefault="00B721CC">
            <w:pPr>
              <w:spacing w:before="240"/>
              <w:jc w:val="right"/>
              <w:rPr>
                <w:sz w:val="18"/>
                <w:szCs w:val="18"/>
              </w:rPr>
            </w:pPr>
            <w:r>
              <w:rPr>
                <w:sz w:val="18"/>
                <w:szCs w:val="18"/>
              </w:rPr>
              <w:t>1</w:t>
            </w:r>
            <w:r w:rsidR="0032674C">
              <w:rPr>
                <w:sz w:val="18"/>
                <w:szCs w:val="18"/>
              </w:rPr>
              <w:t>0,000</w:t>
            </w:r>
          </w:p>
        </w:tc>
        <w:tc>
          <w:tcPr>
            <w:tcW w:w="1064" w:type="dxa"/>
            <w:shd w:val="clear" w:color="auto" w:fill="auto"/>
          </w:tcPr>
          <w:p w:rsidRPr="0034372F" w:rsidR="00C11A92" w:rsidP="0034372F" w:rsidRDefault="00C11A92">
            <w:pPr>
              <w:spacing w:before="240"/>
              <w:jc w:val="center"/>
              <w:rPr>
                <w:sz w:val="18"/>
                <w:szCs w:val="18"/>
              </w:rPr>
            </w:pPr>
            <w:r w:rsidRPr="0034372F">
              <w:rPr>
                <w:sz w:val="18"/>
                <w:szCs w:val="18"/>
              </w:rPr>
              <w:t>$</w:t>
            </w:r>
            <w:r w:rsidR="0032674C">
              <w:rPr>
                <w:sz w:val="18"/>
                <w:szCs w:val="18"/>
              </w:rPr>
              <w:t>1</w:t>
            </w:r>
            <w:r w:rsidRPr="0034372F">
              <w:rPr>
                <w:sz w:val="18"/>
                <w:szCs w:val="18"/>
              </w:rPr>
              <w:t>0</w:t>
            </w:r>
            <w:r w:rsidR="0032674C">
              <w:rPr>
                <w:sz w:val="18"/>
                <w:szCs w:val="18"/>
              </w:rPr>
              <w:t>.75</w:t>
            </w:r>
          </w:p>
        </w:tc>
        <w:tc>
          <w:tcPr>
            <w:tcW w:w="1176" w:type="dxa"/>
            <w:shd w:val="clear" w:color="auto" w:fill="auto"/>
          </w:tcPr>
          <w:p w:rsidRPr="0034372F" w:rsidR="00C11A92" w:rsidP="0034372F" w:rsidRDefault="00C11A92">
            <w:pPr>
              <w:spacing w:before="240"/>
              <w:jc w:val="center"/>
              <w:rPr>
                <w:sz w:val="18"/>
                <w:szCs w:val="18"/>
              </w:rPr>
            </w:pPr>
            <w:r w:rsidRPr="0034372F">
              <w:rPr>
                <w:sz w:val="18"/>
                <w:szCs w:val="18"/>
              </w:rPr>
              <w:t>$</w:t>
            </w:r>
            <w:r w:rsidR="0032674C">
              <w:rPr>
                <w:sz w:val="18"/>
                <w:szCs w:val="18"/>
              </w:rPr>
              <w:t>268,750.00</w:t>
            </w:r>
            <w:r w:rsidRPr="0034372F">
              <w:rPr>
                <w:sz w:val="18"/>
                <w:szCs w:val="18"/>
              </w:rPr>
              <w:t xml:space="preserve"> </w:t>
            </w:r>
          </w:p>
        </w:tc>
      </w:tr>
      <w:tr w:rsidR="0032674C" w:rsidTr="00A14624">
        <w:tc>
          <w:tcPr>
            <w:tcW w:w="1006" w:type="dxa"/>
            <w:shd w:val="clear" w:color="auto" w:fill="auto"/>
          </w:tcPr>
          <w:p w:rsidRPr="0034372F" w:rsidR="0032674C" w:rsidP="00A14624" w:rsidRDefault="0032674C">
            <w:pPr>
              <w:spacing w:before="240"/>
              <w:rPr>
                <w:sz w:val="18"/>
                <w:szCs w:val="18"/>
              </w:rPr>
            </w:pPr>
            <w:r w:rsidRPr="00E26880">
              <w:rPr>
                <w:sz w:val="18"/>
                <w:szCs w:val="18"/>
              </w:rPr>
              <w:t>Health Benefits Election Form</w:t>
            </w:r>
          </w:p>
        </w:tc>
        <w:tc>
          <w:tcPr>
            <w:tcW w:w="1053" w:type="dxa"/>
            <w:shd w:val="clear" w:color="auto" w:fill="auto"/>
          </w:tcPr>
          <w:p w:rsidRPr="0034372F" w:rsidR="0032674C" w:rsidP="00A14624" w:rsidRDefault="0032674C">
            <w:pPr>
              <w:spacing w:before="240"/>
              <w:rPr>
                <w:sz w:val="18"/>
                <w:szCs w:val="18"/>
              </w:rPr>
            </w:pPr>
            <w:r w:rsidRPr="00E26880">
              <w:rPr>
                <w:sz w:val="18"/>
                <w:szCs w:val="18"/>
              </w:rPr>
              <w:t xml:space="preserve">OPM 2809 </w:t>
            </w:r>
          </w:p>
        </w:tc>
        <w:tc>
          <w:tcPr>
            <w:tcW w:w="1230" w:type="dxa"/>
            <w:shd w:val="clear" w:color="auto" w:fill="auto"/>
          </w:tcPr>
          <w:p w:rsidRPr="0034372F" w:rsidR="0032674C" w:rsidP="00A14624" w:rsidRDefault="0032674C">
            <w:pPr>
              <w:spacing w:before="240"/>
              <w:jc w:val="right"/>
              <w:rPr>
                <w:sz w:val="18"/>
                <w:szCs w:val="18"/>
              </w:rPr>
            </w:pPr>
            <w:r>
              <w:rPr>
                <w:sz w:val="18"/>
                <w:szCs w:val="18"/>
              </w:rPr>
              <w:t>10</w:t>
            </w:r>
            <w:r w:rsidRPr="0034372F">
              <w:rPr>
                <w:sz w:val="18"/>
                <w:szCs w:val="18"/>
              </w:rPr>
              <w:t>,000</w:t>
            </w:r>
          </w:p>
        </w:tc>
        <w:tc>
          <w:tcPr>
            <w:tcW w:w="1176" w:type="dxa"/>
            <w:shd w:val="clear" w:color="auto" w:fill="auto"/>
          </w:tcPr>
          <w:p w:rsidRPr="0034372F" w:rsidR="0032674C" w:rsidP="00A14624" w:rsidRDefault="0032674C">
            <w:pPr>
              <w:spacing w:before="240"/>
              <w:jc w:val="right"/>
              <w:rPr>
                <w:sz w:val="18"/>
                <w:szCs w:val="18"/>
              </w:rPr>
            </w:pPr>
            <w:r w:rsidRPr="0034372F">
              <w:rPr>
                <w:sz w:val="18"/>
                <w:szCs w:val="18"/>
              </w:rPr>
              <w:t>1</w:t>
            </w:r>
          </w:p>
        </w:tc>
        <w:tc>
          <w:tcPr>
            <w:tcW w:w="1114" w:type="dxa"/>
            <w:shd w:val="clear" w:color="auto" w:fill="auto"/>
          </w:tcPr>
          <w:p w:rsidRPr="0034372F" w:rsidR="0032674C" w:rsidP="00A14624" w:rsidRDefault="0032674C">
            <w:pPr>
              <w:spacing w:before="240"/>
              <w:jc w:val="right"/>
              <w:rPr>
                <w:sz w:val="18"/>
                <w:szCs w:val="18"/>
              </w:rPr>
            </w:pPr>
            <w:r>
              <w:rPr>
                <w:sz w:val="18"/>
                <w:szCs w:val="18"/>
              </w:rPr>
              <w:t>.1666</w:t>
            </w:r>
          </w:p>
        </w:tc>
        <w:tc>
          <w:tcPr>
            <w:tcW w:w="1037" w:type="dxa"/>
            <w:shd w:val="clear" w:color="auto" w:fill="auto"/>
          </w:tcPr>
          <w:p w:rsidRPr="0034372F" w:rsidR="0032674C" w:rsidP="00A14624" w:rsidRDefault="0032674C">
            <w:pPr>
              <w:spacing w:before="240"/>
              <w:jc w:val="right"/>
              <w:rPr>
                <w:sz w:val="18"/>
                <w:szCs w:val="18"/>
              </w:rPr>
            </w:pPr>
            <w:r>
              <w:rPr>
                <w:sz w:val="18"/>
                <w:szCs w:val="18"/>
              </w:rPr>
              <w:t>1,667</w:t>
            </w:r>
          </w:p>
        </w:tc>
        <w:tc>
          <w:tcPr>
            <w:tcW w:w="1064" w:type="dxa"/>
            <w:shd w:val="clear" w:color="auto" w:fill="auto"/>
          </w:tcPr>
          <w:p w:rsidRPr="0034372F" w:rsidR="0032674C" w:rsidP="00A14624" w:rsidRDefault="0032674C">
            <w:pPr>
              <w:spacing w:before="240"/>
              <w:jc w:val="center"/>
              <w:rPr>
                <w:sz w:val="18"/>
                <w:szCs w:val="18"/>
              </w:rPr>
            </w:pPr>
            <w:r w:rsidRPr="0034372F">
              <w:rPr>
                <w:sz w:val="18"/>
                <w:szCs w:val="18"/>
              </w:rPr>
              <w:t>$</w:t>
            </w:r>
            <w:r>
              <w:rPr>
                <w:sz w:val="18"/>
                <w:szCs w:val="18"/>
              </w:rPr>
              <w:t>3.58</w:t>
            </w:r>
          </w:p>
        </w:tc>
        <w:tc>
          <w:tcPr>
            <w:tcW w:w="1176" w:type="dxa"/>
            <w:shd w:val="clear" w:color="auto" w:fill="auto"/>
          </w:tcPr>
          <w:p w:rsidRPr="0034372F" w:rsidR="0032674C" w:rsidP="00A14624" w:rsidRDefault="0032674C">
            <w:pPr>
              <w:spacing w:before="240"/>
              <w:jc w:val="center"/>
              <w:rPr>
                <w:sz w:val="18"/>
                <w:szCs w:val="18"/>
              </w:rPr>
            </w:pPr>
            <w:r w:rsidRPr="0034372F">
              <w:rPr>
                <w:sz w:val="18"/>
                <w:szCs w:val="18"/>
              </w:rPr>
              <w:t>$</w:t>
            </w:r>
            <w:r>
              <w:rPr>
                <w:sz w:val="18"/>
                <w:szCs w:val="18"/>
              </w:rPr>
              <w:t>44,750.00</w:t>
            </w:r>
            <w:r w:rsidRPr="0034372F">
              <w:rPr>
                <w:sz w:val="18"/>
                <w:szCs w:val="18"/>
              </w:rPr>
              <w:t xml:space="preserve"> </w:t>
            </w:r>
          </w:p>
        </w:tc>
      </w:tr>
    </w:tbl>
    <w:p w:rsidR="00CB0B42" w:rsidP="00CB0B42" w:rsidRDefault="00CB0B42">
      <w:pPr>
        <w:ind w:right="-288" w:firstLine="720"/>
      </w:pPr>
    </w:p>
    <w:p w:rsidR="00611CDB" w:rsidP="00CB0B42" w:rsidRDefault="00611CDB">
      <w:pPr>
        <w:ind w:right="-288" w:firstLine="720"/>
      </w:pPr>
      <w:r>
        <w:t>The cost to the respondent is $</w:t>
      </w:r>
      <w:r w:rsidR="0032674C">
        <w:t>313,500.00</w:t>
      </w:r>
    </w:p>
    <w:p w:rsidR="00900E7C" w:rsidP="00CB0B42" w:rsidRDefault="00900E7C">
      <w:pPr>
        <w:ind w:right="-288" w:firstLine="720"/>
      </w:pPr>
    </w:p>
    <w:p w:rsidRPr="00741061" w:rsidR="00C11A92" w:rsidP="00C11A92" w:rsidRDefault="00C11A92">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Pr="00741061" w:rsidR="00C11A92" w:rsidP="00C11A92" w:rsidRDefault="00C11A92">
      <w:pPr>
        <w:pStyle w:val="ListParagraph"/>
        <w:shd w:val="pct25" w:color="auto" w:fill="auto"/>
        <w:tabs>
          <w:tab w:val="left" w:pos="-720"/>
        </w:tabs>
        <w:suppressAutoHyphens/>
        <w:ind w:left="0"/>
      </w:pPr>
    </w:p>
    <w:p w:rsidRPr="00741061" w:rsidR="00C11A92" w:rsidP="00C11A92" w:rsidRDefault="00C11A92">
      <w:pPr>
        <w:pStyle w:val="ListParagraph"/>
        <w:shd w:val="pct25" w:color="auto" w:fill="auto"/>
        <w:tabs>
          <w:tab w:val="left" w:pos="-720"/>
          <w:tab w:val="left" w:pos="810"/>
        </w:tabs>
        <w:suppressAutoHyphens/>
        <w:ind w:left="0"/>
      </w:pPr>
      <w:r w:rsidRPr="00741061">
        <w:t>The cost estimate should be split into two components</w:t>
      </w:r>
      <w:proofErr w:type="gramStart"/>
      <w:r w:rsidRPr="00741061">
        <w:t>:  (</w:t>
      </w:r>
      <w:proofErr w:type="gramEnd"/>
      <w:r w:rsidRPr="00741061">
        <w:t xml:space="preserve">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C11A92" w:rsidP="00C11A92" w:rsidRDefault="00C11A92">
      <w:pPr>
        <w:spacing w:before="240"/>
        <w:ind w:firstLine="720"/>
      </w:pPr>
      <w:r>
        <w:t>There is no change in the respondent burden.</w:t>
      </w:r>
    </w:p>
    <w:p w:rsidR="00C11A92" w:rsidP="00C11A92" w:rsidRDefault="00C11A92">
      <w:pPr>
        <w:spacing w:before="240"/>
        <w:ind w:firstLine="720"/>
      </w:pPr>
    </w:p>
    <w:p w:rsidR="00C11A92" w:rsidP="00C11A92" w:rsidRDefault="00C11A92">
      <w:p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Pr="00741061">
        <w:lastRenderedPageBreak/>
        <w:t xml:space="preserve">would have been incurred without this collection of information. You may also aggregate cost estimates for Items 12, 13, and 14 in a single table.  </w:t>
      </w:r>
    </w:p>
    <w:p w:rsidR="00C11A92" w:rsidP="00611CDB" w:rsidRDefault="00C11A92">
      <w:pPr>
        <w:spacing w:before="240"/>
        <w:ind w:left="720"/>
      </w:pPr>
      <w:r w:rsidRPr="001A20F3">
        <w:t>Annualized cost to the Federal Government is approximately</w:t>
      </w:r>
      <w:r w:rsidRPr="00B721CC" w:rsidR="00B721CC">
        <w:t xml:space="preserve"> </w:t>
      </w:r>
      <w:r w:rsidR="00B721CC">
        <w:t>is $87,650.</w:t>
      </w:r>
      <w:r w:rsidR="0032674C">
        <w:t xml:space="preserve"> </w:t>
      </w:r>
      <w:r w:rsidRPr="001A20F3">
        <w:t>This cost is derived from employee salaries, staff hours required to process the forms and the cost</w:t>
      </w:r>
      <w:r w:rsidR="00EB0FB2">
        <w:br/>
      </w:r>
      <w:r w:rsidRPr="001A20F3">
        <w:t xml:space="preserve">of printing, storing and shipping forms.  </w:t>
      </w:r>
    </w:p>
    <w:p w:rsidR="00CB0B42" w:rsidP="006B37C6" w:rsidRDefault="00CB0B42">
      <w:pPr>
        <w:ind w:left="720"/>
      </w:pPr>
    </w:p>
    <w:p w:rsidRPr="00741061" w:rsidR="00C11A92" w:rsidP="00C11A92" w:rsidRDefault="00C11A92">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611CDB" w:rsidP="006B37C6" w:rsidRDefault="00611CDB">
      <w:pPr>
        <w:ind w:left="720"/>
      </w:pPr>
    </w:p>
    <w:p w:rsidR="00C11A92" w:rsidP="00900E7C" w:rsidRDefault="001753D1">
      <w:pPr>
        <w:ind w:firstLine="720"/>
      </w:pPr>
      <w:r>
        <w:t>There are no</w:t>
      </w:r>
      <w:r w:rsidR="00C11A92">
        <w:t xml:space="preserve"> new changes.</w:t>
      </w:r>
    </w:p>
    <w:p w:rsidR="00C11A92" w:rsidP="006B37C6" w:rsidRDefault="00C11A92">
      <w:pPr>
        <w:ind w:left="720"/>
      </w:pPr>
    </w:p>
    <w:p w:rsidRPr="00741061" w:rsidR="00C11A92" w:rsidP="00C11A92" w:rsidRDefault="00C11A92">
      <w:pPr>
        <w:pStyle w:val="ListParagraph"/>
        <w:shd w:val="pct25" w:color="auto" w:fill="auto"/>
        <w:tabs>
          <w:tab w:val="left" w:pos="-720"/>
        </w:tabs>
        <w:suppressAutoHyphens/>
        <w:ind w:left="0"/>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11A92" w:rsidP="00C11A92" w:rsidRDefault="00C11A92">
      <w:pPr>
        <w:ind w:left="720"/>
      </w:pPr>
    </w:p>
    <w:p w:rsidR="00C11A92" w:rsidP="00C11A92" w:rsidRDefault="00C11A92">
      <w:pPr>
        <w:ind w:left="720"/>
      </w:pPr>
      <w:r>
        <w:t>The results of this information collection are not published.</w:t>
      </w:r>
    </w:p>
    <w:p w:rsidR="00C11A92" w:rsidP="00C11A92" w:rsidRDefault="00C11A92">
      <w:pPr>
        <w:ind w:left="720"/>
      </w:pPr>
    </w:p>
    <w:p w:rsidRPr="00741061" w:rsidR="00C11A92" w:rsidP="00C11A92" w:rsidRDefault="00C11A92">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C11A92" w:rsidP="00C11A92" w:rsidRDefault="00C11A92">
      <w:pPr>
        <w:pStyle w:val="ListParagraph"/>
        <w:tabs>
          <w:tab w:val="left" w:pos="-720"/>
        </w:tabs>
        <w:suppressAutoHyphens/>
        <w:ind w:left="0"/>
      </w:pPr>
    </w:p>
    <w:p w:rsidR="00611CDB" w:rsidP="00611CDB" w:rsidRDefault="00611CDB">
      <w:pPr>
        <w:ind w:left="720"/>
      </w:pPr>
      <w:r w:rsidRPr="0021279C">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t xml:space="preserve">rsion. Last year, under current </w:t>
      </w:r>
      <w:r w:rsidRPr="0021279C">
        <w:t xml:space="preserve">practice, Retirement Services printed approximately 2 million documents subject to OMB clearance at a </w:t>
      </w:r>
      <w:r>
        <w:t xml:space="preserve">cost of approximately $85,000. </w:t>
      </w:r>
      <w:r w:rsidRPr="0021279C">
        <w:t>Our costs would rise substantially if additio</w:t>
      </w:r>
      <w:r>
        <w:t xml:space="preserve">nal revision cycles are added. </w:t>
      </w:r>
      <w:r w:rsidRPr="0021279C">
        <w:t>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t xml:space="preserve">nce expiration date </w:t>
      </w:r>
      <w:r w:rsidRPr="0021279C">
        <w:t>on the forms and to communicate version changes to the public v</w:t>
      </w:r>
      <w:r>
        <w:t>ia the revision date18.</w:t>
      </w:r>
      <w:r w:rsidRPr="0092615E">
        <w:t xml:space="preserve"> </w:t>
      </w:r>
      <w:r>
        <w:t>There are no exceptions to the certification statement.</w:t>
      </w:r>
    </w:p>
    <w:p w:rsidRPr="00741061" w:rsidR="00C11A92" w:rsidP="00C11A92" w:rsidRDefault="00C11A92">
      <w:pPr>
        <w:pStyle w:val="ListParagraph"/>
        <w:tabs>
          <w:tab w:val="left" w:pos="-720"/>
        </w:tabs>
        <w:suppressAutoHyphens/>
        <w:ind w:left="0"/>
      </w:pPr>
    </w:p>
    <w:p w:rsidR="00C11A92" w:rsidP="0088417A" w:rsidRDefault="00C11A92">
      <w:pPr>
        <w:pStyle w:val="ListParagraph"/>
        <w:shd w:val="pct25" w:color="auto" w:fill="auto"/>
        <w:tabs>
          <w:tab w:val="left" w:pos="-720"/>
        </w:tabs>
        <w:suppressAutoHyphens/>
        <w:ind w:left="0"/>
      </w:pPr>
      <w:r w:rsidRPr="00741061">
        <w:lastRenderedPageBreak/>
        <w:t>18.  Explain each exception to the certification statement identified in Item 19 “Certification for Paperwork Reduction Act Submissions,” of OMB Form 83-I.</w:t>
      </w:r>
    </w:p>
    <w:p w:rsidR="00C11A92" w:rsidP="00C11A92" w:rsidRDefault="00C11A92">
      <w:pPr>
        <w:spacing w:before="240"/>
        <w:ind w:firstLine="720"/>
      </w:pPr>
      <w:r>
        <w:t>There are no exceptions to the certification statement.</w:t>
      </w:r>
    </w:p>
    <w:p w:rsidR="0067719F" w:rsidRDefault="0067719F"/>
    <w:sectPr w:rsidR="0067719F">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65375"/>
    <w:multiLevelType w:val="singleLevel"/>
    <w:tmpl w:val="D9C604C8"/>
    <w:lvl w:ilvl="0">
      <w:start w:val="1"/>
      <w:numFmt w:val="decimal"/>
      <w:lvlText w:val="%1."/>
      <w:lvlJc w:val="left"/>
      <w:pPr>
        <w:tabs>
          <w:tab w:val="num" w:pos="720"/>
        </w:tabs>
        <w:ind w:left="720" w:hanging="360"/>
      </w:pPr>
      <w:rPr>
        <w:rFonts w:hint="default"/>
      </w:rPr>
    </w:lvl>
  </w:abstractNum>
  <w:abstractNum w:abstractNumId="1"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48FC42B7"/>
    <w:multiLevelType w:val="singleLevel"/>
    <w:tmpl w:val="04090015"/>
    <w:lvl w:ilvl="0">
      <w:start w:val="1"/>
      <w:numFmt w:val="upperLetter"/>
      <w:lvlText w:val="%1."/>
      <w:lvlJc w:val="left"/>
      <w:pPr>
        <w:tabs>
          <w:tab w:val="num" w:pos="9720"/>
        </w:tabs>
        <w:ind w:left="9720" w:hanging="360"/>
      </w:pPr>
      <w:rPr>
        <w:rFonts w:hint="default"/>
      </w:rPr>
    </w:lvl>
  </w:abstractNum>
  <w:abstractNum w:abstractNumId="3" w15:restartNumberingAfterBreak="0">
    <w:nsid w:val="664D74BB"/>
    <w:multiLevelType w:val="singleLevel"/>
    <w:tmpl w:val="57722588"/>
    <w:lvl w:ilvl="0">
      <w:start w:val="1"/>
      <w:numFmt w:val="decimal"/>
      <w:lvlText w:val="%1."/>
      <w:lvlJc w:val="left"/>
      <w:pPr>
        <w:tabs>
          <w:tab w:val="num" w:pos="720"/>
        </w:tabs>
        <w:ind w:left="720" w:hanging="360"/>
      </w:pPr>
      <w:rPr>
        <w:rFonts w:hint="default"/>
      </w:rPr>
    </w:lvl>
  </w:abstractNum>
  <w:abstractNum w:abstractNumId="4"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69F3"/>
    <w:rsid w:val="00015DF7"/>
    <w:rsid w:val="000C76FA"/>
    <w:rsid w:val="001753D1"/>
    <w:rsid w:val="001F7B17"/>
    <w:rsid w:val="00237649"/>
    <w:rsid w:val="002459DD"/>
    <w:rsid w:val="002B1643"/>
    <w:rsid w:val="002E15C4"/>
    <w:rsid w:val="00300EE8"/>
    <w:rsid w:val="003120F3"/>
    <w:rsid w:val="0032674C"/>
    <w:rsid w:val="003414E6"/>
    <w:rsid w:val="0034372F"/>
    <w:rsid w:val="003A4EDB"/>
    <w:rsid w:val="0047295A"/>
    <w:rsid w:val="004A59B6"/>
    <w:rsid w:val="00591F3F"/>
    <w:rsid w:val="00611CDB"/>
    <w:rsid w:val="006632C4"/>
    <w:rsid w:val="0067719F"/>
    <w:rsid w:val="006B37C6"/>
    <w:rsid w:val="007438A8"/>
    <w:rsid w:val="00810C0A"/>
    <w:rsid w:val="008114ED"/>
    <w:rsid w:val="0088417A"/>
    <w:rsid w:val="00900E7C"/>
    <w:rsid w:val="009A69F3"/>
    <w:rsid w:val="009A6C84"/>
    <w:rsid w:val="00A1229D"/>
    <w:rsid w:val="00A14624"/>
    <w:rsid w:val="00A3690D"/>
    <w:rsid w:val="00A86050"/>
    <w:rsid w:val="00AB084A"/>
    <w:rsid w:val="00B721CC"/>
    <w:rsid w:val="00C11A92"/>
    <w:rsid w:val="00C1773B"/>
    <w:rsid w:val="00CB0B42"/>
    <w:rsid w:val="00D82F63"/>
    <w:rsid w:val="00E26880"/>
    <w:rsid w:val="00EB0FB2"/>
    <w:rsid w:val="00ED158B"/>
    <w:rsid w:val="00FC4360"/>
    <w:rsid w:val="00F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0C80638-5C31-4A66-8AE4-1E3559DC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4A59B6"/>
    <w:pPr>
      <w:ind w:left="720"/>
    </w:pPr>
  </w:style>
  <w:style w:type="table" w:styleId="TableGrid">
    <w:name w:val="Table Grid"/>
    <w:basedOn w:val="TableNormal"/>
    <w:uiPriority w:val="59"/>
    <w:rsid w:val="00C1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Ikpe, Yvonne R.</cp:lastModifiedBy>
  <cp:revision>2</cp:revision>
  <cp:lastPrinted>2011-06-22T14:53:00Z</cp:lastPrinted>
  <dcterms:created xsi:type="dcterms:W3CDTF">2020-03-12T18:27:00Z</dcterms:created>
  <dcterms:modified xsi:type="dcterms:W3CDTF">2020-03-12T18:27:00Z</dcterms:modified>
</cp:coreProperties>
</file>