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0CEC" w:rsidR="009E5B73" w:rsidP="009E5B73" w:rsidRDefault="009E5B73" w14:paraId="53459B3E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500CEC">
        <w:rPr>
          <w:rFonts w:ascii="Courier New" w:hAnsi="Courier New" w:cs="Courier New"/>
        </w:rPr>
        <w:t xml:space="preserve">Request for Approval under the “Improving Customer Experience (OMB Circular A-11, Section 280 Implementation)” </w:t>
      </w:r>
    </w:p>
    <w:p w:rsidRPr="00500CEC" w:rsidR="009E5B73" w:rsidP="009E5B73" w:rsidRDefault="009E5B73" w14:paraId="30618A8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500CEC">
        <w:rPr>
          <w:rFonts w:ascii="Courier New" w:hAnsi="Courier New" w:cs="Courier New"/>
        </w:rPr>
        <w:t xml:space="preserve">(OMB Control Number: </w:t>
      </w:r>
      <w:r w:rsidR="00D25260">
        <w:rPr>
          <w:rFonts w:ascii="ArialMT" w:hAnsi="ArialMT" w:cs="ArialMT"/>
          <w:sz w:val="20"/>
          <w:szCs w:val="20"/>
        </w:rPr>
        <w:t>3245-0404</w:t>
      </w:r>
      <w:r w:rsidRPr="00500CEC">
        <w:rPr>
          <w:rFonts w:ascii="Courier New" w:hAnsi="Courier New" w:cs="Courier New"/>
        </w:rPr>
        <w:t>)</w:t>
      </w:r>
    </w:p>
    <w:p w:rsidRPr="009239AA" w:rsidR="00E50293" w:rsidP="00434E33" w:rsidRDefault="00782E42" w14:paraId="290BC07F" w14:textId="6F2F549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43A6487" wp14:anchorId="50ADFA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87ED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9E5B73">
        <w:t xml:space="preserve">Customer Feedback on the Office of Disaster Assistance Mitigation Increase Option </w:t>
      </w:r>
    </w:p>
    <w:p w:rsidR="005E714A" w:rsidRDefault="005E714A" w14:paraId="42E49A1C" w14:textId="77777777"/>
    <w:p w:rsidRPr="00166F55" w:rsidR="009E5B73" w:rsidP="009E5B73" w:rsidRDefault="009E5B73" w14:paraId="56F8F312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 xml:space="preserve">PURPOSE:  </w:t>
      </w:r>
    </w:p>
    <w:p w:rsidRPr="001A4B59" w:rsidR="009E5B73" w:rsidP="009E5B73" w:rsidRDefault="009E5B73" w14:paraId="2791DDA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  <w:sz w:val="20"/>
          <w:szCs w:val="20"/>
        </w:rPr>
      </w:pPr>
      <w:r w:rsidRPr="001A4B59">
        <w:rPr>
          <w:rFonts w:ascii="Courier New" w:hAnsi="Courier New" w:cs="Courier New"/>
          <w:i/>
          <w:sz w:val="20"/>
          <w:szCs w:val="20"/>
        </w:rPr>
        <w:t>What are you hoping to learn / improve? How do you plan to use what you learn? Include any artifacts your team may develop as a result of this collection.</w:t>
      </w:r>
    </w:p>
    <w:p w:rsidR="009E5B73" w:rsidP="001F4F0F" w:rsidRDefault="009E5B73" w14:paraId="21F0D032" w14:textId="77777777"/>
    <w:p w:rsidR="00862EDA" w:rsidP="001F4F0F" w:rsidRDefault="00EB052E" w14:paraId="2E6FCC0E" w14:textId="6C83A1A7">
      <w:r>
        <w:t xml:space="preserve">The SBA’s Office of Disaster Assistance (ODA) is responsible for providing affordable, timely, and accessible financial assistance to businesses of all sizes, private nonprofit organizations, homeowners, and renters following a disaster. Financial assistance is available in the form of low-interest, long-term loans. </w:t>
      </w:r>
      <w:r w:rsidR="006D1985">
        <w:t>The</w:t>
      </w:r>
      <w:r>
        <w:t xml:space="preserve"> SBA’s disaster loans are the primary form of federal assistance for the repair and rebuilding of non-farm, private sector disaster losses.</w:t>
      </w:r>
      <w:r w:rsidR="006D1985">
        <w:t xml:space="preserve"> </w:t>
      </w:r>
      <w:r>
        <w:t xml:space="preserve">In addition to low-interest, long term loans for repair and rebuilding, the SBA offers a loan option to disaster survivors to increase disaster loan amounts to fund mitigating measures to protect the damaged or destroyed property from possible future </w:t>
      </w:r>
      <w:r w:rsidR="000E2994">
        <w:t xml:space="preserve">physical </w:t>
      </w:r>
      <w:r>
        <w:t xml:space="preserve">disasters. The SBA may increase the amount of the loan by up to an additional 20 percent of the </w:t>
      </w:r>
      <w:r w:rsidR="00AF3FAA">
        <w:t>verified loss</w:t>
      </w:r>
      <w:r>
        <w:t xml:space="preserve">, pursuant to 15 USC § 636 (b)(1)(A). </w:t>
      </w:r>
      <w:r w:rsidR="00AF3FAA">
        <w:t xml:space="preserve">For home loans, the maximum amount of mitigation is $200,000; for business loans, the total amount of the loan, including any amount for mitigation, generally must not exceed $2 million.  </w:t>
      </w:r>
      <w:r>
        <w:t>This loan option is available for property owners, including homeowners and business owners.</w:t>
      </w:r>
      <w:r w:rsidR="006D1985">
        <w:t xml:space="preserve"> </w:t>
      </w:r>
    </w:p>
    <w:p w:rsidR="00862EDA" w:rsidP="001F4F0F" w:rsidRDefault="00862EDA" w14:paraId="11F41047" w14:textId="77777777"/>
    <w:p w:rsidR="005C5289" w:rsidP="001F4F0F" w:rsidRDefault="00471CD7" w14:paraId="5B212971" w14:textId="77777777">
      <w:r w:rsidRPr="009C29A7">
        <w:t xml:space="preserve">The purpose of this </w:t>
      </w:r>
      <w:r w:rsidR="009E5B73">
        <w:t>data collection</w:t>
      </w:r>
      <w:r w:rsidRPr="009C29A7" w:rsidR="009E5B73">
        <w:t xml:space="preserve"> </w:t>
      </w:r>
      <w:r w:rsidRPr="009C29A7">
        <w:t xml:space="preserve">is to </w:t>
      </w:r>
      <w:r w:rsidR="009E5B73">
        <w:t xml:space="preserve">gather customer feedback on </w:t>
      </w:r>
      <w:r w:rsidR="006D1985">
        <w:t xml:space="preserve">this </w:t>
      </w:r>
      <w:r w:rsidR="00EB052E">
        <w:t xml:space="preserve">loan option </w:t>
      </w:r>
      <w:r w:rsidR="006D1985">
        <w:t>and to</w:t>
      </w:r>
      <w:r w:rsidR="009E5B73">
        <w:t xml:space="preserve"> </w:t>
      </w:r>
      <w:r w:rsidRPr="009C29A7">
        <w:t xml:space="preserve">provide </w:t>
      </w:r>
      <w:r w:rsidR="00166E5F">
        <w:t xml:space="preserve">the </w:t>
      </w:r>
      <w:r w:rsidRPr="009C29A7">
        <w:t xml:space="preserve">SBA with a greater understanding of the perceptions (e.g. perceived susceptibility, benefits, and barriers) of disaster survivors who are eligible </w:t>
      </w:r>
      <w:r>
        <w:t xml:space="preserve">to increase their disaster loan to pay for mitigation to protect their home or business against future disasters. </w:t>
      </w:r>
      <w:r w:rsidR="006D1985">
        <w:t>Additionally, t</w:t>
      </w:r>
      <w:r>
        <w:t>he data collected through interviews and focus groups will</w:t>
      </w:r>
      <w:r w:rsidR="00AE4C8F">
        <w:t xml:space="preserve"> be used to develop preliminary customer journey maps and will</w:t>
      </w:r>
      <w:r>
        <w:t xml:space="preserve"> inform</w:t>
      </w:r>
      <w:r w:rsidRPr="009C29A7">
        <w:t xml:space="preserve"> recommendations </w:t>
      </w:r>
      <w:r>
        <w:t xml:space="preserve">for </w:t>
      </w:r>
      <w:r w:rsidR="00A64F7A">
        <w:t xml:space="preserve">the </w:t>
      </w:r>
      <w:r>
        <w:t xml:space="preserve">SBA </w:t>
      </w:r>
      <w:r w:rsidRPr="009C29A7">
        <w:t xml:space="preserve">on effective communication strategies to promote awareness of </w:t>
      </w:r>
      <w:r w:rsidR="00DD5519">
        <w:t xml:space="preserve">the </w:t>
      </w:r>
      <w:r w:rsidR="00C46BCC">
        <w:t>additional mitigation amount option</w:t>
      </w:r>
      <w:r w:rsidRPr="009C29A7">
        <w:t xml:space="preserve"> among eligible disaster survivors</w:t>
      </w:r>
      <w:r>
        <w:t>.</w:t>
      </w:r>
    </w:p>
    <w:p w:rsidR="00C84424" w:rsidP="00434E33" w:rsidRDefault="00C84424" w14:paraId="223FAFF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166F55" w:rsidR="009E5B73" w:rsidP="009E5B73" w:rsidRDefault="009E5B73" w14:paraId="004F51E2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TYPE OF ACTIVITY:</w:t>
      </w:r>
      <w:r w:rsidRPr="00166F55">
        <w:rPr>
          <w:rFonts w:ascii="Courier New" w:hAnsi="Courier New" w:cs="Courier New"/>
        </w:rPr>
        <w:t xml:space="preserve"> (Check one)</w:t>
      </w:r>
    </w:p>
    <w:p w:rsidRPr="00166F55" w:rsidR="009E5B73" w:rsidP="009E5B73" w:rsidRDefault="009E5B73" w14:paraId="7E04FDD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166F55" w:rsidR="009E5B73" w:rsidP="009E5B73" w:rsidRDefault="009E5B73" w14:paraId="208A86B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 xml:space="preserve">[ </w:t>
      </w:r>
      <w:r w:rsidR="00D25260">
        <w:rPr>
          <w:rFonts w:ascii="Courier New" w:hAnsi="Courier New" w:cs="Courier New"/>
          <w:bCs/>
          <w:sz w:val="24"/>
        </w:rPr>
        <w:t>X</w:t>
      </w:r>
      <w:r w:rsidRPr="00166F55">
        <w:rPr>
          <w:rFonts w:ascii="Courier New" w:hAnsi="Courier New" w:cs="Courier New"/>
          <w:bCs/>
          <w:sz w:val="24"/>
        </w:rPr>
        <w:t xml:space="preserve"> ] Customer Research</w:t>
      </w:r>
      <w:r w:rsidRPr="00166F55">
        <w:rPr>
          <w:rFonts w:ascii="Courier New" w:hAnsi="Courier New" w:cs="Courier New"/>
          <w:bCs/>
          <w:sz w:val="24"/>
        </w:rPr>
        <w:tab/>
      </w:r>
    </w:p>
    <w:p w:rsidRPr="00166F55" w:rsidR="009E5B73" w:rsidP="009E5B73" w:rsidRDefault="009E5B73" w14:paraId="7D5F9E8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i/>
          <w:sz w:val="24"/>
        </w:rPr>
      </w:pPr>
      <w:r w:rsidRPr="00FE1EFF">
        <w:rPr>
          <w:rFonts w:ascii="Courier New" w:hAnsi="Courier New" w:cs="Courier New"/>
          <w:bCs/>
          <w:sz w:val="24"/>
        </w:rPr>
        <w:t xml:space="preserve">[  </w:t>
      </w:r>
      <w:r w:rsidR="001A5BF6">
        <w:rPr>
          <w:rFonts w:ascii="Courier New" w:hAnsi="Courier New" w:cs="Courier New"/>
          <w:bCs/>
          <w:sz w:val="24"/>
        </w:rPr>
        <w:t xml:space="preserve"> </w:t>
      </w:r>
      <w:r w:rsidRPr="00FE1EFF">
        <w:rPr>
          <w:rFonts w:ascii="Courier New" w:hAnsi="Courier New" w:cs="Courier New"/>
          <w:bCs/>
          <w:sz w:val="24"/>
        </w:rPr>
        <w:t xml:space="preserve">] Customer Feedback Survey </w:t>
      </w:r>
      <w:r w:rsidRPr="00FE1EFF">
        <w:rPr>
          <w:rFonts w:ascii="Courier New" w:hAnsi="Courier New" w:cs="Courier New"/>
          <w:bCs/>
          <w:i/>
          <w:sz w:val="16"/>
          <w:szCs w:val="16"/>
        </w:rPr>
        <w:t>(if selecting this option, include survey instrument tool with this submission</w:t>
      </w:r>
      <w:r w:rsidRPr="00166F55">
        <w:rPr>
          <w:rFonts w:ascii="Courier New" w:hAnsi="Courier New" w:cs="Courier New"/>
          <w:bCs/>
          <w:i/>
          <w:sz w:val="16"/>
          <w:szCs w:val="16"/>
        </w:rPr>
        <w:t xml:space="preserve">)  </w:t>
      </w:r>
    </w:p>
    <w:p w:rsidRPr="00166F55" w:rsidR="009E5B73" w:rsidP="009E5B73" w:rsidRDefault="009E5B73" w14:paraId="585299A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>[   ] User Testing of Services and Digital Products</w:t>
      </w:r>
      <w:r w:rsidRPr="00166F55">
        <w:rPr>
          <w:rFonts w:ascii="Courier New" w:hAnsi="Courier New" w:cs="Courier New"/>
          <w:bCs/>
          <w:sz w:val="24"/>
        </w:rPr>
        <w:tab/>
        <w:t xml:space="preserve"> </w:t>
      </w:r>
    </w:p>
    <w:p w:rsidR="009E5B73" w:rsidP="009E5B73" w:rsidRDefault="009E5B73" w14:paraId="73DCB2FE" w14:textId="77777777">
      <w:pPr>
        <w:rPr>
          <w:rFonts w:ascii="Courier New" w:hAnsi="Courier New" w:cs="Courier New"/>
          <w:b/>
        </w:rPr>
      </w:pPr>
    </w:p>
    <w:p w:rsidRPr="00166F55" w:rsidR="009E5B73" w:rsidP="009E5B73" w:rsidRDefault="009E5B73" w14:paraId="74CB9DA0" w14:textId="77777777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DESCRIPTION OF ACTIVITY</w:t>
      </w:r>
    </w:p>
    <w:p w:rsidRPr="00166F55" w:rsidR="009E5B73" w:rsidP="009E5B73" w:rsidRDefault="009E5B73" w14:paraId="426AFDEF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How will you collect the information? (Check all that apply)</w:t>
      </w:r>
    </w:p>
    <w:p w:rsidRPr="00166F55" w:rsidR="009E5B73" w:rsidP="009E5B73" w:rsidRDefault="009E5B73" w14:paraId="1D9C8894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 </w:t>
      </w:r>
      <w:r w:rsidR="001A5BF6">
        <w:rPr>
          <w:rFonts w:ascii="Courier New" w:hAnsi="Courier New" w:cs="Courier New"/>
        </w:rPr>
        <w:t xml:space="preserve"> </w:t>
      </w:r>
      <w:r w:rsidRPr="00166F55">
        <w:rPr>
          <w:rFonts w:ascii="Courier New" w:hAnsi="Courier New" w:cs="Courier New"/>
        </w:rPr>
        <w:t xml:space="preserve">] Web-based </w:t>
      </w:r>
      <w:r>
        <w:rPr>
          <w:rFonts w:ascii="Courier New" w:hAnsi="Courier New" w:cs="Courier New"/>
        </w:rPr>
        <w:t>surveys</w:t>
      </w:r>
      <w:r w:rsidRPr="00166F55">
        <w:rPr>
          <w:rFonts w:ascii="Courier New" w:hAnsi="Courier New" w:cs="Courier New"/>
        </w:rPr>
        <w:t xml:space="preserve"> </w:t>
      </w:r>
    </w:p>
    <w:p w:rsidRPr="00166F55" w:rsidR="009E5B73" w:rsidP="009E5B73" w:rsidRDefault="009E5B73" w14:paraId="19304593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Pr="00C24953">
        <w:rPr>
          <w:rFonts w:ascii="Courier New" w:hAnsi="Courier New" w:cs="Courier New"/>
          <w:b/>
        </w:rPr>
        <w:t>X</w:t>
      </w:r>
      <w:r w:rsidRPr="00166F55">
        <w:rPr>
          <w:rFonts w:ascii="Courier New" w:hAnsi="Courier New" w:cs="Courier New"/>
        </w:rPr>
        <w:t xml:space="preserve"> ] Telephone</w:t>
      </w:r>
      <w:r>
        <w:rPr>
          <w:rFonts w:ascii="Courier New" w:hAnsi="Courier New" w:cs="Courier New"/>
        </w:rPr>
        <w:t xml:space="preserve"> interviews</w:t>
      </w:r>
      <w:r w:rsidRPr="00166F55">
        <w:rPr>
          <w:rFonts w:ascii="Courier New" w:hAnsi="Courier New" w:cs="Courier New"/>
        </w:rPr>
        <w:tab/>
      </w:r>
    </w:p>
    <w:p w:rsidRPr="00166F55" w:rsidR="009E5B73" w:rsidP="009E5B73" w:rsidRDefault="009E5B73" w14:paraId="6BE9C788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="001A5BF6">
        <w:rPr>
          <w:rFonts w:ascii="Courier New" w:hAnsi="Courier New" w:cs="Courier New"/>
        </w:rPr>
        <w:t xml:space="preserve"> </w:t>
      </w:r>
      <w:r w:rsidRPr="00166F55">
        <w:rPr>
          <w:rFonts w:ascii="Courier New" w:hAnsi="Courier New" w:cs="Courier New"/>
        </w:rPr>
        <w:t xml:space="preserve"> ] In-person </w:t>
      </w:r>
    </w:p>
    <w:p w:rsidR="009E5B73" w:rsidP="009E5B73" w:rsidRDefault="009E5B73" w14:paraId="02988FEA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="001A5BF6">
        <w:rPr>
          <w:rFonts w:ascii="Courier New" w:hAnsi="Courier New" w:cs="Courier New"/>
        </w:rPr>
        <w:t xml:space="preserve"> </w:t>
      </w:r>
      <w:r w:rsidRPr="00166F55">
        <w:rPr>
          <w:rFonts w:ascii="Courier New" w:hAnsi="Courier New" w:cs="Courier New"/>
        </w:rPr>
        <w:t xml:space="preserve"> ] Mail </w:t>
      </w:r>
    </w:p>
    <w:p w:rsidR="009E5B73" w:rsidP="009E5B73" w:rsidRDefault="009E5B73" w14:paraId="31D5BFE0" w14:textId="77777777">
      <w:pPr>
        <w:ind w:left="72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[ </w:t>
      </w:r>
      <w:r w:rsidRPr="001A5BF6">
        <w:rPr>
          <w:rFonts w:ascii="Courier New" w:hAnsi="Courier New" w:cs="Courier New"/>
          <w:b/>
          <w:bCs/>
        </w:rPr>
        <w:t>X</w:t>
      </w:r>
      <w:r w:rsidRPr="00166F55">
        <w:rPr>
          <w:rFonts w:ascii="Courier New" w:hAnsi="Courier New" w:cs="Courier New"/>
        </w:rPr>
        <w:t xml:space="preserve"> ] </w:t>
      </w:r>
      <w:r>
        <w:rPr>
          <w:rFonts w:ascii="Courier New" w:hAnsi="Courier New" w:cs="Courier New"/>
        </w:rPr>
        <w:t>Other: Virtual Focus Groups</w:t>
      </w:r>
    </w:p>
    <w:p w:rsidR="009E5B73" w:rsidP="009E5B73" w:rsidRDefault="009E5B73" w14:paraId="702ED33C" w14:textId="77777777">
      <w:pPr>
        <w:rPr>
          <w:rFonts w:ascii="Courier New" w:hAnsi="Courier New" w:cs="Courier New"/>
        </w:rPr>
      </w:pPr>
    </w:p>
    <w:p w:rsidRPr="001A4B59" w:rsidR="009E5B73" w:rsidP="009E5B73" w:rsidRDefault="009E5B73" w14:paraId="4F6A93FD" w14:textId="77777777">
      <w:pPr>
        <w:rPr>
          <w:rFonts w:ascii="Courier New" w:hAnsi="Courier New" w:cs="Courier New"/>
          <w:b/>
          <w:sz w:val="20"/>
          <w:szCs w:val="20"/>
        </w:rPr>
      </w:pPr>
      <w:r w:rsidRPr="001A4B59">
        <w:rPr>
          <w:rFonts w:ascii="Courier New" w:hAnsi="Courier New" w:cs="Courier New"/>
          <w:b/>
          <w:sz w:val="20"/>
          <w:szCs w:val="20"/>
        </w:rPr>
        <w:t xml:space="preserve">For Customer Feedback Survey: </w:t>
      </w:r>
    </w:p>
    <w:p w:rsidRPr="001A4B59" w:rsidR="009E5B73" w:rsidP="009E5B73" w:rsidRDefault="009E5B73" w14:paraId="46BC4007" w14:textId="77777777">
      <w:pPr>
        <w:pStyle w:val="ListParagraph"/>
        <w:ind w:left="0"/>
        <w:rPr>
          <w:rFonts w:ascii="Courier New" w:hAnsi="Courier New" w:cs="Courier New"/>
          <w:i/>
          <w:sz w:val="20"/>
          <w:szCs w:val="20"/>
        </w:rPr>
      </w:pPr>
      <w:r w:rsidRPr="001A4B59">
        <w:rPr>
          <w:rFonts w:ascii="Courier New" w:hAnsi="Courier New" w:cs="Courier New"/>
          <w:i/>
          <w:sz w:val="20"/>
          <w:szCs w:val="20"/>
        </w:rPr>
        <w:lastRenderedPageBreak/>
        <w:t xml:space="preserve">Explain who will be surveyed and why the group is appropriate for the Federal program / service to connect with. Do you somehow have a list of customers to reach out to (e.g., email addresses of individuals who have visited a service center in the past month)? Please provide a description of how you plan to identify your potential group of respondents and if only a sample will be solicited for feedback, how you will select them. </w:t>
      </w:r>
    </w:p>
    <w:p w:rsidRPr="00166F55" w:rsidR="009E5B73" w:rsidP="00FA0F9B" w:rsidRDefault="009E5B73" w14:paraId="3EF134B2" w14:textId="77777777">
      <w:pPr>
        <w:rPr>
          <w:rFonts w:ascii="Courier New" w:hAnsi="Courier New" w:cs="Courier New"/>
        </w:rPr>
      </w:pPr>
    </w:p>
    <w:p w:rsidR="009E5B73" w:rsidP="00434E33" w:rsidRDefault="009E5B73" w14:paraId="467F569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E290AF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2795623F" w14:textId="77777777"/>
    <w:p w:rsidR="00EB052E" w:rsidP="00EB052E" w:rsidRDefault="000E2994" w14:paraId="28E6C22F" w14:textId="0D130792">
      <w:pPr>
        <w:rPr>
          <w:bCs/>
        </w:rPr>
      </w:pPr>
      <w:r w:rsidRPr="000E2994">
        <w:rPr>
          <w:bCs/>
        </w:rPr>
        <w:t>The respondents of this data collection will be customers of the SBA’s Office of Disaster Assistance Program</w:t>
      </w:r>
      <w:r w:rsidR="006A4BA9">
        <w:rPr>
          <w:bCs/>
        </w:rPr>
        <w:t>. T</w:t>
      </w:r>
      <w:r w:rsidR="00EB052E">
        <w:rPr>
          <w:bCs/>
        </w:rPr>
        <w:t xml:space="preserve">he universe of potential respondents is in the SBA’s </w:t>
      </w:r>
      <w:r w:rsidRPr="00CD51B1" w:rsidR="00EB052E">
        <w:t xml:space="preserve">Disaster Credit Management System </w:t>
      </w:r>
      <w:r w:rsidRPr="00B006E7" w:rsidR="00EB052E">
        <w:t>(DCMS</w:t>
      </w:r>
      <w:r w:rsidR="00EB052E">
        <w:t>) database</w:t>
      </w:r>
      <w:r w:rsidR="00EB052E">
        <w:rPr>
          <w:bCs/>
        </w:rPr>
        <w:t xml:space="preserve">. </w:t>
      </w:r>
      <w:r w:rsidRPr="00C60B97" w:rsidR="00EB052E">
        <w:rPr>
          <w:bCs/>
        </w:rPr>
        <w:t>Potential interview</w:t>
      </w:r>
      <w:r w:rsidR="00EB052E">
        <w:rPr>
          <w:bCs/>
        </w:rPr>
        <w:t>/focus group participants</w:t>
      </w:r>
      <w:r w:rsidRPr="00C60B97" w:rsidR="00EB052E">
        <w:rPr>
          <w:bCs/>
        </w:rPr>
        <w:t xml:space="preserve"> will be identified in the DCMS database and selected to provide diversity across </w:t>
      </w:r>
      <w:r w:rsidRPr="00F463F5" w:rsidR="00EB052E">
        <w:rPr>
          <w:bCs/>
        </w:rPr>
        <w:t>multiple characteristics, such</w:t>
      </w:r>
      <w:r w:rsidR="00EB052E">
        <w:rPr>
          <w:bCs/>
        </w:rPr>
        <w:t xml:space="preserve"> as loan size, type of disaster experienced, and geographic location</w:t>
      </w:r>
      <w:r w:rsidRPr="00C60B97" w:rsidR="00EB052E">
        <w:rPr>
          <w:bCs/>
        </w:rPr>
        <w:t xml:space="preserve">. Participants will be selected from two populations: </w:t>
      </w:r>
    </w:p>
    <w:p w:rsidR="00EB052E" w:rsidP="00EB052E" w:rsidRDefault="00EB052E" w14:paraId="37B460DD" w14:textId="77777777">
      <w:pPr>
        <w:numPr>
          <w:ilvl w:val="0"/>
          <w:numId w:val="23"/>
        </w:numPr>
        <w:rPr>
          <w:bCs/>
        </w:rPr>
      </w:pPr>
      <w:r w:rsidRPr="00C60B97">
        <w:rPr>
          <w:bCs/>
        </w:rPr>
        <w:t xml:space="preserve">Group 1a: Disaster loan borrowers who </w:t>
      </w:r>
      <w:r w:rsidRPr="00823E3E">
        <w:rPr>
          <w:u w:val="single"/>
        </w:rPr>
        <w:t>chose to increase</w:t>
      </w:r>
      <w:r>
        <w:t xml:space="preserve"> their loan amount to fund mitigating measures</w:t>
      </w:r>
    </w:p>
    <w:p w:rsidR="00EB052E" w:rsidP="00EB052E" w:rsidRDefault="00EB052E" w14:paraId="1DF4C552" w14:textId="77777777">
      <w:pPr>
        <w:numPr>
          <w:ilvl w:val="0"/>
          <w:numId w:val="23"/>
        </w:numPr>
        <w:rPr>
          <w:bCs/>
        </w:rPr>
      </w:pPr>
      <w:r w:rsidRPr="00C60B97">
        <w:rPr>
          <w:bCs/>
        </w:rPr>
        <w:t xml:space="preserve">Group 1b: Disaster loan borrowers who </w:t>
      </w:r>
      <w:r w:rsidRPr="00823E3E">
        <w:rPr>
          <w:bCs/>
          <w:u w:val="single"/>
        </w:rPr>
        <w:t xml:space="preserve">did not </w:t>
      </w:r>
      <w:r w:rsidRPr="00823E3E">
        <w:rPr>
          <w:u w:val="single"/>
        </w:rPr>
        <w:t>choose to increase</w:t>
      </w:r>
      <w:r>
        <w:t xml:space="preserve"> their loan amount to fund mitigating measure</w:t>
      </w:r>
      <w:r w:rsidR="00AD2753">
        <w:t>s</w:t>
      </w:r>
      <w:r w:rsidRPr="00C60B97">
        <w:rPr>
          <w:bCs/>
        </w:rPr>
        <w:t xml:space="preserve"> </w:t>
      </w:r>
    </w:p>
    <w:p w:rsidR="00EB052E" w:rsidP="00EB052E" w:rsidRDefault="00EB052E" w14:paraId="524295C2" w14:textId="77777777">
      <w:r w:rsidRPr="00C60B97">
        <w:t xml:space="preserve">The selected </w:t>
      </w:r>
      <w:r>
        <w:t>respondents</w:t>
      </w:r>
      <w:r w:rsidRPr="00C60B97">
        <w:t xml:space="preserve"> are not intended to be a statistically valid sample, and the results will not be generalizable</w:t>
      </w:r>
      <w:r w:rsidR="000E2994">
        <w:t>.</w:t>
      </w:r>
    </w:p>
    <w:p w:rsidR="00EB052E" w:rsidP="00EB052E" w:rsidRDefault="00EB052E" w14:paraId="5F780B71" w14:textId="77777777"/>
    <w:p w:rsidR="00EB052E" w:rsidP="00EB052E" w:rsidRDefault="00EB052E" w14:paraId="1B5BD155" w14:textId="77777777">
      <w:r>
        <w:t xml:space="preserve">In total, up to 350 potential respondents will be contacted. </w:t>
      </w:r>
      <w:r w:rsidR="000E2994">
        <w:t>Anticipating</w:t>
      </w:r>
      <w:r>
        <w:t xml:space="preserve"> a roughly 25% response rate, </w:t>
      </w:r>
      <w:r w:rsidR="000E2994">
        <w:t>the contractor</w:t>
      </w:r>
      <w:r>
        <w:t xml:space="preserve"> will contact:</w:t>
      </w:r>
    </w:p>
    <w:p w:rsidR="00EB052E" w:rsidP="00EB052E" w:rsidRDefault="00EB052E" w14:paraId="2C7A7735" w14:textId="77777777">
      <w:pPr>
        <w:numPr>
          <w:ilvl w:val="0"/>
          <w:numId w:val="24"/>
        </w:numPr>
      </w:pPr>
      <w:r>
        <w:t xml:space="preserve">Up to 200 potential respondents to achieve 48 completed interviews </w:t>
      </w:r>
    </w:p>
    <w:p w:rsidR="00EB052E" w:rsidP="00EB052E" w:rsidRDefault="00EB052E" w14:paraId="713BF11C" w14:textId="77777777">
      <w:pPr>
        <w:numPr>
          <w:ilvl w:val="0"/>
          <w:numId w:val="24"/>
        </w:numPr>
      </w:pPr>
      <w:r>
        <w:t xml:space="preserve">Up to 150 potential respondents to achieve 4 completed focus groups with 9 respondents each   </w:t>
      </w:r>
    </w:p>
    <w:p w:rsidRPr="00C60B97" w:rsidR="00EB052E" w:rsidP="00EB052E" w:rsidRDefault="00EB052E" w14:paraId="239DBC9B" w14:textId="77777777">
      <w:pPr>
        <w:rPr>
          <w:bCs/>
        </w:rPr>
      </w:pPr>
    </w:p>
    <w:p w:rsidRPr="003B6AF9" w:rsidR="00EB052E" w:rsidP="00EB052E" w:rsidRDefault="00EB052E" w14:paraId="75593C7B" w14:textId="77777777">
      <w:r w:rsidRPr="00C60B97">
        <w:t xml:space="preserve">During recruitment, </w:t>
      </w:r>
      <w:r w:rsidR="00D25260">
        <w:t>the contractor</w:t>
      </w:r>
      <w:r w:rsidRPr="00C60B97">
        <w:t xml:space="preserve"> will </w:t>
      </w:r>
      <w:r>
        <w:t xml:space="preserve">make an initial contact via phone or email on behalf of the SBA </w:t>
      </w:r>
      <w:r w:rsidRPr="00C60B97">
        <w:t>to solicit participation</w:t>
      </w:r>
      <w:r>
        <w:t xml:space="preserve">. </w:t>
      </w:r>
      <w:r w:rsidR="00D25260">
        <w:t>The contractor</w:t>
      </w:r>
      <w:r>
        <w:t xml:space="preserve"> </w:t>
      </w:r>
      <w:r w:rsidRPr="00C60B97">
        <w:t>will make up to three follow-up contact attempts via phone and email. Recruiting and scheduling will occur on a rolling basis, to allow for the selection of respondents with specific characteristics as needed to ensure diversity in the sample.</w:t>
      </w:r>
    </w:p>
    <w:p w:rsidRPr="005C5289" w:rsidR="00EB052E" w:rsidP="005C5289" w:rsidRDefault="00EB052E" w14:paraId="7B722108" w14:textId="77777777">
      <w:pPr>
        <w:rPr>
          <w:b/>
        </w:rPr>
      </w:pPr>
    </w:p>
    <w:p w:rsidR="00434E33" w:rsidRDefault="00434E33" w14:paraId="646A34E7" w14:textId="77777777">
      <w:pPr>
        <w:pStyle w:val="Header"/>
        <w:tabs>
          <w:tab w:val="clear" w:pos="4320"/>
          <w:tab w:val="clear" w:pos="8640"/>
        </w:tabs>
      </w:pPr>
    </w:p>
    <w:p w:rsidR="00CF6542" w:rsidP="00C86E91" w:rsidRDefault="00CF6542" w14:paraId="597C6BA4" w14:textId="77777777">
      <w:pPr>
        <w:pStyle w:val="ListParagraph"/>
        <w:ind w:left="0"/>
        <w:rPr>
          <w:b/>
        </w:rPr>
      </w:pPr>
    </w:p>
    <w:p w:rsidRPr="00166F55" w:rsidR="00EB052E" w:rsidP="00EB052E" w:rsidRDefault="00EB052E" w14:paraId="153A57BC" w14:textId="77777777">
      <w:pPr>
        <w:pStyle w:val="ListParagraph"/>
        <w:ind w:left="0"/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Gifts or Payments:</w:t>
      </w:r>
    </w:p>
    <w:p w:rsidR="00EB052E" w:rsidP="00EB052E" w:rsidRDefault="00EB052E" w14:paraId="7A448303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Is an incentive (e.g., money or reimbursement of expenses, token of appreciation) provided to participants?  [ </w:t>
      </w:r>
      <w:r>
        <w:rPr>
          <w:rFonts w:ascii="Courier New" w:hAnsi="Courier New" w:cs="Courier New"/>
        </w:rPr>
        <w:t>X</w:t>
      </w:r>
      <w:r w:rsidRPr="00166F55">
        <w:rPr>
          <w:rFonts w:ascii="Courier New" w:hAnsi="Courier New" w:cs="Courier New"/>
        </w:rPr>
        <w:t xml:space="preserve"> ] Yes [  </w:t>
      </w:r>
      <w:r w:rsidRPr="00EB052E">
        <w:rPr>
          <w:rFonts w:ascii="Courier New" w:hAnsi="Courier New" w:cs="Courier New"/>
        </w:rPr>
        <w:t xml:space="preserve">] </w:t>
      </w:r>
      <w:r w:rsidRPr="00FA0F9B">
        <w:rPr>
          <w:rFonts w:ascii="Courier New" w:hAnsi="Courier New" w:cs="Courier New"/>
        </w:rPr>
        <w:t>No</w:t>
      </w:r>
      <w:r w:rsidRPr="00166F55">
        <w:rPr>
          <w:rFonts w:ascii="Courier New" w:hAnsi="Courier New" w:cs="Courier New"/>
        </w:rPr>
        <w:t xml:space="preserve">  </w:t>
      </w:r>
    </w:p>
    <w:p w:rsidR="004D6E14" w:rsidRDefault="004D6E14" w14:paraId="31630160" w14:textId="77777777">
      <w:pPr>
        <w:rPr>
          <w:b/>
        </w:rPr>
      </w:pPr>
    </w:p>
    <w:p w:rsidR="005E714A" w:rsidP="00C86E91" w:rsidRDefault="005E714A" w14:paraId="3E38A04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D6AC7C6" w14:textId="77777777">
      <w:pPr>
        <w:keepNext/>
        <w:keepLines/>
        <w:rPr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36"/>
        <w:gridCol w:w="2638"/>
        <w:gridCol w:w="1523"/>
        <w:gridCol w:w="1563"/>
        <w:gridCol w:w="990"/>
      </w:tblGrid>
      <w:tr w:rsidR="00D15795" w:rsidTr="00AC40EC" w14:paraId="63E7B3A6" w14:textId="77777777">
        <w:trPr>
          <w:trHeight w:val="274"/>
        </w:trPr>
        <w:tc>
          <w:tcPr>
            <w:tcW w:w="1435" w:type="pct"/>
          </w:tcPr>
          <w:p w:rsidRPr="0001027E" w:rsidR="00D15795" w:rsidP="00C8488C" w:rsidRDefault="00D15795" w14:paraId="247EBEF0" w14:textId="77777777">
            <w:pPr>
              <w:rPr>
                <w:b/>
              </w:rPr>
            </w:pPr>
          </w:p>
        </w:tc>
        <w:tc>
          <w:tcPr>
            <w:tcW w:w="1436" w:type="pct"/>
          </w:tcPr>
          <w:p w:rsidRPr="0001027E" w:rsidR="00D15795" w:rsidP="00C8488C" w:rsidRDefault="00D15795" w14:paraId="2D6FC605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795" w:type="pct"/>
          </w:tcPr>
          <w:p w:rsidRPr="0001027E" w:rsidR="00D15795" w:rsidP="00843796" w:rsidRDefault="00D15795" w14:paraId="340C7693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816" w:type="pct"/>
          </w:tcPr>
          <w:p w:rsidRPr="0001027E" w:rsidR="00D15795" w:rsidP="00843796" w:rsidRDefault="00D15795" w14:paraId="5D2DA73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517" w:type="pct"/>
          </w:tcPr>
          <w:p w:rsidRPr="0001027E" w:rsidR="00D15795" w:rsidP="00843796" w:rsidRDefault="00D15795" w14:paraId="3B73C8B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027142" w:rsidTr="00AC40EC" w14:paraId="133E3551" w14:textId="77777777">
        <w:trPr>
          <w:trHeight w:val="274"/>
        </w:trPr>
        <w:tc>
          <w:tcPr>
            <w:tcW w:w="1435" w:type="pct"/>
            <w:vMerge w:val="restart"/>
            <w:vAlign w:val="center"/>
          </w:tcPr>
          <w:p w:rsidRPr="00B00F25" w:rsidR="00027142" w:rsidDel="009D0D9F" w:rsidP="00AC40EC" w:rsidRDefault="00027142" w14:paraId="4AE3D6B9" w14:textId="77777777">
            <w:pPr>
              <w:jc w:val="center"/>
            </w:pPr>
            <w:r>
              <w:t>Interviews</w:t>
            </w:r>
          </w:p>
        </w:tc>
        <w:tc>
          <w:tcPr>
            <w:tcW w:w="1436" w:type="pct"/>
          </w:tcPr>
          <w:p w:rsidRPr="00B00F25" w:rsidR="00027142" w:rsidP="005D4547" w:rsidRDefault="00027142" w14:paraId="21B154DF" w14:textId="77777777">
            <w:r>
              <w:t>SBA disaster loan recipients who chose to increase their loan amount to fund mitigating measures</w:t>
            </w:r>
          </w:p>
        </w:tc>
        <w:tc>
          <w:tcPr>
            <w:tcW w:w="795" w:type="pct"/>
          </w:tcPr>
          <w:p w:rsidRPr="00D27DA1" w:rsidR="00027142" w:rsidP="005D4547" w:rsidRDefault="00027142" w14:paraId="2B11A470" w14:textId="77777777">
            <w:r>
              <w:t>24</w:t>
            </w:r>
          </w:p>
        </w:tc>
        <w:tc>
          <w:tcPr>
            <w:tcW w:w="816" w:type="pct"/>
          </w:tcPr>
          <w:p w:rsidRPr="00027142" w:rsidR="00027142" w:rsidP="005D4547" w:rsidRDefault="00027142" w14:paraId="5EDE23B8" w14:textId="77777777">
            <w:r w:rsidRPr="00027142">
              <w:t>30 minutes each</w:t>
            </w:r>
          </w:p>
        </w:tc>
        <w:tc>
          <w:tcPr>
            <w:tcW w:w="517" w:type="pct"/>
          </w:tcPr>
          <w:p w:rsidRPr="00027142" w:rsidR="00027142" w:rsidP="005D4547" w:rsidRDefault="00027142" w14:paraId="0B0D2B2E" w14:textId="77777777">
            <w:r w:rsidRPr="00027142">
              <w:t>12 hours</w:t>
            </w:r>
          </w:p>
        </w:tc>
      </w:tr>
      <w:tr w:rsidR="00027142" w:rsidTr="0047625C" w14:paraId="00A6A813" w14:textId="77777777">
        <w:trPr>
          <w:trHeight w:val="274"/>
        </w:trPr>
        <w:tc>
          <w:tcPr>
            <w:tcW w:w="1435" w:type="pct"/>
            <w:vMerge/>
          </w:tcPr>
          <w:p w:rsidR="00027142" w:rsidDel="009D0D9F" w:rsidP="005D4547" w:rsidRDefault="00027142" w14:paraId="54902157" w14:textId="77777777"/>
        </w:tc>
        <w:tc>
          <w:tcPr>
            <w:tcW w:w="1436" w:type="pct"/>
          </w:tcPr>
          <w:p w:rsidRPr="00B00F25" w:rsidR="00027142" w:rsidP="005D4547" w:rsidRDefault="00027142" w14:paraId="385BFA4C" w14:textId="77777777">
            <w:r>
              <w:t xml:space="preserve">SBA disaster loan recipients who </w:t>
            </w:r>
            <w:r w:rsidRPr="00A44D30">
              <w:rPr>
                <w:u w:val="single"/>
              </w:rPr>
              <w:t>did not</w:t>
            </w:r>
            <w:r>
              <w:t xml:space="preserve"> choose to increase their loan amount to fund mitigating measures</w:t>
            </w:r>
          </w:p>
        </w:tc>
        <w:tc>
          <w:tcPr>
            <w:tcW w:w="795" w:type="pct"/>
          </w:tcPr>
          <w:p w:rsidRPr="00D27DA1" w:rsidR="00027142" w:rsidP="005D4547" w:rsidRDefault="00027142" w14:paraId="3B9DFA78" w14:textId="77777777">
            <w:r>
              <w:t>24</w:t>
            </w:r>
          </w:p>
        </w:tc>
        <w:tc>
          <w:tcPr>
            <w:tcW w:w="816" w:type="pct"/>
          </w:tcPr>
          <w:p w:rsidRPr="00027142" w:rsidR="00027142" w:rsidP="005D4547" w:rsidRDefault="00027142" w14:paraId="369EA4A9" w14:textId="77777777">
            <w:r w:rsidRPr="00027142">
              <w:t>30 minutes each</w:t>
            </w:r>
          </w:p>
        </w:tc>
        <w:tc>
          <w:tcPr>
            <w:tcW w:w="517" w:type="pct"/>
          </w:tcPr>
          <w:p w:rsidRPr="00027142" w:rsidR="00027142" w:rsidP="005D4547" w:rsidRDefault="00027142" w14:paraId="7F1FC3C7" w14:textId="77777777">
            <w:r w:rsidRPr="00027142">
              <w:t>12 hours</w:t>
            </w:r>
          </w:p>
        </w:tc>
      </w:tr>
      <w:tr w:rsidR="00D15795" w:rsidTr="00763171" w14:paraId="008509C7" w14:textId="77777777">
        <w:trPr>
          <w:trHeight w:val="274"/>
        </w:trPr>
        <w:tc>
          <w:tcPr>
            <w:tcW w:w="1435" w:type="pct"/>
            <w:vMerge w:val="restart"/>
            <w:vAlign w:val="center"/>
          </w:tcPr>
          <w:p w:rsidRPr="00B00F25" w:rsidR="00D15795" w:rsidDel="009D0D9F" w:rsidP="00AC40EC" w:rsidRDefault="00D15795" w14:paraId="148AA145" w14:textId="77777777">
            <w:pPr>
              <w:jc w:val="center"/>
            </w:pPr>
            <w:r>
              <w:t>Focus Groups</w:t>
            </w:r>
          </w:p>
        </w:tc>
        <w:tc>
          <w:tcPr>
            <w:tcW w:w="1436" w:type="pct"/>
          </w:tcPr>
          <w:p w:rsidRPr="00B00F25" w:rsidR="00D15795" w:rsidP="005D4547" w:rsidRDefault="00D26E50" w14:paraId="255988AB" w14:textId="77777777">
            <w:r>
              <w:t>SBA disaster loan recipients who chose to increase their loan amount to fund mitigating measures – all participants located within the same FEMA disaster number</w:t>
            </w:r>
          </w:p>
        </w:tc>
        <w:tc>
          <w:tcPr>
            <w:tcW w:w="795" w:type="pct"/>
          </w:tcPr>
          <w:p w:rsidRPr="00763171" w:rsidR="00D15795" w:rsidP="005D4547" w:rsidRDefault="00763171" w14:paraId="76DCDABA" w14:textId="77777777">
            <w:r w:rsidRPr="00763171">
              <w:t xml:space="preserve">9 </w:t>
            </w:r>
            <w:r w:rsidRPr="00763171" w:rsidR="00D26E50">
              <w:t>(</w:t>
            </w:r>
            <w:r w:rsidRPr="00763171">
              <w:t>1</w:t>
            </w:r>
            <w:r w:rsidRPr="00763171" w:rsidR="00D26E50">
              <w:t xml:space="preserve"> focus group)</w:t>
            </w:r>
          </w:p>
        </w:tc>
        <w:tc>
          <w:tcPr>
            <w:tcW w:w="816" w:type="pct"/>
          </w:tcPr>
          <w:p w:rsidRPr="00763171" w:rsidR="00D15795" w:rsidP="005D4547" w:rsidRDefault="00763171" w14:paraId="11C00886" w14:textId="77777777">
            <w:r w:rsidRPr="00763171">
              <w:t>9</w:t>
            </w:r>
            <w:r w:rsidRPr="00763171" w:rsidR="00D15795">
              <w:t xml:space="preserve">0 minutes </w:t>
            </w:r>
          </w:p>
        </w:tc>
        <w:tc>
          <w:tcPr>
            <w:tcW w:w="517" w:type="pct"/>
          </w:tcPr>
          <w:p w:rsidRPr="00763171" w:rsidR="00D15795" w:rsidP="005D4547" w:rsidRDefault="00D15795" w14:paraId="0F13AA9D" w14:textId="77777777">
            <w:r w:rsidRPr="00763171">
              <w:t>1</w:t>
            </w:r>
            <w:r w:rsidRPr="00763171" w:rsidR="00763171">
              <w:t>3.5</w:t>
            </w:r>
            <w:r w:rsidRPr="00763171">
              <w:t xml:space="preserve"> hours</w:t>
            </w:r>
          </w:p>
        </w:tc>
      </w:tr>
      <w:tr w:rsidR="00763171" w:rsidTr="0047625C" w14:paraId="2DA2A391" w14:textId="77777777">
        <w:trPr>
          <w:trHeight w:val="274"/>
        </w:trPr>
        <w:tc>
          <w:tcPr>
            <w:tcW w:w="1435" w:type="pct"/>
            <w:vMerge/>
          </w:tcPr>
          <w:p w:rsidR="00763171" w:rsidP="00763171" w:rsidRDefault="00763171" w14:paraId="0AD4C860" w14:textId="77777777"/>
        </w:tc>
        <w:tc>
          <w:tcPr>
            <w:tcW w:w="1436" w:type="pct"/>
          </w:tcPr>
          <w:p w:rsidRPr="00B00F25" w:rsidR="00763171" w:rsidP="00763171" w:rsidRDefault="00763171" w14:paraId="2017BD61" w14:textId="77777777">
            <w:r>
              <w:t>SBA disaster loan recipients who chose to increase their loan amount to fund mitigating measures – participants located across the US</w:t>
            </w:r>
          </w:p>
        </w:tc>
        <w:tc>
          <w:tcPr>
            <w:tcW w:w="795" w:type="pct"/>
          </w:tcPr>
          <w:p w:rsidRPr="00763171" w:rsidR="00763171" w:rsidP="00763171" w:rsidRDefault="00763171" w14:paraId="49C9018D" w14:textId="77777777">
            <w:r w:rsidRPr="00763171">
              <w:t>9 (1 focus group)</w:t>
            </w:r>
          </w:p>
        </w:tc>
        <w:tc>
          <w:tcPr>
            <w:tcW w:w="816" w:type="pct"/>
          </w:tcPr>
          <w:p w:rsidRPr="00763171" w:rsidR="00763171" w:rsidP="00763171" w:rsidRDefault="00763171" w14:paraId="3F4D4F1C" w14:textId="77777777">
            <w:r w:rsidRPr="00763171">
              <w:t xml:space="preserve">90 minutes </w:t>
            </w:r>
          </w:p>
        </w:tc>
        <w:tc>
          <w:tcPr>
            <w:tcW w:w="517" w:type="pct"/>
          </w:tcPr>
          <w:p w:rsidRPr="00763171" w:rsidR="00763171" w:rsidP="00763171" w:rsidRDefault="00763171" w14:paraId="13E0AEE8" w14:textId="77777777">
            <w:r w:rsidRPr="00763171">
              <w:t>13.5 hours</w:t>
            </w:r>
          </w:p>
        </w:tc>
      </w:tr>
      <w:tr w:rsidR="00763171" w:rsidTr="0047625C" w14:paraId="48A78B2F" w14:textId="77777777">
        <w:trPr>
          <w:trHeight w:val="274"/>
        </w:trPr>
        <w:tc>
          <w:tcPr>
            <w:tcW w:w="1435" w:type="pct"/>
            <w:vMerge/>
          </w:tcPr>
          <w:p w:rsidR="00763171" w:rsidP="00763171" w:rsidRDefault="00763171" w14:paraId="5369CEBC" w14:textId="77777777"/>
        </w:tc>
        <w:tc>
          <w:tcPr>
            <w:tcW w:w="1436" w:type="pct"/>
          </w:tcPr>
          <w:p w:rsidR="00763171" w:rsidP="00763171" w:rsidRDefault="00763171" w14:paraId="1D2CF311" w14:textId="77777777">
            <w:r>
              <w:t xml:space="preserve">SBA disaster loan recipients who </w:t>
            </w:r>
            <w:r w:rsidRPr="00A44D30">
              <w:rPr>
                <w:u w:val="single"/>
              </w:rPr>
              <w:t>did not</w:t>
            </w:r>
            <w:r>
              <w:t xml:space="preserve"> choose to increase their loan amount to fund mitigating measures – all participants located within the same FEMA disaster number</w:t>
            </w:r>
          </w:p>
        </w:tc>
        <w:tc>
          <w:tcPr>
            <w:tcW w:w="795" w:type="pct"/>
          </w:tcPr>
          <w:p w:rsidRPr="00763171" w:rsidR="00763171" w:rsidP="00763171" w:rsidRDefault="00763171" w14:paraId="607594D0" w14:textId="77777777">
            <w:r w:rsidRPr="00763171">
              <w:t>9 (1 focus group)</w:t>
            </w:r>
          </w:p>
        </w:tc>
        <w:tc>
          <w:tcPr>
            <w:tcW w:w="816" w:type="pct"/>
          </w:tcPr>
          <w:p w:rsidRPr="00763171" w:rsidR="00763171" w:rsidP="00763171" w:rsidRDefault="00763171" w14:paraId="19DACDE6" w14:textId="77777777">
            <w:r w:rsidRPr="00763171">
              <w:t xml:space="preserve">90 minutes </w:t>
            </w:r>
          </w:p>
        </w:tc>
        <w:tc>
          <w:tcPr>
            <w:tcW w:w="517" w:type="pct"/>
          </w:tcPr>
          <w:p w:rsidRPr="00763171" w:rsidR="00763171" w:rsidP="00763171" w:rsidRDefault="00763171" w14:paraId="7A19BE54" w14:textId="77777777">
            <w:r w:rsidRPr="00763171">
              <w:t>13.5 hours</w:t>
            </w:r>
          </w:p>
        </w:tc>
      </w:tr>
      <w:tr w:rsidR="00763171" w:rsidTr="0047625C" w14:paraId="468D74FA" w14:textId="77777777">
        <w:trPr>
          <w:trHeight w:val="274"/>
        </w:trPr>
        <w:tc>
          <w:tcPr>
            <w:tcW w:w="1435" w:type="pct"/>
            <w:vMerge/>
          </w:tcPr>
          <w:p w:rsidR="00763171" w:rsidP="00763171" w:rsidRDefault="00763171" w14:paraId="5E936EDA" w14:textId="77777777"/>
        </w:tc>
        <w:tc>
          <w:tcPr>
            <w:tcW w:w="1436" w:type="pct"/>
          </w:tcPr>
          <w:p w:rsidR="00763171" w:rsidP="00763171" w:rsidRDefault="00763171" w14:paraId="591086CC" w14:textId="77777777">
            <w:r>
              <w:t xml:space="preserve">SBA disaster loan recipients who </w:t>
            </w:r>
            <w:r w:rsidRPr="00A44D30">
              <w:rPr>
                <w:u w:val="single"/>
              </w:rPr>
              <w:t>did not</w:t>
            </w:r>
            <w:r>
              <w:t xml:space="preserve"> choose to increase their loan amount to fund mitigating measures – participants located across the US</w:t>
            </w:r>
          </w:p>
        </w:tc>
        <w:tc>
          <w:tcPr>
            <w:tcW w:w="795" w:type="pct"/>
          </w:tcPr>
          <w:p w:rsidRPr="00763171" w:rsidR="00763171" w:rsidP="00763171" w:rsidRDefault="00763171" w14:paraId="6A1025A3" w14:textId="77777777">
            <w:r w:rsidRPr="00763171">
              <w:t>9 (1 focus group)</w:t>
            </w:r>
          </w:p>
        </w:tc>
        <w:tc>
          <w:tcPr>
            <w:tcW w:w="816" w:type="pct"/>
          </w:tcPr>
          <w:p w:rsidRPr="00763171" w:rsidR="00763171" w:rsidP="00763171" w:rsidRDefault="00763171" w14:paraId="0880BCC7" w14:textId="77777777">
            <w:r w:rsidRPr="00763171">
              <w:t xml:space="preserve">90 minutes </w:t>
            </w:r>
          </w:p>
        </w:tc>
        <w:tc>
          <w:tcPr>
            <w:tcW w:w="517" w:type="pct"/>
          </w:tcPr>
          <w:p w:rsidRPr="00763171" w:rsidR="00763171" w:rsidP="00763171" w:rsidRDefault="00763171" w14:paraId="4DD6DA9C" w14:textId="77777777">
            <w:r w:rsidRPr="00763171">
              <w:t>13.5 hours</w:t>
            </w:r>
          </w:p>
        </w:tc>
      </w:tr>
      <w:tr w:rsidR="00D15795" w:rsidTr="00AC40EC" w14:paraId="1004E27F" w14:textId="77777777">
        <w:trPr>
          <w:trHeight w:val="289"/>
        </w:trPr>
        <w:tc>
          <w:tcPr>
            <w:tcW w:w="1435" w:type="pct"/>
          </w:tcPr>
          <w:p w:rsidRPr="00D27DA1" w:rsidR="00D15795" w:rsidP="00843796" w:rsidRDefault="00D15795" w14:paraId="3BCD80A6" w14:textId="77777777">
            <w:pPr>
              <w:rPr>
                <w:b/>
              </w:rPr>
            </w:pPr>
          </w:p>
        </w:tc>
        <w:tc>
          <w:tcPr>
            <w:tcW w:w="1436" w:type="pct"/>
          </w:tcPr>
          <w:p w:rsidRPr="00D27DA1" w:rsidR="00D15795" w:rsidP="00843796" w:rsidRDefault="00D15795" w14:paraId="55CD3460" w14:textId="77777777">
            <w:pPr>
              <w:rPr>
                <w:b/>
              </w:rPr>
            </w:pPr>
            <w:r w:rsidRPr="00D27DA1">
              <w:rPr>
                <w:b/>
              </w:rPr>
              <w:t>Totals</w:t>
            </w:r>
          </w:p>
        </w:tc>
        <w:tc>
          <w:tcPr>
            <w:tcW w:w="795" w:type="pct"/>
          </w:tcPr>
          <w:p w:rsidRPr="00AC40EC" w:rsidR="00D15795" w:rsidP="00843796" w:rsidRDefault="00094058" w14:paraId="3C5F1912" w14:textId="77777777">
            <w:pPr>
              <w:rPr>
                <w:b/>
                <w:highlight w:val="yellow"/>
              </w:rPr>
            </w:pPr>
            <w:r w:rsidRPr="00094058">
              <w:rPr>
                <w:b/>
              </w:rPr>
              <w:t>84</w:t>
            </w:r>
          </w:p>
        </w:tc>
        <w:tc>
          <w:tcPr>
            <w:tcW w:w="816" w:type="pct"/>
          </w:tcPr>
          <w:p w:rsidRPr="00AC40EC" w:rsidR="00D15795" w:rsidP="00843796" w:rsidRDefault="00D15795" w14:paraId="2751AB58" w14:textId="77777777">
            <w:pPr>
              <w:rPr>
                <w:highlight w:val="yellow"/>
              </w:rPr>
            </w:pPr>
          </w:p>
        </w:tc>
        <w:tc>
          <w:tcPr>
            <w:tcW w:w="517" w:type="pct"/>
          </w:tcPr>
          <w:p w:rsidRPr="00AC40EC" w:rsidR="00D15795" w:rsidP="00843796" w:rsidRDefault="00094058" w14:paraId="032726B7" w14:textId="77777777">
            <w:pPr>
              <w:rPr>
                <w:b/>
                <w:highlight w:val="yellow"/>
              </w:rPr>
            </w:pPr>
            <w:r w:rsidRPr="00094058">
              <w:rPr>
                <w:b/>
              </w:rPr>
              <w:t>78</w:t>
            </w:r>
            <w:r w:rsidRPr="00094058" w:rsidR="00D15795">
              <w:rPr>
                <w:b/>
              </w:rPr>
              <w:t xml:space="preserve"> hrs</w:t>
            </w:r>
          </w:p>
        </w:tc>
      </w:tr>
    </w:tbl>
    <w:p w:rsidR="00F3170F" w:rsidP="00F3170F" w:rsidRDefault="00F3170F" w14:paraId="2671D578" w14:textId="77777777"/>
    <w:p w:rsidR="00ED6492" w:rsidRDefault="001C39F7" w14:paraId="781710F7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AE79A8" w:rsidR="00C86E91">
        <w:t xml:space="preserve">is </w:t>
      </w:r>
      <w:r w:rsidRPr="00AE79A8" w:rsidR="00ED5BC3">
        <w:t>$</w:t>
      </w:r>
      <w:r w:rsidR="00ED5BC3">
        <w:t>18</w:t>
      </w:r>
      <w:r w:rsidRPr="00AE79A8" w:rsidR="00ED5BC3">
        <w:t>,</w:t>
      </w:r>
      <w:r w:rsidR="00ED5BC3">
        <w:t>180 (including a budget of $1,680 for incentives)</w:t>
      </w:r>
      <w:r w:rsidR="006A4BA9">
        <w:t>,</w:t>
      </w:r>
      <w:r w:rsidRPr="00AE79A8" w:rsidR="00ED5BC3">
        <w:t xml:space="preserve"> </w:t>
      </w:r>
      <w:r w:rsidRPr="00AE79A8" w:rsidR="00C7391D">
        <w:t>which</w:t>
      </w:r>
      <w:r w:rsidR="00C7391D">
        <w:t xml:space="preserve"> is attributed to the contractor that will be </w:t>
      </w:r>
      <w:r w:rsidR="00B37C74">
        <w:t>leading the discussions</w:t>
      </w:r>
      <w:r w:rsidR="00BF7486">
        <w:t>.</w:t>
      </w:r>
      <w:r w:rsidR="00BC3FE0">
        <w:t xml:space="preserve"> </w:t>
      </w:r>
    </w:p>
    <w:p w:rsidR="005172F7" w:rsidRDefault="005172F7" w14:paraId="27F2D2A9" w14:textId="77777777"/>
    <w:p w:rsidR="005172F7" w:rsidRDefault="005172F7" w14:paraId="29886BD9" w14:textId="77777777">
      <w:r>
        <w:t>All</w:t>
      </w:r>
      <w:r w:rsidR="00EC4364">
        <w:t xml:space="preserve"> 84</w:t>
      </w:r>
      <w:r w:rsidR="00DE09B1">
        <w:t xml:space="preserve"> </w:t>
      </w:r>
      <w:r>
        <w:t xml:space="preserve">participants who participate in an interview or focus group will receive a $20 incentive. Offering this incentive will help improve response rates; the contractor does not anticipate it will impact respondents’ answers. </w:t>
      </w:r>
    </w:p>
    <w:p w:rsidR="00B749AE" w:rsidRDefault="00B749AE" w14:paraId="719E1E20" w14:textId="77777777">
      <w:pPr>
        <w:rPr>
          <w:b/>
          <w:bCs/>
          <w:u w:val="single"/>
        </w:rPr>
      </w:pPr>
    </w:p>
    <w:p w:rsidR="00055F11" w:rsidP="00536DD0" w:rsidRDefault="00055F11" w14:paraId="6422D106" w14:textId="77777777">
      <w:pPr>
        <w:rPr>
          <w:b/>
        </w:rPr>
      </w:pPr>
    </w:p>
    <w:p w:rsidRPr="009223A5" w:rsidR="00E05F8D" w:rsidP="00E05F8D" w:rsidRDefault="00E05F8D" w14:paraId="26B9CA78" w14:textId="77777777"/>
    <w:p w:rsidRPr="009223A5" w:rsidR="00E05F8D" w:rsidP="00E05F8D" w:rsidRDefault="00E05F8D" w14:paraId="409917AA" w14:textId="77777777"/>
    <w:p w:rsidR="00E05F8D" w:rsidP="00E05F8D" w:rsidRDefault="00E05F8D" w14:paraId="4C2DA5D4" w14:textId="77777777">
      <w:pPr>
        <w:rPr>
          <w:highlight w:val="yellow"/>
        </w:rPr>
      </w:pPr>
    </w:p>
    <w:p w:rsidRPr="00166F55" w:rsidR="00EB052E" w:rsidP="00EB052E" w:rsidRDefault="00EB052E" w14:paraId="0E3FA463" w14:textId="777777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  <w:r w:rsidRPr="00166F55">
        <w:rPr>
          <w:rFonts w:ascii="Courier New" w:hAnsi="Courier New" w:cs="Courier New"/>
          <w:b/>
        </w:rPr>
        <w:lastRenderedPageBreak/>
        <w:t>CERTIFICATION:</w:t>
      </w:r>
    </w:p>
    <w:p w:rsidRPr="00166F55" w:rsidR="00EB052E" w:rsidP="00EB052E" w:rsidRDefault="00EB052E" w14:paraId="3A9232CC" w14:textId="77777777">
      <w:pPr>
        <w:rPr>
          <w:rFonts w:ascii="Courier New" w:hAnsi="Courier New" w:cs="Courier New"/>
          <w:sz w:val="16"/>
          <w:szCs w:val="16"/>
        </w:rPr>
      </w:pPr>
    </w:p>
    <w:p w:rsidRPr="00166F55" w:rsidR="00EB052E" w:rsidP="00EB052E" w:rsidRDefault="00EB052E" w14:paraId="15B384DE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 certify the following to be true: </w:t>
      </w:r>
    </w:p>
    <w:p w:rsidRPr="00684A53" w:rsidR="00EB052E" w:rsidP="00EB052E" w:rsidRDefault="00EB052E" w14:paraId="22FCFA7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voluntary;</w:t>
      </w:r>
    </w:p>
    <w:p w:rsidRPr="00684A53" w:rsidR="00EB052E" w:rsidP="00EB052E" w:rsidRDefault="00EB052E" w14:paraId="5E20609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684A53" w:rsidR="00EB052E" w:rsidP="00EB052E" w:rsidRDefault="00EB052E" w14:paraId="1B26931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684A53" w:rsidR="00EB052E" w:rsidP="00EB052E" w:rsidRDefault="00EB052E" w14:paraId="31E6AEF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684A53" w:rsidR="00EB052E" w:rsidP="00EB052E" w:rsidRDefault="00EB052E" w14:paraId="79D2A44C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EB052E" w:rsidP="00EB052E" w:rsidRDefault="00EB052E" w14:paraId="20F5F9C3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EB052E" w:rsidP="00EB052E" w:rsidRDefault="00EB052E" w14:paraId="177B74F3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Upon agreement between OMB and the agency all or a subset of information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166F55" w:rsidR="00EB052E" w:rsidP="00EB052E" w:rsidRDefault="00EB052E" w14:paraId="76425036" w14:textId="77777777">
      <w:pPr>
        <w:rPr>
          <w:rFonts w:ascii="Courier New" w:hAnsi="Courier New" w:cs="Courier New"/>
        </w:rPr>
      </w:pPr>
    </w:p>
    <w:p w:rsidR="00EB052E" w:rsidP="00EB052E" w:rsidRDefault="00EB052E" w14:paraId="690C21D3" w14:textId="77777777">
      <w:pPr>
        <w:rPr>
          <w:rFonts w:ascii="Courier New" w:hAnsi="Courier New" w:cs="Courier New"/>
        </w:rPr>
      </w:pPr>
    </w:p>
    <w:p w:rsidR="00EB052E" w:rsidP="00EB052E" w:rsidRDefault="00EB052E" w14:paraId="117A7F63" w14:textId="77777777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Name:</w:t>
      </w:r>
      <w:r>
        <w:rPr>
          <w:rFonts w:ascii="Courier New" w:hAnsi="Courier New" w:cs="Courier New"/>
        </w:rPr>
        <w:t xml:space="preserve"> </w:t>
      </w:r>
      <w:r w:rsidRPr="00166F55">
        <w:rPr>
          <w:rFonts w:ascii="Courier New" w:hAnsi="Courier New" w:cs="Courier New"/>
        </w:rPr>
        <w:t>________________________________________________</w:t>
      </w:r>
    </w:p>
    <w:p w:rsidR="00EB052E" w:rsidP="00EB052E" w:rsidRDefault="00EB052E" w14:paraId="2375A360" w14:textId="77777777">
      <w:pPr>
        <w:rPr>
          <w:rFonts w:ascii="Courier New" w:hAnsi="Courier New" w:cs="Courier New"/>
        </w:rPr>
      </w:pPr>
    </w:p>
    <w:p w:rsidR="00EB052E" w:rsidP="00EB052E" w:rsidRDefault="00EB052E" w14:paraId="73096C5E" w14:textId="77777777">
      <w:pPr>
        <w:rPr>
          <w:rFonts w:ascii="Courier New" w:hAnsi="Courier New" w:cs="Courier New"/>
        </w:rPr>
      </w:pPr>
    </w:p>
    <w:p w:rsidRPr="00166F55" w:rsidR="00EB052E" w:rsidP="00EB052E" w:rsidRDefault="00EB052E" w14:paraId="4B8F51D3" w14:textId="7777777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Title: </w:t>
      </w:r>
      <w:r w:rsidRPr="00166F55">
        <w:rPr>
          <w:rFonts w:ascii="Courier New" w:hAnsi="Courier New" w:cs="Courier New"/>
        </w:rPr>
        <w:t>________________________________________________</w:t>
      </w:r>
      <w:r>
        <w:rPr>
          <w:rFonts w:ascii="Courier New" w:hAnsi="Courier New" w:cs="Courier New"/>
        </w:rPr>
        <w:t xml:space="preserve"> </w:t>
      </w:r>
    </w:p>
    <w:p w:rsidRPr="00166F55" w:rsidR="00EB052E" w:rsidP="00EB052E" w:rsidRDefault="00EB052E" w14:paraId="5442F946" w14:textId="77777777">
      <w:pPr>
        <w:pStyle w:val="ListParagraph"/>
        <w:ind w:left="0"/>
        <w:rPr>
          <w:rFonts w:ascii="Courier New" w:hAnsi="Courier New" w:cs="Courier New"/>
        </w:rPr>
      </w:pPr>
    </w:p>
    <w:p w:rsidRPr="00D51C9F" w:rsidR="00EB052E" w:rsidP="00EB052E" w:rsidRDefault="00EB052E" w14:paraId="2861C24E" w14:textId="777777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  <w:r w:rsidRPr="00FE1D1A">
        <w:rPr>
          <w:rFonts w:ascii="Courier New" w:hAnsi="Courier New" w:cs="Courier New"/>
          <w:b/>
        </w:rPr>
        <w:lastRenderedPageBreak/>
        <w:t>APPENDIX: Data Collection Materials</w:t>
      </w:r>
      <w:r w:rsidRPr="00D51C9F">
        <w:t xml:space="preserve"> </w:t>
      </w:r>
      <w:r>
        <w:t xml:space="preserve">and </w:t>
      </w:r>
      <w:r w:rsidRPr="00D51C9F">
        <w:rPr>
          <w:rFonts w:ascii="Courier New" w:hAnsi="Courier New" w:cs="Courier New"/>
          <w:b/>
        </w:rPr>
        <w:t>Preliminary Version of Interviews and Surveys</w:t>
      </w:r>
    </w:p>
    <w:p w:rsidRPr="00FE1D1A" w:rsidR="00EB052E" w:rsidP="00EB052E" w:rsidRDefault="00EB052E" w14:paraId="4967F5F0" w14:textId="77777777">
      <w:pPr>
        <w:rPr>
          <w:rFonts w:ascii="Courier New" w:hAnsi="Courier New" w:cs="Courier New"/>
        </w:rPr>
      </w:pPr>
    </w:p>
    <w:p w:rsidR="00EB052E" w:rsidP="00E448A5" w:rsidRDefault="00E448A5" w14:paraId="22EBF1F5" w14:textId="708342A5">
      <w:pPr>
        <w:numPr>
          <w:ilvl w:val="0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Focus Group Recruitment Materials</w:t>
      </w:r>
    </w:p>
    <w:p w:rsidR="00E448A5" w:rsidP="00E448A5" w:rsidRDefault="00E448A5" w14:paraId="76A0A05C" w14:textId="7DDAD58C">
      <w:pPr>
        <w:numPr>
          <w:ilvl w:val="1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Email-Focus Group Confirmation</w:t>
      </w:r>
    </w:p>
    <w:p w:rsidR="00E448A5" w:rsidP="00E448A5" w:rsidRDefault="00E448A5" w14:paraId="4F3F5279" w14:textId="74D5276B">
      <w:pPr>
        <w:numPr>
          <w:ilvl w:val="1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Email – Focus Group Reminder</w:t>
      </w:r>
    </w:p>
    <w:p w:rsidR="00E448A5" w:rsidP="00E448A5" w:rsidRDefault="00E448A5" w14:paraId="30562431" w14:textId="380A08A0">
      <w:pPr>
        <w:numPr>
          <w:ilvl w:val="1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Initial Contact Scripts_Focus Group</w:t>
      </w:r>
    </w:p>
    <w:p w:rsidR="00E448A5" w:rsidP="00E448A5" w:rsidRDefault="00E448A5" w14:paraId="7EE76B6E" w14:textId="7083C21A">
      <w:pPr>
        <w:numPr>
          <w:ilvl w:val="0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Interview (IDI) Recruitment Materials</w:t>
      </w:r>
    </w:p>
    <w:p w:rsidR="00E448A5" w:rsidP="00E448A5" w:rsidRDefault="00E448A5" w14:paraId="09BA577C" w14:textId="328E0A0B">
      <w:pPr>
        <w:numPr>
          <w:ilvl w:val="1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Email – Interview Confirmation</w:t>
      </w:r>
    </w:p>
    <w:p w:rsidR="00E448A5" w:rsidP="00E448A5" w:rsidRDefault="00E448A5" w14:paraId="0E240D4F" w14:textId="362F1D22">
      <w:pPr>
        <w:numPr>
          <w:ilvl w:val="1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Email – Interview Reminder</w:t>
      </w:r>
    </w:p>
    <w:p w:rsidR="00E448A5" w:rsidP="00E448A5" w:rsidRDefault="00E448A5" w14:paraId="487D7FE9" w14:textId="642150DA">
      <w:pPr>
        <w:numPr>
          <w:ilvl w:val="1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Initial Contact Scripts</w:t>
      </w:r>
      <w:r w:rsidR="00D62174">
        <w:rPr>
          <w:rFonts w:ascii="Courier New" w:hAnsi="Courier New" w:cs="Courier New"/>
        </w:rPr>
        <w:t>_Interviews</w:t>
      </w:r>
    </w:p>
    <w:p w:rsidR="00E448A5" w:rsidP="00E448A5" w:rsidRDefault="00E448A5" w14:paraId="0A22B87D" w14:textId="07BFC1C6">
      <w:pPr>
        <w:numPr>
          <w:ilvl w:val="0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Description of pretesting</w:t>
      </w:r>
    </w:p>
    <w:p w:rsidR="00E448A5" w:rsidP="00E448A5" w:rsidRDefault="00E448A5" w14:paraId="62797DFA" w14:textId="084B499C">
      <w:pPr>
        <w:numPr>
          <w:ilvl w:val="0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Focus Group Guide</w:t>
      </w:r>
    </w:p>
    <w:p w:rsidR="00E448A5" w:rsidP="00E448A5" w:rsidRDefault="00E448A5" w14:paraId="4B53A330" w14:textId="78387D8C">
      <w:pPr>
        <w:numPr>
          <w:ilvl w:val="0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Interview Guide_Group 1a</w:t>
      </w:r>
    </w:p>
    <w:p w:rsidR="00E448A5" w:rsidP="00E448A5" w:rsidRDefault="00E448A5" w14:paraId="2A354C03" w14:textId="5072AFB6">
      <w:pPr>
        <w:numPr>
          <w:ilvl w:val="0"/>
          <w:numId w:val="29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Interview Guide_Group 1b</w:t>
      </w:r>
    </w:p>
    <w:sectPr w:rsidR="00E448A5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DBE1" w14:textId="77777777" w:rsidR="002E01F7" w:rsidRDefault="002E01F7">
      <w:r>
        <w:separator/>
      </w:r>
    </w:p>
  </w:endnote>
  <w:endnote w:type="continuationSeparator" w:id="0">
    <w:p w14:paraId="01432C7D" w14:textId="77777777" w:rsidR="002E01F7" w:rsidRDefault="002E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72881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07DA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78B3" w14:textId="77777777" w:rsidR="002E01F7" w:rsidRDefault="002E01F7">
      <w:r>
        <w:separator/>
      </w:r>
    </w:p>
  </w:footnote>
  <w:footnote w:type="continuationSeparator" w:id="0">
    <w:p w14:paraId="06C6A20A" w14:textId="77777777" w:rsidR="002E01F7" w:rsidRDefault="002E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07E0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0021"/>
    <w:multiLevelType w:val="hybridMultilevel"/>
    <w:tmpl w:val="F9AC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1543"/>
    <w:multiLevelType w:val="hybridMultilevel"/>
    <w:tmpl w:val="26A4D7BC"/>
    <w:lvl w:ilvl="0" w:tplc="39E68CD8">
      <w:start w:val="1"/>
      <w:numFmt w:val="bullet"/>
      <w:pStyle w:val="Prob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8E9C9C">
      <w:start w:val="1"/>
      <w:numFmt w:val="bullet"/>
      <w:pStyle w:val="Probe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4A77F2">
      <w:start w:val="1"/>
      <w:numFmt w:val="bullet"/>
      <w:pStyle w:val="Probe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E4BCE"/>
    <w:multiLevelType w:val="hybridMultilevel"/>
    <w:tmpl w:val="B2E8F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A27E3"/>
    <w:multiLevelType w:val="hybridMultilevel"/>
    <w:tmpl w:val="C8BC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3E51"/>
    <w:multiLevelType w:val="hybridMultilevel"/>
    <w:tmpl w:val="88BE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A3BE7"/>
    <w:multiLevelType w:val="hybridMultilevel"/>
    <w:tmpl w:val="88BE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DC60356"/>
    <w:multiLevelType w:val="hybridMultilevel"/>
    <w:tmpl w:val="5BA651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A7638"/>
    <w:multiLevelType w:val="hybridMultilevel"/>
    <w:tmpl w:val="24FA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A44D4"/>
    <w:multiLevelType w:val="hybridMultilevel"/>
    <w:tmpl w:val="51C0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42E4E"/>
    <w:multiLevelType w:val="hybridMultilevel"/>
    <w:tmpl w:val="4886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017E3"/>
    <w:multiLevelType w:val="hybridMultilevel"/>
    <w:tmpl w:val="4D3C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6"/>
  </w:num>
  <w:num w:numId="4">
    <w:abstractNumId w:val="28"/>
  </w:num>
  <w:num w:numId="5">
    <w:abstractNumId w:val="5"/>
  </w:num>
  <w:num w:numId="6">
    <w:abstractNumId w:val="1"/>
  </w:num>
  <w:num w:numId="7">
    <w:abstractNumId w:val="14"/>
  </w:num>
  <w:num w:numId="8">
    <w:abstractNumId w:val="24"/>
  </w:num>
  <w:num w:numId="9">
    <w:abstractNumId w:val="16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25"/>
  </w:num>
  <w:num w:numId="15">
    <w:abstractNumId w:val="23"/>
  </w:num>
  <w:num w:numId="16">
    <w:abstractNumId w:val="18"/>
  </w:num>
  <w:num w:numId="17">
    <w:abstractNumId w:val="6"/>
  </w:num>
  <w:num w:numId="18">
    <w:abstractNumId w:val="8"/>
  </w:num>
  <w:num w:numId="19">
    <w:abstractNumId w:val="3"/>
  </w:num>
  <w:num w:numId="20">
    <w:abstractNumId w:val="21"/>
  </w:num>
  <w:num w:numId="21">
    <w:abstractNumId w:val="7"/>
  </w:num>
  <w:num w:numId="22">
    <w:abstractNumId w:val="19"/>
  </w:num>
  <w:num w:numId="23">
    <w:abstractNumId w:val="9"/>
  </w:num>
  <w:num w:numId="24">
    <w:abstractNumId w:val="20"/>
  </w:num>
  <w:num w:numId="25">
    <w:abstractNumId w:val="4"/>
  </w:num>
  <w:num w:numId="26">
    <w:abstractNumId w:val="22"/>
  </w:num>
  <w:num w:numId="27">
    <w:abstractNumId w:val="13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2F7"/>
    <w:rsid w:val="00023A57"/>
    <w:rsid w:val="00026634"/>
    <w:rsid w:val="00027142"/>
    <w:rsid w:val="00030B22"/>
    <w:rsid w:val="0004363B"/>
    <w:rsid w:val="00047107"/>
    <w:rsid w:val="00047A64"/>
    <w:rsid w:val="00055F11"/>
    <w:rsid w:val="000577F4"/>
    <w:rsid w:val="0006096B"/>
    <w:rsid w:val="00067329"/>
    <w:rsid w:val="00073CC0"/>
    <w:rsid w:val="00094058"/>
    <w:rsid w:val="00094DDA"/>
    <w:rsid w:val="000A2733"/>
    <w:rsid w:val="000A49C0"/>
    <w:rsid w:val="000B2838"/>
    <w:rsid w:val="000D44CA"/>
    <w:rsid w:val="000E200B"/>
    <w:rsid w:val="000E2994"/>
    <w:rsid w:val="000F68BE"/>
    <w:rsid w:val="000F6D86"/>
    <w:rsid w:val="001028DF"/>
    <w:rsid w:val="00105539"/>
    <w:rsid w:val="00107BD6"/>
    <w:rsid w:val="0012007F"/>
    <w:rsid w:val="00133E70"/>
    <w:rsid w:val="00135B30"/>
    <w:rsid w:val="001360BC"/>
    <w:rsid w:val="00141F0A"/>
    <w:rsid w:val="00166E5F"/>
    <w:rsid w:val="001719C6"/>
    <w:rsid w:val="00174E69"/>
    <w:rsid w:val="001927A4"/>
    <w:rsid w:val="00194AC6"/>
    <w:rsid w:val="001A23B0"/>
    <w:rsid w:val="001A25CC"/>
    <w:rsid w:val="001A5BF6"/>
    <w:rsid w:val="001B0AAA"/>
    <w:rsid w:val="001B261B"/>
    <w:rsid w:val="001C39F7"/>
    <w:rsid w:val="001D098E"/>
    <w:rsid w:val="001D691F"/>
    <w:rsid w:val="001F4F0F"/>
    <w:rsid w:val="001F645F"/>
    <w:rsid w:val="001F743E"/>
    <w:rsid w:val="001F7B34"/>
    <w:rsid w:val="00215EB4"/>
    <w:rsid w:val="002254FF"/>
    <w:rsid w:val="00237B48"/>
    <w:rsid w:val="0024521E"/>
    <w:rsid w:val="002604B3"/>
    <w:rsid w:val="00263C3D"/>
    <w:rsid w:val="002646F7"/>
    <w:rsid w:val="00274D0B"/>
    <w:rsid w:val="00276442"/>
    <w:rsid w:val="00283C31"/>
    <w:rsid w:val="002B052D"/>
    <w:rsid w:val="002B2CC8"/>
    <w:rsid w:val="002B34CD"/>
    <w:rsid w:val="002B3C95"/>
    <w:rsid w:val="002B5CA0"/>
    <w:rsid w:val="002D0B92"/>
    <w:rsid w:val="002E01F7"/>
    <w:rsid w:val="002E595A"/>
    <w:rsid w:val="002E70AC"/>
    <w:rsid w:val="002E734E"/>
    <w:rsid w:val="002F36E8"/>
    <w:rsid w:val="002F7C4A"/>
    <w:rsid w:val="00303E85"/>
    <w:rsid w:val="003402EE"/>
    <w:rsid w:val="003532F7"/>
    <w:rsid w:val="003947CD"/>
    <w:rsid w:val="003A7B9A"/>
    <w:rsid w:val="003B64A1"/>
    <w:rsid w:val="003B6AF9"/>
    <w:rsid w:val="003D1255"/>
    <w:rsid w:val="003D5BBE"/>
    <w:rsid w:val="003E3C61"/>
    <w:rsid w:val="003F1C5B"/>
    <w:rsid w:val="003F39F8"/>
    <w:rsid w:val="00400ED0"/>
    <w:rsid w:val="0040495B"/>
    <w:rsid w:val="00405A53"/>
    <w:rsid w:val="0040600C"/>
    <w:rsid w:val="0041242E"/>
    <w:rsid w:val="00434E33"/>
    <w:rsid w:val="00437544"/>
    <w:rsid w:val="00441434"/>
    <w:rsid w:val="0045264C"/>
    <w:rsid w:val="00471CD7"/>
    <w:rsid w:val="00476062"/>
    <w:rsid w:val="0047625C"/>
    <w:rsid w:val="004876EC"/>
    <w:rsid w:val="004A5D48"/>
    <w:rsid w:val="004B2390"/>
    <w:rsid w:val="004C13BA"/>
    <w:rsid w:val="004C1A1D"/>
    <w:rsid w:val="004D66F7"/>
    <w:rsid w:val="004D6E14"/>
    <w:rsid w:val="004D7A4B"/>
    <w:rsid w:val="004F5AF9"/>
    <w:rsid w:val="005009B0"/>
    <w:rsid w:val="00502529"/>
    <w:rsid w:val="005172F7"/>
    <w:rsid w:val="00521D22"/>
    <w:rsid w:val="00523ADF"/>
    <w:rsid w:val="00524B98"/>
    <w:rsid w:val="00525B9C"/>
    <w:rsid w:val="005305F7"/>
    <w:rsid w:val="00536DD0"/>
    <w:rsid w:val="00552156"/>
    <w:rsid w:val="005548D8"/>
    <w:rsid w:val="005628A3"/>
    <w:rsid w:val="00567854"/>
    <w:rsid w:val="00584919"/>
    <w:rsid w:val="005A1006"/>
    <w:rsid w:val="005A1677"/>
    <w:rsid w:val="005A6DBB"/>
    <w:rsid w:val="005B76F5"/>
    <w:rsid w:val="005C5289"/>
    <w:rsid w:val="005D3284"/>
    <w:rsid w:val="005D4547"/>
    <w:rsid w:val="005D7773"/>
    <w:rsid w:val="005E5AEA"/>
    <w:rsid w:val="005E5C33"/>
    <w:rsid w:val="005E714A"/>
    <w:rsid w:val="005F4B70"/>
    <w:rsid w:val="005F693D"/>
    <w:rsid w:val="00603702"/>
    <w:rsid w:val="00607DAC"/>
    <w:rsid w:val="006140A0"/>
    <w:rsid w:val="0061665E"/>
    <w:rsid w:val="00623B3B"/>
    <w:rsid w:val="00636621"/>
    <w:rsid w:val="006405BA"/>
    <w:rsid w:val="00642B49"/>
    <w:rsid w:val="00673F40"/>
    <w:rsid w:val="006832D9"/>
    <w:rsid w:val="0069403B"/>
    <w:rsid w:val="006A4BA9"/>
    <w:rsid w:val="006C628E"/>
    <w:rsid w:val="006D1985"/>
    <w:rsid w:val="006D58DB"/>
    <w:rsid w:val="006E573B"/>
    <w:rsid w:val="006F17B2"/>
    <w:rsid w:val="006F3DDE"/>
    <w:rsid w:val="006F65C3"/>
    <w:rsid w:val="006F7D7C"/>
    <w:rsid w:val="00704678"/>
    <w:rsid w:val="00705E2C"/>
    <w:rsid w:val="007264B6"/>
    <w:rsid w:val="007377DD"/>
    <w:rsid w:val="007425E7"/>
    <w:rsid w:val="00742E21"/>
    <w:rsid w:val="00763171"/>
    <w:rsid w:val="00776F91"/>
    <w:rsid w:val="00782E42"/>
    <w:rsid w:val="0078602A"/>
    <w:rsid w:val="007952C1"/>
    <w:rsid w:val="00797E4D"/>
    <w:rsid w:val="007A6F27"/>
    <w:rsid w:val="007D619A"/>
    <w:rsid w:val="007D628F"/>
    <w:rsid w:val="007E462C"/>
    <w:rsid w:val="007F7080"/>
    <w:rsid w:val="00802607"/>
    <w:rsid w:val="008101A5"/>
    <w:rsid w:val="0081788B"/>
    <w:rsid w:val="00822664"/>
    <w:rsid w:val="008228C3"/>
    <w:rsid w:val="00823E3E"/>
    <w:rsid w:val="00827937"/>
    <w:rsid w:val="00837D39"/>
    <w:rsid w:val="00842355"/>
    <w:rsid w:val="00843796"/>
    <w:rsid w:val="00850657"/>
    <w:rsid w:val="008519BA"/>
    <w:rsid w:val="00857665"/>
    <w:rsid w:val="00862EDA"/>
    <w:rsid w:val="00882197"/>
    <w:rsid w:val="00885269"/>
    <w:rsid w:val="00895229"/>
    <w:rsid w:val="008B2EB3"/>
    <w:rsid w:val="008B7E7B"/>
    <w:rsid w:val="008C1DC6"/>
    <w:rsid w:val="008F0203"/>
    <w:rsid w:val="008F50D4"/>
    <w:rsid w:val="008F63B5"/>
    <w:rsid w:val="009004DC"/>
    <w:rsid w:val="00900E43"/>
    <w:rsid w:val="00904B07"/>
    <w:rsid w:val="0091017E"/>
    <w:rsid w:val="009223A5"/>
    <w:rsid w:val="009239AA"/>
    <w:rsid w:val="00935ADA"/>
    <w:rsid w:val="00946B6C"/>
    <w:rsid w:val="00955A71"/>
    <w:rsid w:val="00956515"/>
    <w:rsid w:val="0096108F"/>
    <w:rsid w:val="00975CF8"/>
    <w:rsid w:val="0098404E"/>
    <w:rsid w:val="00990395"/>
    <w:rsid w:val="00996E9E"/>
    <w:rsid w:val="009A2B16"/>
    <w:rsid w:val="009C13B9"/>
    <w:rsid w:val="009D01A2"/>
    <w:rsid w:val="009D0D9F"/>
    <w:rsid w:val="009E5B73"/>
    <w:rsid w:val="009F5923"/>
    <w:rsid w:val="00A137A0"/>
    <w:rsid w:val="00A22F27"/>
    <w:rsid w:val="00A31780"/>
    <w:rsid w:val="00A403BB"/>
    <w:rsid w:val="00A43815"/>
    <w:rsid w:val="00A44D30"/>
    <w:rsid w:val="00A608A9"/>
    <w:rsid w:val="00A61D5F"/>
    <w:rsid w:val="00A64F7A"/>
    <w:rsid w:val="00A674DF"/>
    <w:rsid w:val="00A83AA6"/>
    <w:rsid w:val="00A857AA"/>
    <w:rsid w:val="00A934D6"/>
    <w:rsid w:val="00AA48D8"/>
    <w:rsid w:val="00AA4BEB"/>
    <w:rsid w:val="00AB6949"/>
    <w:rsid w:val="00AC40EC"/>
    <w:rsid w:val="00AD2753"/>
    <w:rsid w:val="00AE1809"/>
    <w:rsid w:val="00AE4C8F"/>
    <w:rsid w:val="00AE7211"/>
    <w:rsid w:val="00AE79A8"/>
    <w:rsid w:val="00AF3FAA"/>
    <w:rsid w:val="00B010C5"/>
    <w:rsid w:val="00B013EC"/>
    <w:rsid w:val="00B028BB"/>
    <w:rsid w:val="00B0516A"/>
    <w:rsid w:val="00B058D9"/>
    <w:rsid w:val="00B213AB"/>
    <w:rsid w:val="00B37C74"/>
    <w:rsid w:val="00B526EA"/>
    <w:rsid w:val="00B56160"/>
    <w:rsid w:val="00B726D7"/>
    <w:rsid w:val="00B749AE"/>
    <w:rsid w:val="00B80D76"/>
    <w:rsid w:val="00B824F4"/>
    <w:rsid w:val="00B82943"/>
    <w:rsid w:val="00BA2105"/>
    <w:rsid w:val="00BA7E06"/>
    <w:rsid w:val="00BB43B5"/>
    <w:rsid w:val="00BB6219"/>
    <w:rsid w:val="00BC3FE0"/>
    <w:rsid w:val="00BC4015"/>
    <w:rsid w:val="00BD290F"/>
    <w:rsid w:val="00BD4FBA"/>
    <w:rsid w:val="00BD6FE9"/>
    <w:rsid w:val="00BD78CA"/>
    <w:rsid w:val="00BD7E61"/>
    <w:rsid w:val="00BF7486"/>
    <w:rsid w:val="00C14CC4"/>
    <w:rsid w:val="00C2287C"/>
    <w:rsid w:val="00C30092"/>
    <w:rsid w:val="00C33C52"/>
    <w:rsid w:val="00C40D8B"/>
    <w:rsid w:val="00C40F9E"/>
    <w:rsid w:val="00C43CDF"/>
    <w:rsid w:val="00C46BCC"/>
    <w:rsid w:val="00C60B97"/>
    <w:rsid w:val="00C7391D"/>
    <w:rsid w:val="00C8407A"/>
    <w:rsid w:val="00C84424"/>
    <w:rsid w:val="00C8488C"/>
    <w:rsid w:val="00C86E91"/>
    <w:rsid w:val="00C87522"/>
    <w:rsid w:val="00C95962"/>
    <w:rsid w:val="00C97989"/>
    <w:rsid w:val="00CA2650"/>
    <w:rsid w:val="00CB1078"/>
    <w:rsid w:val="00CB3308"/>
    <w:rsid w:val="00CC6FAF"/>
    <w:rsid w:val="00CD264B"/>
    <w:rsid w:val="00CE3CF9"/>
    <w:rsid w:val="00CF6542"/>
    <w:rsid w:val="00D143E3"/>
    <w:rsid w:val="00D15795"/>
    <w:rsid w:val="00D24698"/>
    <w:rsid w:val="00D25260"/>
    <w:rsid w:val="00D26E50"/>
    <w:rsid w:val="00D27DA1"/>
    <w:rsid w:val="00D3037D"/>
    <w:rsid w:val="00D35A2F"/>
    <w:rsid w:val="00D62174"/>
    <w:rsid w:val="00D6383F"/>
    <w:rsid w:val="00D70F73"/>
    <w:rsid w:val="00D938B6"/>
    <w:rsid w:val="00DB3465"/>
    <w:rsid w:val="00DB59D0"/>
    <w:rsid w:val="00DC33D3"/>
    <w:rsid w:val="00DD1950"/>
    <w:rsid w:val="00DD5519"/>
    <w:rsid w:val="00DD55F2"/>
    <w:rsid w:val="00DE09B1"/>
    <w:rsid w:val="00DE76C6"/>
    <w:rsid w:val="00DF432F"/>
    <w:rsid w:val="00E05F8D"/>
    <w:rsid w:val="00E26329"/>
    <w:rsid w:val="00E33C81"/>
    <w:rsid w:val="00E40B50"/>
    <w:rsid w:val="00E44277"/>
    <w:rsid w:val="00E448A5"/>
    <w:rsid w:val="00E50293"/>
    <w:rsid w:val="00E53476"/>
    <w:rsid w:val="00E65ED0"/>
    <w:rsid w:val="00E65FFC"/>
    <w:rsid w:val="00E675ED"/>
    <w:rsid w:val="00E744EA"/>
    <w:rsid w:val="00E7517B"/>
    <w:rsid w:val="00E80951"/>
    <w:rsid w:val="00E86A1D"/>
    <w:rsid w:val="00E86CC6"/>
    <w:rsid w:val="00E94C2F"/>
    <w:rsid w:val="00EA1574"/>
    <w:rsid w:val="00EA1CCA"/>
    <w:rsid w:val="00EA4EE1"/>
    <w:rsid w:val="00EB052E"/>
    <w:rsid w:val="00EB4A44"/>
    <w:rsid w:val="00EB56B3"/>
    <w:rsid w:val="00EC4364"/>
    <w:rsid w:val="00ED4900"/>
    <w:rsid w:val="00ED5BC3"/>
    <w:rsid w:val="00ED6492"/>
    <w:rsid w:val="00EF2095"/>
    <w:rsid w:val="00EF4AF1"/>
    <w:rsid w:val="00F06866"/>
    <w:rsid w:val="00F15956"/>
    <w:rsid w:val="00F24CFC"/>
    <w:rsid w:val="00F272FB"/>
    <w:rsid w:val="00F3170F"/>
    <w:rsid w:val="00F356CF"/>
    <w:rsid w:val="00F463F5"/>
    <w:rsid w:val="00F51AC7"/>
    <w:rsid w:val="00F5428E"/>
    <w:rsid w:val="00F70AA5"/>
    <w:rsid w:val="00F85AD1"/>
    <w:rsid w:val="00F95D7D"/>
    <w:rsid w:val="00F976B0"/>
    <w:rsid w:val="00FA0F9B"/>
    <w:rsid w:val="00FA17AA"/>
    <w:rsid w:val="00FA6DE7"/>
    <w:rsid w:val="00FC0A8E"/>
    <w:rsid w:val="00FD1B71"/>
    <w:rsid w:val="00FE2FA6"/>
    <w:rsid w:val="00FE3DF2"/>
    <w:rsid w:val="00FE4D6B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FA0929B"/>
  <w15:chartTrackingRefBased/>
  <w15:docId w15:val="{5933C6D5-C34B-461F-A46C-C321F9BD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tgc">
    <w:name w:val="_tgc"/>
    <w:rsid w:val="00536DD0"/>
  </w:style>
  <w:style w:type="paragraph" w:styleId="Revision">
    <w:name w:val="Revision"/>
    <w:hidden/>
    <w:uiPriority w:val="99"/>
    <w:semiHidden/>
    <w:rsid w:val="00742E21"/>
    <w:rPr>
      <w:sz w:val="24"/>
      <w:szCs w:val="24"/>
    </w:rPr>
  </w:style>
  <w:style w:type="paragraph" w:customStyle="1" w:styleId="1-TableText">
    <w:name w:val="1-Table Text"/>
    <w:basedOn w:val="Normal"/>
    <w:qFormat/>
    <w:rsid w:val="005D4547"/>
    <w:pPr>
      <w:spacing w:after="240"/>
    </w:pPr>
    <w:rPr>
      <w:rFonts w:eastAsia="Calibri"/>
      <w:sz w:val="22"/>
    </w:rPr>
  </w:style>
  <w:style w:type="table" w:customStyle="1" w:styleId="1-SummitProposal">
    <w:name w:val="1-Summit Proposal"/>
    <w:basedOn w:val="TableNormal"/>
    <w:uiPriority w:val="99"/>
    <w:rsid w:val="005D4547"/>
    <w:rPr>
      <w:rFonts w:ascii="Cambria" w:eastAsia="SimSun" w:hAnsi="Cambria"/>
      <w:lang w:eastAsia="ja-JP"/>
    </w:rPr>
    <w:tblPr>
      <w:tblStyleRowBandSize w:val="1"/>
      <w:tblInd w:w="0" w:type="nil"/>
      <w:tblBorders>
        <w:bottom w:val="single" w:sz="18" w:space="0" w:color="6D6E72"/>
      </w:tblBorders>
    </w:tblPr>
    <w:tblStylePr w:type="firstRow">
      <w:tblPr/>
      <w:tcPr>
        <w:shd w:val="clear" w:color="auto" w:fill="177BAD"/>
        <w:vAlign w:val="center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1-SBAOPMBodyTextChar">
    <w:name w:val="1-SBA OPM Body Text Char"/>
    <w:link w:val="1-SBAOPMBodyText"/>
    <w:locked/>
    <w:rsid w:val="005D4547"/>
    <w:rPr>
      <w:rFonts w:eastAsia="Calibri"/>
      <w:sz w:val="22"/>
      <w:szCs w:val="24"/>
    </w:rPr>
  </w:style>
  <w:style w:type="paragraph" w:customStyle="1" w:styleId="1-SBAOPMBodyText">
    <w:name w:val="1-SBA OPM Body Text"/>
    <w:link w:val="1-SBAOPMBodyTextChar"/>
    <w:qFormat/>
    <w:rsid w:val="005D4547"/>
    <w:pPr>
      <w:spacing w:after="240" w:line="360" w:lineRule="auto"/>
    </w:pPr>
    <w:rPr>
      <w:rFonts w:eastAsia="Calibri"/>
      <w:sz w:val="22"/>
      <w:szCs w:val="24"/>
    </w:rPr>
  </w:style>
  <w:style w:type="character" w:styleId="Hyperlink">
    <w:name w:val="Hyperlink"/>
    <w:uiPriority w:val="99"/>
    <w:unhideWhenUsed/>
    <w:rsid w:val="00E05F8D"/>
    <w:rPr>
      <w:color w:val="0000FF"/>
      <w:u w:val="single"/>
    </w:rPr>
  </w:style>
  <w:style w:type="paragraph" w:customStyle="1" w:styleId="1-Bullet">
    <w:name w:val="1-Bullet"/>
    <w:basedOn w:val="1-SBAOPMBodyText"/>
    <w:next w:val="1-SBAOPMBodyText"/>
    <w:link w:val="1-BulletChar"/>
    <w:uiPriority w:val="3"/>
    <w:qFormat/>
    <w:rsid w:val="00E05F8D"/>
    <w:pPr>
      <w:spacing w:before="120" w:after="120" w:line="240" w:lineRule="auto"/>
      <w:contextualSpacing/>
    </w:pPr>
    <w:rPr>
      <w:sz w:val="24"/>
    </w:rPr>
  </w:style>
  <w:style w:type="character" w:customStyle="1" w:styleId="1-BulletChar">
    <w:name w:val="1-Bullet Char"/>
    <w:link w:val="1-Bullet"/>
    <w:uiPriority w:val="3"/>
    <w:rsid w:val="00E05F8D"/>
    <w:rPr>
      <w:rFonts w:eastAsia="Calibri"/>
      <w:sz w:val="24"/>
      <w:szCs w:val="24"/>
    </w:r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link w:val="ListParagraph"/>
    <w:uiPriority w:val="34"/>
    <w:locked/>
    <w:rsid w:val="009E5B7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B052E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EB052E"/>
    <w:rPr>
      <w:rFonts w:ascii="Calibri" w:hAnsi="Calibri"/>
      <w:sz w:val="32"/>
      <w:szCs w:val="21"/>
    </w:rPr>
  </w:style>
  <w:style w:type="paragraph" w:customStyle="1" w:styleId="Probe1">
    <w:name w:val="Probe 1"/>
    <w:basedOn w:val="1-Bullet"/>
    <w:qFormat/>
    <w:rsid w:val="003947CD"/>
    <w:pPr>
      <w:numPr>
        <w:numId w:val="25"/>
      </w:numPr>
      <w:spacing w:before="60" w:after="60"/>
    </w:pPr>
    <w:rPr>
      <w:rFonts w:ascii="Calibri" w:hAnsi="Calibri" w:cs="Arial"/>
      <w:sz w:val="22"/>
      <w:szCs w:val="22"/>
    </w:rPr>
  </w:style>
  <w:style w:type="paragraph" w:customStyle="1" w:styleId="Probe2">
    <w:name w:val="Probe 2"/>
    <w:basedOn w:val="Probe1"/>
    <w:qFormat/>
    <w:rsid w:val="003947CD"/>
    <w:pPr>
      <w:numPr>
        <w:ilvl w:val="1"/>
      </w:numPr>
    </w:pPr>
  </w:style>
  <w:style w:type="paragraph" w:customStyle="1" w:styleId="Probe3">
    <w:name w:val="Probe 3"/>
    <w:basedOn w:val="Probe2"/>
    <w:qFormat/>
    <w:rsid w:val="003947CD"/>
    <w:pPr>
      <w:numPr>
        <w:ilvl w:val="2"/>
      </w:numPr>
      <w:tabs>
        <w:tab w:val="num" w:pos="360"/>
      </w:tabs>
    </w:pPr>
  </w:style>
  <w:style w:type="paragraph" w:styleId="TableofFigures">
    <w:name w:val="table of figures"/>
    <w:basedOn w:val="Normal"/>
    <w:next w:val="Normal"/>
    <w:rsid w:val="003947CD"/>
  </w:style>
  <w:style w:type="paragraph" w:customStyle="1" w:styleId="TOCheader">
    <w:name w:val="TOC header"/>
    <w:basedOn w:val="Normal"/>
    <w:next w:val="Normal"/>
    <w:qFormat/>
    <w:rsid w:val="003947CD"/>
    <w:pPr>
      <w:keepNext/>
      <w:suppressAutoHyphens/>
      <w:spacing w:after="240"/>
    </w:pPr>
    <w:rPr>
      <w:rFonts w:ascii="Cambria" w:eastAsia="Calibri" w:hAnsi="Cambria" w:cs="Arial"/>
      <w:b/>
      <w:color w:val="177BAD"/>
      <w:sz w:val="40"/>
      <w:szCs w:val="22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3947CD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47CD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d422e7-bbff-47b5-bf0c-d10f46bbf214">
      <UserInfo>
        <DisplayName>Mueller, Andrea J.</DisplayName>
        <AccountId>40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6E43D12B7544C9895A8C27050FC97" ma:contentTypeVersion="11" ma:contentTypeDescription="Create a new document." ma:contentTypeScope="" ma:versionID="8b66abfccecec4b934954e4c3b304881">
  <xsd:schema xmlns:xsd="http://www.w3.org/2001/XMLSchema" xmlns:xs="http://www.w3.org/2001/XMLSchema" xmlns:p="http://schemas.microsoft.com/office/2006/metadata/properties" xmlns:ns2="73665561-a73c-4ab4-a0b6-161c26a52b3c" xmlns:ns3="23d422e7-bbff-47b5-bf0c-d10f46bbf214" targetNamespace="http://schemas.microsoft.com/office/2006/metadata/properties" ma:root="true" ma:fieldsID="87cfa43249a6d4b262f2e4d10167f3d4" ns2:_="" ns3:_="">
    <xsd:import namespace="73665561-a73c-4ab4-a0b6-161c26a52b3c"/>
    <xsd:import namespace="23d422e7-bbff-47b5-bf0c-d10f46bbf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5561-a73c-4ab4-a0b6-161c26a52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422e7-bbff-47b5-bf0c-d10f46bbf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6F88-AE05-487F-ABD1-10CE071198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A7B29D-9745-4642-8813-DD06C46DC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A637F-044E-4137-9C51-0E833187F75E}">
  <ds:schemaRefs>
    <ds:schemaRef ds:uri="http://schemas.microsoft.com/office/2006/metadata/properties"/>
    <ds:schemaRef ds:uri="http://schemas.microsoft.com/office/infopath/2007/PartnerControls"/>
    <ds:schemaRef ds:uri="23d422e7-bbff-47b5-bf0c-d10f46bbf214"/>
  </ds:schemaRefs>
</ds:datastoreItem>
</file>

<file path=customXml/itemProps4.xml><?xml version="1.0" encoding="utf-8"?>
<ds:datastoreItem xmlns:ds="http://schemas.openxmlformats.org/officeDocument/2006/customXml" ds:itemID="{F61EA0CB-68AC-436A-B91D-FA70CA6E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65561-a73c-4ab4-a0b6-161c26a52b3c"/>
    <ds:schemaRef ds:uri="23d422e7-bbff-47b5-bf0c-d10f46bb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D486AA-4755-416B-AC7A-8442607A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1202</Words>
  <Characters>6852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Curtis Rich</cp:lastModifiedBy>
  <cp:revision>2</cp:revision>
  <cp:lastPrinted>2010-10-04T15:59:00Z</cp:lastPrinted>
  <dcterms:created xsi:type="dcterms:W3CDTF">2020-10-27T19:33:00Z</dcterms:created>
  <dcterms:modified xsi:type="dcterms:W3CDTF">2020-10-27T19:33:00Z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Heather Brotsos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TypeId">
    <vt:lpwstr>0x010100B176E43D12B7544C9895A8C27050FC97</vt:lpwstr>
  </property>
  <property fmtid="{D5CDD505-2E9C-101B-9397-08002B2CF9AE}" pid="10" name="_ip_UnifiedCompliancePolicyUIAction">
    <vt:lpwstr/>
  </property>
  <property fmtid="{D5CDD505-2E9C-101B-9397-08002B2CF9AE}" pid="11" name="_ip_UnifiedCompliancePolicyProperties">
    <vt:lpwstr/>
  </property>
  <property fmtid="{D5CDD505-2E9C-101B-9397-08002B2CF9AE}" pid="12" name="display_urn:schemas-microsoft-com:office:office#SharedWithUsers">
    <vt:lpwstr>Mueller, Andrea J.</vt:lpwstr>
  </property>
  <property fmtid="{D5CDD505-2E9C-101B-9397-08002B2CF9AE}" pid="13" name="SharedWithUsers">
    <vt:lpwstr>40;#Mueller, Andrea J.</vt:lpwstr>
  </property>
</Properties>
</file>