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C66" w:rsidP="00E60014" w:rsidRDefault="00875C3F" w14:paraId="05694925" w14:textId="0C9ADE37">
      <w:pPr>
        <w:tabs>
          <w:tab w:val="center" w:pos="4680"/>
        </w:tabs>
        <w:spacing w:line="480" w:lineRule="auto"/>
        <w:jc w:val="center"/>
        <w:rPr>
          <w:b/>
          <w:bCs/>
        </w:rPr>
      </w:pPr>
      <w:bookmarkStart w:name="_GoBack" w:id="0"/>
      <w:bookmarkEnd w:id="0"/>
      <w:r>
        <w:rPr>
          <w:b/>
          <w:bCs/>
        </w:rPr>
        <w:t xml:space="preserve">REGULATORY IMPACT </w:t>
      </w:r>
      <w:r w:rsidRPr="00564E45" w:rsidR="00BE3C66">
        <w:rPr>
          <w:b/>
          <w:bCs/>
        </w:rPr>
        <w:t>ANALYSIS</w:t>
      </w:r>
    </w:p>
    <w:p w:rsidR="00875C3F" w:rsidP="00875C3F" w:rsidRDefault="00875C3F" w14:paraId="210C3FB3" w14:textId="77777777">
      <w:pPr>
        <w:tabs>
          <w:tab w:val="center" w:pos="4680"/>
        </w:tabs>
        <w:spacing w:line="480" w:lineRule="auto"/>
        <w:rPr>
          <w:b/>
          <w:bCs/>
        </w:rPr>
      </w:pPr>
    </w:p>
    <w:p w:rsidRPr="00875C3F" w:rsidR="00875C3F" w:rsidP="00875C3F" w:rsidRDefault="00875C3F" w14:paraId="6EA8EB1D" w14:textId="68BFDC6D">
      <w:pPr>
        <w:tabs>
          <w:tab w:val="center" w:pos="4680"/>
        </w:tabs>
        <w:spacing w:line="480" w:lineRule="auto"/>
        <w:rPr>
          <w:b/>
          <w:bCs/>
        </w:rPr>
      </w:pPr>
      <w:r w:rsidRPr="00875C3F">
        <w:rPr>
          <w:b/>
          <w:bCs/>
        </w:rPr>
        <w:t xml:space="preserve">AGENCY:  </w:t>
      </w:r>
      <w:r>
        <w:rPr>
          <w:b/>
          <w:bCs/>
        </w:rPr>
        <w:t xml:space="preserve">   </w:t>
      </w:r>
      <w:r w:rsidRPr="00875C3F">
        <w:rPr>
          <w:b/>
          <w:bCs/>
        </w:rPr>
        <w:t xml:space="preserve">Rural </w:t>
      </w:r>
      <w:r>
        <w:rPr>
          <w:b/>
          <w:bCs/>
        </w:rPr>
        <w:t xml:space="preserve">Business Cooperative </w:t>
      </w:r>
      <w:r w:rsidRPr="00875C3F">
        <w:rPr>
          <w:b/>
          <w:bCs/>
        </w:rPr>
        <w:t>Service</w:t>
      </w:r>
    </w:p>
    <w:p w:rsidR="00875C3F" w:rsidP="00875C3F" w:rsidRDefault="00875C3F" w14:paraId="0920BF92" w14:textId="237833F1">
      <w:pPr>
        <w:tabs>
          <w:tab w:val="center" w:pos="4680"/>
        </w:tabs>
        <w:spacing w:line="480" w:lineRule="auto"/>
        <w:rPr>
          <w:b/>
          <w:bCs/>
        </w:rPr>
      </w:pPr>
      <w:r w:rsidRPr="00875C3F">
        <w:rPr>
          <w:b/>
          <w:bCs/>
        </w:rPr>
        <w:t xml:space="preserve">TITLE:  </w:t>
      </w:r>
      <w:r>
        <w:rPr>
          <w:b/>
          <w:bCs/>
        </w:rPr>
        <w:t xml:space="preserve">        </w:t>
      </w:r>
      <w:r w:rsidRPr="00875C3F">
        <w:rPr>
          <w:b/>
          <w:bCs/>
        </w:rPr>
        <w:t>B&amp;I CARES A</w:t>
      </w:r>
      <w:r>
        <w:rPr>
          <w:b/>
          <w:bCs/>
        </w:rPr>
        <w:t>ct</w:t>
      </w:r>
      <w:r w:rsidRPr="00875C3F">
        <w:rPr>
          <w:b/>
          <w:bCs/>
        </w:rPr>
        <w:t xml:space="preserve"> G</w:t>
      </w:r>
      <w:r>
        <w:rPr>
          <w:b/>
          <w:bCs/>
        </w:rPr>
        <w:t>uaranteed Loan Program (</w:t>
      </w:r>
      <w:r w:rsidRPr="00875C3F">
        <w:rPr>
          <w:b/>
          <w:bCs/>
        </w:rPr>
        <w:t>B&amp;I CARES A</w:t>
      </w:r>
      <w:r>
        <w:rPr>
          <w:b/>
          <w:bCs/>
        </w:rPr>
        <w:t>ct Program</w:t>
      </w:r>
      <w:r w:rsidRPr="00875C3F">
        <w:rPr>
          <w:b/>
          <w:bCs/>
        </w:rPr>
        <w:t>)</w:t>
      </w:r>
    </w:p>
    <w:p w:rsidRPr="00875C3F" w:rsidR="00875C3F" w:rsidP="00875C3F" w:rsidRDefault="00875C3F" w14:paraId="3D82F685" w14:textId="5FE50A0E">
      <w:pPr>
        <w:tabs>
          <w:tab w:val="center" w:pos="4680"/>
        </w:tabs>
        <w:spacing w:line="480" w:lineRule="auto"/>
        <w:rPr>
          <w:b/>
          <w:bCs/>
        </w:rPr>
      </w:pPr>
      <w:r>
        <w:rPr>
          <w:b/>
          <w:bCs/>
        </w:rPr>
        <w:t xml:space="preserve">ACTION:      </w:t>
      </w:r>
      <w:r w:rsidRPr="00875C3F">
        <w:rPr>
          <w:b/>
          <w:bCs/>
        </w:rPr>
        <w:t>I</w:t>
      </w:r>
      <w:r>
        <w:rPr>
          <w:b/>
          <w:bCs/>
        </w:rPr>
        <w:t xml:space="preserve">nterim Final Rule </w:t>
      </w:r>
    </w:p>
    <w:p w:rsidRPr="00875C3F" w:rsidR="00875C3F" w:rsidP="00875C3F" w:rsidRDefault="00875C3F" w14:paraId="64380EB3" w14:textId="7419986B">
      <w:pPr>
        <w:tabs>
          <w:tab w:val="center" w:pos="4680"/>
        </w:tabs>
        <w:spacing w:line="480" w:lineRule="auto"/>
        <w:rPr>
          <w:b/>
          <w:bCs/>
        </w:rPr>
      </w:pPr>
      <w:r w:rsidRPr="00875C3F">
        <w:rPr>
          <w:b/>
          <w:bCs/>
        </w:rPr>
        <w:t xml:space="preserve">CITATION: </w:t>
      </w:r>
      <w:r>
        <w:rPr>
          <w:b/>
          <w:bCs/>
        </w:rPr>
        <w:t xml:space="preserve"> </w:t>
      </w:r>
      <w:r w:rsidRPr="00875C3F">
        <w:rPr>
          <w:b/>
          <w:bCs/>
        </w:rPr>
        <w:t>7 CFR Parts 4279</w:t>
      </w:r>
    </w:p>
    <w:p w:rsidR="00321088" w:rsidRDefault="00321088" w14:paraId="25B323D5" w14:textId="77777777">
      <w:pPr>
        <w:spacing w:line="480" w:lineRule="auto"/>
      </w:pPr>
    </w:p>
    <w:p w:rsidRPr="00564E45" w:rsidR="00D919A1" w:rsidP="004B6CF7" w:rsidRDefault="00A07B0B" w14:paraId="3327C68A" w14:textId="63B1F908">
      <w:pPr>
        <w:spacing w:line="480" w:lineRule="auto"/>
      </w:pPr>
      <w:r>
        <w:t xml:space="preserve">     </w:t>
      </w:r>
      <w:r w:rsidRPr="00564E45" w:rsidR="00D919A1">
        <w:t xml:space="preserve">The following </w:t>
      </w:r>
      <w:r w:rsidR="00DB7C38">
        <w:t>Regulatory Impact A</w:t>
      </w:r>
      <w:r w:rsidRPr="00564E45" w:rsidR="00D919A1">
        <w:t>nalysis is provided to fulfill the requirements of Executive Order 12866</w:t>
      </w:r>
      <w:r w:rsidRPr="00564E45" w:rsidR="00685FC9">
        <w:t xml:space="preserve"> and OMB Circular A-4</w:t>
      </w:r>
      <w:r w:rsidRPr="00564E45" w:rsidR="00D919A1">
        <w:t xml:space="preserve">.  This analysis consists of a statement of need for </w:t>
      </w:r>
      <w:r w:rsidRPr="00564E45" w:rsidR="00FF760E">
        <w:t xml:space="preserve">the changes to </w:t>
      </w:r>
      <w:r w:rsidRPr="00564E45" w:rsidR="006943B3">
        <w:t>the Business and Industry (B&amp;I)</w:t>
      </w:r>
      <w:r w:rsidRPr="00564E45" w:rsidR="00D919A1">
        <w:t xml:space="preserve"> </w:t>
      </w:r>
      <w:r w:rsidRPr="00564E45" w:rsidR="006943B3">
        <w:t>G</w:t>
      </w:r>
      <w:r w:rsidRPr="00564E45" w:rsidR="00D919A1">
        <w:t xml:space="preserve">uaranteed </w:t>
      </w:r>
      <w:r w:rsidRPr="00564E45" w:rsidR="006943B3">
        <w:t>L</w:t>
      </w:r>
      <w:r w:rsidRPr="00564E45" w:rsidR="00D919A1">
        <w:t xml:space="preserve">oan </w:t>
      </w:r>
      <w:r w:rsidRPr="00564E45" w:rsidR="00C07119">
        <w:t>P</w:t>
      </w:r>
      <w:r w:rsidRPr="00564E45" w:rsidR="00D919A1">
        <w:t xml:space="preserve">rogram, a </w:t>
      </w:r>
      <w:r w:rsidRPr="00CA22C0" w:rsidR="00D919A1">
        <w:t xml:space="preserve">description of the current status of the </w:t>
      </w:r>
      <w:r w:rsidRPr="00CA22C0" w:rsidR="00534E55">
        <w:t>B&amp;I Guaranteed Loan Program</w:t>
      </w:r>
      <w:r w:rsidRPr="00CA22C0" w:rsidR="00D919A1">
        <w:t xml:space="preserve">, a summary of the </w:t>
      </w:r>
      <w:r w:rsidRPr="00CA22C0" w:rsidR="00685FC9">
        <w:t>changes to</w:t>
      </w:r>
      <w:r w:rsidRPr="00CA22C0" w:rsidR="00D919A1">
        <w:t xml:space="preserve"> the </w:t>
      </w:r>
      <w:r w:rsidRPr="00CA22C0" w:rsidR="00534E55">
        <w:t>B&amp;I Guaranteed Loan Program</w:t>
      </w:r>
      <w:r w:rsidRPr="00CA22C0" w:rsidR="00685FC9">
        <w:t>,</w:t>
      </w:r>
      <w:r w:rsidRPr="00CA22C0" w:rsidR="00D919A1">
        <w:t xml:space="preserve"> and an analysis of the benefits and costs</w:t>
      </w:r>
      <w:r w:rsidRPr="00CA22C0" w:rsidR="0027361A">
        <w:t xml:space="preserve"> of the changes</w:t>
      </w:r>
      <w:r w:rsidRPr="00564E45" w:rsidR="00D919A1">
        <w:t>.</w:t>
      </w:r>
      <w:r w:rsidRPr="00564E45" w:rsidR="00F160B1">
        <w:t xml:space="preserve">  Th</w:t>
      </w:r>
      <w:r w:rsidRPr="00564E45" w:rsidR="0076190D">
        <w:t>e estimated impacts of thi</w:t>
      </w:r>
      <w:r w:rsidRPr="00564E45" w:rsidR="00F160B1">
        <w:t xml:space="preserve">s analysis </w:t>
      </w:r>
      <w:r w:rsidRPr="00564E45" w:rsidR="0076190D">
        <w:t>are</w:t>
      </w:r>
      <w:r w:rsidRPr="00564E45" w:rsidR="00F160B1">
        <w:t xml:space="preserve"> based on the provisions of the </w:t>
      </w:r>
      <w:r w:rsidRPr="00564E45" w:rsidR="00D40BBF">
        <w:t xml:space="preserve">interim </w:t>
      </w:r>
      <w:r w:rsidRPr="00564E45" w:rsidR="00962B83">
        <w:t xml:space="preserve">final </w:t>
      </w:r>
      <w:r w:rsidRPr="00564E45" w:rsidR="00F160B1">
        <w:t xml:space="preserve">rule and information currently available to the </w:t>
      </w:r>
      <w:r w:rsidRPr="00564E45" w:rsidR="00564E45">
        <w:t>Rural Business Cooperative Service (RBCS)</w:t>
      </w:r>
      <w:r w:rsidRPr="00564E45" w:rsidR="00F160B1">
        <w:t xml:space="preserve">.  </w:t>
      </w:r>
    </w:p>
    <w:p w:rsidR="00564E45" w:rsidRDefault="00A07B0B" w14:paraId="0F5CBB98" w14:textId="41819179">
      <w:pPr>
        <w:spacing w:line="480" w:lineRule="auto"/>
        <w:ind w:right="1170"/>
      </w:pPr>
      <w:r>
        <w:t xml:space="preserve">     </w:t>
      </w:r>
      <w:r w:rsidRPr="00564E45" w:rsidR="00B9461F">
        <w:t xml:space="preserve">While most of the changes could only be analyzed on a qualitative basis, </w:t>
      </w:r>
      <w:r w:rsidR="006502B3">
        <w:t xml:space="preserve">an economic </w:t>
      </w:r>
      <w:r w:rsidRPr="00564E45" w:rsidR="00B9461F">
        <w:t xml:space="preserve">analysis was able to </w:t>
      </w:r>
      <w:r w:rsidR="00CA22C0">
        <w:t xml:space="preserve">be </w:t>
      </w:r>
      <w:r w:rsidRPr="00564E45" w:rsidR="00B9461F">
        <w:t>quantif</w:t>
      </w:r>
      <w:r w:rsidR="006502B3">
        <w:t>ied.</w:t>
      </w:r>
      <w:r w:rsidR="00CA22C0">
        <w:t xml:space="preserve"> </w:t>
      </w:r>
      <w:r w:rsidRPr="00CA22C0" w:rsidR="007159D3">
        <w:t>T</w:t>
      </w:r>
      <w:r w:rsidRPr="00CA22C0" w:rsidR="00D919A1">
        <w:t>he</w:t>
      </w:r>
      <w:r w:rsidRPr="003F59EB" w:rsidR="00D919A1">
        <w:t xml:space="preserve"> </w:t>
      </w:r>
      <w:r w:rsidR="00B81041">
        <w:t xml:space="preserve">interim </w:t>
      </w:r>
      <w:r w:rsidRPr="003F59EB" w:rsidR="002A2817">
        <w:t xml:space="preserve">final </w:t>
      </w:r>
      <w:r w:rsidRPr="003F59EB" w:rsidR="001A6368">
        <w:t>rule</w:t>
      </w:r>
      <w:r w:rsidRPr="003F59EB" w:rsidR="00D919A1">
        <w:t xml:space="preserve"> is expected to provide </w:t>
      </w:r>
      <w:r w:rsidRPr="003F59EB" w:rsidR="008B0AE7">
        <w:t xml:space="preserve">additional </w:t>
      </w:r>
      <w:r w:rsidRPr="003F59EB" w:rsidR="00D919A1">
        <w:t xml:space="preserve">benefits compared to the current </w:t>
      </w:r>
      <w:r w:rsidRPr="003F59EB" w:rsidR="007A3DA3">
        <w:t xml:space="preserve">rule </w:t>
      </w:r>
      <w:r w:rsidRPr="003F59EB" w:rsidR="00D919A1">
        <w:t xml:space="preserve">by </w:t>
      </w:r>
      <w:r w:rsidRPr="003F59EB" w:rsidR="00564E45">
        <w:t>allow</w:t>
      </w:r>
      <w:r w:rsidR="00CA22C0">
        <w:t>ing</w:t>
      </w:r>
      <w:r w:rsidRPr="003F59EB" w:rsidR="00564E45">
        <w:t xml:space="preserve"> </w:t>
      </w:r>
      <w:r w:rsidR="00CA22C0">
        <w:t xml:space="preserve">the </w:t>
      </w:r>
      <w:r w:rsidRPr="003F59EB" w:rsidR="00564E45">
        <w:t>flexibility</w:t>
      </w:r>
      <w:r w:rsidRPr="00564E45" w:rsidR="00564E45">
        <w:t xml:space="preserve"> to obligate federal funds for guaranteed loans pursuant to the Coronavirus Aid, Relief, and Economic Security Act (CARES Act) in response to the </w:t>
      </w:r>
      <w:r w:rsidR="00564E45">
        <w:t xml:space="preserve">national </w:t>
      </w:r>
      <w:r w:rsidRPr="00564E45" w:rsidR="00564E45">
        <w:t xml:space="preserve">COVID-19 </w:t>
      </w:r>
      <w:r w:rsidR="00564E45">
        <w:t xml:space="preserve">Public Health </w:t>
      </w:r>
      <w:r w:rsidRPr="00564E45" w:rsidR="00564E45">
        <w:t xml:space="preserve">Emergency. </w:t>
      </w:r>
    </w:p>
    <w:p w:rsidR="00321088" w:rsidP="004B6CF7" w:rsidRDefault="00321088" w14:paraId="3EB14388" w14:textId="77777777">
      <w:pPr>
        <w:spacing w:line="480" w:lineRule="auto"/>
        <w:ind w:right="1170"/>
        <w:rPr>
          <w:highlight w:val="yellow"/>
        </w:rPr>
      </w:pPr>
    </w:p>
    <w:p w:rsidR="00BE3C66" w:rsidP="00E60014" w:rsidRDefault="00DC2499" w14:paraId="467C4078" w14:textId="3DAB81BF">
      <w:pPr>
        <w:spacing w:line="480" w:lineRule="auto"/>
        <w:rPr>
          <w:b/>
        </w:rPr>
      </w:pPr>
      <w:r w:rsidRPr="00564E45">
        <w:rPr>
          <w:b/>
        </w:rPr>
        <w:t>A</w:t>
      </w:r>
      <w:r w:rsidRPr="00564E45" w:rsidR="00BE3C66">
        <w:rPr>
          <w:b/>
        </w:rPr>
        <w:t>. Statement of Need</w:t>
      </w:r>
    </w:p>
    <w:p w:rsidRPr="001B6E3B" w:rsidR="001B6E3B" w:rsidP="001B6E3B" w:rsidRDefault="001B6E3B" w14:paraId="0E7E7C3F" w14:textId="22B6AB92">
      <w:pPr>
        <w:spacing w:line="480" w:lineRule="auto"/>
        <w:rPr>
          <w:bCs/>
        </w:rPr>
      </w:pPr>
      <w:r w:rsidRPr="001B6E3B">
        <w:rPr>
          <w:b/>
        </w:rPr>
        <w:t xml:space="preserve">     </w:t>
      </w:r>
      <w:r w:rsidRPr="001B6E3B">
        <w:rPr>
          <w:bCs/>
        </w:rPr>
        <w:t xml:space="preserve">On March 13, 2020, President Trump declared the ongoing Coronavirus Disease 2019 </w:t>
      </w:r>
      <w:r w:rsidRPr="001B6E3B">
        <w:rPr>
          <w:bCs/>
        </w:rPr>
        <w:lastRenderedPageBreak/>
        <w:t>(COVID</w:t>
      </w:r>
      <w:r w:rsidR="00401AA4">
        <w:rPr>
          <w:bCs/>
        </w:rPr>
        <w:t>-</w:t>
      </w:r>
      <w:r w:rsidRPr="001B6E3B">
        <w:rPr>
          <w:bCs/>
        </w:rPr>
        <w:t xml:space="preserve">19) pandemic of sufficient severity and magnitude to warrant an emergency declaration for all states, territories, and the District of Columbia. With the COVID–19 emergency, many businesses nationwide are experiencing economic hardship as a direct result of the Federal, State, and local public health measures that are being taken to minimize the public’s exposure to the virus. </w:t>
      </w:r>
    </w:p>
    <w:p w:rsidR="001B6E3B" w:rsidP="001B6E3B" w:rsidRDefault="001B6E3B" w14:paraId="67398CB8" w14:textId="31CCE5A8">
      <w:pPr>
        <w:spacing w:line="480" w:lineRule="auto"/>
        <w:rPr>
          <w:bCs/>
        </w:rPr>
      </w:pPr>
      <w:r w:rsidRPr="001B6E3B">
        <w:rPr>
          <w:bCs/>
        </w:rPr>
        <w:t xml:space="preserve">     In order to provide some financial relief to American families, on March 27, 2020, the President signed the Coronavirus Aid, Relief, and Economic Security Act (the CARES Act or the Act) (Pub. L. 116–136) to provide emergency assistance and health care response for individuals, families, and businesses affected by the coronavirus pandemic.</w:t>
      </w:r>
    </w:p>
    <w:p w:rsidRPr="001B6E3B" w:rsidR="00436F1A" w:rsidP="001B6E3B" w:rsidRDefault="00436F1A" w14:paraId="1C932C2F" w14:textId="54E0C6FF">
      <w:pPr>
        <w:spacing w:line="480" w:lineRule="auto"/>
        <w:rPr>
          <w:bCs/>
        </w:rPr>
      </w:pPr>
      <w:r>
        <w:rPr>
          <w:bCs/>
        </w:rPr>
        <w:t xml:space="preserve">     </w:t>
      </w:r>
      <w:r w:rsidRPr="00436F1A">
        <w:rPr>
          <w:bCs/>
        </w:rPr>
        <w:t>Currently</w:t>
      </w:r>
      <w:r w:rsidR="00401AA4">
        <w:rPr>
          <w:bCs/>
        </w:rPr>
        <w:t>,</w:t>
      </w:r>
      <w:r w:rsidRPr="00436F1A">
        <w:rPr>
          <w:bCs/>
        </w:rPr>
        <w:t xml:space="preserve"> </w:t>
      </w:r>
      <w:r w:rsidR="00401AA4">
        <w:rPr>
          <w:bCs/>
        </w:rPr>
        <w:t xml:space="preserve">with the COVID-19 emergency, </w:t>
      </w:r>
      <w:r w:rsidRPr="00436F1A">
        <w:rPr>
          <w:bCs/>
        </w:rPr>
        <w:t xml:space="preserve">there is </w:t>
      </w:r>
      <w:r w:rsidR="00401AA4">
        <w:rPr>
          <w:bCs/>
        </w:rPr>
        <w:t xml:space="preserve">a </w:t>
      </w:r>
      <w:r w:rsidRPr="00436F1A">
        <w:rPr>
          <w:bCs/>
        </w:rPr>
        <w:t>lack of access to much needed capital to support business operations and facilities</w:t>
      </w:r>
      <w:r w:rsidR="007B32DF">
        <w:rPr>
          <w:bCs/>
        </w:rPr>
        <w:t xml:space="preserve"> </w:t>
      </w:r>
      <w:r w:rsidR="004D2F98">
        <w:rPr>
          <w:bCs/>
        </w:rPr>
        <w:t xml:space="preserve">of </w:t>
      </w:r>
      <w:r w:rsidRPr="007B32DF" w:rsidR="007B32DF">
        <w:rPr>
          <w:bCs/>
        </w:rPr>
        <w:t xml:space="preserve">agricultural producers that are too large to qualify for SBA programs or USDA Farm Service Agency (FSA) guaranteed loan programs. </w:t>
      </w:r>
      <w:r w:rsidRPr="00436F1A">
        <w:rPr>
          <w:bCs/>
        </w:rPr>
        <w:t>This holds true particularly for businesses in rural areas. Shelter in place requirements and restrictions on businesses reducing operations to only essential services are having an adverse impact on rural businesses and their capacities to fund operating expenses.</w:t>
      </w:r>
    </w:p>
    <w:p w:rsidR="00FE78B1" w:rsidP="006502B3" w:rsidRDefault="006502B3" w14:paraId="61C89FE7" w14:textId="394D19AF">
      <w:pPr>
        <w:spacing w:line="480" w:lineRule="auto"/>
      </w:pPr>
      <w:r>
        <w:t xml:space="preserve">     </w:t>
      </w:r>
      <w:r w:rsidRPr="00564E45" w:rsidR="006943B3">
        <w:t xml:space="preserve">The </w:t>
      </w:r>
      <w:r w:rsidRPr="00564E45" w:rsidR="00534E55">
        <w:t>B&amp;I Guaranteed Loan Program</w:t>
      </w:r>
      <w:r w:rsidRPr="00564E45" w:rsidR="006943B3">
        <w:t xml:space="preserve"> </w:t>
      </w:r>
      <w:r w:rsidRPr="00564E45" w:rsidR="007A3DA3">
        <w:t>was</w:t>
      </w:r>
      <w:r w:rsidRPr="00564E45" w:rsidR="006943B3">
        <w:t xml:space="preserve"> </w:t>
      </w:r>
      <w:r w:rsidRPr="00564E45" w:rsidR="00D919A1">
        <w:t xml:space="preserve">authorized under </w:t>
      </w:r>
      <w:r w:rsidRPr="00564E45" w:rsidR="009247B0">
        <w:t>Section 310B of the Consolidated Farm and Rural Development Act</w:t>
      </w:r>
      <w:r w:rsidR="00155E35">
        <w:t xml:space="preserve"> o</w:t>
      </w:r>
      <w:r w:rsidR="00B81041">
        <w:t>f</w:t>
      </w:r>
      <w:r w:rsidR="00155E35">
        <w:t xml:space="preserve"> </w:t>
      </w:r>
      <w:r w:rsidR="00B81041">
        <w:t>1</w:t>
      </w:r>
      <w:r w:rsidR="00155E35">
        <w:t>972</w:t>
      </w:r>
      <w:r w:rsidRPr="00564E45" w:rsidR="009247B0">
        <w:t>, as amended</w:t>
      </w:r>
      <w:r w:rsidRPr="00564E45" w:rsidR="00737905">
        <w:t xml:space="preserve"> by subsequent Farm Bills</w:t>
      </w:r>
      <w:r w:rsidRPr="00564E45" w:rsidR="009247B0">
        <w:t xml:space="preserve">. </w:t>
      </w:r>
      <w:r w:rsidRPr="00155E35" w:rsidR="00155E35">
        <w:t>The loans are made by private lenders to rural businesses for the purpose of creating new businesses, expanding existing businesses, and for other purposes that create employment opportunities in rural America</w:t>
      </w:r>
      <w:r w:rsidR="006E57D7">
        <w:t>.</w:t>
      </w:r>
      <w:r w:rsidR="00155E35">
        <w:t xml:space="preserve"> </w:t>
      </w:r>
      <w:r w:rsidRPr="00155E35" w:rsidR="00155E35">
        <w:t>The rate and term of the loan is negotiated between the business and the lender.</w:t>
      </w:r>
      <w:r w:rsidR="00155E35">
        <w:t xml:space="preserve"> </w:t>
      </w:r>
      <w:r w:rsidRPr="00155E35" w:rsidR="00155E35">
        <w:t xml:space="preserve">Businesses in rural areas are eligible for this program. </w:t>
      </w:r>
      <w:r w:rsidRPr="00564E45" w:rsidR="00564E45">
        <w:t xml:space="preserve">The Rural Business Cooperative Service (RBCS) received funding and authority through </w:t>
      </w:r>
      <w:r w:rsidRPr="001B6E3B" w:rsidR="001B6E3B">
        <w:t>Division B</w:t>
      </w:r>
      <w:r w:rsidR="00401AA4">
        <w:t>, Title I</w:t>
      </w:r>
      <w:r w:rsidR="001B6E3B">
        <w:t xml:space="preserve"> of </w:t>
      </w:r>
      <w:r w:rsidRPr="00564E45" w:rsidR="00564E45">
        <w:t xml:space="preserve">the </w:t>
      </w:r>
      <w:r w:rsidRPr="003F59EB" w:rsidR="003F59EB">
        <w:t xml:space="preserve">CARES Act, </w:t>
      </w:r>
      <w:r w:rsidRPr="00564E45" w:rsidR="00564E45">
        <w:t>to provide additional funds for use under the Business &amp; Industry (B&amp;I) Guaranteed Loan Program</w:t>
      </w:r>
      <w:r w:rsidR="003F59EB">
        <w:t xml:space="preserve"> </w:t>
      </w:r>
      <w:r w:rsidR="003F59EB">
        <w:lastRenderedPageBreak/>
        <w:t xml:space="preserve">to </w:t>
      </w:r>
      <w:r w:rsidRPr="00564E45" w:rsidR="00564E45">
        <w:t xml:space="preserve">prevent, prepare for and respond to the effects of the COVID–19 pandemic. </w:t>
      </w:r>
      <w:r w:rsidR="00FE78B1">
        <w:t>Accordingly, the RBCS is updating the B&amp;I Guaranteed Loan Program (7 CFR Part 4279) to allow flexibility to obligate federal funds for guaranteed loans pursuant to the CARES Act in response to the</w:t>
      </w:r>
      <w:r w:rsidR="00B81041">
        <w:t xml:space="preserve"> national </w:t>
      </w:r>
      <w:r w:rsidR="00FE78B1">
        <w:t xml:space="preserve">COVID-19 </w:t>
      </w:r>
      <w:r w:rsidR="00B81041">
        <w:t xml:space="preserve">Public Health </w:t>
      </w:r>
      <w:r w:rsidR="00FE78B1">
        <w:t xml:space="preserve">Emergency. Simultaneously, the Agency is announcing the Notice of Funding Availability for the CARES Act. </w:t>
      </w:r>
    </w:p>
    <w:p w:rsidRPr="00564E45" w:rsidR="00E35084" w:rsidP="006502B3" w:rsidRDefault="006502B3" w14:paraId="27C20F4A" w14:textId="0A106DE1">
      <w:pPr>
        <w:spacing w:line="480" w:lineRule="auto"/>
      </w:pPr>
      <w:r>
        <w:t xml:space="preserve">     </w:t>
      </w:r>
      <w:r w:rsidR="001B6E3B">
        <w:t xml:space="preserve">The </w:t>
      </w:r>
      <w:r w:rsidRPr="00564E45" w:rsidR="00564E45">
        <w:t xml:space="preserve">Agency’s intent </w:t>
      </w:r>
      <w:r w:rsidR="001B6E3B">
        <w:t xml:space="preserve">is </w:t>
      </w:r>
      <w:r w:rsidR="00155E35">
        <w:t xml:space="preserve">for </w:t>
      </w:r>
      <w:r w:rsidRPr="00564E45" w:rsidR="00564E45">
        <w:t xml:space="preserve">guaranteed loan funds </w:t>
      </w:r>
      <w:r w:rsidR="00155E35">
        <w:t xml:space="preserve">to be </w:t>
      </w:r>
      <w:r w:rsidRPr="00564E45" w:rsidR="00564E45">
        <w:t xml:space="preserve">used for </w:t>
      </w:r>
      <w:bookmarkStart w:name="_Hlk39482513" w:id="1"/>
      <w:r w:rsidRPr="00564E45" w:rsidR="00564E45">
        <w:t>working capital loan purposes to support business operations and facilities in rural areas</w:t>
      </w:r>
      <w:r w:rsidR="007B32DF">
        <w:t xml:space="preserve"> including agricultural producers</w:t>
      </w:r>
      <w:r w:rsidRPr="00564E45" w:rsidR="00564E45">
        <w:t xml:space="preserve">. </w:t>
      </w:r>
      <w:bookmarkEnd w:id="1"/>
      <w:r w:rsidR="001B6E3B">
        <w:t>T</w:t>
      </w:r>
      <w:r w:rsidRPr="00564E45" w:rsidR="00564E45">
        <w:t xml:space="preserve">his </w:t>
      </w:r>
      <w:r w:rsidR="00B81041">
        <w:t xml:space="preserve">critical </w:t>
      </w:r>
      <w:r w:rsidRPr="00564E45" w:rsidR="00564E45">
        <w:t xml:space="preserve">funding will </w:t>
      </w:r>
      <w:r w:rsidR="00B81041">
        <w:t>allow</w:t>
      </w:r>
      <w:r w:rsidRPr="00564E45" w:rsidR="00564E45">
        <w:t xml:space="preserve"> </w:t>
      </w:r>
      <w:r w:rsidR="00155E35">
        <w:t>r</w:t>
      </w:r>
      <w:r w:rsidRPr="00564E45" w:rsidR="00564E45">
        <w:t>ural</w:t>
      </w:r>
      <w:r w:rsidR="00155E35">
        <w:t xml:space="preserve"> b</w:t>
      </w:r>
      <w:r w:rsidRPr="00564E45" w:rsidR="00564E45">
        <w:t>usinesses that are severely impacted due to the economic impacts of the</w:t>
      </w:r>
      <w:r w:rsidRPr="001B6E3B" w:rsidR="001B6E3B">
        <w:t xml:space="preserve"> national COVID-19 Public Health Emergency</w:t>
      </w:r>
      <w:r w:rsidR="00B81041">
        <w:t xml:space="preserve"> to have access to fun</w:t>
      </w:r>
      <w:r w:rsidR="004C3A3F">
        <w:t>d</w:t>
      </w:r>
      <w:r w:rsidR="00B81041">
        <w:t>ing for operating expenses which will allow them to sustain operations</w:t>
      </w:r>
      <w:r w:rsidRPr="001B6E3B" w:rsidR="001B6E3B">
        <w:t>.</w:t>
      </w:r>
      <w:r w:rsidRPr="00564E45" w:rsidR="00564E45">
        <w:t xml:space="preserve"> This </w:t>
      </w:r>
      <w:r w:rsidR="00B81041">
        <w:t xml:space="preserve">interim final </w:t>
      </w:r>
      <w:r w:rsidRPr="00564E45" w:rsidR="00564E45">
        <w:t xml:space="preserve">rule will supplement the current B&amp;I Guaranteed Loan Program as implemented in 7 CFR </w:t>
      </w:r>
      <w:r w:rsidR="008170F5">
        <w:t xml:space="preserve">Part </w:t>
      </w:r>
      <w:r w:rsidRPr="00564E45" w:rsidR="00564E45">
        <w:t>4279</w:t>
      </w:r>
      <w:r w:rsidR="008170F5">
        <w:t xml:space="preserve"> –</w:t>
      </w:r>
      <w:r w:rsidRPr="00564E45" w:rsidR="008170F5">
        <w:t xml:space="preserve"> </w:t>
      </w:r>
      <w:r w:rsidRPr="00564E45" w:rsidR="00564E45">
        <w:t xml:space="preserve">Guaranteed Loan Making and 7 CFR </w:t>
      </w:r>
      <w:r w:rsidR="008170F5">
        <w:t xml:space="preserve">Part </w:t>
      </w:r>
      <w:r w:rsidRPr="00564E45" w:rsidR="00564E45">
        <w:t>4287</w:t>
      </w:r>
      <w:r w:rsidR="008170F5">
        <w:t xml:space="preserve"> – </w:t>
      </w:r>
      <w:r w:rsidRPr="00564E45" w:rsidR="00564E45">
        <w:t xml:space="preserve">Servicing, with the new B&amp;I CARES Act Guaranteed Loan Program (B&amp;I CARES Act Program).  </w:t>
      </w:r>
      <w:r w:rsidR="003113DE">
        <w:t>It</w:t>
      </w:r>
      <w:r w:rsidRPr="003113DE" w:rsidR="003113DE">
        <w:t xml:space="preserve"> is the goal of the Agency to publish this interim final rule as soon as possible. If funding availability is delayed, Rural Businesses that are severely impacted due to the economic impacts of the COVID-19 pandemic will not </w:t>
      </w:r>
      <w:r w:rsidR="008170F5">
        <w:t xml:space="preserve">timely </w:t>
      </w:r>
      <w:r w:rsidRPr="003113DE" w:rsidR="003113DE">
        <w:t xml:space="preserve">receive this critical funding that will allow them to obtain funding for operating expenses to stay open at this time. </w:t>
      </w:r>
    </w:p>
    <w:p w:rsidRPr="00564E45" w:rsidR="00321088" w:rsidP="00E60014" w:rsidRDefault="00321088" w14:paraId="7A5E433E" w14:textId="77777777">
      <w:pPr>
        <w:spacing w:line="480" w:lineRule="auto"/>
        <w:rPr>
          <w:b/>
        </w:rPr>
      </w:pPr>
    </w:p>
    <w:p w:rsidRPr="00564E45" w:rsidR="00BE3C66" w:rsidP="00E60014" w:rsidRDefault="00DC2499" w14:paraId="6936C36B" w14:textId="5BB20B60">
      <w:pPr>
        <w:spacing w:line="480" w:lineRule="auto"/>
        <w:rPr>
          <w:b/>
        </w:rPr>
      </w:pPr>
      <w:r w:rsidRPr="00CA22C0">
        <w:rPr>
          <w:b/>
        </w:rPr>
        <w:t>B</w:t>
      </w:r>
      <w:r w:rsidRPr="00CA22C0" w:rsidR="00BE3C66">
        <w:rPr>
          <w:b/>
        </w:rPr>
        <w:t>. Baseline</w:t>
      </w:r>
      <w:r w:rsidRPr="003F59EB" w:rsidR="003F59EB">
        <w:t xml:space="preserve"> </w:t>
      </w:r>
    </w:p>
    <w:p w:rsidR="00DC2499" w:rsidRDefault="00A07B0B" w14:paraId="74F3CCD0" w14:textId="335407BD">
      <w:pPr>
        <w:spacing w:line="480" w:lineRule="auto"/>
      </w:pPr>
      <w:r>
        <w:t xml:space="preserve">     </w:t>
      </w:r>
      <w:r w:rsidRPr="00564E45" w:rsidR="00B75913">
        <w:t>The goal</w:t>
      </w:r>
      <w:r w:rsidRPr="00564E45" w:rsidR="006943B3">
        <w:t xml:space="preserve"> of the </w:t>
      </w:r>
      <w:r w:rsidRPr="00564E45" w:rsidR="00534E55">
        <w:t>B&amp;I Guaranteed Loan Program</w:t>
      </w:r>
      <w:r w:rsidRPr="00564E45" w:rsidR="006943B3">
        <w:t xml:space="preserve"> is</w:t>
      </w:r>
      <w:r w:rsidRPr="00564E45" w:rsidR="00B75913">
        <w:t xml:space="preserve"> to increase economic opportunity and improve the quality of life in rural America.  </w:t>
      </w:r>
      <w:r w:rsidRPr="00564E45" w:rsidR="00F15E62">
        <w:t>To achieve th</w:t>
      </w:r>
      <w:r w:rsidRPr="00564E45" w:rsidR="006943B3">
        <w:t>is</w:t>
      </w:r>
      <w:r w:rsidRPr="00564E45" w:rsidR="00F15E62">
        <w:t xml:space="preserve"> goal, the </w:t>
      </w:r>
      <w:r w:rsidRPr="00564E45" w:rsidR="00534E55">
        <w:t>B&amp;I Guaranteed Loan Program</w:t>
      </w:r>
      <w:r w:rsidRPr="00564E45" w:rsidR="00F15E62">
        <w:t xml:space="preserve"> cover</w:t>
      </w:r>
      <w:r w:rsidRPr="00564E45" w:rsidR="003A15EA">
        <w:t>s a</w:t>
      </w:r>
      <w:r w:rsidRPr="00564E45" w:rsidR="00F15E62">
        <w:t xml:space="preserve"> wide range of projects and borrowers in rural America.  </w:t>
      </w:r>
      <w:r w:rsidRPr="00564E45" w:rsidR="00873EC2">
        <w:t>The B</w:t>
      </w:r>
      <w:r w:rsidRPr="00564E45" w:rsidR="006943B3">
        <w:t>&amp;I</w:t>
      </w:r>
      <w:r w:rsidRPr="00564E45" w:rsidR="00873EC2">
        <w:t xml:space="preserve"> </w:t>
      </w:r>
      <w:r w:rsidRPr="00564E45" w:rsidR="00B059A4">
        <w:t>Guaranteed Loan P</w:t>
      </w:r>
      <w:r w:rsidRPr="00564E45" w:rsidR="00873EC2">
        <w:t>rogram targets a</w:t>
      </w:r>
      <w:r w:rsidR="00A7587F">
        <w:t>n extensive</w:t>
      </w:r>
      <w:r w:rsidRPr="00564E45" w:rsidR="00873EC2">
        <w:t xml:space="preserve"> </w:t>
      </w:r>
      <w:r w:rsidRPr="00564E45" w:rsidR="005A7017">
        <w:t>range of economic dev</w:t>
      </w:r>
      <w:r w:rsidRPr="00564E45" w:rsidR="00A14F63">
        <w:t>e</w:t>
      </w:r>
      <w:r w:rsidRPr="00564E45" w:rsidR="005A7017">
        <w:t>l</w:t>
      </w:r>
      <w:r w:rsidRPr="00564E45" w:rsidR="00A14F63">
        <w:t>op</w:t>
      </w:r>
      <w:r w:rsidRPr="00564E45" w:rsidR="005A7017">
        <w:t>ment projects</w:t>
      </w:r>
      <w:r w:rsidRPr="00564E45" w:rsidR="003A15EA">
        <w:t xml:space="preserve">. </w:t>
      </w:r>
      <w:r w:rsidRPr="00564E45" w:rsidR="00907F77">
        <w:t xml:space="preserve"> </w:t>
      </w:r>
      <w:r w:rsidRPr="00564E45" w:rsidR="00E649CB">
        <w:t>These</w:t>
      </w:r>
      <w:r w:rsidRPr="00564E45" w:rsidR="003A15EA">
        <w:t xml:space="preserve"> projects may</w:t>
      </w:r>
      <w:r w:rsidRPr="00564E45" w:rsidR="005A7017">
        <w:t xml:space="preserve"> </w:t>
      </w:r>
      <w:r w:rsidRPr="00564E45" w:rsidR="005A7017">
        <w:lastRenderedPageBreak/>
        <w:t>includ</w:t>
      </w:r>
      <w:r w:rsidRPr="00564E45" w:rsidR="003A15EA">
        <w:t>e</w:t>
      </w:r>
      <w:r w:rsidRPr="00564E45" w:rsidR="005A7017">
        <w:t xml:space="preserve"> </w:t>
      </w:r>
      <w:r w:rsidRPr="00564E45" w:rsidR="000E2E18">
        <w:t xml:space="preserve">development of </w:t>
      </w:r>
      <w:r w:rsidRPr="00564E45" w:rsidR="00DA7466">
        <w:t>infrastructure</w:t>
      </w:r>
      <w:r w:rsidR="006E57D7">
        <w:t xml:space="preserve">; </w:t>
      </w:r>
      <w:r w:rsidRPr="00564E45" w:rsidR="000E2E18">
        <w:t>modernization of buildings and facilities</w:t>
      </w:r>
      <w:r w:rsidR="006E57D7">
        <w:t xml:space="preserve">; </w:t>
      </w:r>
      <w:r w:rsidRPr="00564E45" w:rsidR="000E2E18">
        <w:t>purchase of equipment and inventory</w:t>
      </w:r>
      <w:r w:rsidR="006E57D7">
        <w:t xml:space="preserve">; </w:t>
      </w:r>
      <w:r w:rsidRPr="006E57D7" w:rsidR="006E57D7">
        <w:t>business acquisition</w:t>
      </w:r>
      <w:r w:rsidR="006E57D7">
        <w:t xml:space="preserve">; </w:t>
      </w:r>
      <w:r w:rsidRPr="006E57D7" w:rsidR="006E57D7">
        <w:t>expansion or improvement; purchase of real estate, machinery and equipment</w:t>
      </w:r>
      <w:r w:rsidR="006E57D7">
        <w:t xml:space="preserve">; </w:t>
      </w:r>
      <w:r w:rsidRPr="006E57D7" w:rsidR="006E57D7">
        <w:t>supplies; limited debt refinancing; and working capital.</w:t>
      </w:r>
    </w:p>
    <w:p w:rsidRPr="00564E45" w:rsidR="00873EC2" w:rsidP="004B6CF7" w:rsidRDefault="00321088" w14:paraId="48054BD0" w14:textId="0E558987">
      <w:pPr>
        <w:spacing w:line="480" w:lineRule="auto"/>
      </w:pPr>
      <w:r>
        <w:t xml:space="preserve">     </w:t>
      </w:r>
      <w:r w:rsidRPr="00564E45" w:rsidR="003A15EA">
        <w:t>T</w:t>
      </w:r>
      <w:r w:rsidRPr="00564E45" w:rsidR="00873EC2">
        <w:t xml:space="preserve">he </w:t>
      </w:r>
      <w:r w:rsidRPr="00564E45" w:rsidR="00534E55">
        <w:t>B&amp;I Guaranteed Loan Program</w:t>
      </w:r>
      <w:r w:rsidRPr="00564E45" w:rsidR="006943B3">
        <w:t xml:space="preserve"> </w:t>
      </w:r>
      <w:r w:rsidRPr="00564E45" w:rsidR="003A15EA">
        <w:t>serve</w:t>
      </w:r>
      <w:r w:rsidRPr="00564E45" w:rsidR="00E649CB">
        <w:t>s</w:t>
      </w:r>
      <w:r w:rsidRPr="00564E45" w:rsidR="003A15EA">
        <w:t xml:space="preserve"> several types of borrowers such as: </w:t>
      </w:r>
      <w:r w:rsidRPr="00564E45" w:rsidR="00971385">
        <w:t>cooperative organization</w:t>
      </w:r>
      <w:r w:rsidRPr="00564E45" w:rsidR="00204A32">
        <w:t>s</w:t>
      </w:r>
      <w:r w:rsidRPr="00564E45" w:rsidR="00703B20">
        <w:t>;</w:t>
      </w:r>
      <w:r w:rsidRPr="00564E45" w:rsidR="00971385">
        <w:t xml:space="preserve"> corporation</w:t>
      </w:r>
      <w:r w:rsidRPr="00564E45" w:rsidR="00204A32">
        <w:t>s</w:t>
      </w:r>
      <w:r w:rsidR="00A7587F">
        <w:t>,</w:t>
      </w:r>
      <w:r w:rsidRPr="00564E45" w:rsidR="00971385">
        <w:t xml:space="preserve"> partnership</w:t>
      </w:r>
      <w:r w:rsidRPr="00564E45" w:rsidR="00204A32">
        <w:t>s</w:t>
      </w:r>
      <w:r w:rsidR="00B40441">
        <w:t>,</w:t>
      </w:r>
      <w:r w:rsidRPr="00564E45" w:rsidR="00971385">
        <w:t xml:space="preserve"> or other legal </w:t>
      </w:r>
      <w:r w:rsidRPr="00564E45" w:rsidR="00204A32">
        <w:t xml:space="preserve">entities </w:t>
      </w:r>
      <w:r w:rsidRPr="00564E45" w:rsidR="00971385">
        <w:t>organized and operated on a profit or nonprofit basis; Indian tribe</w:t>
      </w:r>
      <w:r w:rsidR="00A7587F">
        <w:t>s</w:t>
      </w:r>
      <w:r w:rsidRPr="00564E45" w:rsidR="00971385">
        <w:t xml:space="preserve"> on a Federal or State reservation</w:t>
      </w:r>
      <w:r w:rsidR="00A7587F">
        <w:t>s</w:t>
      </w:r>
      <w:r w:rsidRPr="00564E45" w:rsidR="00971385">
        <w:t xml:space="preserve"> or other Federally recognized tribal group</w:t>
      </w:r>
      <w:r w:rsidR="00A7587F">
        <w:t>s</w:t>
      </w:r>
      <w:r w:rsidRPr="00564E45" w:rsidR="00971385">
        <w:t>; public bod</w:t>
      </w:r>
      <w:r w:rsidR="00A7587F">
        <w:t>ies</w:t>
      </w:r>
      <w:r w:rsidRPr="00564E45" w:rsidR="00971385">
        <w:t>; or individual</w:t>
      </w:r>
      <w:r w:rsidRPr="00564E45" w:rsidR="00703B20">
        <w:t xml:space="preserve"> borrower</w:t>
      </w:r>
      <w:r w:rsidR="00A7587F">
        <w:t>s</w:t>
      </w:r>
      <w:r w:rsidRPr="00564E45" w:rsidR="00703B20">
        <w:t xml:space="preserve"> that </w:t>
      </w:r>
      <w:r w:rsidR="00A7587F">
        <w:t>are</w:t>
      </w:r>
      <w:r w:rsidRPr="00564E45" w:rsidR="00703B20">
        <w:t xml:space="preserve"> engaged</w:t>
      </w:r>
      <w:r w:rsidR="001B3AE6">
        <w:t>,</w:t>
      </w:r>
      <w:r w:rsidRPr="00564E45" w:rsidR="00703B20">
        <w:t xml:space="preserve"> </w:t>
      </w:r>
      <w:r w:rsidRPr="00564E45" w:rsidR="00971385">
        <w:t xml:space="preserve">or proposing to engage, in business.  </w:t>
      </w:r>
    </w:p>
    <w:p w:rsidRPr="00564E45" w:rsidR="00642D1A" w:rsidP="004B6CF7" w:rsidRDefault="00321088" w14:paraId="0E3A34F8" w14:textId="6283ED24">
      <w:pPr>
        <w:spacing w:line="480" w:lineRule="auto"/>
      </w:pPr>
      <w:r>
        <w:t xml:space="preserve">     </w:t>
      </w:r>
      <w:r w:rsidRPr="00564E45" w:rsidR="007E2357">
        <w:t xml:space="preserve">The B&amp;I </w:t>
      </w:r>
      <w:r w:rsidRPr="00564E45" w:rsidR="00B059A4">
        <w:t>Guaranteed Loan P</w:t>
      </w:r>
      <w:r w:rsidRPr="00564E45" w:rsidR="007E2357">
        <w:t>rogram impose</w:t>
      </w:r>
      <w:r w:rsidRPr="00564E45" w:rsidR="00534E55">
        <w:t>s</w:t>
      </w:r>
      <w:r w:rsidRPr="00564E45" w:rsidR="007E2357">
        <w:t xml:space="preserve"> limits on the amount of a </w:t>
      </w:r>
      <w:r w:rsidRPr="00564E45" w:rsidR="00F71159">
        <w:t xml:space="preserve">B&amp;I guaranteed </w:t>
      </w:r>
      <w:r w:rsidRPr="00564E45" w:rsidR="007E2357">
        <w:t xml:space="preserve">loan or the </w:t>
      </w:r>
      <w:r w:rsidRPr="00564E45" w:rsidR="00F71159">
        <w:t xml:space="preserve">cumulative </w:t>
      </w:r>
      <w:r w:rsidRPr="00564E45" w:rsidR="007E2357">
        <w:t xml:space="preserve">amount of </w:t>
      </w:r>
      <w:r w:rsidRPr="00564E45" w:rsidR="00F71159">
        <w:t xml:space="preserve">outstanding B&amp;I guaranteed </w:t>
      </w:r>
      <w:r w:rsidRPr="00564E45" w:rsidR="007E2357">
        <w:t xml:space="preserve">loans a borrower may have.  </w:t>
      </w:r>
      <w:r w:rsidRPr="00564E45" w:rsidR="006943B3">
        <w:t>W</w:t>
      </w:r>
      <w:r w:rsidRPr="00564E45" w:rsidR="007E2357">
        <w:t xml:space="preserve">ith one exception, the maximum aggregate </w:t>
      </w:r>
      <w:r w:rsidRPr="00564E45" w:rsidR="00F71159">
        <w:t xml:space="preserve">B&amp;I guaranteed loan </w:t>
      </w:r>
      <w:r w:rsidRPr="00564E45" w:rsidR="007E2357">
        <w:t xml:space="preserve">debt that can be incurred by a borrower at any given time is $25 million.  </w:t>
      </w:r>
      <w:r w:rsidRPr="00564E45" w:rsidR="00AD4AA2">
        <w:t xml:space="preserve">A </w:t>
      </w:r>
      <w:r w:rsidRPr="00564E45" w:rsidR="007E2357">
        <w:t xml:space="preserve">maximum of 10 percent of B&amp;I </w:t>
      </w:r>
      <w:r w:rsidRPr="00564E45" w:rsidR="00B059A4">
        <w:t>Guaranteed Loan P</w:t>
      </w:r>
      <w:r w:rsidRPr="00564E45" w:rsidR="007E2357">
        <w:t xml:space="preserve">rogram funding is available to value-added cooperative organizations for </w:t>
      </w:r>
      <w:r w:rsidRPr="00564E45" w:rsidR="00F71159">
        <w:t xml:space="preserve">B&amp;I guaranteed </w:t>
      </w:r>
      <w:r w:rsidRPr="00564E45" w:rsidR="007E2357">
        <w:t xml:space="preserve">loans above $25 million to a maximum aggregate of $40 million.  </w:t>
      </w:r>
    </w:p>
    <w:p w:rsidRPr="00564E45" w:rsidR="00642D1A" w:rsidP="004B6CF7" w:rsidRDefault="00321088" w14:paraId="6A0ECFBB" w14:textId="0FE7C733">
      <w:pPr>
        <w:spacing w:line="480" w:lineRule="auto"/>
      </w:pPr>
      <w:r>
        <w:t xml:space="preserve">     </w:t>
      </w:r>
      <w:r w:rsidRPr="00564E45" w:rsidR="00642D1A">
        <w:t xml:space="preserve">Under the current program, lenders are responsible for originating the loan, including conducting analyses of each project to ensure their feasibility and the ability of the borrower to repay the loan.  Lenders then submit applications for loan guarantees to </w:t>
      </w:r>
      <w:r w:rsidRPr="00564E45" w:rsidR="00703B20">
        <w:t>Rural Development (</w:t>
      </w:r>
      <w:r w:rsidRPr="00564E45" w:rsidR="00642D1A">
        <w:t>RD</w:t>
      </w:r>
      <w:r w:rsidRPr="00564E45" w:rsidR="00703B20">
        <w:t>)</w:t>
      </w:r>
      <w:r w:rsidRPr="00564E45" w:rsidR="00642D1A">
        <w:t xml:space="preserve"> State </w:t>
      </w:r>
      <w:r w:rsidRPr="00564E45" w:rsidR="00534E55">
        <w:t>O</w:t>
      </w:r>
      <w:r w:rsidRPr="00564E45" w:rsidR="00642D1A">
        <w:t xml:space="preserve">ffices for review and approval.  </w:t>
      </w:r>
    </w:p>
    <w:p w:rsidR="00642D1A" w:rsidRDefault="00321088" w14:paraId="55441744" w14:textId="0B47E641">
      <w:pPr>
        <w:spacing w:line="480" w:lineRule="auto"/>
      </w:pPr>
      <w:r>
        <w:t xml:space="preserve">     </w:t>
      </w:r>
      <w:r w:rsidRPr="00564E45" w:rsidR="00642D1A">
        <w:t xml:space="preserve">Upon issuance of the loan guarantee, the lender is responsible for servicing the loan according to the </w:t>
      </w:r>
      <w:r w:rsidRPr="00564E45" w:rsidR="00817772">
        <w:t>rule</w:t>
      </w:r>
      <w:r w:rsidRPr="00564E45" w:rsidR="00642D1A">
        <w:t xml:space="preserve">s for the </w:t>
      </w:r>
      <w:r w:rsidRPr="00564E45" w:rsidR="006943B3">
        <w:t>B&amp;I</w:t>
      </w:r>
      <w:r w:rsidRPr="00564E45" w:rsidR="00642D1A">
        <w:t xml:space="preserve"> </w:t>
      </w:r>
      <w:r w:rsidRPr="00564E45" w:rsidR="00B059A4">
        <w:t>Guaranteed Loan P</w:t>
      </w:r>
      <w:r w:rsidRPr="00564E45" w:rsidR="00642D1A">
        <w:t xml:space="preserve">rogram.  </w:t>
      </w:r>
    </w:p>
    <w:p w:rsidRPr="00564E45" w:rsidR="00A81328" w:rsidP="004B6CF7" w:rsidRDefault="00A81328" w14:paraId="6059090E" w14:textId="77777777">
      <w:pPr>
        <w:spacing w:line="480" w:lineRule="auto"/>
      </w:pPr>
    </w:p>
    <w:p w:rsidRPr="00564E45" w:rsidR="00BE3C66" w:rsidP="00E60014" w:rsidRDefault="00DC2499" w14:paraId="425E49C6" w14:textId="26C7572B">
      <w:pPr>
        <w:spacing w:line="480" w:lineRule="auto"/>
        <w:rPr>
          <w:b/>
        </w:rPr>
      </w:pPr>
      <w:r w:rsidRPr="004E062B">
        <w:rPr>
          <w:b/>
        </w:rPr>
        <w:t>C</w:t>
      </w:r>
      <w:r w:rsidRPr="004E062B" w:rsidR="00BE3C66">
        <w:rPr>
          <w:b/>
        </w:rPr>
        <w:t>. Rule Summary</w:t>
      </w:r>
    </w:p>
    <w:p w:rsidRPr="00564E45" w:rsidR="00374F2C" w:rsidP="004B6CF7" w:rsidRDefault="00A07B0B" w14:paraId="364115A2" w14:textId="4C9C95E0">
      <w:pPr>
        <w:spacing w:line="480" w:lineRule="auto"/>
      </w:pPr>
      <w:r>
        <w:t xml:space="preserve">     </w:t>
      </w:r>
      <w:r w:rsidRPr="00564E45" w:rsidR="00374F2C">
        <w:t xml:space="preserve">The current B&amp;I </w:t>
      </w:r>
      <w:r w:rsidRPr="00564E45" w:rsidR="007F1BAE">
        <w:t xml:space="preserve">Guaranteed Loan Program </w:t>
      </w:r>
      <w:r w:rsidR="00B81041">
        <w:t xml:space="preserve">regulation </w:t>
      </w:r>
      <w:r w:rsidRPr="00564E45" w:rsidR="00374F2C">
        <w:t>is divided into three subparts:</w:t>
      </w:r>
    </w:p>
    <w:p w:rsidRPr="00564E45" w:rsidR="00374F2C" w:rsidP="00E60014" w:rsidRDefault="00374F2C" w14:paraId="79E7C67C" w14:textId="2E2E91AF">
      <w:pPr>
        <w:pStyle w:val="ListParagraph"/>
        <w:numPr>
          <w:ilvl w:val="0"/>
          <w:numId w:val="19"/>
        </w:numPr>
        <w:spacing w:line="480" w:lineRule="auto"/>
      </w:pPr>
      <w:r w:rsidRPr="00564E45">
        <w:lastRenderedPageBreak/>
        <w:t xml:space="preserve">7 CFR </w:t>
      </w:r>
      <w:r w:rsidR="00A23342">
        <w:t xml:space="preserve">Part </w:t>
      </w:r>
      <w:r w:rsidRPr="00564E45">
        <w:t>4279</w:t>
      </w:r>
      <w:r w:rsidR="00A23342">
        <w:t xml:space="preserve"> –</w:t>
      </w:r>
      <w:r w:rsidRPr="00564E45" w:rsidR="00A23342">
        <w:t xml:space="preserve"> </w:t>
      </w:r>
      <w:r w:rsidRPr="00564E45">
        <w:t>Guaranteed Loan Making</w:t>
      </w:r>
    </w:p>
    <w:p w:rsidRPr="00564E45" w:rsidR="00374F2C" w:rsidP="00E60014" w:rsidRDefault="00374F2C" w14:paraId="4BB66CB2" w14:textId="77777777">
      <w:pPr>
        <w:pStyle w:val="ListParagraph"/>
        <w:numPr>
          <w:ilvl w:val="1"/>
          <w:numId w:val="19"/>
        </w:numPr>
        <w:spacing w:line="480" w:lineRule="auto"/>
      </w:pPr>
      <w:r w:rsidRPr="00564E45">
        <w:t>Subpart A – General</w:t>
      </w:r>
    </w:p>
    <w:p w:rsidR="00374F2C" w:rsidP="00E60014" w:rsidRDefault="00374F2C" w14:paraId="3074C700" w14:textId="2952A7D9">
      <w:pPr>
        <w:pStyle w:val="ListParagraph"/>
        <w:numPr>
          <w:ilvl w:val="1"/>
          <w:numId w:val="19"/>
        </w:numPr>
        <w:spacing w:line="480" w:lineRule="auto"/>
      </w:pPr>
      <w:r w:rsidRPr="00564E45">
        <w:t>Subpart B – Business and Industry Loans</w:t>
      </w:r>
    </w:p>
    <w:p w:rsidRPr="00564E45" w:rsidR="00374F2C" w:rsidP="00E60014" w:rsidRDefault="00374F2C" w14:paraId="0B0318C7" w14:textId="4B97C236">
      <w:pPr>
        <w:pStyle w:val="ListParagraph"/>
        <w:numPr>
          <w:ilvl w:val="0"/>
          <w:numId w:val="19"/>
        </w:numPr>
        <w:spacing w:line="480" w:lineRule="auto"/>
      </w:pPr>
      <w:r w:rsidRPr="00564E45">
        <w:t xml:space="preserve">7 CFR </w:t>
      </w:r>
      <w:r w:rsidR="00A23342">
        <w:t xml:space="preserve">Part </w:t>
      </w:r>
      <w:r w:rsidRPr="00564E45">
        <w:t>4287</w:t>
      </w:r>
      <w:r w:rsidR="00A23342">
        <w:t xml:space="preserve"> –</w:t>
      </w:r>
      <w:r w:rsidRPr="00564E45" w:rsidR="00A23342">
        <w:t xml:space="preserve"> </w:t>
      </w:r>
      <w:r w:rsidRPr="00564E45">
        <w:t>Servicing</w:t>
      </w:r>
    </w:p>
    <w:p w:rsidRPr="00564E45" w:rsidR="00374F2C" w:rsidP="00E60014" w:rsidRDefault="00374F2C" w14:paraId="10DA529A" w14:textId="77777777">
      <w:pPr>
        <w:pStyle w:val="ListParagraph"/>
        <w:numPr>
          <w:ilvl w:val="1"/>
          <w:numId w:val="19"/>
        </w:numPr>
        <w:spacing w:line="480" w:lineRule="auto"/>
      </w:pPr>
      <w:r w:rsidRPr="00564E45">
        <w:t>Subpart B – Servicing Business and Industry Guaranteed Loans</w:t>
      </w:r>
    </w:p>
    <w:p w:rsidR="000A7F35" w:rsidRDefault="00A07B0B" w14:paraId="0FCF2029" w14:textId="3F50FAB0">
      <w:pPr>
        <w:spacing w:line="480" w:lineRule="auto"/>
      </w:pPr>
      <w:r>
        <w:t xml:space="preserve">     </w:t>
      </w:r>
      <w:r w:rsidRPr="006068A6" w:rsidR="00D551AE">
        <w:t>T</w:t>
      </w:r>
      <w:r w:rsidRPr="006068A6" w:rsidR="000E0B6F">
        <w:t xml:space="preserve">he </w:t>
      </w:r>
      <w:r w:rsidRPr="006068A6" w:rsidR="006E57D7">
        <w:t xml:space="preserve">interim </w:t>
      </w:r>
      <w:r w:rsidRPr="006068A6" w:rsidR="00D24734">
        <w:t>final</w:t>
      </w:r>
      <w:r w:rsidRPr="006068A6" w:rsidR="00C22818">
        <w:t xml:space="preserve"> </w:t>
      </w:r>
      <w:r w:rsidRPr="006068A6" w:rsidR="00EC5A4B">
        <w:t>rule</w:t>
      </w:r>
      <w:r w:rsidRPr="006068A6" w:rsidR="00FE35FD">
        <w:t xml:space="preserve"> </w:t>
      </w:r>
      <w:r w:rsidRPr="004C3A3F" w:rsidR="004C3A3F">
        <w:t>adds a section to the existing regulations to address specific requirements for CARES Act authority</w:t>
      </w:r>
      <w:r w:rsidR="000A7F35">
        <w:t xml:space="preserve"> as outlined in the chart below:</w:t>
      </w:r>
    </w:p>
    <w:p w:rsidR="000A7F35" w:rsidP="000A7F35" w:rsidRDefault="000A7F35" w14:paraId="23379C87" w14:textId="30B8CF7A">
      <w:pPr>
        <w:rPr>
          <w:b/>
          <w:bCs/>
        </w:rPr>
      </w:pPr>
      <w:r w:rsidRPr="004B6CF7">
        <w:rPr>
          <w:b/>
          <w:bCs/>
        </w:rPr>
        <w:t xml:space="preserve">§ 4279.190 Business and Industry National COVID-19 Public Health Emergency Loans </w:t>
      </w:r>
    </w:p>
    <w:p w:rsidRPr="004B6CF7" w:rsidR="000A7F35" w:rsidP="004B6CF7" w:rsidRDefault="000A7F35" w14:paraId="72876DDD" w14:textId="77777777">
      <w:pPr>
        <w:rPr>
          <w:b/>
          <w:bCs/>
        </w:rPr>
      </w:pPr>
    </w:p>
    <w:tbl>
      <w:tblPr>
        <w:tblStyle w:val="TableGrid"/>
        <w:tblW w:w="0" w:type="auto"/>
        <w:tblLook w:val="04A0" w:firstRow="1" w:lastRow="0" w:firstColumn="1" w:lastColumn="0" w:noHBand="0" w:noVBand="1"/>
      </w:tblPr>
      <w:tblGrid>
        <w:gridCol w:w="4675"/>
        <w:gridCol w:w="4675"/>
      </w:tblGrid>
      <w:tr w:rsidR="000A7F35" w:rsidTr="0026741C" w14:paraId="06A0D9CF" w14:textId="77777777">
        <w:tc>
          <w:tcPr>
            <w:tcW w:w="4675" w:type="dxa"/>
          </w:tcPr>
          <w:p w:rsidR="000A7F35" w:rsidP="0026741C" w:rsidRDefault="000A7F35" w14:paraId="59228782" w14:textId="162AD356">
            <w:pPr>
              <w:rPr>
                <w:b/>
                <w:bCs/>
              </w:rPr>
            </w:pPr>
            <w:r w:rsidRPr="00861118">
              <w:rPr>
                <w:b/>
                <w:bCs/>
              </w:rPr>
              <w:t xml:space="preserve">Subpart A </w:t>
            </w:r>
            <w:r>
              <w:rPr>
                <w:b/>
                <w:bCs/>
              </w:rPr>
              <w:t>–</w:t>
            </w:r>
            <w:r w:rsidRPr="00861118">
              <w:rPr>
                <w:b/>
                <w:bCs/>
              </w:rPr>
              <w:t xml:space="preserve"> General</w:t>
            </w:r>
          </w:p>
          <w:p w:rsidR="000A7F35" w:rsidP="0026741C" w:rsidRDefault="000A7F35" w14:paraId="5E6B07AD" w14:textId="77777777">
            <w:pPr>
              <w:rPr>
                <w:b/>
                <w:bCs/>
              </w:rPr>
            </w:pPr>
          </w:p>
          <w:p w:rsidR="000A7F35" w:rsidP="0026741C" w:rsidRDefault="000A7F35" w14:paraId="1CB56AA2" w14:textId="419A7AEF">
            <w:pPr>
              <w:rPr>
                <w:b/>
                <w:bCs/>
              </w:rPr>
            </w:pPr>
            <w:r w:rsidRPr="00E21EBB">
              <w:rPr>
                <w:b/>
                <w:bCs/>
              </w:rPr>
              <w:t>§4279.1   Introduction</w:t>
            </w:r>
          </w:p>
        </w:tc>
        <w:tc>
          <w:tcPr>
            <w:tcW w:w="4675" w:type="dxa"/>
          </w:tcPr>
          <w:p w:rsidRPr="0026741C" w:rsidR="000A7F35" w:rsidP="0026741C" w:rsidRDefault="000A7F35" w14:paraId="76C88B9C" w14:textId="4B12646B">
            <w:r w:rsidRPr="0026741C">
              <w:t>Includes the reference to the Agency’s authority to provide working capital loan purposes to support business operations and facilities in rural areas pursuant to the B&amp;I CARES Act Loans.</w:t>
            </w:r>
          </w:p>
        </w:tc>
      </w:tr>
      <w:tr w:rsidRPr="0026741C" w:rsidR="000A7F35" w:rsidTr="0026741C" w14:paraId="1D72B018" w14:textId="77777777">
        <w:tc>
          <w:tcPr>
            <w:tcW w:w="4675" w:type="dxa"/>
          </w:tcPr>
          <w:p w:rsidR="000A7F35" w:rsidP="0026741C" w:rsidRDefault="000A7F35" w14:paraId="63D090AC" w14:textId="609908BA">
            <w:pPr>
              <w:rPr>
                <w:b/>
                <w:bCs/>
              </w:rPr>
            </w:pPr>
            <w:r>
              <w:rPr>
                <w:b/>
                <w:bCs/>
              </w:rPr>
              <w:t>Subpart B- Business and Industry Loans</w:t>
            </w:r>
          </w:p>
          <w:p w:rsidR="000A7F35" w:rsidP="0026741C" w:rsidRDefault="000A7F35" w14:paraId="69F0A6BA" w14:textId="77777777">
            <w:pPr>
              <w:rPr>
                <w:b/>
                <w:bCs/>
              </w:rPr>
            </w:pPr>
          </w:p>
          <w:p w:rsidR="000A7F35" w:rsidP="0026741C" w:rsidRDefault="000A7F35" w14:paraId="534AF258" w14:textId="49CF9071">
            <w:pPr>
              <w:rPr>
                <w:b/>
                <w:bCs/>
              </w:rPr>
            </w:pPr>
            <w:r w:rsidRPr="00861118">
              <w:rPr>
                <w:b/>
                <w:bCs/>
              </w:rPr>
              <w:t>§ 4279.1</w:t>
            </w:r>
            <w:r w:rsidR="00436F1A">
              <w:rPr>
                <w:b/>
                <w:bCs/>
              </w:rPr>
              <w:t>01</w:t>
            </w:r>
            <w:r w:rsidRPr="00861118">
              <w:rPr>
                <w:b/>
                <w:bCs/>
              </w:rPr>
              <w:t xml:space="preserve">   Introduction</w:t>
            </w:r>
          </w:p>
        </w:tc>
        <w:tc>
          <w:tcPr>
            <w:tcW w:w="4675" w:type="dxa"/>
          </w:tcPr>
          <w:p w:rsidRPr="0026741C" w:rsidR="000A7F35" w:rsidP="0026741C" w:rsidRDefault="000A7F35" w14:paraId="7D400E54" w14:textId="503921A2">
            <w:r w:rsidRPr="00E21EBB">
              <w:t xml:space="preserve">Includes reference to the inclusion of the </w:t>
            </w:r>
            <w:r w:rsidRPr="0026741C">
              <w:t>regulations</w:t>
            </w:r>
            <w:r w:rsidRPr="00E21EBB">
              <w:t xml:space="preserve"> </w:t>
            </w:r>
            <w:r w:rsidRPr="0026741C">
              <w:t xml:space="preserve">for </w:t>
            </w:r>
            <w:r w:rsidRPr="00E21EBB">
              <w:t xml:space="preserve">the </w:t>
            </w:r>
            <w:r w:rsidRPr="0026741C">
              <w:t>Business and Industry loans under the authority of the Coronavirus Aid, Relief, and Economic Security Act (CARES Act) (Pub. L. 116-136)</w:t>
            </w:r>
            <w:r w:rsidRPr="00E21EBB">
              <w:t>.</w:t>
            </w:r>
            <w:r w:rsidRPr="0026741C">
              <w:t xml:space="preserve"> </w:t>
            </w:r>
          </w:p>
        </w:tc>
      </w:tr>
      <w:tr w:rsidR="000A7F35" w:rsidTr="0026741C" w14:paraId="251C4567" w14:textId="77777777">
        <w:tc>
          <w:tcPr>
            <w:tcW w:w="4675" w:type="dxa"/>
          </w:tcPr>
          <w:p w:rsidR="000A7F35" w:rsidP="0026741C" w:rsidRDefault="000A7F35" w14:paraId="53DA3AB2" w14:textId="3CFC528A">
            <w:pPr>
              <w:rPr>
                <w:b/>
                <w:bCs/>
              </w:rPr>
            </w:pPr>
            <w:r w:rsidRPr="00E21EBB">
              <w:rPr>
                <w:b/>
                <w:bCs/>
              </w:rPr>
              <w:t>§ 4279.190 Business and Industry National COVID-19 National Public Health Emergency Loans</w:t>
            </w:r>
          </w:p>
          <w:p w:rsidR="000A7F35" w:rsidP="0026741C" w:rsidRDefault="000A7F35" w14:paraId="760A9E6B" w14:textId="77777777">
            <w:pPr>
              <w:rPr>
                <w:b/>
                <w:bCs/>
              </w:rPr>
            </w:pPr>
          </w:p>
          <w:p w:rsidR="000A7F35" w:rsidP="0026741C" w:rsidRDefault="000A7F35" w14:paraId="106C7452" w14:textId="77777777">
            <w:pPr>
              <w:rPr>
                <w:b/>
                <w:bCs/>
              </w:rPr>
            </w:pPr>
          </w:p>
          <w:p w:rsidR="000A7F35" w:rsidP="0026741C" w:rsidRDefault="000A7F35" w14:paraId="2BB73499" w14:textId="77777777">
            <w:pPr>
              <w:rPr>
                <w:b/>
                <w:bCs/>
              </w:rPr>
            </w:pPr>
          </w:p>
          <w:p w:rsidR="000A7F35" w:rsidP="0026741C" w:rsidRDefault="000A7F35" w14:paraId="2E699E03" w14:textId="5DCEBF43">
            <w:pPr>
              <w:rPr>
                <w:b/>
                <w:bCs/>
              </w:rPr>
            </w:pPr>
          </w:p>
          <w:p w:rsidR="000A7F35" w:rsidP="0026741C" w:rsidRDefault="000A7F35" w14:paraId="24DF970F" w14:textId="77777777">
            <w:pPr>
              <w:rPr>
                <w:b/>
                <w:bCs/>
              </w:rPr>
            </w:pPr>
          </w:p>
        </w:tc>
        <w:tc>
          <w:tcPr>
            <w:tcW w:w="4675" w:type="dxa"/>
          </w:tcPr>
          <w:p w:rsidR="000A7F35" w:rsidP="0026741C" w:rsidRDefault="000A7F35" w14:paraId="30B2D63E" w14:textId="1A650D92">
            <w:r w:rsidRPr="0026741C">
              <w:t>(a) Introduction</w:t>
            </w:r>
          </w:p>
          <w:p w:rsidR="000A7F35" w:rsidP="0026741C" w:rsidRDefault="000A7F35" w14:paraId="57D1E06A" w14:textId="77777777">
            <w:r w:rsidRPr="00E21EBB">
              <w:t>(b) Eligible borrowers</w:t>
            </w:r>
          </w:p>
          <w:p w:rsidR="000A7F35" w:rsidP="0026741C" w:rsidRDefault="000A7F35" w14:paraId="299B1ED2" w14:textId="77777777">
            <w:r w:rsidRPr="00E21EBB">
              <w:t>(c) Eligible use of funds</w:t>
            </w:r>
          </w:p>
          <w:p w:rsidR="000A7F35" w:rsidP="0026741C" w:rsidRDefault="000A7F35" w14:paraId="3EFA2FBD" w14:textId="77777777">
            <w:r w:rsidRPr="00E21EBB">
              <w:t>(d) Loan amount limits</w:t>
            </w:r>
          </w:p>
          <w:p w:rsidR="000A7F35" w:rsidP="0026741C" w:rsidRDefault="000A7F35" w14:paraId="1F062A26" w14:textId="77777777">
            <w:r>
              <w:t>(e) Percentage of guarantee</w:t>
            </w:r>
          </w:p>
          <w:p w:rsidR="000A7F35" w:rsidP="0026741C" w:rsidRDefault="000A7F35" w14:paraId="4A8BA808" w14:textId="77777777">
            <w:r>
              <w:t>(f) Guarantee fee</w:t>
            </w:r>
          </w:p>
          <w:p w:rsidR="000A7F35" w:rsidP="0026741C" w:rsidRDefault="000A7F35" w14:paraId="6ABA0588" w14:textId="77777777">
            <w:r w:rsidRPr="00E21EBB">
              <w:t xml:space="preserve">(g) Annual renewal fee  </w:t>
            </w:r>
          </w:p>
          <w:p w:rsidR="000A7F35" w:rsidP="0026741C" w:rsidRDefault="000A7F35" w14:paraId="7D732F4F" w14:textId="77777777">
            <w:r w:rsidRPr="00E21EBB">
              <w:t>(h) Loan terms</w:t>
            </w:r>
          </w:p>
          <w:p w:rsidR="000A7F35" w:rsidP="0026741C" w:rsidRDefault="000A7F35" w14:paraId="46EAE209" w14:textId="77777777">
            <w:r w:rsidRPr="00E21EBB">
              <w:t>(</w:t>
            </w:r>
            <w:proofErr w:type="spellStart"/>
            <w:r w:rsidRPr="00E21EBB">
              <w:t>i</w:t>
            </w:r>
            <w:proofErr w:type="spellEnd"/>
            <w:r w:rsidRPr="00E21EBB">
              <w:t>) Credit quality</w:t>
            </w:r>
          </w:p>
          <w:p w:rsidR="000A7F35" w:rsidP="0026741C" w:rsidRDefault="000A7F35" w14:paraId="3BEE4252" w14:textId="77777777">
            <w:r w:rsidRPr="00E21EBB">
              <w:t>(j)  Collateral</w:t>
            </w:r>
          </w:p>
          <w:p w:rsidR="000A7F35" w:rsidP="0026741C" w:rsidRDefault="000A7F35" w14:paraId="3E730F78" w14:textId="77777777">
            <w:r w:rsidRPr="000A7F35">
              <w:t>(k) Capital/equity</w:t>
            </w:r>
          </w:p>
          <w:p w:rsidR="000A7F35" w:rsidP="0026741C" w:rsidRDefault="000A7F35" w14:paraId="5F25339A" w14:textId="77777777">
            <w:r w:rsidRPr="000A7F35">
              <w:t>(l) Appraisals</w:t>
            </w:r>
          </w:p>
          <w:p w:rsidR="000A7F35" w:rsidP="0026741C" w:rsidRDefault="000A7F35" w14:paraId="31397FF3" w14:textId="77777777">
            <w:r w:rsidRPr="000A7F35">
              <w:t>(m) Filing preapplications and applications</w:t>
            </w:r>
          </w:p>
          <w:p w:rsidRPr="0026741C" w:rsidR="000A7F35" w:rsidP="0026741C" w:rsidRDefault="000A7F35" w14:paraId="05EE616D" w14:textId="77777777"/>
        </w:tc>
      </w:tr>
      <w:tr w:rsidR="00321088" w:rsidTr="0026741C" w14:paraId="5F7CEB9F" w14:textId="77777777">
        <w:tc>
          <w:tcPr>
            <w:tcW w:w="4675" w:type="dxa"/>
          </w:tcPr>
          <w:p w:rsidRPr="00E21EBB" w:rsidR="00321088" w:rsidP="0026741C" w:rsidRDefault="00321088" w14:paraId="3CD275A1" w14:textId="446C8249">
            <w:pPr>
              <w:rPr>
                <w:b/>
                <w:bCs/>
              </w:rPr>
            </w:pPr>
            <w:r w:rsidRPr="00321088">
              <w:rPr>
                <w:b/>
                <w:bCs/>
              </w:rPr>
              <w:t>Part 4287, Subpart B – Servicing Business and Industry Guaranteed Loans</w:t>
            </w:r>
          </w:p>
        </w:tc>
        <w:tc>
          <w:tcPr>
            <w:tcW w:w="4675" w:type="dxa"/>
          </w:tcPr>
          <w:p w:rsidRPr="0026741C" w:rsidR="00321088" w:rsidP="0026741C" w:rsidRDefault="00321088" w14:paraId="70F76F7C" w14:textId="36F73C18">
            <w:r>
              <w:t>While t</w:t>
            </w:r>
            <w:r w:rsidRPr="00321088">
              <w:t>here are no statutory changes being made to this subpart</w:t>
            </w:r>
            <w:r>
              <w:t xml:space="preserve">, </w:t>
            </w:r>
            <w:r w:rsidRPr="00321088">
              <w:t xml:space="preserve">the servicing of loans funded by the B&amp;I CARES Act Loan Program will follow the requirements </w:t>
            </w:r>
            <w:r w:rsidR="00A23342">
              <w:t>of</w:t>
            </w:r>
            <w:r w:rsidRPr="00321088">
              <w:t xml:space="preserve"> the current B&amp;I Guaranteed Loan Program set forth under this subpart.  </w:t>
            </w:r>
          </w:p>
        </w:tc>
      </w:tr>
    </w:tbl>
    <w:p w:rsidRPr="00564E45" w:rsidR="000E2E18" w:rsidP="004B6CF7" w:rsidRDefault="006068A6" w14:paraId="229F9C4A" w14:textId="155975E2">
      <w:pPr>
        <w:spacing w:line="480" w:lineRule="auto"/>
      </w:pPr>
      <w:r w:rsidRPr="006068A6">
        <w:lastRenderedPageBreak/>
        <w:t xml:space="preserve">The </w:t>
      </w:r>
      <w:r w:rsidRPr="006068A6" w:rsidR="00192F91">
        <w:t>significant policy change</w:t>
      </w:r>
      <w:r w:rsidRPr="006068A6">
        <w:t xml:space="preserve">s </w:t>
      </w:r>
      <w:r w:rsidRPr="006068A6" w:rsidR="00192F91">
        <w:t>include:</w:t>
      </w:r>
    </w:p>
    <w:p w:rsidRPr="006068A6" w:rsidR="006068A6" w:rsidP="006068A6" w:rsidRDefault="006068A6" w14:paraId="59694800" w14:textId="1D59A2D7">
      <w:pPr>
        <w:pStyle w:val="ListParagraph"/>
        <w:numPr>
          <w:ilvl w:val="0"/>
          <w:numId w:val="32"/>
        </w:numPr>
        <w:spacing w:line="480" w:lineRule="auto"/>
        <w:rPr>
          <w:bCs/>
        </w:rPr>
      </w:pPr>
      <w:r w:rsidRPr="006068A6">
        <w:rPr>
          <w:bCs/>
        </w:rPr>
        <w:t>90 percent guarantees to all B&amp;I CARES Act funded loans</w:t>
      </w:r>
      <w:r w:rsidR="00A341A7">
        <w:rPr>
          <w:bCs/>
        </w:rPr>
        <w:t>;</w:t>
      </w:r>
    </w:p>
    <w:p w:rsidRPr="006068A6" w:rsidR="006068A6" w:rsidP="006068A6" w:rsidRDefault="006068A6" w14:paraId="286C11A1" w14:textId="12C8C61C">
      <w:pPr>
        <w:pStyle w:val="ListParagraph"/>
        <w:numPr>
          <w:ilvl w:val="0"/>
          <w:numId w:val="32"/>
        </w:numPr>
        <w:spacing w:line="480" w:lineRule="auto"/>
        <w:rPr>
          <w:bCs/>
        </w:rPr>
      </w:pPr>
      <w:r w:rsidRPr="006068A6">
        <w:rPr>
          <w:bCs/>
        </w:rPr>
        <w:t>2 percent guarantee fee</w:t>
      </w:r>
      <w:r w:rsidR="00A341A7">
        <w:rPr>
          <w:bCs/>
        </w:rPr>
        <w:t>;</w:t>
      </w:r>
    </w:p>
    <w:p w:rsidR="00A341A7" w:rsidP="006068A6" w:rsidRDefault="00A341A7" w14:paraId="1D6E6C26" w14:textId="4120AB55">
      <w:pPr>
        <w:pStyle w:val="ListParagraph"/>
        <w:numPr>
          <w:ilvl w:val="0"/>
          <w:numId w:val="32"/>
        </w:numPr>
        <w:spacing w:line="480" w:lineRule="auto"/>
        <w:rPr>
          <w:bCs/>
        </w:rPr>
      </w:pPr>
      <w:r>
        <w:rPr>
          <w:bCs/>
        </w:rPr>
        <w:t xml:space="preserve">Increased loan authority for agricultural production </w:t>
      </w:r>
      <w:r w:rsidRPr="00A341A7">
        <w:rPr>
          <w:bCs/>
        </w:rPr>
        <w:t>when the applicant’s loan request exceeds Farm Service Agency (FSA) guarantee loan authority or the applicant’s request is otherwise ineligible for FSA loans</w:t>
      </w:r>
      <w:r>
        <w:rPr>
          <w:bCs/>
        </w:rPr>
        <w:t>;</w:t>
      </w:r>
    </w:p>
    <w:p w:rsidRPr="006068A6" w:rsidR="006068A6" w:rsidP="006068A6" w:rsidRDefault="006068A6" w14:paraId="1907E389" w14:textId="42B10DE2">
      <w:pPr>
        <w:pStyle w:val="ListParagraph"/>
        <w:numPr>
          <w:ilvl w:val="0"/>
          <w:numId w:val="32"/>
        </w:numPr>
        <w:spacing w:line="480" w:lineRule="auto"/>
        <w:rPr>
          <w:bCs/>
        </w:rPr>
      </w:pPr>
      <w:r w:rsidRPr="006068A6">
        <w:rPr>
          <w:bCs/>
        </w:rPr>
        <w:t>acceptance of appraisals completed within two years of the date of the application;</w:t>
      </w:r>
    </w:p>
    <w:p w:rsidRPr="006068A6" w:rsidR="006068A6" w:rsidP="006068A6" w:rsidRDefault="006068A6" w14:paraId="20B26DFC" w14:textId="77777777">
      <w:pPr>
        <w:pStyle w:val="ListParagraph"/>
        <w:numPr>
          <w:ilvl w:val="0"/>
          <w:numId w:val="32"/>
        </w:numPr>
        <w:spacing w:line="480" w:lineRule="auto"/>
        <w:rPr>
          <w:bCs/>
        </w:rPr>
      </w:pPr>
      <w:r w:rsidRPr="006068A6">
        <w:rPr>
          <w:bCs/>
        </w:rPr>
        <w:t>no discounting of collateral for working capital loans; and</w:t>
      </w:r>
    </w:p>
    <w:p w:rsidR="00D40BBF" w:rsidP="006068A6" w:rsidRDefault="006068A6" w14:paraId="1980FC43" w14:textId="5C0FBB16">
      <w:pPr>
        <w:pStyle w:val="ListParagraph"/>
        <w:numPr>
          <w:ilvl w:val="0"/>
          <w:numId w:val="32"/>
        </w:numPr>
        <w:spacing w:line="480" w:lineRule="auto"/>
        <w:rPr>
          <w:bCs/>
        </w:rPr>
      </w:pPr>
      <w:r w:rsidRPr="006068A6">
        <w:rPr>
          <w:bCs/>
        </w:rPr>
        <w:t>extension of the maximum term for working capital loans to 10 years.</w:t>
      </w:r>
    </w:p>
    <w:p w:rsidR="006068A6" w:rsidP="006068A6" w:rsidRDefault="006068A6" w14:paraId="628912CE" w14:textId="75D4AD55">
      <w:pPr>
        <w:spacing w:line="480" w:lineRule="auto"/>
        <w:rPr>
          <w:bCs/>
        </w:rPr>
      </w:pPr>
      <w:r w:rsidRPr="006068A6">
        <w:rPr>
          <w:bCs/>
        </w:rPr>
        <w:t>Changes to the B&amp;I Guaranteed Loan Program regulations apply only to the loans funded under the CARES Act and do not apply to loans funded under the Appropriations Act of 2020 or any other appropriations other than the CARES Act.</w:t>
      </w:r>
      <w:r w:rsidR="000A7F35">
        <w:rPr>
          <w:bCs/>
        </w:rPr>
        <w:t xml:space="preserve"> </w:t>
      </w:r>
    </w:p>
    <w:p w:rsidR="00321088" w:rsidP="006068A6" w:rsidRDefault="00321088" w14:paraId="7B0A8106" w14:textId="77777777">
      <w:pPr>
        <w:spacing w:line="480" w:lineRule="auto"/>
        <w:rPr>
          <w:bCs/>
        </w:rPr>
      </w:pPr>
    </w:p>
    <w:p w:rsidRPr="00564E45" w:rsidR="008F7B90" w:rsidP="00E60014" w:rsidRDefault="00A8720F" w14:paraId="2D4205F0" w14:textId="5A906DEC">
      <w:pPr>
        <w:spacing w:line="480" w:lineRule="auto"/>
        <w:rPr>
          <w:b/>
        </w:rPr>
      </w:pPr>
      <w:r>
        <w:t xml:space="preserve"> </w:t>
      </w:r>
      <w:r w:rsidR="00FA3D37">
        <w:rPr>
          <w:b/>
        </w:rPr>
        <w:t xml:space="preserve">D. </w:t>
      </w:r>
      <w:r w:rsidRPr="00564E45" w:rsidR="008F7B90">
        <w:rPr>
          <w:b/>
        </w:rPr>
        <w:t xml:space="preserve">Collective Changes </w:t>
      </w:r>
    </w:p>
    <w:p w:rsidR="002E4830" w:rsidP="00FA3D37" w:rsidRDefault="00FA3D37" w14:paraId="6CBF366D" w14:textId="54DBE882">
      <w:pPr>
        <w:spacing w:line="480" w:lineRule="auto"/>
      </w:pPr>
      <w:r>
        <w:t xml:space="preserve">     </w:t>
      </w:r>
      <w:r w:rsidRPr="006502B3" w:rsidR="006502B3">
        <w:t xml:space="preserve">Changes to the B&amp;I Guaranteed Loan Program regulations apply only to the loans funded under the CARES Act and do not apply to loans funded under the Appropriations Act of 2020 or any other appropriations other than the CARES Act. </w:t>
      </w:r>
      <w:r w:rsidRPr="002E4830" w:rsidR="002E4830">
        <w:t xml:space="preserve">The changes included in the </w:t>
      </w:r>
      <w:r w:rsidR="002E4830">
        <w:t xml:space="preserve">interim </w:t>
      </w:r>
      <w:r w:rsidRPr="002E4830" w:rsidR="002E4830">
        <w:t>final rule are expected to provide benefits in a number of areas.  The expected benefits are difficult to quantify and, therefore, are only discussed qualitatively.</w:t>
      </w:r>
    </w:p>
    <w:p w:rsidR="002E4830" w:rsidP="00FA3D37" w:rsidRDefault="00321088" w14:paraId="5D91C3F9" w14:textId="336A40AB">
      <w:pPr>
        <w:spacing w:line="480" w:lineRule="auto"/>
      </w:pPr>
      <w:r>
        <w:t xml:space="preserve">     </w:t>
      </w:r>
      <w:r w:rsidR="002E4830">
        <w:t>T</w:t>
      </w:r>
      <w:r w:rsidRPr="002E4830" w:rsidR="002E4830">
        <w:t xml:space="preserve">he Agency considered the type of enhancements that participating lenders would need to be able to generate quality loans and approve and disburse loan funds in a timely and efficient manner in these critical times. The focus </w:t>
      </w:r>
      <w:r w:rsidR="002E4830">
        <w:t xml:space="preserve">is </w:t>
      </w:r>
      <w:r w:rsidRPr="002E4830" w:rsidR="002E4830">
        <w:t xml:space="preserve">on adjusting several requirements under the current B&amp;I program which would enable lenders greater flexibility in structuring loans while taking </w:t>
      </w:r>
      <w:r w:rsidRPr="002E4830" w:rsidR="002E4830">
        <w:lastRenderedPageBreak/>
        <w:t>into consideration the borrowers’ current financial condition and capacity, but also assuring that such adjustments can be made without compromising Agency underwriting standards.</w:t>
      </w:r>
    </w:p>
    <w:p w:rsidR="002E4830" w:rsidP="00FA3D37" w:rsidRDefault="00FA3D37" w14:paraId="23D719CB" w14:textId="07AF893E">
      <w:pPr>
        <w:spacing w:line="480" w:lineRule="auto"/>
      </w:pPr>
      <w:r>
        <w:t xml:space="preserve">     </w:t>
      </w:r>
      <w:r w:rsidRPr="002E4830" w:rsidR="002E4830">
        <w:t>For the B&amp;I CARES Act guaranteed loans, the Agency made program adjustments to the following:</w:t>
      </w:r>
      <w:r w:rsidR="001B3AE6">
        <w:t xml:space="preserve"> </w:t>
      </w:r>
      <w:r w:rsidRPr="002E4830" w:rsidR="002E4830">
        <w:t>(a) maximum percentage of guarantee; (b) equity evaluation; (c) appraisal evaluations; (d), collateral evaluation; and (e) maximum repayment terms for working capital loans.</w:t>
      </w:r>
    </w:p>
    <w:p w:rsidR="002E4830" w:rsidP="00FA3D37" w:rsidRDefault="00FA3D37" w14:paraId="132EC0FE" w14:textId="55D7DB96">
      <w:pPr>
        <w:spacing w:line="480" w:lineRule="auto"/>
      </w:pPr>
      <w:r>
        <w:t xml:space="preserve">     </w:t>
      </w:r>
      <w:r w:rsidRPr="002E4830" w:rsidR="002E4830">
        <w:t xml:space="preserve">As a result of these considerations and the funding purposes outlined in the CARES Act, the Agency decided to offer the following under the B&amp;I CARES Act Program: </w:t>
      </w:r>
      <w:r w:rsidR="00105793">
        <w:t>(</w:t>
      </w:r>
      <w:r w:rsidRPr="002E4830" w:rsidR="002E4830">
        <w:t xml:space="preserve">1) 90 percent guarantees to all B&amp;I CARES Act funded loans, </w:t>
      </w:r>
      <w:r w:rsidR="00105793">
        <w:t>(</w:t>
      </w:r>
      <w:r w:rsidRPr="002E4830" w:rsidR="002E4830">
        <w:t xml:space="preserve">2) 2 percent guarantee fee; </w:t>
      </w:r>
      <w:r w:rsidR="00105793">
        <w:t>(</w:t>
      </w:r>
      <w:r w:rsidRPr="002E4830" w:rsidR="002E4830">
        <w:t xml:space="preserve">3) acceptance of appraisals completed within two years of the date of the application; </w:t>
      </w:r>
      <w:r w:rsidR="00105793">
        <w:t>(</w:t>
      </w:r>
      <w:r w:rsidRPr="002E4830" w:rsidR="002E4830">
        <w:t xml:space="preserve">4) no discounting of collateral for working capital loans; and </w:t>
      </w:r>
      <w:r w:rsidR="00105793">
        <w:t>(</w:t>
      </w:r>
      <w:r w:rsidRPr="002E4830" w:rsidR="002E4830">
        <w:t>5) extension of the maximum term for working capital loans to 10 years.</w:t>
      </w:r>
      <w:r w:rsidR="002E4830">
        <w:t xml:space="preserve"> To </w:t>
      </w:r>
      <w:r>
        <w:t xml:space="preserve">implement these changes, </w:t>
      </w:r>
      <w:r w:rsidR="002E4830">
        <w:t>the Agency specifically</w:t>
      </w:r>
      <w:r>
        <w:t>:</w:t>
      </w:r>
      <w:r w:rsidR="002E4830">
        <w:t xml:space="preserve">  </w:t>
      </w:r>
    </w:p>
    <w:p w:rsidR="002E4830" w:rsidP="002E4830" w:rsidRDefault="002E4830" w14:paraId="0E054802" w14:textId="1A3BE242">
      <w:pPr>
        <w:spacing w:line="480" w:lineRule="auto"/>
        <w:ind w:firstLine="720"/>
      </w:pPr>
      <w:r>
        <w:t>1.</w:t>
      </w:r>
      <w:r w:rsidR="00FA3D37">
        <w:t xml:space="preserve">  </w:t>
      </w:r>
      <w:r>
        <w:t>Provide</w:t>
      </w:r>
      <w:r w:rsidR="008529F1">
        <w:t>s</w:t>
      </w:r>
      <w:r>
        <w:t xml:space="preserve"> more flexibility to lenders by accepting appraisals completed within the last two years (rather than a current year appraisal), and updated appraisals (rather than completely new appraisals).  </w:t>
      </w:r>
    </w:p>
    <w:p w:rsidR="002E4830" w:rsidP="002E4830" w:rsidRDefault="002E4830" w14:paraId="7BA81E3C" w14:textId="176993B4">
      <w:pPr>
        <w:spacing w:line="480" w:lineRule="auto"/>
        <w:ind w:firstLine="720"/>
      </w:pPr>
      <w:r>
        <w:t>2.</w:t>
      </w:r>
      <w:r w:rsidR="00FA3D37">
        <w:t xml:space="preserve">  </w:t>
      </w:r>
      <w:r>
        <w:t>Increase</w:t>
      </w:r>
      <w:r w:rsidR="008529F1">
        <w:t>s</w:t>
      </w:r>
      <w:r>
        <w:t xml:space="preserve"> the threshold of the loan amount which triggers when appraisals are required for loans in order to align with guidance by FDIC and other credit supervision agencies</w:t>
      </w:r>
    </w:p>
    <w:p w:rsidR="0035059B" w:rsidP="002E4830" w:rsidRDefault="002E4830" w14:paraId="4518F5B7" w14:textId="77777777">
      <w:pPr>
        <w:spacing w:line="480" w:lineRule="auto"/>
        <w:ind w:firstLine="720"/>
      </w:pPr>
      <w:r>
        <w:t>3.</w:t>
      </w:r>
      <w:r w:rsidR="00FA3D37">
        <w:t xml:space="preserve">  </w:t>
      </w:r>
      <w:r w:rsidR="0035059B">
        <w:t>E</w:t>
      </w:r>
      <w:r w:rsidRPr="0035059B" w:rsidR="0035059B">
        <w:t xml:space="preserve">xpand authority to include loans for agricultural production when the borrower’s financial needs exceed FSA guarantee loan authority or is otherwise ineligible for FSA guaranteed loans.  </w:t>
      </w:r>
    </w:p>
    <w:p w:rsidR="002E4830" w:rsidP="002E4830" w:rsidRDefault="0035059B" w14:paraId="7B9CD5C2" w14:textId="22A3C5A3">
      <w:pPr>
        <w:spacing w:line="480" w:lineRule="auto"/>
        <w:ind w:firstLine="720"/>
      </w:pPr>
      <w:r>
        <w:t xml:space="preserve">4.  </w:t>
      </w:r>
      <w:r w:rsidR="002E4830">
        <w:t>Provide</w:t>
      </w:r>
      <w:r w:rsidR="008529F1">
        <w:t>s</w:t>
      </w:r>
      <w:r w:rsidR="002E4830">
        <w:t xml:space="preserve"> more flexibility to lenders to use borrowers’ tax records in lieu of obtaining historical financial statements to document a borrower’s financial history and loan repayment ability.  </w:t>
      </w:r>
      <w:r w:rsidRPr="0035059B">
        <w:t xml:space="preserve">Agricultural producers’ financial records must meet the industry’s standard accounting </w:t>
      </w:r>
      <w:r w:rsidRPr="0035059B">
        <w:lastRenderedPageBreak/>
        <w:t>practices.</w:t>
      </w:r>
    </w:p>
    <w:p w:rsidR="002E4830" w:rsidP="002E4830" w:rsidRDefault="0035059B" w14:paraId="4AC17E51" w14:textId="0E3FBA43">
      <w:pPr>
        <w:spacing w:line="480" w:lineRule="auto"/>
        <w:ind w:firstLine="720"/>
      </w:pPr>
      <w:r>
        <w:t>5</w:t>
      </w:r>
      <w:r w:rsidR="002E4830">
        <w:t>.</w:t>
      </w:r>
      <w:r w:rsidR="00FA3D37">
        <w:t xml:space="preserve">  </w:t>
      </w:r>
      <w:r w:rsidR="002E4830">
        <w:t>Provide</w:t>
      </w:r>
      <w:r w:rsidR="008529F1">
        <w:t>s</w:t>
      </w:r>
      <w:r w:rsidR="002E4830">
        <w:t xml:space="preserve"> borrowers more flexibility in the form of alternatives to meet the B&amp;I requirement of 10% investment in the business by the borrower.  Businesses currently facing financial distress will need time to recover.  Repayment requirements of additional debt may further distress and lengthen their financial recovery period.  To ease a borrower’s capital requirement, the B&amp;I CARES Act program utilizes existing authorities for deferral of principal and interest payments in the first three years from loan origination and extends the maximum repayment term for working capital loans from 7 years to 10 years.</w:t>
      </w:r>
    </w:p>
    <w:p w:rsidR="008529F1" w:rsidP="00E60014" w:rsidRDefault="008529F1" w14:paraId="25FCCEB1" w14:textId="77777777">
      <w:pPr>
        <w:spacing w:line="480" w:lineRule="auto"/>
        <w:rPr>
          <w:b/>
          <w:highlight w:val="yellow"/>
        </w:rPr>
      </w:pPr>
    </w:p>
    <w:p w:rsidR="003E5ACE" w:rsidP="003E5ACE" w:rsidRDefault="003E5ACE" w14:paraId="3CB03BD9" w14:textId="33EFAF03">
      <w:pPr>
        <w:spacing w:line="480" w:lineRule="auto"/>
        <w:rPr>
          <w:b/>
        </w:rPr>
      </w:pPr>
      <w:r>
        <w:rPr>
          <w:b/>
        </w:rPr>
        <w:t xml:space="preserve">E. Beneficiaries of the </w:t>
      </w:r>
      <w:r w:rsidRPr="003E5ACE">
        <w:rPr>
          <w:b/>
        </w:rPr>
        <w:t xml:space="preserve">B&amp;I CARES Act </w:t>
      </w:r>
      <w:r>
        <w:rPr>
          <w:b/>
        </w:rPr>
        <w:t>P</w:t>
      </w:r>
      <w:r w:rsidRPr="003E5ACE">
        <w:rPr>
          <w:b/>
        </w:rPr>
        <w:t>rovision</w:t>
      </w:r>
    </w:p>
    <w:p w:rsidRPr="004B6CF7" w:rsidR="003E5ACE" w:rsidP="003E5ACE" w:rsidRDefault="003E5ACE" w14:paraId="08454B79" w14:textId="0663C23D">
      <w:pPr>
        <w:spacing w:line="480" w:lineRule="auto"/>
        <w:rPr>
          <w:bCs/>
        </w:rPr>
      </w:pPr>
      <w:r w:rsidRPr="004B6CF7">
        <w:rPr>
          <w:bCs/>
        </w:rPr>
        <w:t xml:space="preserve">     Input and feedback to the Agency from businesses and business associations, bankers and bank associations, and other rural stakeholders highlight a growing concern that the erosion of working capital will require businesses to seek funding for working capital to sustain businesses during the COVID–19 emergency and to restart and ramp up business operations once the COVID–19 emergency is resolved.  The National Rural Lenders Association, Rural Lenders Roundtable, ICBA Agriculture and Rural Lenders, and ABA Agriculture and Rural Banking committee reached out to the Agency to emphasize that many of the rural business borrowers will be unable to meet lenders’ requirements for working capital loans without the support of a government guarantee.  Rural businesses have limited options to access credit due to the limited number of banks serving rural communities.  The B&amp;I Guaranteed Loan program enables local lenders to serve rural businesses as evidenced by the fact that over 75 percent of the lenders in the B&amp;I loan portfolio are local community banks financing local businesses. </w:t>
      </w:r>
    </w:p>
    <w:p w:rsidRPr="004B6CF7" w:rsidR="003E5ACE" w:rsidP="003E5ACE" w:rsidRDefault="003E5ACE" w14:paraId="1560F213" w14:textId="5DDF329A">
      <w:pPr>
        <w:spacing w:line="480" w:lineRule="auto"/>
        <w:rPr>
          <w:bCs/>
        </w:rPr>
      </w:pPr>
      <w:r w:rsidRPr="004B6CF7">
        <w:rPr>
          <w:bCs/>
        </w:rPr>
        <w:t xml:space="preserve">    </w:t>
      </w:r>
      <w:r w:rsidRPr="007B32DF" w:rsidR="007B32DF">
        <w:rPr>
          <w:bCs/>
        </w:rPr>
        <w:t>In addition to agricultural lenders, agribusiness and agricultural producer stakeholders reach</w:t>
      </w:r>
      <w:r w:rsidR="004D2F98">
        <w:rPr>
          <w:bCs/>
        </w:rPr>
        <w:t>ed</w:t>
      </w:r>
      <w:r w:rsidRPr="007B32DF" w:rsidR="007B32DF">
        <w:rPr>
          <w:bCs/>
        </w:rPr>
        <w:t xml:space="preserve"> </w:t>
      </w:r>
      <w:r w:rsidRPr="007B32DF" w:rsidR="007B32DF">
        <w:rPr>
          <w:bCs/>
        </w:rPr>
        <w:lastRenderedPageBreak/>
        <w:t>out to the Agency to emphasize the adverse impacts of the COVID–19 emergency to agricultural producers and agribusinesses, the financial needs of agricultural producers and the lack of assistance available to agricultural producers that are too large to qualify for SBA programs or USDA Farm Service Agency (FSA) guaranteed loan programs.</w:t>
      </w:r>
      <w:r w:rsidRPr="004B6CF7">
        <w:rPr>
          <w:bCs/>
        </w:rPr>
        <w:t xml:space="preserve"> The B&amp;I CARES Act program will also serve farmers, farm labor, and agribusiness.  The eligibility requirements of the B&amp;I Guaranteed Loan Program focus on the use of loan funds and not on the borrowers’ primary industry classification, such as agricultural production. </w:t>
      </w:r>
      <w:r w:rsidR="004D2F98">
        <w:rPr>
          <w:bCs/>
        </w:rPr>
        <w:t xml:space="preserve"> </w:t>
      </w:r>
      <w:r w:rsidRPr="004B6CF7">
        <w:rPr>
          <w:bCs/>
        </w:rPr>
        <w:t>Loan proceeds of B&amp;I guaranteed loans cannot generally be used for costs related to agricultural production</w:t>
      </w:r>
      <w:r w:rsidR="001B3AE6">
        <w:rPr>
          <w:bCs/>
        </w:rPr>
        <w:t>;</w:t>
      </w:r>
      <w:r w:rsidRPr="004B6CF7">
        <w:rPr>
          <w:bCs/>
        </w:rPr>
        <w:t xml:space="preserve"> however, </w:t>
      </w:r>
      <w:r w:rsidRPr="007B32DF" w:rsidR="007B32DF">
        <w:rPr>
          <w:bCs/>
        </w:rPr>
        <w:t xml:space="preserve">the B&amp;I CARES Act Program will expand authority to include loans to agricultural producers that exceed FSA guarantee loan authority. </w:t>
      </w:r>
      <w:r w:rsidRPr="004B6CF7">
        <w:rPr>
          <w:bCs/>
        </w:rPr>
        <w:t xml:space="preserve">Agribusinesses (non-agricultural production businesses such as supply services, marketing, processing, and other services) are eligible and include agribusinesses owned by agricultural producers. Certain food processing and distribution businesses located in urban areas may be eligible if certain requirements are met including the processing of agricultural commodities whereby the food sold is grown locally or regionally.  </w:t>
      </w:r>
    </w:p>
    <w:p w:rsidR="003E5ACE" w:rsidP="00E60014" w:rsidRDefault="003E5ACE" w14:paraId="2748C4CF" w14:textId="77777777">
      <w:pPr>
        <w:spacing w:line="480" w:lineRule="auto"/>
        <w:rPr>
          <w:b/>
        </w:rPr>
      </w:pPr>
    </w:p>
    <w:p w:rsidRPr="00564E45" w:rsidR="00BE3C66" w:rsidP="00E60014" w:rsidRDefault="003E5ACE" w14:paraId="63EB63D9" w14:textId="0189E1AB">
      <w:pPr>
        <w:spacing w:line="480" w:lineRule="auto"/>
        <w:rPr>
          <w:b/>
        </w:rPr>
      </w:pPr>
      <w:r>
        <w:rPr>
          <w:b/>
        </w:rPr>
        <w:t>F</w:t>
      </w:r>
      <w:r w:rsidRPr="00CA22C0" w:rsidR="00BE3C66">
        <w:rPr>
          <w:b/>
        </w:rPr>
        <w:t>. Number of Affected Parties and Projections</w:t>
      </w:r>
    </w:p>
    <w:p w:rsidR="00AC2238" w:rsidP="00CA22C0" w:rsidRDefault="00CA22C0" w14:paraId="355F7D24" w14:textId="56A52A97">
      <w:pPr>
        <w:spacing w:line="480" w:lineRule="auto"/>
      </w:pPr>
      <w:r>
        <w:t xml:space="preserve">    </w:t>
      </w:r>
      <w:r w:rsidRPr="00564E45" w:rsidR="00E32958">
        <w:t xml:space="preserve">The largest group of parties affected by the rule </w:t>
      </w:r>
      <w:r w:rsidRPr="00564E45" w:rsidR="002B0AD8">
        <w:t>are</w:t>
      </w:r>
      <w:r w:rsidRPr="00564E45" w:rsidR="00E32958">
        <w:t xml:space="preserve"> lenders and borrowers. RD estimates that</w:t>
      </w:r>
      <w:r w:rsidRPr="00564E45" w:rsidR="00393616">
        <w:t xml:space="preserve">, at </w:t>
      </w:r>
      <w:r w:rsidRPr="00564E45" w:rsidR="00461FDC">
        <w:t xml:space="preserve">a </w:t>
      </w:r>
      <w:r w:rsidRPr="00564E45" w:rsidR="00393616">
        <w:t>given point in time, there are</w:t>
      </w:r>
      <w:r w:rsidRPr="00564E45" w:rsidR="00E32958">
        <w:t xml:space="preserve"> approximately </w:t>
      </w:r>
      <w:r w:rsidR="0035059B">
        <w:t>80</w:t>
      </w:r>
      <w:r w:rsidRPr="00564E45" w:rsidR="00B04108">
        <w:t>0</w:t>
      </w:r>
      <w:r w:rsidRPr="00564E45" w:rsidR="00E32958">
        <w:t xml:space="preserve"> lenders and </w:t>
      </w:r>
      <w:r w:rsidR="0035059B">
        <w:t>2,4</w:t>
      </w:r>
      <w:r w:rsidRPr="00564E45" w:rsidR="00B04108">
        <w:t>00</w:t>
      </w:r>
      <w:r w:rsidRPr="00564E45" w:rsidR="00E32958">
        <w:t xml:space="preserve"> borrowers </w:t>
      </w:r>
      <w:r w:rsidRPr="00564E45" w:rsidR="00393616">
        <w:t xml:space="preserve">active in the B&amp;I </w:t>
      </w:r>
      <w:r w:rsidRPr="00564E45" w:rsidR="007F1BAE">
        <w:t>G</w:t>
      </w:r>
      <w:r w:rsidRPr="00564E45" w:rsidR="00E32958">
        <w:t xml:space="preserve">uaranteed </w:t>
      </w:r>
      <w:r w:rsidRPr="00564E45" w:rsidR="007F1BAE">
        <w:t>L</w:t>
      </w:r>
      <w:r w:rsidRPr="00564E45" w:rsidR="00E32958">
        <w:t xml:space="preserve">oan </w:t>
      </w:r>
      <w:r w:rsidRPr="00564E45" w:rsidR="007F1BAE">
        <w:t>P</w:t>
      </w:r>
      <w:r w:rsidRPr="00564E45" w:rsidR="00E32958">
        <w:t>rogram</w:t>
      </w:r>
      <w:r w:rsidRPr="00564E45" w:rsidR="00833C8B">
        <w:t xml:space="preserve"> portfolio</w:t>
      </w:r>
      <w:r w:rsidRPr="00564E45" w:rsidR="00E32958">
        <w:t xml:space="preserve">. </w:t>
      </w:r>
      <w:r w:rsidR="009C2079">
        <w:t xml:space="preserve">The Agency </w:t>
      </w:r>
      <w:r w:rsidRPr="00EC53F7" w:rsidR="00EC53F7">
        <w:t xml:space="preserve">estimates that approximately 500 applicants will request a B&amp;I CARES Act </w:t>
      </w:r>
      <w:r w:rsidR="0035059B">
        <w:t xml:space="preserve">Program </w:t>
      </w:r>
      <w:r w:rsidRPr="00EC53F7" w:rsidR="00EC53F7">
        <w:t xml:space="preserve">Guaranteed Loan. </w:t>
      </w:r>
      <w:r w:rsidR="003E5ACE">
        <w:t>This could be existing borrowers of the B&amp;I Guaranteed Loan Program or newly qualified borrowers.</w:t>
      </w:r>
    </w:p>
    <w:p w:rsidR="00C932B7" w:rsidP="00CA22C0" w:rsidRDefault="00CA22C0" w14:paraId="3A4B4073" w14:textId="1B462C77">
      <w:pPr>
        <w:spacing w:line="480" w:lineRule="auto"/>
      </w:pPr>
      <w:r>
        <w:t xml:space="preserve">     </w:t>
      </w:r>
      <w:r w:rsidR="008529F1">
        <w:t>The Rural Development (</w:t>
      </w:r>
      <w:r w:rsidR="00C932B7">
        <w:t>RD</w:t>
      </w:r>
      <w:r w:rsidR="008529F1">
        <w:t>)</w:t>
      </w:r>
      <w:r w:rsidR="00C932B7">
        <w:t xml:space="preserve"> National Office will conduct periodic reviews on </w:t>
      </w:r>
      <w:r w:rsidR="008529F1">
        <w:t xml:space="preserve">the </w:t>
      </w:r>
      <w:r w:rsidR="00C932B7">
        <w:t xml:space="preserve">B&amp;I Loan portfolios in </w:t>
      </w:r>
      <w:r w:rsidR="008529F1">
        <w:t xml:space="preserve">the </w:t>
      </w:r>
      <w:r w:rsidR="00C932B7">
        <w:t xml:space="preserve">various State offices. Where </w:t>
      </w:r>
      <w:r w:rsidR="008529F1">
        <w:t xml:space="preserve">it is </w:t>
      </w:r>
      <w:r w:rsidR="00C932B7">
        <w:t>recognize</w:t>
      </w:r>
      <w:r w:rsidR="008529F1">
        <w:t>d</w:t>
      </w:r>
      <w:r w:rsidR="00C932B7">
        <w:t xml:space="preserve"> that the minority participation is </w:t>
      </w:r>
      <w:r w:rsidR="00C932B7">
        <w:lastRenderedPageBreak/>
        <w:t xml:space="preserve">lower than other groups, specific targeting measures </w:t>
      </w:r>
      <w:r w:rsidR="008529F1">
        <w:t xml:space="preserve">will be added </w:t>
      </w:r>
      <w:r w:rsidR="00C932B7">
        <w:t>to effectively outreach to those groups.</w:t>
      </w:r>
    </w:p>
    <w:p w:rsidR="00321088" w:rsidP="00CA22C0" w:rsidRDefault="00CA22C0" w14:paraId="6FF972AD" w14:textId="6E248048">
      <w:pPr>
        <w:spacing w:line="480" w:lineRule="auto"/>
      </w:pPr>
      <w:r>
        <w:t xml:space="preserve">     </w:t>
      </w:r>
      <w:r w:rsidR="008529F1">
        <w:t xml:space="preserve">Various aspects of the B&amp;I Guaranteed Loan Program and the B&amp;I CARES Act Loan Program will be </w:t>
      </w:r>
      <w:r w:rsidR="00C932B7">
        <w:t>monitor</w:t>
      </w:r>
      <w:r w:rsidR="008529F1">
        <w:t xml:space="preserve">ed by </w:t>
      </w:r>
      <w:r w:rsidR="00C932B7">
        <w:t xml:space="preserve">existing and continuing procedures for the Agency to conduct field visits with both the Lenders participating in the program and the Borrowers receiving </w:t>
      </w:r>
    </w:p>
    <w:p w:rsidR="00C932B7" w:rsidP="00CA22C0" w:rsidRDefault="00C932B7" w14:paraId="73F43F96" w14:textId="37EF3CBA">
      <w:pPr>
        <w:spacing w:line="480" w:lineRule="auto"/>
      </w:pPr>
      <w:r>
        <w:t>guaranteed loans within the program. The field visits are the necessary link in continuing to ensure fair and equitable outcomes in these guaranteed programs.</w:t>
      </w:r>
    </w:p>
    <w:p w:rsidR="00C932B7" w:rsidP="00CA22C0" w:rsidRDefault="00CA22C0" w14:paraId="4CA5E74D" w14:textId="684AF883">
      <w:pPr>
        <w:spacing w:line="480" w:lineRule="auto"/>
      </w:pPr>
      <w:r>
        <w:t xml:space="preserve">     </w:t>
      </w:r>
      <w:r w:rsidR="008529F1">
        <w:t>Since data is currently unavailable for the B&amp;I CARES Act Loan Program, t</w:t>
      </w:r>
      <w:r w:rsidR="00C932B7">
        <w:t>he table below identifies the B&amp;I Guaranteed Loan Program activity from FY 2016 through FY</w:t>
      </w:r>
      <w:r w:rsidR="00D90F09">
        <w:t xml:space="preserve"> </w:t>
      </w:r>
      <w:r w:rsidR="00C932B7">
        <w:t>2019</w:t>
      </w:r>
      <w:r w:rsidR="008529F1">
        <w:t xml:space="preserve">. </w:t>
      </w:r>
      <w:r w:rsidR="00C932B7">
        <w:t>Absent a comparative baseline for the number of eligible lenders residing in or servicing rural America with a population below 50,000, it is hard to determine the disproportionate or disparities in the program participation. However, it is clear that males (89.12%) and White</w:t>
      </w:r>
      <w:r w:rsidR="00D115EA">
        <w:t>-</w:t>
      </w:r>
      <w:r w:rsidR="00C932B7">
        <w:t>owned entities (85.58%) are the majority of participants in the B&amp;I program</w:t>
      </w:r>
      <w:r w:rsidR="00D90F09">
        <w:t>,</w:t>
      </w:r>
      <w:r w:rsidR="00C932B7">
        <w:t xml:space="preserve"> with Asian</w:t>
      </w:r>
      <w:r w:rsidR="00D115EA">
        <w:t>-</w:t>
      </w:r>
      <w:r w:rsidR="00C932B7">
        <w:t>owned entities (16.3%) following second. See attached Excel spreadsheet for additional data information.</w:t>
      </w:r>
    </w:p>
    <w:p w:rsidRPr="00C932B7" w:rsidR="00C932B7" w:rsidP="00C932B7" w:rsidRDefault="00C932B7" w14:paraId="2C6C3C26" w14:textId="65DA1827">
      <w:pPr>
        <w:spacing w:line="480" w:lineRule="auto"/>
        <w:ind w:left="720"/>
        <w:rPr>
          <w:b/>
          <w:bCs/>
        </w:rPr>
      </w:pPr>
      <w:r w:rsidRPr="00C932B7">
        <w:rPr>
          <w:b/>
          <w:bCs/>
        </w:rPr>
        <w:t>Business and Industry Guaranteed Loan (B&amp;I) Program - Loan and Demographic Information on Lenders (FY17-FY19)</w:t>
      </w:r>
    </w:p>
    <w:p w:rsidRPr="00C932B7" w:rsidR="00C932B7" w:rsidP="00C932B7" w:rsidRDefault="00C932B7" w14:paraId="01F404FA" w14:textId="77777777">
      <w:pPr>
        <w:widowControl/>
        <w:kinsoku w:val="0"/>
        <w:overflowPunct w:val="0"/>
        <w:spacing w:line="106" w:lineRule="exact"/>
        <w:ind w:left="199"/>
        <w:rPr>
          <w:rFonts w:ascii="Microsoft Sans Serif" w:hAnsi="Microsoft Sans Serif" w:cs="Microsoft Sans Serif"/>
          <w:b/>
          <w:bCs/>
          <w:sz w:val="16"/>
          <w:szCs w:val="16"/>
        </w:rPr>
      </w:pPr>
    </w:p>
    <w:tbl>
      <w:tblPr>
        <w:tblW w:w="0" w:type="auto"/>
        <w:tblInd w:w="115" w:type="dxa"/>
        <w:tblLayout w:type="fixed"/>
        <w:tblCellMar>
          <w:left w:w="0" w:type="dxa"/>
          <w:right w:w="0" w:type="dxa"/>
        </w:tblCellMar>
        <w:tblLook w:val="0000" w:firstRow="0" w:lastRow="0" w:firstColumn="0" w:lastColumn="0" w:noHBand="0" w:noVBand="0"/>
      </w:tblPr>
      <w:tblGrid>
        <w:gridCol w:w="754"/>
        <w:gridCol w:w="754"/>
        <w:gridCol w:w="850"/>
        <w:gridCol w:w="723"/>
        <w:gridCol w:w="929"/>
        <w:gridCol w:w="725"/>
        <w:gridCol w:w="915"/>
        <w:gridCol w:w="898"/>
        <w:gridCol w:w="754"/>
        <w:gridCol w:w="838"/>
      </w:tblGrid>
      <w:tr w:rsidRPr="00C932B7" w:rsidR="00C932B7" w14:paraId="2A2E2F69" w14:textId="77777777">
        <w:trPr>
          <w:trHeight w:val="390"/>
        </w:trPr>
        <w:tc>
          <w:tcPr>
            <w:tcW w:w="754" w:type="dxa"/>
            <w:tcBorders>
              <w:top w:val="single" w:color="000000" w:sz="4" w:space="0"/>
              <w:left w:val="single" w:color="000000" w:sz="4" w:space="0"/>
              <w:bottom w:val="single" w:color="000000" w:sz="4" w:space="0"/>
              <w:right w:val="single" w:color="000000" w:sz="4" w:space="0"/>
            </w:tcBorders>
            <w:shd w:val="clear" w:color="auto" w:fill="E7E6E6"/>
          </w:tcPr>
          <w:p w:rsidRPr="00C932B7" w:rsidR="00C932B7" w:rsidP="00C932B7" w:rsidRDefault="00C932B7" w14:paraId="096FA472" w14:textId="77777777">
            <w:pPr>
              <w:widowControl/>
              <w:kinsoku w:val="0"/>
              <w:overflowPunct w:val="0"/>
              <w:spacing w:before="27" w:line="180" w:lineRule="atLeast"/>
              <w:ind w:left="107"/>
              <w:rPr>
                <w:rFonts w:ascii="Microsoft Sans Serif" w:hAnsi="Microsoft Sans Serif" w:cs="Microsoft Sans Serif"/>
                <w:b/>
                <w:bCs/>
                <w:sz w:val="16"/>
                <w:szCs w:val="16"/>
              </w:rPr>
            </w:pPr>
            <w:r w:rsidRPr="00C932B7">
              <w:rPr>
                <w:rFonts w:ascii="Microsoft Sans Serif" w:hAnsi="Microsoft Sans Serif" w:cs="Microsoft Sans Serif"/>
                <w:b/>
                <w:bCs/>
                <w:sz w:val="16"/>
                <w:szCs w:val="16"/>
              </w:rPr>
              <w:t xml:space="preserve">Fiscal Year </w:t>
            </w:r>
          </w:p>
        </w:tc>
        <w:tc>
          <w:tcPr>
            <w:tcW w:w="754" w:type="dxa"/>
            <w:tcBorders>
              <w:top w:val="single" w:color="000000" w:sz="4" w:space="0"/>
              <w:left w:val="single" w:color="000000" w:sz="4" w:space="0"/>
              <w:bottom w:val="single" w:color="000000" w:sz="4" w:space="0"/>
              <w:right w:val="single" w:color="000000" w:sz="4" w:space="0"/>
            </w:tcBorders>
            <w:shd w:val="clear" w:color="auto" w:fill="E7E6E6"/>
          </w:tcPr>
          <w:p w:rsidRPr="00C932B7" w:rsidR="00C932B7" w:rsidP="00C932B7" w:rsidRDefault="00C932B7" w14:paraId="1B0450AE" w14:textId="77777777">
            <w:pPr>
              <w:widowControl/>
              <w:kinsoku w:val="0"/>
              <w:overflowPunct w:val="0"/>
              <w:spacing w:line="194" w:lineRule="exact"/>
              <w:ind w:left="107"/>
              <w:rPr>
                <w:rFonts w:ascii="Calibri" w:hAnsi="Calibri" w:cs="Calibri"/>
                <w:b/>
                <w:bCs/>
                <w:sz w:val="16"/>
                <w:szCs w:val="16"/>
              </w:rPr>
            </w:pPr>
            <w:r w:rsidRPr="00C932B7">
              <w:rPr>
                <w:rFonts w:ascii="Calibri" w:hAnsi="Calibri" w:cs="Calibri"/>
                <w:b/>
                <w:bCs/>
                <w:sz w:val="16"/>
                <w:szCs w:val="16"/>
              </w:rPr>
              <w:t>#Total</w:t>
            </w:r>
          </w:p>
          <w:p w:rsidRPr="00C932B7" w:rsidR="00C932B7" w:rsidP="00C932B7" w:rsidRDefault="00C932B7" w14:paraId="0F97F494" w14:textId="77777777">
            <w:pPr>
              <w:widowControl/>
              <w:kinsoku w:val="0"/>
              <w:overflowPunct w:val="0"/>
              <w:spacing w:before="1" w:line="175" w:lineRule="exact"/>
              <w:ind w:left="107"/>
              <w:rPr>
                <w:rFonts w:ascii="Calibri" w:hAnsi="Calibri" w:cs="Calibri"/>
                <w:b/>
                <w:bCs/>
                <w:sz w:val="16"/>
                <w:szCs w:val="16"/>
              </w:rPr>
            </w:pPr>
            <w:r w:rsidRPr="00C932B7">
              <w:rPr>
                <w:rFonts w:ascii="Calibri" w:hAnsi="Calibri" w:cs="Calibri"/>
                <w:b/>
                <w:bCs/>
                <w:sz w:val="16"/>
                <w:szCs w:val="16"/>
              </w:rPr>
              <w:t>Loans</w:t>
            </w:r>
          </w:p>
        </w:tc>
        <w:tc>
          <w:tcPr>
            <w:tcW w:w="850" w:type="dxa"/>
            <w:tcBorders>
              <w:top w:val="single" w:color="000000" w:sz="4" w:space="0"/>
              <w:left w:val="single" w:color="000000" w:sz="4" w:space="0"/>
              <w:bottom w:val="single" w:color="000000" w:sz="4" w:space="0"/>
              <w:right w:val="single" w:color="000000" w:sz="4" w:space="0"/>
            </w:tcBorders>
            <w:shd w:val="clear" w:color="auto" w:fill="E7E6E6"/>
          </w:tcPr>
          <w:p w:rsidRPr="00C932B7" w:rsidR="00C932B7" w:rsidP="00C932B7" w:rsidRDefault="00C932B7" w14:paraId="538E8008" w14:textId="77777777">
            <w:pPr>
              <w:widowControl/>
              <w:kinsoku w:val="0"/>
              <w:overflowPunct w:val="0"/>
              <w:spacing w:before="3"/>
              <w:rPr>
                <w:rFonts w:ascii="Microsoft Sans Serif" w:hAnsi="Microsoft Sans Serif" w:cs="Microsoft Sans Serif"/>
                <w:b/>
                <w:bCs/>
                <w:sz w:val="17"/>
                <w:szCs w:val="17"/>
              </w:rPr>
            </w:pPr>
          </w:p>
          <w:p w:rsidRPr="00C932B7" w:rsidR="00C932B7" w:rsidP="00C932B7" w:rsidRDefault="00C932B7" w14:paraId="1CD2A630" w14:textId="77777777">
            <w:pPr>
              <w:widowControl/>
              <w:kinsoku w:val="0"/>
              <w:overflowPunct w:val="0"/>
              <w:spacing w:line="175" w:lineRule="exact"/>
              <w:ind w:right="102"/>
              <w:jc w:val="right"/>
              <w:rPr>
                <w:rFonts w:ascii="Calibri" w:hAnsi="Calibri" w:cs="Calibri"/>
                <w:b/>
                <w:bCs/>
                <w:sz w:val="16"/>
                <w:szCs w:val="16"/>
              </w:rPr>
            </w:pPr>
            <w:r w:rsidRPr="00C932B7">
              <w:rPr>
                <w:rFonts w:ascii="Calibri" w:hAnsi="Calibri" w:cs="Calibri"/>
                <w:b/>
                <w:bCs/>
                <w:sz w:val="16"/>
                <w:szCs w:val="16"/>
              </w:rPr>
              <w:t>#Females</w:t>
            </w:r>
          </w:p>
        </w:tc>
        <w:tc>
          <w:tcPr>
            <w:tcW w:w="723" w:type="dxa"/>
            <w:tcBorders>
              <w:top w:val="single" w:color="000000" w:sz="4" w:space="0"/>
              <w:left w:val="single" w:color="000000" w:sz="4" w:space="0"/>
              <w:bottom w:val="single" w:color="000000" w:sz="4" w:space="0"/>
              <w:right w:val="single" w:color="000000" w:sz="4" w:space="0"/>
            </w:tcBorders>
            <w:shd w:val="clear" w:color="auto" w:fill="E7E6E6"/>
          </w:tcPr>
          <w:p w:rsidRPr="00C932B7" w:rsidR="00C932B7" w:rsidP="00C932B7" w:rsidRDefault="00C932B7" w14:paraId="583E3130" w14:textId="77777777">
            <w:pPr>
              <w:widowControl/>
              <w:kinsoku w:val="0"/>
              <w:overflowPunct w:val="0"/>
              <w:spacing w:before="3"/>
              <w:rPr>
                <w:rFonts w:ascii="Microsoft Sans Serif" w:hAnsi="Microsoft Sans Serif" w:cs="Microsoft Sans Serif"/>
                <w:b/>
                <w:bCs/>
                <w:sz w:val="17"/>
                <w:szCs w:val="17"/>
              </w:rPr>
            </w:pPr>
          </w:p>
          <w:p w:rsidRPr="00C932B7" w:rsidR="00C932B7" w:rsidP="00C932B7" w:rsidRDefault="00C932B7" w14:paraId="64F1EFA7" w14:textId="77777777">
            <w:pPr>
              <w:widowControl/>
              <w:kinsoku w:val="0"/>
              <w:overflowPunct w:val="0"/>
              <w:spacing w:line="175" w:lineRule="exact"/>
              <w:ind w:right="120"/>
              <w:jc w:val="right"/>
              <w:rPr>
                <w:rFonts w:ascii="Calibri" w:hAnsi="Calibri" w:cs="Calibri"/>
                <w:b/>
                <w:bCs/>
                <w:sz w:val="16"/>
                <w:szCs w:val="16"/>
              </w:rPr>
            </w:pPr>
            <w:r w:rsidRPr="00C932B7">
              <w:rPr>
                <w:rFonts w:ascii="Calibri" w:hAnsi="Calibri" w:cs="Calibri"/>
                <w:b/>
                <w:bCs/>
                <w:sz w:val="16"/>
                <w:szCs w:val="16"/>
              </w:rPr>
              <w:t>#Males</w:t>
            </w:r>
          </w:p>
        </w:tc>
        <w:tc>
          <w:tcPr>
            <w:tcW w:w="929" w:type="dxa"/>
            <w:tcBorders>
              <w:top w:val="single" w:color="000000" w:sz="4" w:space="0"/>
              <w:left w:val="single" w:color="000000" w:sz="4" w:space="0"/>
              <w:bottom w:val="single" w:color="000000" w:sz="4" w:space="0"/>
              <w:right w:val="single" w:color="000000" w:sz="4" w:space="0"/>
            </w:tcBorders>
            <w:shd w:val="clear" w:color="auto" w:fill="E7E6E6"/>
          </w:tcPr>
          <w:p w:rsidRPr="00C932B7" w:rsidR="00C932B7" w:rsidP="00C932B7" w:rsidRDefault="00C932B7" w14:paraId="3083C51E" w14:textId="77777777">
            <w:pPr>
              <w:widowControl/>
              <w:kinsoku w:val="0"/>
              <w:overflowPunct w:val="0"/>
              <w:spacing w:before="3"/>
              <w:rPr>
                <w:rFonts w:ascii="Microsoft Sans Serif" w:hAnsi="Microsoft Sans Serif" w:cs="Microsoft Sans Serif"/>
                <w:b/>
                <w:bCs/>
                <w:sz w:val="17"/>
                <w:szCs w:val="17"/>
              </w:rPr>
            </w:pPr>
          </w:p>
          <w:p w:rsidRPr="00C932B7" w:rsidR="00C932B7" w:rsidP="00C932B7" w:rsidRDefault="00C932B7" w14:paraId="4A2DD582" w14:textId="77777777">
            <w:pPr>
              <w:widowControl/>
              <w:kinsoku w:val="0"/>
              <w:overflowPunct w:val="0"/>
              <w:spacing w:line="175" w:lineRule="exact"/>
              <w:ind w:left="105"/>
              <w:rPr>
                <w:rFonts w:ascii="Calibri" w:hAnsi="Calibri" w:cs="Calibri"/>
                <w:b/>
                <w:bCs/>
                <w:sz w:val="16"/>
                <w:szCs w:val="16"/>
              </w:rPr>
            </w:pPr>
            <w:r w:rsidRPr="00C932B7">
              <w:rPr>
                <w:rFonts w:ascii="Calibri" w:hAnsi="Calibri" w:cs="Calibri"/>
                <w:b/>
                <w:bCs/>
                <w:sz w:val="16"/>
                <w:szCs w:val="16"/>
              </w:rPr>
              <w:t># Hispanic</w:t>
            </w:r>
          </w:p>
        </w:tc>
        <w:tc>
          <w:tcPr>
            <w:tcW w:w="725" w:type="dxa"/>
            <w:tcBorders>
              <w:top w:val="single" w:color="000000" w:sz="4" w:space="0"/>
              <w:left w:val="single" w:color="000000" w:sz="4" w:space="0"/>
              <w:bottom w:val="single" w:color="000000" w:sz="4" w:space="0"/>
              <w:right w:val="single" w:color="000000" w:sz="4" w:space="0"/>
            </w:tcBorders>
            <w:shd w:val="clear" w:color="auto" w:fill="E7E6E6"/>
          </w:tcPr>
          <w:p w:rsidRPr="00C932B7" w:rsidR="00C932B7" w:rsidP="00C932B7" w:rsidRDefault="00C932B7" w14:paraId="5B64AC40" w14:textId="77777777">
            <w:pPr>
              <w:widowControl/>
              <w:kinsoku w:val="0"/>
              <w:overflowPunct w:val="0"/>
              <w:spacing w:before="3"/>
              <w:rPr>
                <w:rFonts w:ascii="Microsoft Sans Serif" w:hAnsi="Microsoft Sans Serif" w:cs="Microsoft Sans Serif"/>
                <w:b/>
                <w:bCs/>
                <w:sz w:val="17"/>
                <w:szCs w:val="17"/>
              </w:rPr>
            </w:pPr>
          </w:p>
          <w:p w:rsidRPr="00C932B7" w:rsidR="00C932B7" w:rsidP="00C932B7" w:rsidRDefault="00C932B7" w14:paraId="4030ECCA" w14:textId="77777777">
            <w:pPr>
              <w:widowControl/>
              <w:kinsoku w:val="0"/>
              <w:overflowPunct w:val="0"/>
              <w:spacing w:line="175" w:lineRule="exact"/>
              <w:ind w:left="105"/>
              <w:rPr>
                <w:rFonts w:ascii="Calibri" w:hAnsi="Calibri" w:cs="Calibri"/>
                <w:b/>
                <w:bCs/>
                <w:sz w:val="16"/>
                <w:szCs w:val="16"/>
              </w:rPr>
            </w:pPr>
            <w:r w:rsidRPr="00C932B7">
              <w:rPr>
                <w:rFonts w:ascii="Calibri" w:hAnsi="Calibri" w:cs="Calibri"/>
                <w:b/>
                <w:bCs/>
                <w:sz w:val="16"/>
                <w:szCs w:val="16"/>
              </w:rPr>
              <w:t>#White</w:t>
            </w:r>
          </w:p>
        </w:tc>
        <w:tc>
          <w:tcPr>
            <w:tcW w:w="915" w:type="dxa"/>
            <w:tcBorders>
              <w:top w:val="single" w:color="000000" w:sz="4" w:space="0"/>
              <w:left w:val="single" w:color="000000" w:sz="4" w:space="0"/>
              <w:bottom w:val="single" w:color="000000" w:sz="4" w:space="0"/>
              <w:right w:val="single" w:color="000000" w:sz="4" w:space="0"/>
            </w:tcBorders>
            <w:shd w:val="clear" w:color="auto" w:fill="E7E6E6"/>
          </w:tcPr>
          <w:p w:rsidRPr="00C932B7" w:rsidR="00C932B7" w:rsidP="00C932B7" w:rsidRDefault="00C932B7" w14:paraId="2FF8DD8C" w14:textId="77777777">
            <w:pPr>
              <w:widowControl/>
              <w:kinsoku w:val="0"/>
              <w:overflowPunct w:val="0"/>
              <w:spacing w:before="3"/>
              <w:rPr>
                <w:rFonts w:ascii="Microsoft Sans Serif" w:hAnsi="Microsoft Sans Serif" w:cs="Microsoft Sans Serif"/>
                <w:b/>
                <w:bCs/>
                <w:sz w:val="17"/>
                <w:szCs w:val="17"/>
              </w:rPr>
            </w:pPr>
          </w:p>
          <w:p w:rsidRPr="00C932B7" w:rsidR="00C932B7" w:rsidP="00C932B7" w:rsidRDefault="00C932B7" w14:paraId="7958075E" w14:textId="77777777">
            <w:pPr>
              <w:widowControl/>
              <w:kinsoku w:val="0"/>
              <w:overflowPunct w:val="0"/>
              <w:spacing w:line="175" w:lineRule="exact"/>
              <w:ind w:left="105"/>
              <w:rPr>
                <w:rFonts w:ascii="Calibri" w:hAnsi="Calibri" w:cs="Calibri"/>
                <w:b/>
                <w:bCs/>
                <w:sz w:val="16"/>
                <w:szCs w:val="16"/>
              </w:rPr>
            </w:pPr>
            <w:r w:rsidRPr="00C932B7">
              <w:rPr>
                <w:rFonts w:ascii="Calibri" w:hAnsi="Calibri" w:cs="Calibri"/>
                <w:b/>
                <w:bCs/>
                <w:sz w:val="16"/>
                <w:szCs w:val="16"/>
              </w:rPr>
              <w:t>#Black</w:t>
            </w:r>
          </w:p>
        </w:tc>
        <w:tc>
          <w:tcPr>
            <w:tcW w:w="898" w:type="dxa"/>
            <w:tcBorders>
              <w:top w:val="single" w:color="000000" w:sz="4" w:space="0"/>
              <w:left w:val="single" w:color="000000" w:sz="4" w:space="0"/>
              <w:bottom w:val="single" w:color="000000" w:sz="4" w:space="0"/>
              <w:right w:val="single" w:color="000000" w:sz="4" w:space="0"/>
            </w:tcBorders>
            <w:shd w:val="clear" w:color="auto" w:fill="E7E6E6"/>
          </w:tcPr>
          <w:p w:rsidRPr="00C932B7" w:rsidR="00C932B7" w:rsidP="00C932B7" w:rsidRDefault="00C932B7" w14:paraId="411F943D" w14:textId="77777777">
            <w:pPr>
              <w:widowControl/>
              <w:kinsoku w:val="0"/>
              <w:overflowPunct w:val="0"/>
              <w:spacing w:line="194" w:lineRule="exact"/>
              <w:ind w:left="104"/>
              <w:rPr>
                <w:rFonts w:ascii="Calibri" w:hAnsi="Calibri" w:cs="Calibri"/>
                <w:b/>
                <w:bCs/>
                <w:sz w:val="16"/>
                <w:szCs w:val="16"/>
              </w:rPr>
            </w:pPr>
            <w:r w:rsidRPr="00C932B7">
              <w:rPr>
                <w:rFonts w:ascii="Calibri" w:hAnsi="Calibri" w:cs="Calibri"/>
                <w:b/>
                <w:bCs/>
                <w:sz w:val="16"/>
                <w:szCs w:val="16"/>
              </w:rPr>
              <w:t>#Native</w:t>
            </w:r>
          </w:p>
          <w:p w:rsidRPr="00C932B7" w:rsidR="00C932B7" w:rsidP="00C932B7" w:rsidRDefault="00C932B7" w14:paraId="7386C1FF" w14:textId="77777777">
            <w:pPr>
              <w:widowControl/>
              <w:kinsoku w:val="0"/>
              <w:overflowPunct w:val="0"/>
              <w:spacing w:before="1" w:line="175" w:lineRule="exact"/>
              <w:ind w:left="104"/>
              <w:rPr>
                <w:rFonts w:ascii="Calibri" w:hAnsi="Calibri" w:cs="Calibri"/>
                <w:b/>
                <w:bCs/>
                <w:sz w:val="16"/>
                <w:szCs w:val="16"/>
              </w:rPr>
            </w:pPr>
            <w:r w:rsidRPr="00C932B7">
              <w:rPr>
                <w:rFonts w:ascii="Calibri" w:hAnsi="Calibri" w:cs="Calibri"/>
                <w:b/>
                <w:bCs/>
                <w:sz w:val="16"/>
                <w:szCs w:val="16"/>
              </w:rPr>
              <w:t>American</w:t>
            </w:r>
          </w:p>
        </w:tc>
        <w:tc>
          <w:tcPr>
            <w:tcW w:w="754" w:type="dxa"/>
            <w:tcBorders>
              <w:top w:val="single" w:color="000000" w:sz="4" w:space="0"/>
              <w:left w:val="single" w:color="000000" w:sz="4" w:space="0"/>
              <w:bottom w:val="single" w:color="000000" w:sz="4" w:space="0"/>
              <w:right w:val="single" w:color="000000" w:sz="4" w:space="0"/>
            </w:tcBorders>
            <w:shd w:val="clear" w:color="auto" w:fill="E7E6E6"/>
          </w:tcPr>
          <w:p w:rsidRPr="00C932B7" w:rsidR="00C932B7" w:rsidP="00C932B7" w:rsidRDefault="00C932B7" w14:paraId="13CD4BAD" w14:textId="77777777">
            <w:pPr>
              <w:widowControl/>
              <w:kinsoku w:val="0"/>
              <w:overflowPunct w:val="0"/>
              <w:spacing w:before="3"/>
              <w:rPr>
                <w:rFonts w:ascii="Microsoft Sans Serif" w:hAnsi="Microsoft Sans Serif" w:cs="Microsoft Sans Serif"/>
                <w:b/>
                <w:bCs/>
                <w:sz w:val="17"/>
                <w:szCs w:val="17"/>
              </w:rPr>
            </w:pPr>
          </w:p>
          <w:p w:rsidRPr="00C932B7" w:rsidR="00C932B7" w:rsidP="00C932B7" w:rsidRDefault="00C932B7" w14:paraId="45DCDF06" w14:textId="77777777">
            <w:pPr>
              <w:widowControl/>
              <w:kinsoku w:val="0"/>
              <w:overflowPunct w:val="0"/>
              <w:spacing w:line="175" w:lineRule="exact"/>
              <w:ind w:left="104"/>
              <w:rPr>
                <w:rFonts w:ascii="Calibri" w:hAnsi="Calibri" w:cs="Calibri"/>
                <w:b/>
                <w:bCs/>
                <w:sz w:val="16"/>
                <w:szCs w:val="16"/>
              </w:rPr>
            </w:pPr>
            <w:r w:rsidRPr="00C932B7">
              <w:rPr>
                <w:rFonts w:ascii="Calibri" w:hAnsi="Calibri" w:cs="Calibri"/>
                <w:b/>
                <w:bCs/>
                <w:sz w:val="16"/>
                <w:szCs w:val="16"/>
              </w:rPr>
              <w:t>#Asian</w:t>
            </w:r>
          </w:p>
        </w:tc>
        <w:tc>
          <w:tcPr>
            <w:tcW w:w="838" w:type="dxa"/>
            <w:tcBorders>
              <w:top w:val="single" w:color="000000" w:sz="4" w:space="0"/>
              <w:left w:val="single" w:color="000000" w:sz="4" w:space="0"/>
              <w:bottom w:val="single" w:color="000000" w:sz="4" w:space="0"/>
              <w:right w:val="single" w:color="000000" w:sz="4" w:space="0"/>
            </w:tcBorders>
            <w:shd w:val="clear" w:color="auto" w:fill="E7E6E6"/>
          </w:tcPr>
          <w:p w:rsidRPr="00C932B7" w:rsidR="00C932B7" w:rsidP="00C932B7" w:rsidRDefault="00C932B7" w14:paraId="4564C557" w14:textId="77777777">
            <w:pPr>
              <w:widowControl/>
              <w:kinsoku w:val="0"/>
              <w:overflowPunct w:val="0"/>
              <w:spacing w:line="194" w:lineRule="exact"/>
              <w:ind w:left="104"/>
              <w:rPr>
                <w:rFonts w:ascii="Calibri" w:hAnsi="Calibri" w:cs="Calibri"/>
                <w:b/>
                <w:bCs/>
                <w:sz w:val="16"/>
                <w:szCs w:val="16"/>
              </w:rPr>
            </w:pPr>
            <w:r w:rsidRPr="00C932B7">
              <w:rPr>
                <w:rFonts w:ascii="Calibri" w:hAnsi="Calibri" w:cs="Calibri"/>
                <w:b/>
                <w:bCs/>
                <w:sz w:val="16"/>
                <w:szCs w:val="16"/>
              </w:rPr>
              <w:t>#of</w:t>
            </w:r>
          </w:p>
          <w:p w:rsidRPr="00C932B7" w:rsidR="00C932B7" w:rsidP="00C932B7" w:rsidRDefault="00C932B7" w14:paraId="45F3847B" w14:textId="77777777">
            <w:pPr>
              <w:widowControl/>
              <w:kinsoku w:val="0"/>
              <w:overflowPunct w:val="0"/>
              <w:spacing w:before="1" w:line="175" w:lineRule="exact"/>
              <w:ind w:left="104"/>
              <w:rPr>
                <w:rFonts w:ascii="Calibri" w:hAnsi="Calibri" w:cs="Calibri"/>
                <w:b/>
                <w:bCs/>
                <w:sz w:val="16"/>
                <w:szCs w:val="16"/>
              </w:rPr>
            </w:pPr>
            <w:r w:rsidRPr="00C932B7">
              <w:rPr>
                <w:rFonts w:ascii="Calibri" w:hAnsi="Calibri" w:cs="Calibri"/>
                <w:b/>
                <w:bCs/>
                <w:sz w:val="16"/>
                <w:szCs w:val="16"/>
              </w:rPr>
              <w:t>Hawaiian</w:t>
            </w:r>
          </w:p>
        </w:tc>
      </w:tr>
      <w:tr w:rsidRPr="00C932B7" w:rsidR="00C932B7" w14:paraId="6258621B" w14:textId="77777777">
        <w:trPr>
          <w:trHeight w:val="362"/>
        </w:trPr>
        <w:tc>
          <w:tcPr>
            <w:tcW w:w="754"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48DDA8FC" w14:textId="77777777">
            <w:pPr>
              <w:widowControl/>
              <w:kinsoku w:val="0"/>
              <w:overflowPunct w:val="0"/>
              <w:spacing w:before="8"/>
              <w:rPr>
                <w:rFonts w:ascii="Microsoft Sans Serif" w:hAnsi="Microsoft Sans Serif" w:cs="Microsoft Sans Serif"/>
                <w:b/>
                <w:bCs/>
                <w:sz w:val="14"/>
                <w:szCs w:val="14"/>
              </w:rPr>
            </w:pPr>
          </w:p>
          <w:p w:rsidRPr="00C932B7" w:rsidR="00C932B7" w:rsidP="00C932B7" w:rsidRDefault="00C932B7" w14:paraId="7AA89D37" w14:textId="77777777">
            <w:pPr>
              <w:widowControl/>
              <w:kinsoku w:val="0"/>
              <w:overflowPunct w:val="0"/>
              <w:spacing w:line="175" w:lineRule="exact"/>
              <w:ind w:left="107"/>
              <w:rPr>
                <w:rFonts w:ascii="Calibri" w:hAnsi="Calibri" w:cs="Calibri"/>
                <w:b/>
                <w:bCs/>
                <w:sz w:val="16"/>
                <w:szCs w:val="16"/>
              </w:rPr>
            </w:pPr>
            <w:r w:rsidRPr="00C932B7">
              <w:rPr>
                <w:rFonts w:ascii="Calibri" w:hAnsi="Calibri" w:cs="Calibri"/>
                <w:b/>
                <w:bCs/>
                <w:sz w:val="16"/>
                <w:szCs w:val="16"/>
              </w:rPr>
              <w:t>2016</w:t>
            </w:r>
          </w:p>
        </w:tc>
        <w:tc>
          <w:tcPr>
            <w:tcW w:w="754"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31A446BC" w14:textId="77777777">
            <w:pPr>
              <w:widowControl/>
              <w:kinsoku w:val="0"/>
              <w:overflowPunct w:val="0"/>
              <w:rPr>
                <w:rFonts w:ascii="Microsoft Sans Serif" w:hAnsi="Microsoft Sans Serif" w:cs="Microsoft Sans Serif"/>
                <w:b/>
                <w:bCs/>
                <w:sz w:val="16"/>
                <w:szCs w:val="16"/>
              </w:rPr>
            </w:pPr>
          </w:p>
          <w:p w:rsidRPr="00C932B7" w:rsidR="00C932B7" w:rsidP="00C932B7" w:rsidRDefault="00C932B7" w14:paraId="063A689A" w14:textId="77777777">
            <w:pPr>
              <w:widowControl/>
              <w:kinsoku w:val="0"/>
              <w:overflowPunct w:val="0"/>
              <w:spacing w:line="161" w:lineRule="exact"/>
              <w:ind w:right="54"/>
              <w:jc w:val="right"/>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40 </w:t>
            </w:r>
          </w:p>
        </w:tc>
        <w:tc>
          <w:tcPr>
            <w:tcW w:w="850"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09CB884E" w14:textId="77777777">
            <w:pPr>
              <w:widowControl/>
              <w:kinsoku w:val="0"/>
              <w:overflowPunct w:val="0"/>
              <w:rPr>
                <w:rFonts w:ascii="Microsoft Sans Serif" w:hAnsi="Microsoft Sans Serif" w:cs="Microsoft Sans Serif"/>
                <w:b/>
                <w:bCs/>
                <w:sz w:val="16"/>
                <w:szCs w:val="16"/>
              </w:rPr>
            </w:pPr>
          </w:p>
          <w:p w:rsidRPr="00C932B7" w:rsidR="00C932B7" w:rsidP="00C932B7" w:rsidRDefault="00C932B7" w14:paraId="6038E031" w14:textId="77777777">
            <w:pPr>
              <w:widowControl/>
              <w:kinsoku w:val="0"/>
              <w:overflowPunct w:val="0"/>
              <w:spacing w:line="161" w:lineRule="exact"/>
              <w:ind w:right="129"/>
              <w:jc w:val="right"/>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5 (13%) </w:t>
            </w:r>
          </w:p>
        </w:tc>
        <w:tc>
          <w:tcPr>
            <w:tcW w:w="723"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00FD9910" w14:textId="77777777">
            <w:pPr>
              <w:widowControl/>
              <w:kinsoku w:val="0"/>
              <w:overflowPunct w:val="0"/>
              <w:spacing w:line="182" w:lineRule="exact"/>
              <w:ind w:left="106" w:right="22"/>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35 (88%) </w:t>
            </w:r>
          </w:p>
        </w:tc>
        <w:tc>
          <w:tcPr>
            <w:tcW w:w="929"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1BE5A573" w14:textId="77777777">
            <w:pPr>
              <w:widowControl/>
              <w:kinsoku w:val="0"/>
              <w:overflowPunct w:val="0"/>
              <w:rPr>
                <w:rFonts w:ascii="Microsoft Sans Serif" w:hAnsi="Microsoft Sans Serif" w:cs="Microsoft Sans Serif"/>
                <w:b/>
                <w:bCs/>
                <w:sz w:val="16"/>
                <w:szCs w:val="16"/>
              </w:rPr>
            </w:pPr>
          </w:p>
          <w:p w:rsidRPr="00C932B7" w:rsidR="00C932B7" w:rsidP="00C932B7" w:rsidRDefault="00C932B7" w14:paraId="5408EDD1" w14:textId="77777777">
            <w:pPr>
              <w:widowControl/>
              <w:kinsoku w:val="0"/>
              <w:overflowPunct w:val="0"/>
              <w:spacing w:line="161" w:lineRule="exact"/>
              <w:ind w:left="105"/>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1 (3%) </w:t>
            </w:r>
          </w:p>
        </w:tc>
        <w:tc>
          <w:tcPr>
            <w:tcW w:w="725"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75984360" w14:textId="77777777">
            <w:pPr>
              <w:widowControl/>
              <w:kinsoku w:val="0"/>
              <w:overflowPunct w:val="0"/>
              <w:spacing w:line="182" w:lineRule="exact"/>
              <w:ind w:left="105" w:right="25"/>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29 (73%) </w:t>
            </w:r>
          </w:p>
        </w:tc>
        <w:tc>
          <w:tcPr>
            <w:tcW w:w="915"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6D5DB74D" w14:textId="77777777">
            <w:pPr>
              <w:widowControl/>
              <w:kinsoku w:val="0"/>
              <w:overflowPunct w:val="0"/>
              <w:rPr>
                <w:rFonts w:ascii="Microsoft Sans Serif" w:hAnsi="Microsoft Sans Serif" w:cs="Microsoft Sans Serif"/>
                <w:b/>
                <w:bCs/>
                <w:sz w:val="16"/>
                <w:szCs w:val="16"/>
              </w:rPr>
            </w:pPr>
          </w:p>
          <w:p w:rsidRPr="00C932B7" w:rsidR="00C932B7" w:rsidP="00C932B7" w:rsidRDefault="00C932B7" w14:paraId="3F4E07DF" w14:textId="77777777">
            <w:pPr>
              <w:widowControl/>
              <w:kinsoku w:val="0"/>
              <w:overflowPunct w:val="0"/>
              <w:spacing w:line="161" w:lineRule="exact"/>
              <w:ind w:left="105"/>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1 (3%) </w:t>
            </w:r>
          </w:p>
        </w:tc>
        <w:tc>
          <w:tcPr>
            <w:tcW w:w="898"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2F90DC71" w14:textId="77777777">
            <w:pPr>
              <w:widowControl/>
              <w:kinsoku w:val="0"/>
              <w:overflowPunct w:val="0"/>
              <w:rPr>
                <w:rFonts w:ascii="Microsoft Sans Serif" w:hAnsi="Microsoft Sans Serif" w:cs="Microsoft Sans Serif"/>
                <w:b/>
                <w:bCs/>
                <w:sz w:val="16"/>
                <w:szCs w:val="16"/>
              </w:rPr>
            </w:pPr>
          </w:p>
          <w:p w:rsidRPr="00C932B7" w:rsidR="00C932B7" w:rsidP="00C932B7" w:rsidRDefault="00C932B7" w14:paraId="63659A23" w14:textId="77777777">
            <w:pPr>
              <w:widowControl/>
              <w:kinsoku w:val="0"/>
              <w:overflowPunct w:val="0"/>
              <w:spacing w:line="161" w:lineRule="exact"/>
              <w:ind w:left="104"/>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0 (0%) </w:t>
            </w:r>
          </w:p>
        </w:tc>
        <w:tc>
          <w:tcPr>
            <w:tcW w:w="754"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4BD72EAB" w14:textId="77777777">
            <w:pPr>
              <w:widowControl/>
              <w:kinsoku w:val="0"/>
              <w:overflowPunct w:val="0"/>
              <w:spacing w:line="182" w:lineRule="exact"/>
              <w:ind w:left="104" w:right="144"/>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9 (23%) </w:t>
            </w:r>
          </w:p>
        </w:tc>
        <w:tc>
          <w:tcPr>
            <w:tcW w:w="838"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19263CED" w14:textId="77777777">
            <w:pPr>
              <w:widowControl/>
              <w:kinsoku w:val="0"/>
              <w:overflowPunct w:val="0"/>
              <w:rPr>
                <w:rFonts w:ascii="Microsoft Sans Serif" w:hAnsi="Microsoft Sans Serif" w:cs="Microsoft Sans Serif"/>
                <w:b/>
                <w:bCs/>
                <w:sz w:val="16"/>
                <w:szCs w:val="16"/>
              </w:rPr>
            </w:pPr>
          </w:p>
          <w:p w:rsidRPr="00C932B7" w:rsidR="00C932B7" w:rsidP="00C932B7" w:rsidRDefault="00C932B7" w14:paraId="6AFC0BAA" w14:textId="77777777">
            <w:pPr>
              <w:widowControl/>
              <w:kinsoku w:val="0"/>
              <w:overflowPunct w:val="0"/>
              <w:spacing w:line="161" w:lineRule="exact"/>
              <w:ind w:left="104"/>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2 (5%) </w:t>
            </w:r>
          </w:p>
        </w:tc>
      </w:tr>
      <w:tr w:rsidRPr="00C932B7" w:rsidR="00C932B7" w14:paraId="270BA353" w14:textId="77777777">
        <w:trPr>
          <w:trHeight w:val="360"/>
        </w:trPr>
        <w:tc>
          <w:tcPr>
            <w:tcW w:w="754"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73B88EA1" w14:textId="77777777">
            <w:pPr>
              <w:widowControl/>
              <w:kinsoku w:val="0"/>
              <w:overflowPunct w:val="0"/>
              <w:spacing w:before="6"/>
              <w:rPr>
                <w:rFonts w:ascii="Microsoft Sans Serif" w:hAnsi="Microsoft Sans Serif" w:cs="Microsoft Sans Serif"/>
                <w:b/>
                <w:bCs/>
                <w:sz w:val="14"/>
                <w:szCs w:val="14"/>
              </w:rPr>
            </w:pPr>
          </w:p>
          <w:p w:rsidRPr="00C932B7" w:rsidR="00C932B7" w:rsidP="00C932B7" w:rsidRDefault="00C932B7" w14:paraId="0A44BB1D" w14:textId="77777777">
            <w:pPr>
              <w:widowControl/>
              <w:kinsoku w:val="0"/>
              <w:overflowPunct w:val="0"/>
              <w:spacing w:line="175" w:lineRule="exact"/>
              <w:ind w:left="107"/>
              <w:rPr>
                <w:rFonts w:ascii="Calibri" w:hAnsi="Calibri" w:cs="Calibri"/>
                <w:b/>
                <w:bCs/>
                <w:sz w:val="16"/>
                <w:szCs w:val="16"/>
              </w:rPr>
            </w:pPr>
            <w:r w:rsidRPr="00C932B7">
              <w:rPr>
                <w:rFonts w:ascii="Calibri" w:hAnsi="Calibri" w:cs="Calibri"/>
                <w:b/>
                <w:bCs/>
                <w:sz w:val="16"/>
                <w:szCs w:val="16"/>
              </w:rPr>
              <w:t>2017</w:t>
            </w:r>
          </w:p>
        </w:tc>
        <w:tc>
          <w:tcPr>
            <w:tcW w:w="754"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09CB0E7F" w14:textId="77777777">
            <w:pPr>
              <w:widowControl/>
              <w:kinsoku w:val="0"/>
              <w:overflowPunct w:val="0"/>
              <w:spacing w:before="9"/>
              <w:rPr>
                <w:rFonts w:ascii="Microsoft Sans Serif" w:hAnsi="Microsoft Sans Serif" w:cs="Microsoft Sans Serif"/>
                <w:b/>
                <w:bCs/>
                <w:sz w:val="15"/>
                <w:szCs w:val="15"/>
              </w:rPr>
            </w:pPr>
          </w:p>
          <w:p w:rsidRPr="00C932B7" w:rsidR="00C932B7" w:rsidP="00C932B7" w:rsidRDefault="00C932B7" w14:paraId="4DF7D223" w14:textId="77777777">
            <w:pPr>
              <w:widowControl/>
              <w:kinsoku w:val="0"/>
              <w:overflowPunct w:val="0"/>
              <w:spacing w:line="161" w:lineRule="exact"/>
              <w:ind w:right="54"/>
              <w:jc w:val="right"/>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347 </w:t>
            </w:r>
          </w:p>
        </w:tc>
        <w:tc>
          <w:tcPr>
            <w:tcW w:w="850"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374564CD" w14:textId="77777777">
            <w:pPr>
              <w:widowControl/>
              <w:kinsoku w:val="0"/>
              <w:overflowPunct w:val="0"/>
              <w:spacing w:line="178" w:lineRule="exact"/>
              <w:ind w:left="106"/>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45 </w:t>
            </w:r>
          </w:p>
          <w:p w:rsidRPr="00C932B7" w:rsidR="00C932B7" w:rsidP="00C932B7" w:rsidRDefault="00C932B7" w14:paraId="7C38EF60" w14:textId="77777777">
            <w:pPr>
              <w:widowControl/>
              <w:kinsoku w:val="0"/>
              <w:overflowPunct w:val="0"/>
              <w:spacing w:before="1" w:line="161" w:lineRule="exact"/>
              <w:ind w:left="106"/>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(13%) </w:t>
            </w:r>
          </w:p>
        </w:tc>
        <w:tc>
          <w:tcPr>
            <w:tcW w:w="723"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2F442D16" w14:textId="77777777">
            <w:pPr>
              <w:widowControl/>
              <w:kinsoku w:val="0"/>
              <w:overflowPunct w:val="0"/>
              <w:spacing w:line="178" w:lineRule="exact"/>
              <w:ind w:left="106"/>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293 </w:t>
            </w:r>
          </w:p>
          <w:p w:rsidRPr="00C932B7" w:rsidR="00C932B7" w:rsidP="00C932B7" w:rsidRDefault="00C932B7" w14:paraId="65827E88" w14:textId="77777777">
            <w:pPr>
              <w:widowControl/>
              <w:kinsoku w:val="0"/>
              <w:overflowPunct w:val="0"/>
              <w:spacing w:before="1" w:line="161" w:lineRule="exact"/>
              <w:ind w:left="106"/>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(84%) </w:t>
            </w:r>
          </w:p>
        </w:tc>
        <w:tc>
          <w:tcPr>
            <w:tcW w:w="929"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5A3D0391" w14:textId="77777777">
            <w:pPr>
              <w:widowControl/>
              <w:kinsoku w:val="0"/>
              <w:overflowPunct w:val="0"/>
              <w:spacing w:before="9"/>
              <w:rPr>
                <w:rFonts w:ascii="Microsoft Sans Serif" w:hAnsi="Microsoft Sans Serif" w:cs="Microsoft Sans Serif"/>
                <w:b/>
                <w:bCs/>
                <w:sz w:val="15"/>
                <w:szCs w:val="15"/>
              </w:rPr>
            </w:pPr>
          </w:p>
          <w:p w:rsidRPr="00C932B7" w:rsidR="00C932B7" w:rsidP="00C932B7" w:rsidRDefault="00C932B7" w14:paraId="71BEBB8C" w14:textId="77777777">
            <w:pPr>
              <w:widowControl/>
              <w:kinsoku w:val="0"/>
              <w:overflowPunct w:val="0"/>
              <w:spacing w:line="161" w:lineRule="exact"/>
              <w:ind w:left="105"/>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6 (2%) </w:t>
            </w:r>
          </w:p>
        </w:tc>
        <w:tc>
          <w:tcPr>
            <w:tcW w:w="725"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3D2DDCF3" w14:textId="77777777">
            <w:pPr>
              <w:widowControl/>
              <w:kinsoku w:val="0"/>
              <w:overflowPunct w:val="0"/>
              <w:spacing w:line="178" w:lineRule="exact"/>
              <w:ind w:left="105"/>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286 </w:t>
            </w:r>
          </w:p>
          <w:p w:rsidRPr="00C932B7" w:rsidR="00C932B7" w:rsidP="00C932B7" w:rsidRDefault="00C932B7" w14:paraId="2382301E" w14:textId="77777777">
            <w:pPr>
              <w:widowControl/>
              <w:kinsoku w:val="0"/>
              <w:overflowPunct w:val="0"/>
              <w:spacing w:before="1" w:line="161" w:lineRule="exact"/>
              <w:ind w:left="105"/>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(82%) </w:t>
            </w:r>
          </w:p>
        </w:tc>
        <w:tc>
          <w:tcPr>
            <w:tcW w:w="915"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547CC092" w14:textId="77777777">
            <w:pPr>
              <w:widowControl/>
              <w:kinsoku w:val="0"/>
              <w:overflowPunct w:val="0"/>
              <w:spacing w:before="9"/>
              <w:rPr>
                <w:rFonts w:ascii="Microsoft Sans Serif" w:hAnsi="Microsoft Sans Serif" w:cs="Microsoft Sans Serif"/>
                <w:b/>
                <w:bCs/>
                <w:sz w:val="15"/>
                <w:szCs w:val="15"/>
              </w:rPr>
            </w:pPr>
          </w:p>
          <w:p w:rsidRPr="00C932B7" w:rsidR="00C932B7" w:rsidP="00C932B7" w:rsidRDefault="00C932B7" w14:paraId="50F47A6E" w14:textId="77777777">
            <w:pPr>
              <w:widowControl/>
              <w:kinsoku w:val="0"/>
              <w:overflowPunct w:val="0"/>
              <w:spacing w:line="161" w:lineRule="exact"/>
              <w:ind w:left="105"/>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7 (2%) </w:t>
            </w:r>
          </w:p>
        </w:tc>
        <w:tc>
          <w:tcPr>
            <w:tcW w:w="898"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4E099C2F" w14:textId="77777777">
            <w:pPr>
              <w:widowControl/>
              <w:kinsoku w:val="0"/>
              <w:overflowPunct w:val="0"/>
              <w:spacing w:before="9"/>
              <w:rPr>
                <w:rFonts w:ascii="Microsoft Sans Serif" w:hAnsi="Microsoft Sans Serif" w:cs="Microsoft Sans Serif"/>
                <w:b/>
                <w:bCs/>
                <w:sz w:val="15"/>
                <w:szCs w:val="15"/>
              </w:rPr>
            </w:pPr>
          </w:p>
          <w:p w:rsidRPr="00C932B7" w:rsidR="00C932B7" w:rsidP="00C932B7" w:rsidRDefault="00C932B7" w14:paraId="61B9A930" w14:textId="77777777">
            <w:pPr>
              <w:widowControl/>
              <w:kinsoku w:val="0"/>
              <w:overflowPunct w:val="0"/>
              <w:spacing w:line="161" w:lineRule="exact"/>
              <w:ind w:left="104"/>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8 (2%) </w:t>
            </w:r>
          </w:p>
        </w:tc>
        <w:tc>
          <w:tcPr>
            <w:tcW w:w="754"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2A9C88C8" w14:textId="77777777">
            <w:pPr>
              <w:widowControl/>
              <w:kinsoku w:val="0"/>
              <w:overflowPunct w:val="0"/>
              <w:spacing w:line="178" w:lineRule="exact"/>
              <w:ind w:left="104"/>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50 </w:t>
            </w:r>
          </w:p>
          <w:p w:rsidRPr="00C932B7" w:rsidR="00C932B7" w:rsidP="00C932B7" w:rsidRDefault="00C932B7" w14:paraId="52381B2D" w14:textId="77777777">
            <w:pPr>
              <w:widowControl/>
              <w:kinsoku w:val="0"/>
              <w:overflowPunct w:val="0"/>
              <w:spacing w:before="1" w:line="161" w:lineRule="exact"/>
              <w:ind w:left="104"/>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(14%) </w:t>
            </w:r>
          </w:p>
        </w:tc>
        <w:tc>
          <w:tcPr>
            <w:tcW w:w="838"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4D7761DE" w14:textId="77777777">
            <w:pPr>
              <w:widowControl/>
              <w:kinsoku w:val="0"/>
              <w:overflowPunct w:val="0"/>
              <w:spacing w:before="9"/>
              <w:rPr>
                <w:rFonts w:ascii="Microsoft Sans Serif" w:hAnsi="Microsoft Sans Serif" w:cs="Microsoft Sans Serif"/>
                <w:b/>
                <w:bCs/>
                <w:sz w:val="15"/>
                <w:szCs w:val="15"/>
              </w:rPr>
            </w:pPr>
          </w:p>
          <w:p w:rsidRPr="00C932B7" w:rsidR="00C932B7" w:rsidP="00C932B7" w:rsidRDefault="00C932B7" w14:paraId="77F2574A" w14:textId="77777777">
            <w:pPr>
              <w:widowControl/>
              <w:kinsoku w:val="0"/>
              <w:overflowPunct w:val="0"/>
              <w:spacing w:line="161" w:lineRule="exact"/>
              <w:ind w:left="104"/>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3 (0.9%) </w:t>
            </w:r>
          </w:p>
        </w:tc>
      </w:tr>
      <w:tr w:rsidRPr="00C932B7" w:rsidR="00C932B7" w14:paraId="7C219E77" w14:textId="77777777">
        <w:trPr>
          <w:trHeight w:val="361"/>
        </w:trPr>
        <w:tc>
          <w:tcPr>
            <w:tcW w:w="754"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0485814C" w14:textId="77777777">
            <w:pPr>
              <w:widowControl/>
              <w:kinsoku w:val="0"/>
              <w:overflowPunct w:val="0"/>
              <w:spacing w:before="8"/>
              <w:rPr>
                <w:rFonts w:ascii="Microsoft Sans Serif" w:hAnsi="Microsoft Sans Serif" w:cs="Microsoft Sans Serif"/>
                <w:b/>
                <w:bCs/>
                <w:sz w:val="14"/>
                <w:szCs w:val="14"/>
              </w:rPr>
            </w:pPr>
          </w:p>
          <w:p w:rsidRPr="00C932B7" w:rsidR="00C932B7" w:rsidP="00C932B7" w:rsidRDefault="00C932B7" w14:paraId="10BDE16E" w14:textId="77777777">
            <w:pPr>
              <w:widowControl/>
              <w:kinsoku w:val="0"/>
              <w:overflowPunct w:val="0"/>
              <w:spacing w:line="175" w:lineRule="exact"/>
              <w:ind w:left="107"/>
              <w:rPr>
                <w:rFonts w:ascii="Calibri" w:hAnsi="Calibri" w:cs="Calibri"/>
                <w:b/>
                <w:bCs/>
                <w:sz w:val="16"/>
                <w:szCs w:val="16"/>
              </w:rPr>
            </w:pPr>
            <w:r w:rsidRPr="00C932B7">
              <w:rPr>
                <w:rFonts w:ascii="Calibri" w:hAnsi="Calibri" w:cs="Calibri"/>
                <w:b/>
                <w:bCs/>
                <w:sz w:val="16"/>
                <w:szCs w:val="16"/>
              </w:rPr>
              <w:t>2018</w:t>
            </w:r>
          </w:p>
        </w:tc>
        <w:tc>
          <w:tcPr>
            <w:tcW w:w="754"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5F7E01DD" w14:textId="77777777">
            <w:pPr>
              <w:widowControl/>
              <w:kinsoku w:val="0"/>
              <w:overflowPunct w:val="0"/>
              <w:rPr>
                <w:rFonts w:ascii="Microsoft Sans Serif" w:hAnsi="Microsoft Sans Serif" w:cs="Microsoft Sans Serif"/>
                <w:b/>
                <w:bCs/>
                <w:sz w:val="16"/>
                <w:szCs w:val="16"/>
              </w:rPr>
            </w:pPr>
          </w:p>
          <w:p w:rsidRPr="00C932B7" w:rsidR="00C932B7" w:rsidP="00C932B7" w:rsidRDefault="00C932B7" w14:paraId="001A7160" w14:textId="77777777">
            <w:pPr>
              <w:widowControl/>
              <w:kinsoku w:val="0"/>
              <w:overflowPunct w:val="0"/>
              <w:spacing w:line="161" w:lineRule="exact"/>
              <w:ind w:right="54"/>
              <w:jc w:val="right"/>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324 </w:t>
            </w:r>
          </w:p>
        </w:tc>
        <w:tc>
          <w:tcPr>
            <w:tcW w:w="850"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117C2D8B" w14:textId="77777777">
            <w:pPr>
              <w:widowControl/>
              <w:kinsoku w:val="0"/>
              <w:overflowPunct w:val="0"/>
              <w:spacing w:line="182" w:lineRule="exact"/>
              <w:ind w:left="106" w:right="149"/>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39 (12%) </w:t>
            </w:r>
          </w:p>
        </w:tc>
        <w:tc>
          <w:tcPr>
            <w:tcW w:w="723"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63EBF3C7" w14:textId="77777777">
            <w:pPr>
              <w:widowControl/>
              <w:kinsoku w:val="0"/>
              <w:overflowPunct w:val="0"/>
              <w:spacing w:line="182" w:lineRule="exact"/>
              <w:ind w:left="106" w:right="22"/>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279 (86%) </w:t>
            </w:r>
          </w:p>
        </w:tc>
        <w:tc>
          <w:tcPr>
            <w:tcW w:w="929"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6DF41008" w14:textId="77777777">
            <w:pPr>
              <w:widowControl/>
              <w:kinsoku w:val="0"/>
              <w:overflowPunct w:val="0"/>
              <w:rPr>
                <w:rFonts w:ascii="Microsoft Sans Serif" w:hAnsi="Microsoft Sans Serif" w:cs="Microsoft Sans Serif"/>
                <w:b/>
                <w:bCs/>
                <w:sz w:val="16"/>
                <w:szCs w:val="16"/>
              </w:rPr>
            </w:pPr>
          </w:p>
          <w:p w:rsidRPr="00C932B7" w:rsidR="00C932B7" w:rsidP="00C932B7" w:rsidRDefault="00C932B7" w14:paraId="47180728" w14:textId="77777777">
            <w:pPr>
              <w:widowControl/>
              <w:kinsoku w:val="0"/>
              <w:overflowPunct w:val="0"/>
              <w:spacing w:line="161" w:lineRule="exact"/>
              <w:ind w:left="105"/>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4 (1%) </w:t>
            </w:r>
          </w:p>
        </w:tc>
        <w:tc>
          <w:tcPr>
            <w:tcW w:w="725"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7FD753EE" w14:textId="77777777">
            <w:pPr>
              <w:widowControl/>
              <w:kinsoku w:val="0"/>
              <w:overflowPunct w:val="0"/>
              <w:spacing w:line="182" w:lineRule="exact"/>
              <w:ind w:left="105"/>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265 (82%) </w:t>
            </w:r>
          </w:p>
        </w:tc>
        <w:tc>
          <w:tcPr>
            <w:tcW w:w="915"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02BBDFD4" w14:textId="77777777">
            <w:pPr>
              <w:widowControl/>
              <w:kinsoku w:val="0"/>
              <w:overflowPunct w:val="0"/>
              <w:rPr>
                <w:rFonts w:ascii="Microsoft Sans Serif" w:hAnsi="Microsoft Sans Serif" w:cs="Microsoft Sans Serif"/>
                <w:b/>
                <w:bCs/>
                <w:sz w:val="16"/>
                <w:szCs w:val="16"/>
              </w:rPr>
            </w:pPr>
          </w:p>
          <w:p w:rsidRPr="00C932B7" w:rsidR="00C932B7" w:rsidP="00C932B7" w:rsidRDefault="00C932B7" w14:paraId="7C867FFC" w14:textId="77777777">
            <w:pPr>
              <w:widowControl/>
              <w:kinsoku w:val="0"/>
              <w:overflowPunct w:val="0"/>
              <w:spacing w:line="161" w:lineRule="exact"/>
              <w:ind w:left="105"/>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4 (1%) </w:t>
            </w:r>
          </w:p>
        </w:tc>
        <w:tc>
          <w:tcPr>
            <w:tcW w:w="898"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4EE8DAB0" w14:textId="77777777">
            <w:pPr>
              <w:widowControl/>
              <w:kinsoku w:val="0"/>
              <w:overflowPunct w:val="0"/>
              <w:rPr>
                <w:rFonts w:ascii="Microsoft Sans Serif" w:hAnsi="Microsoft Sans Serif" w:cs="Microsoft Sans Serif"/>
                <w:b/>
                <w:bCs/>
                <w:sz w:val="16"/>
                <w:szCs w:val="16"/>
              </w:rPr>
            </w:pPr>
          </w:p>
          <w:p w:rsidRPr="00C932B7" w:rsidR="00C932B7" w:rsidP="00C932B7" w:rsidRDefault="00C932B7" w14:paraId="561A7152" w14:textId="77777777">
            <w:pPr>
              <w:widowControl/>
              <w:kinsoku w:val="0"/>
              <w:overflowPunct w:val="0"/>
              <w:spacing w:line="161" w:lineRule="exact"/>
              <w:ind w:left="104"/>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3 (0.9%) </w:t>
            </w:r>
          </w:p>
        </w:tc>
        <w:tc>
          <w:tcPr>
            <w:tcW w:w="754"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4F7A3965" w14:textId="77777777">
            <w:pPr>
              <w:widowControl/>
              <w:kinsoku w:val="0"/>
              <w:overflowPunct w:val="0"/>
              <w:spacing w:line="182" w:lineRule="exact"/>
              <w:ind w:left="104" w:right="144"/>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55 (17%) </w:t>
            </w:r>
          </w:p>
        </w:tc>
        <w:tc>
          <w:tcPr>
            <w:tcW w:w="838"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1EF8B308" w14:textId="77777777">
            <w:pPr>
              <w:widowControl/>
              <w:kinsoku w:val="0"/>
              <w:overflowPunct w:val="0"/>
              <w:rPr>
                <w:rFonts w:ascii="Microsoft Sans Serif" w:hAnsi="Microsoft Sans Serif" w:cs="Microsoft Sans Serif"/>
                <w:b/>
                <w:bCs/>
                <w:sz w:val="16"/>
                <w:szCs w:val="16"/>
              </w:rPr>
            </w:pPr>
          </w:p>
          <w:p w:rsidRPr="00C932B7" w:rsidR="00C932B7" w:rsidP="00C932B7" w:rsidRDefault="00C932B7" w14:paraId="45F8FD7E" w14:textId="77777777">
            <w:pPr>
              <w:widowControl/>
              <w:kinsoku w:val="0"/>
              <w:overflowPunct w:val="0"/>
              <w:spacing w:line="161" w:lineRule="exact"/>
              <w:ind w:left="104"/>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1 (0.3%) </w:t>
            </w:r>
          </w:p>
        </w:tc>
      </w:tr>
      <w:tr w:rsidRPr="00C932B7" w:rsidR="00C932B7" w14:paraId="0A1490B3" w14:textId="77777777">
        <w:trPr>
          <w:trHeight w:val="360"/>
        </w:trPr>
        <w:tc>
          <w:tcPr>
            <w:tcW w:w="754"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30C93750" w14:textId="77777777">
            <w:pPr>
              <w:widowControl/>
              <w:kinsoku w:val="0"/>
              <w:overflowPunct w:val="0"/>
              <w:spacing w:before="6"/>
              <w:rPr>
                <w:rFonts w:ascii="Microsoft Sans Serif" w:hAnsi="Microsoft Sans Serif" w:cs="Microsoft Sans Serif"/>
                <w:b/>
                <w:bCs/>
                <w:sz w:val="14"/>
                <w:szCs w:val="14"/>
              </w:rPr>
            </w:pPr>
          </w:p>
          <w:p w:rsidRPr="00C932B7" w:rsidR="00C932B7" w:rsidP="00C932B7" w:rsidRDefault="00C932B7" w14:paraId="325BCA1C" w14:textId="77777777">
            <w:pPr>
              <w:widowControl/>
              <w:kinsoku w:val="0"/>
              <w:overflowPunct w:val="0"/>
              <w:spacing w:line="175" w:lineRule="exact"/>
              <w:ind w:left="107"/>
              <w:rPr>
                <w:rFonts w:ascii="Calibri" w:hAnsi="Calibri" w:cs="Calibri"/>
                <w:b/>
                <w:bCs/>
                <w:sz w:val="16"/>
                <w:szCs w:val="16"/>
              </w:rPr>
            </w:pPr>
            <w:r w:rsidRPr="00C932B7">
              <w:rPr>
                <w:rFonts w:ascii="Calibri" w:hAnsi="Calibri" w:cs="Calibri"/>
                <w:b/>
                <w:bCs/>
                <w:sz w:val="16"/>
                <w:szCs w:val="16"/>
              </w:rPr>
              <w:t>2019</w:t>
            </w:r>
          </w:p>
        </w:tc>
        <w:tc>
          <w:tcPr>
            <w:tcW w:w="754"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06656A0B" w14:textId="77777777">
            <w:pPr>
              <w:widowControl/>
              <w:kinsoku w:val="0"/>
              <w:overflowPunct w:val="0"/>
              <w:spacing w:before="9"/>
              <w:rPr>
                <w:rFonts w:ascii="Microsoft Sans Serif" w:hAnsi="Microsoft Sans Serif" w:cs="Microsoft Sans Serif"/>
                <w:b/>
                <w:bCs/>
                <w:sz w:val="15"/>
                <w:szCs w:val="15"/>
              </w:rPr>
            </w:pPr>
          </w:p>
          <w:p w:rsidRPr="00C932B7" w:rsidR="00C932B7" w:rsidP="00C932B7" w:rsidRDefault="00C932B7" w14:paraId="7BA1E19D" w14:textId="77777777">
            <w:pPr>
              <w:widowControl/>
              <w:kinsoku w:val="0"/>
              <w:overflowPunct w:val="0"/>
              <w:spacing w:line="161" w:lineRule="exact"/>
              <w:ind w:right="54"/>
              <w:jc w:val="right"/>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239 </w:t>
            </w:r>
          </w:p>
        </w:tc>
        <w:tc>
          <w:tcPr>
            <w:tcW w:w="850"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0C593807" w14:textId="77777777">
            <w:pPr>
              <w:widowControl/>
              <w:kinsoku w:val="0"/>
              <w:overflowPunct w:val="0"/>
              <w:spacing w:before="2" w:line="180" w:lineRule="exact"/>
              <w:ind w:left="106" w:right="149"/>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28 (12%) </w:t>
            </w:r>
          </w:p>
        </w:tc>
        <w:tc>
          <w:tcPr>
            <w:tcW w:w="723"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55C71EE9" w14:textId="77777777">
            <w:pPr>
              <w:widowControl/>
              <w:kinsoku w:val="0"/>
              <w:overflowPunct w:val="0"/>
              <w:spacing w:before="2" w:line="180" w:lineRule="exact"/>
              <w:ind w:left="106" w:right="22"/>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206 (86%) </w:t>
            </w:r>
          </w:p>
        </w:tc>
        <w:tc>
          <w:tcPr>
            <w:tcW w:w="929"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52F9BD97" w14:textId="77777777">
            <w:pPr>
              <w:widowControl/>
              <w:kinsoku w:val="0"/>
              <w:overflowPunct w:val="0"/>
              <w:spacing w:before="9"/>
              <w:rPr>
                <w:rFonts w:ascii="Microsoft Sans Serif" w:hAnsi="Microsoft Sans Serif" w:cs="Microsoft Sans Serif"/>
                <w:b/>
                <w:bCs/>
                <w:sz w:val="15"/>
                <w:szCs w:val="15"/>
              </w:rPr>
            </w:pPr>
          </w:p>
          <w:p w:rsidRPr="00C932B7" w:rsidR="00C932B7" w:rsidP="00C932B7" w:rsidRDefault="00C932B7" w14:paraId="51EB27BD" w14:textId="77777777">
            <w:pPr>
              <w:widowControl/>
              <w:kinsoku w:val="0"/>
              <w:overflowPunct w:val="0"/>
              <w:spacing w:line="161" w:lineRule="exact"/>
              <w:ind w:left="105"/>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4 (2%) </w:t>
            </w:r>
          </w:p>
        </w:tc>
        <w:tc>
          <w:tcPr>
            <w:tcW w:w="725"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45606E5A" w14:textId="77777777">
            <w:pPr>
              <w:widowControl/>
              <w:kinsoku w:val="0"/>
              <w:overflowPunct w:val="0"/>
              <w:spacing w:before="2" w:line="180" w:lineRule="exact"/>
              <w:ind w:left="105"/>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192 (80%) </w:t>
            </w:r>
          </w:p>
        </w:tc>
        <w:tc>
          <w:tcPr>
            <w:tcW w:w="915"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1F7653BB" w14:textId="77777777">
            <w:pPr>
              <w:widowControl/>
              <w:kinsoku w:val="0"/>
              <w:overflowPunct w:val="0"/>
              <w:spacing w:before="9"/>
              <w:rPr>
                <w:rFonts w:ascii="Microsoft Sans Serif" w:hAnsi="Microsoft Sans Serif" w:cs="Microsoft Sans Serif"/>
                <w:b/>
                <w:bCs/>
                <w:sz w:val="15"/>
                <w:szCs w:val="15"/>
              </w:rPr>
            </w:pPr>
          </w:p>
          <w:p w:rsidRPr="00C932B7" w:rsidR="00C932B7" w:rsidP="00C932B7" w:rsidRDefault="00C932B7" w14:paraId="1976E907" w14:textId="77777777">
            <w:pPr>
              <w:widowControl/>
              <w:kinsoku w:val="0"/>
              <w:overflowPunct w:val="0"/>
              <w:spacing w:line="161" w:lineRule="exact"/>
              <w:ind w:left="105"/>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4 (2%) </w:t>
            </w:r>
          </w:p>
        </w:tc>
        <w:tc>
          <w:tcPr>
            <w:tcW w:w="898"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01D67EF3" w14:textId="77777777">
            <w:pPr>
              <w:widowControl/>
              <w:kinsoku w:val="0"/>
              <w:overflowPunct w:val="0"/>
              <w:spacing w:before="9"/>
              <w:rPr>
                <w:rFonts w:ascii="Microsoft Sans Serif" w:hAnsi="Microsoft Sans Serif" w:cs="Microsoft Sans Serif"/>
                <w:b/>
                <w:bCs/>
                <w:sz w:val="15"/>
                <w:szCs w:val="15"/>
              </w:rPr>
            </w:pPr>
          </w:p>
          <w:p w:rsidRPr="00C932B7" w:rsidR="00C932B7" w:rsidP="00C932B7" w:rsidRDefault="00C932B7" w14:paraId="1CD0D5BE" w14:textId="77777777">
            <w:pPr>
              <w:widowControl/>
              <w:kinsoku w:val="0"/>
              <w:overflowPunct w:val="0"/>
              <w:spacing w:line="161" w:lineRule="exact"/>
              <w:ind w:left="104"/>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2 (0.8%) </w:t>
            </w:r>
          </w:p>
        </w:tc>
        <w:tc>
          <w:tcPr>
            <w:tcW w:w="754"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12A4ACF9" w14:textId="77777777">
            <w:pPr>
              <w:widowControl/>
              <w:kinsoku w:val="0"/>
              <w:overflowPunct w:val="0"/>
              <w:spacing w:before="2" w:line="180" w:lineRule="exact"/>
              <w:ind w:left="104" w:right="144"/>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41 (17%) </w:t>
            </w:r>
          </w:p>
        </w:tc>
        <w:tc>
          <w:tcPr>
            <w:tcW w:w="838" w:type="dxa"/>
            <w:tcBorders>
              <w:top w:val="single" w:color="000000" w:sz="4" w:space="0"/>
              <w:left w:val="single" w:color="000000" w:sz="4" w:space="0"/>
              <w:bottom w:val="single" w:color="000000" w:sz="4" w:space="0"/>
              <w:right w:val="single" w:color="000000" w:sz="4" w:space="0"/>
            </w:tcBorders>
          </w:tcPr>
          <w:p w:rsidRPr="00C932B7" w:rsidR="00C932B7" w:rsidP="00C932B7" w:rsidRDefault="00C932B7" w14:paraId="528C99DB" w14:textId="77777777">
            <w:pPr>
              <w:widowControl/>
              <w:kinsoku w:val="0"/>
              <w:overflowPunct w:val="0"/>
              <w:spacing w:before="9"/>
              <w:rPr>
                <w:rFonts w:ascii="Microsoft Sans Serif" w:hAnsi="Microsoft Sans Serif" w:cs="Microsoft Sans Serif"/>
                <w:b/>
                <w:bCs/>
                <w:sz w:val="15"/>
                <w:szCs w:val="15"/>
              </w:rPr>
            </w:pPr>
          </w:p>
          <w:p w:rsidRPr="00C932B7" w:rsidR="00C932B7" w:rsidP="00C932B7" w:rsidRDefault="00C932B7" w14:paraId="76F758BF" w14:textId="77777777">
            <w:pPr>
              <w:widowControl/>
              <w:kinsoku w:val="0"/>
              <w:overflowPunct w:val="0"/>
              <w:spacing w:line="161" w:lineRule="exact"/>
              <w:ind w:left="104"/>
              <w:rPr>
                <w:rFonts w:ascii="Microsoft Sans Serif" w:hAnsi="Microsoft Sans Serif" w:cs="Microsoft Sans Serif"/>
                <w:sz w:val="16"/>
                <w:szCs w:val="16"/>
              </w:rPr>
            </w:pPr>
            <w:r w:rsidRPr="00C932B7">
              <w:rPr>
                <w:rFonts w:ascii="Microsoft Sans Serif" w:hAnsi="Microsoft Sans Serif" w:cs="Microsoft Sans Serif"/>
                <w:sz w:val="16"/>
                <w:szCs w:val="16"/>
              </w:rPr>
              <w:t xml:space="preserve">4 (2%) </w:t>
            </w:r>
          </w:p>
        </w:tc>
      </w:tr>
      <w:tr w:rsidRPr="00C932B7" w:rsidR="00C932B7" w14:paraId="0ACCA0FF" w14:textId="77777777">
        <w:trPr>
          <w:trHeight w:val="208"/>
        </w:trPr>
        <w:tc>
          <w:tcPr>
            <w:tcW w:w="754" w:type="dxa"/>
            <w:tcBorders>
              <w:top w:val="single" w:color="000000" w:sz="4" w:space="0"/>
              <w:left w:val="single" w:color="000000" w:sz="4" w:space="0"/>
              <w:bottom w:val="single" w:color="000000" w:sz="4" w:space="0"/>
              <w:right w:val="single" w:color="000000" w:sz="4" w:space="0"/>
            </w:tcBorders>
            <w:shd w:val="clear" w:color="auto" w:fill="D9E0F1"/>
          </w:tcPr>
          <w:p w:rsidRPr="00C932B7" w:rsidR="00C932B7" w:rsidP="00C932B7" w:rsidRDefault="00C932B7" w14:paraId="51FFD980" w14:textId="77777777">
            <w:pPr>
              <w:widowControl/>
              <w:kinsoku w:val="0"/>
              <w:overflowPunct w:val="0"/>
              <w:spacing w:before="11" w:line="178" w:lineRule="exact"/>
              <w:ind w:left="107"/>
              <w:rPr>
                <w:rFonts w:ascii="Calibri" w:hAnsi="Calibri" w:cs="Calibri"/>
                <w:b/>
                <w:bCs/>
                <w:sz w:val="16"/>
                <w:szCs w:val="16"/>
              </w:rPr>
            </w:pPr>
            <w:r w:rsidRPr="00C932B7">
              <w:rPr>
                <w:rFonts w:ascii="Calibri" w:hAnsi="Calibri" w:cs="Calibri"/>
                <w:b/>
                <w:bCs/>
                <w:sz w:val="16"/>
                <w:szCs w:val="16"/>
              </w:rPr>
              <w:t>Total</w:t>
            </w:r>
          </w:p>
        </w:tc>
        <w:tc>
          <w:tcPr>
            <w:tcW w:w="754" w:type="dxa"/>
            <w:tcBorders>
              <w:top w:val="single" w:color="000000" w:sz="4" w:space="0"/>
              <w:left w:val="single" w:color="000000" w:sz="4" w:space="0"/>
              <w:bottom w:val="single" w:color="000000" w:sz="4" w:space="0"/>
              <w:right w:val="single" w:color="000000" w:sz="4" w:space="0"/>
            </w:tcBorders>
            <w:shd w:val="clear" w:color="auto" w:fill="D9E0F1"/>
          </w:tcPr>
          <w:p w:rsidRPr="00C932B7" w:rsidR="00C932B7" w:rsidP="00C932B7" w:rsidRDefault="00C932B7" w14:paraId="5F47DF5C" w14:textId="77777777">
            <w:pPr>
              <w:widowControl/>
              <w:kinsoku w:val="0"/>
              <w:overflowPunct w:val="0"/>
              <w:spacing w:before="25" w:line="163" w:lineRule="exact"/>
              <w:ind w:right="54"/>
              <w:jc w:val="right"/>
              <w:rPr>
                <w:rFonts w:ascii="Microsoft Sans Serif" w:hAnsi="Microsoft Sans Serif" w:cs="Microsoft Sans Serif"/>
                <w:b/>
                <w:bCs/>
                <w:sz w:val="16"/>
                <w:szCs w:val="16"/>
              </w:rPr>
            </w:pPr>
            <w:r w:rsidRPr="00C932B7">
              <w:rPr>
                <w:rFonts w:ascii="Microsoft Sans Serif" w:hAnsi="Microsoft Sans Serif" w:cs="Microsoft Sans Serif"/>
                <w:b/>
                <w:bCs/>
                <w:sz w:val="16"/>
                <w:szCs w:val="16"/>
              </w:rPr>
              <w:t xml:space="preserve">950 </w:t>
            </w:r>
          </w:p>
        </w:tc>
        <w:tc>
          <w:tcPr>
            <w:tcW w:w="850" w:type="dxa"/>
            <w:tcBorders>
              <w:top w:val="single" w:color="000000" w:sz="4" w:space="0"/>
              <w:left w:val="single" w:color="000000" w:sz="4" w:space="0"/>
              <w:bottom w:val="single" w:color="000000" w:sz="4" w:space="0"/>
              <w:right w:val="single" w:color="000000" w:sz="4" w:space="0"/>
            </w:tcBorders>
            <w:shd w:val="clear" w:color="auto" w:fill="D9E0F1"/>
          </w:tcPr>
          <w:p w:rsidRPr="00C932B7" w:rsidR="00C932B7" w:rsidP="00C932B7" w:rsidRDefault="00C932B7" w14:paraId="6350C0C9" w14:textId="77777777">
            <w:pPr>
              <w:widowControl/>
              <w:kinsoku w:val="0"/>
              <w:overflowPunct w:val="0"/>
              <w:spacing w:before="11" w:line="178" w:lineRule="exact"/>
              <w:ind w:right="95"/>
              <w:jc w:val="right"/>
              <w:rPr>
                <w:rFonts w:ascii="Calibri" w:hAnsi="Calibri" w:cs="Calibri"/>
                <w:b/>
                <w:bCs/>
                <w:sz w:val="16"/>
                <w:szCs w:val="16"/>
              </w:rPr>
            </w:pPr>
            <w:r w:rsidRPr="00C932B7">
              <w:rPr>
                <w:rFonts w:ascii="Calibri" w:hAnsi="Calibri" w:cs="Calibri"/>
                <w:b/>
                <w:bCs/>
                <w:sz w:val="16"/>
                <w:szCs w:val="16"/>
              </w:rPr>
              <w:t>117</w:t>
            </w:r>
          </w:p>
        </w:tc>
        <w:tc>
          <w:tcPr>
            <w:tcW w:w="723" w:type="dxa"/>
            <w:tcBorders>
              <w:top w:val="single" w:color="000000" w:sz="4" w:space="0"/>
              <w:left w:val="single" w:color="000000" w:sz="4" w:space="0"/>
              <w:bottom w:val="single" w:color="000000" w:sz="4" w:space="0"/>
              <w:right w:val="single" w:color="000000" w:sz="4" w:space="0"/>
            </w:tcBorders>
            <w:shd w:val="clear" w:color="auto" w:fill="D9E0F1"/>
          </w:tcPr>
          <w:p w:rsidRPr="00C932B7" w:rsidR="00C932B7" w:rsidP="00C932B7" w:rsidRDefault="00C932B7" w14:paraId="2C00BC3B" w14:textId="77777777">
            <w:pPr>
              <w:widowControl/>
              <w:kinsoku w:val="0"/>
              <w:overflowPunct w:val="0"/>
              <w:spacing w:before="11" w:line="178" w:lineRule="exact"/>
              <w:ind w:right="95"/>
              <w:jc w:val="right"/>
              <w:rPr>
                <w:rFonts w:ascii="Calibri" w:hAnsi="Calibri" w:cs="Calibri"/>
                <w:b/>
                <w:bCs/>
                <w:sz w:val="16"/>
                <w:szCs w:val="16"/>
              </w:rPr>
            </w:pPr>
            <w:r w:rsidRPr="00C932B7">
              <w:rPr>
                <w:rFonts w:ascii="Calibri" w:hAnsi="Calibri" w:cs="Calibri"/>
                <w:b/>
                <w:bCs/>
                <w:sz w:val="16"/>
                <w:szCs w:val="16"/>
              </w:rPr>
              <w:t>813</w:t>
            </w:r>
          </w:p>
        </w:tc>
        <w:tc>
          <w:tcPr>
            <w:tcW w:w="929" w:type="dxa"/>
            <w:tcBorders>
              <w:top w:val="single" w:color="000000" w:sz="4" w:space="0"/>
              <w:left w:val="single" w:color="000000" w:sz="4" w:space="0"/>
              <w:bottom w:val="single" w:color="000000" w:sz="4" w:space="0"/>
              <w:right w:val="single" w:color="000000" w:sz="4" w:space="0"/>
            </w:tcBorders>
            <w:shd w:val="clear" w:color="auto" w:fill="D9E0F1"/>
          </w:tcPr>
          <w:p w:rsidRPr="00C932B7" w:rsidR="00C932B7" w:rsidP="00C932B7" w:rsidRDefault="00C932B7" w14:paraId="3341FBC6" w14:textId="77777777">
            <w:pPr>
              <w:widowControl/>
              <w:kinsoku w:val="0"/>
              <w:overflowPunct w:val="0"/>
              <w:spacing w:before="11" w:line="178" w:lineRule="exact"/>
              <w:ind w:left="105"/>
              <w:rPr>
                <w:rFonts w:ascii="Calibri" w:hAnsi="Calibri" w:cs="Calibri"/>
                <w:b/>
                <w:bCs/>
                <w:sz w:val="16"/>
                <w:szCs w:val="16"/>
              </w:rPr>
            </w:pPr>
            <w:r w:rsidRPr="00C932B7">
              <w:rPr>
                <w:rFonts w:ascii="Calibri" w:hAnsi="Calibri" w:cs="Calibri"/>
                <w:b/>
                <w:bCs/>
                <w:sz w:val="16"/>
                <w:szCs w:val="16"/>
              </w:rPr>
              <w:t>15</w:t>
            </w:r>
          </w:p>
        </w:tc>
        <w:tc>
          <w:tcPr>
            <w:tcW w:w="725" w:type="dxa"/>
            <w:tcBorders>
              <w:top w:val="single" w:color="000000" w:sz="4" w:space="0"/>
              <w:left w:val="single" w:color="000000" w:sz="4" w:space="0"/>
              <w:bottom w:val="single" w:color="000000" w:sz="4" w:space="0"/>
              <w:right w:val="single" w:color="000000" w:sz="4" w:space="0"/>
            </w:tcBorders>
            <w:shd w:val="clear" w:color="auto" w:fill="D9E0F1"/>
          </w:tcPr>
          <w:p w:rsidRPr="00C932B7" w:rsidR="00C932B7" w:rsidP="00C932B7" w:rsidRDefault="00C932B7" w14:paraId="0564BAB1" w14:textId="77777777">
            <w:pPr>
              <w:widowControl/>
              <w:kinsoku w:val="0"/>
              <w:overflowPunct w:val="0"/>
              <w:spacing w:before="11" w:line="178" w:lineRule="exact"/>
              <w:ind w:left="105"/>
              <w:rPr>
                <w:rFonts w:ascii="Calibri" w:hAnsi="Calibri" w:cs="Calibri"/>
                <w:b/>
                <w:bCs/>
                <w:sz w:val="16"/>
                <w:szCs w:val="16"/>
              </w:rPr>
            </w:pPr>
            <w:r w:rsidRPr="00C932B7">
              <w:rPr>
                <w:rFonts w:ascii="Calibri" w:hAnsi="Calibri" w:cs="Calibri"/>
                <w:b/>
                <w:bCs/>
                <w:sz w:val="16"/>
                <w:szCs w:val="16"/>
              </w:rPr>
              <w:t>772</w:t>
            </w:r>
          </w:p>
        </w:tc>
        <w:tc>
          <w:tcPr>
            <w:tcW w:w="915" w:type="dxa"/>
            <w:tcBorders>
              <w:top w:val="single" w:color="000000" w:sz="4" w:space="0"/>
              <w:left w:val="single" w:color="000000" w:sz="4" w:space="0"/>
              <w:bottom w:val="single" w:color="000000" w:sz="4" w:space="0"/>
              <w:right w:val="single" w:color="000000" w:sz="4" w:space="0"/>
            </w:tcBorders>
            <w:shd w:val="clear" w:color="auto" w:fill="D9E0F1"/>
          </w:tcPr>
          <w:p w:rsidRPr="00C932B7" w:rsidR="00C932B7" w:rsidP="00C932B7" w:rsidRDefault="00C932B7" w14:paraId="045AD107" w14:textId="77777777">
            <w:pPr>
              <w:widowControl/>
              <w:kinsoku w:val="0"/>
              <w:overflowPunct w:val="0"/>
              <w:spacing w:before="11" w:line="178" w:lineRule="exact"/>
              <w:ind w:left="105"/>
              <w:rPr>
                <w:rFonts w:ascii="Calibri" w:hAnsi="Calibri" w:cs="Calibri"/>
                <w:b/>
                <w:bCs/>
                <w:sz w:val="16"/>
                <w:szCs w:val="16"/>
              </w:rPr>
            </w:pPr>
            <w:r w:rsidRPr="00C932B7">
              <w:rPr>
                <w:rFonts w:ascii="Calibri" w:hAnsi="Calibri" w:cs="Calibri"/>
                <w:b/>
                <w:bCs/>
                <w:sz w:val="16"/>
                <w:szCs w:val="16"/>
              </w:rPr>
              <w:t>16</w:t>
            </w:r>
          </w:p>
        </w:tc>
        <w:tc>
          <w:tcPr>
            <w:tcW w:w="898" w:type="dxa"/>
            <w:tcBorders>
              <w:top w:val="single" w:color="000000" w:sz="4" w:space="0"/>
              <w:left w:val="single" w:color="000000" w:sz="4" w:space="0"/>
              <w:bottom w:val="single" w:color="000000" w:sz="4" w:space="0"/>
              <w:right w:val="single" w:color="000000" w:sz="4" w:space="0"/>
            </w:tcBorders>
            <w:shd w:val="clear" w:color="auto" w:fill="D9E0F1"/>
          </w:tcPr>
          <w:p w:rsidRPr="00C932B7" w:rsidR="00C932B7" w:rsidP="00C932B7" w:rsidRDefault="00C932B7" w14:paraId="2B1199EA" w14:textId="77777777">
            <w:pPr>
              <w:widowControl/>
              <w:kinsoku w:val="0"/>
              <w:overflowPunct w:val="0"/>
              <w:spacing w:before="11" w:line="178" w:lineRule="exact"/>
              <w:ind w:right="99"/>
              <w:jc w:val="right"/>
              <w:rPr>
                <w:rFonts w:ascii="Calibri" w:hAnsi="Calibri" w:cs="Calibri"/>
                <w:b/>
                <w:bCs/>
                <w:sz w:val="16"/>
                <w:szCs w:val="16"/>
              </w:rPr>
            </w:pPr>
            <w:r w:rsidRPr="00C932B7">
              <w:rPr>
                <w:rFonts w:ascii="Calibri" w:hAnsi="Calibri" w:cs="Calibri"/>
                <w:b/>
                <w:bCs/>
                <w:sz w:val="16"/>
                <w:szCs w:val="16"/>
              </w:rPr>
              <w:t>13</w:t>
            </w:r>
          </w:p>
        </w:tc>
        <w:tc>
          <w:tcPr>
            <w:tcW w:w="754" w:type="dxa"/>
            <w:tcBorders>
              <w:top w:val="single" w:color="000000" w:sz="4" w:space="0"/>
              <w:left w:val="single" w:color="000000" w:sz="4" w:space="0"/>
              <w:bottom w:val="single" w:color="000000" w:sz="4" w:space="0"/>
              <w:right w:val="single" w:color="000000" w:sz="4" w:space="0"/>
            </w:tcBorders>
            <w:shd w:val="clear" w:color="auto" w:fill="D9E0F1"/>
          </w:tcPr>
          <w:p w:rsidRPr="00C932B7" w:rsidR="00C932B7" w:rsidP="00C932B7" w:rsidRDefault="00C932B7" w14:paraId="5D4A6B77" w14:textId="77777777">
            <w:pPr>
              <w:widowControl/>
              <w:kinsoku w:val="0"/>
              <w:overflowPunct w:val="0"/>
              <w:spacing w:before="11" w:line="178" w:lineRule="exact"/>
              <w:ind w:left="399"/>
              <w:rPr>
                <w:rFonts w:ascii="Calibri" w:hAnsi="Calibri" w:cs="Calibri"/>
                <w:b/>
                <w:bCs/>
                <w:sz w:val="16"/>
                <w:szCs w:val="16"/>
              </w:rPr>
            </w:pPr>
            <w:r w:rsidRPr="00C932B7">
              <w:rPr>
                <w:rFonts w:ascii="Calibri" w:hAnsi="Calibri" w:cs="Calibri"/>
                <w:b/>
                <w:bCs/>
                <w:sz w:val="16"/>
                <w:szCs w:val="16"/>
              </w:rPr>
              <w:t>155</w:t>
            </w:r>
          </w:p>
        </w:tc>
        <w:tc>
          <w:tcPr>
            <w:tcW w:w="838" w:type="dxa"/>
            <w:tcBorders>
              <w:top w:val="single" w:color="000000" w:sz="4" w:space="0"/>
              <w:left w:val="single" w:color="000000" w:sz="4" w:space="0"/>
              <w:bottom w:val="single" w:color="000000" w:sz="4" w:space="0"/>
              <w:right w:val="single" w:color="000000" w:sz="4" w:space="0"/>
            </w:tcBorders>
            <w:shd w:val="clear" w:color="auto" w:fill="D9E0F1"/>
          </w:tcPr>
          <w:p w:rsidRPr="00C932B7" w:rsidR="00C932B7" w:rsidP="00C932B7" w:rsidRDefault="00C932B7" w14:paraId="0B099CAF" w14:textId="77777777">
            <w:pPr>
              <w:widowControl/>
              <w:kinsoku w:val="0"/>
              <w:overflowPunct w:val="0"/>
              <w:spacing w:before="11" w:line="178" w:lineRule="exact"/>
              <w:ind w:right="100"/>
              <w:jc w:val="right"/>
              <w:rPr>
                <w:rFonts w:ascii="Calibri" w:hAnsi="Calibri" w:cs="Calibri"/>
                <w:b/>
                <w:bCs/>
                <w:sz w:val="16"/>
                <w:szCs w:val="16"/>
              </w:rPr>
            </w:pPr>
            <w:r w:rsidRPr="00C932B7">
              <w:rPr>
                <w:rFonts w:ascii="Calibri" w:hAnsi="Calibri" w:cs="Calibri"/>
                <w:b/>
                <w:bCs/>
                <w:sz w:val="16"/>
                <w:szCs w:val="16"/>
              </w:rPr>
              <w:t>10</w:t>
            </w:r>
          </w:p>
        </w:tc>
      </w:tr>
    </w:tbl>
    <w:p w:rsidR="00C932B7" w:rsidP="00C932B7" w:rsidRDefault="00C932B7" w14:paraId="15A10690" w14:textId="3BF794B2">
      <w:pPr>
        <w:spacing w:line="480" w:lineRule="auto"/>
      </w:pPr>
    </w:p>
    <w:p w:rsidRPr="00564E45" w:rsidR="006355EB" w:rsidP="00C71C04" w:rsidRDefault="00910A60" w14:paraId="4CBA5CE9" w14:textId="52F6668F">
      <w:pPr>
        <w:spacing w:line="480" w:lineRule="auto"/>
        <w:rPr>
          <w:b/>
        </w:rPr>
      </w:pPr>
      <w:r>
        <w:rPr>
          <w:b/>
        </w:rPr>
        <w:t>G</w:t>
      </w:r>
      <w:r w:rsidRPr="00CA22C0" w:rsidR="006355EB">
        <w:rPr>
          <w:b/>
        </w:rPr>
        <w:t>. Benefits</w:t>
      </w:r>
    </w:p>
    <w:p w:rsidRPr="00155E35" w:rsidR="001E1056" w:rsidP="00CA22C0" w:rsidRDefault="00CA22C0" w14:paraId="50EC4DF2" w14:textId="0B047140">
      <w:pPr>
        <w:pStyle w:val="Level1"/>
        <w:tabs>
          <w:tab w:val="left" w:pos="-1440"/>
        </w:tabs>
        <w:spacing w:line="480" w:lineRule="auto"/>
        <w:ind w:left="0" w:firstLine="0"/>
        <w:rPr>
          <w:highlight w:val="yellow"/>
        </w:rPr>
      </w:pPr>
      <w:r>
        <w:t xml:space="preserve">     </w:t>
      </w:r>
      <w:r w:rsidR="001E1056">
        <w:t xml:space="preserve">One </w:t>
      </w:r>
      <w:r w:rsidRPr="00CA22C0">
        <w:t xml:space="preserve">primary </w:t>
      </w:r>
      <w:r w:rsidRPr="00CA22C0" w:rsidR="001E1056">
        <w:t xml:space="preserve">benefit of the new B&amp;I CARES Act Program is </w:t>
      </w:r>
      <w:r w:rsidR="00D90F09">
        <w:t>that</w:t>
      </w:r>
      <w:r w:rsidRPr="00CA22C0" w:rsidR="00D90F09">
        <w:t xml:space="preserve"> </w:t>
      </w:r>
      <w:r w:rsidR="00D115EA">
        <w:t xml:space="preserve">it will </w:t>
      </w:r>
      <w:r w:rsidRPr="00CA22C0" w:rsidR="00D90F09">
        <w:t>provid</w:t>
      </w:r>
      <w:r w:rsidR="00D115EA">
        <w:t>e</w:t>
      </w:r>
      <w:r w:rsidRPr="00CA22C0" w:rsidR="00D90F09">
        <w:t xml:space="preserve"> </w:t>
      </w:r>
      <w:r w:rsidRPr="00CA22C0" w:rsidR="00155E35">
        <w:t xml:space="preserve">critical </w:t>
      </w:r>
      <w:r w:rsidRPr="00CA22C0" w:rsidR="00155E35">
        <w:lastRenderedPageBreak/>
        <w:t xml:space="preserve">funding </w:t>
      </w:r>
      <w:r w:rsidR="00D115EA">
        <w:t xml:space="preserve">to </w:t>
      </w:r>
      <w:r w:rsidRPr="00CA22C0" w:rsidR="00155E35">
        <w:t>rural businesses for operating expenses to allow them to stay open at this time</w:t>
      </w:r>
      <w:r w:rsidR="00105793">
        <w:t xml:space="preserve">. “Staying open” means </w:t>
      </w:r>
      <w:r w:rsidR="0004784D">
        <w:t>people are employed</w:t>
      </w:r>
      <w:r w:rsidR="00D90F09">
        <w:t>,</w:t>
      </w:r>
      <w:r w:rsidR="00910A60">
        <w:t xml:space="preserve"> which </w:t>
      </w:r>
      <w:r w:rsidR="0004784D">
        <w:t xml:space="preserve">adds </w:t>
      </w:r>
      <w:r w:rsidR="00105793">
        <w:t xml:space="preserve">stability to </w:t>
      </w:r>
      <w:r w:rsidR="0004784D">
        <w:t xml:space="preserve">the economies of rural families and businesses, </w:t>
      </w:r>
      <w:r w:rsidR="00910A60">
        <w:t xml:space="preserve">with a </w:t>
      </w:r>
      <w:r w:rsidR="0004784D">
        <w:t>positive</w:t>
      </w:r>
      <w:r w:rsidR="00910A60">
        <w:t xml:space="preserve"> economic </w:t>
      </w:r>
      <w:r w:rsidR="0004784D">
        <w:t xml:space="preserve">impact </w:t>
      </w:r>
      <w:r w:rsidR="00D115EA">
        <w:t>nationally</w:t>
      </w:r>
      <w:r w:rsidR="0004784D">
        <w:t xml:space="preserve">. </w:t>
      </w:r>
      <w:r w:rsidRPr="00CA22C0" w:rsidR="002E4830">
        <w:t xml:space="preserve">To </w:t>
      </w:r>
      <w:r w:rsidRPr="00CA22C0">
        <w:t xml:space="preserve">ensure that </w:t>
      </w:r>
      <w:r w:rsidRPr="00CA22C0" w:rsidR="002E4830">
        <w:t>busine</w:t>
      </w:r>
      <w:r w:rsidRPr="00CA22C0">
        <w:t>s</w:t>
      </w:r>
      <w:r w:rsidRPr="00CA22C0" w:rsidR="002E4830">
        <w:t xml:space="preserve">ses understand how to </w:t>
      </w:r>
      <w:r w:rsidRPr="00CA22C0">
        <w:t xml:space="preserve">participate in the new program, </w:t>
      </w:r>
      <w:r w:rsidRPr="00CA22C0" w:rsidR="002E4830">
        <w:t>the Agency</w:t>
      </w:r>
      <w:r w:rsidRPr="002E4830" w:rsidR="002E4830">
        <w:t xml:space="preserve"> will conduct B&amp;I CARES Act program training for lenders and is developing application guides for lenders and borrowers</w:t>
      </w:r>
      <w:r w:rsidR="003E5ACE">
        <w:t>.</w:t>
      </w:r>
      <w:r w:rsidR="00105793">
        <w:t xml:space="preserve"> </w:t>
      </w:r>
    </w:p>
    <w:p w:rsidR="00E80EF7" w:rsidP="00E60014" w:rsidRDefault="00E80EF7" w14:paraId="7A8A55C9" w14:textId="0565650C">
      <w:pPr>
        <w:spacing w:line="480" w:lineRule="auto"/>
        <w:ind w:firstLine="720"/>
      </w:pPr>
    </w:p>
    <w:p w:rsidRPr="00564E45" w:rsidR="00BE3C66" w:rsidP="00E60014" w:rsidRDefault="0042623B" w14:paraId="2809FAFB" w14:textId="7FD4648C">
      <w:pPr>
        <w:spacing w:line="480" w:lineRule="auto"/>
        <w:rPr>
          <w:b/>
        </w:rPr>
      </w:pPr>
      <w:r w:rsidRPr="004B6CF7">
        <w:rPr>
          <w:b/>
        </w:rPr>
        <w:t>H</w:t>
      </w:r>
      <w:r w:rsidRPr="004B6CF7" w:rsidR="00BE3C66">
        <w:rPr>
          <w:b/>
        </w:rPr>
        <w:t xml:space="preserve">. </w:t>
      </w:r>
      <w:r w:rsidRPr="004B6CF7" w:rsidR="002B4E57">
        <w:rPr>
          <w:b/>
        </w:rPr>
        <w:t xml:space="preserve">Estimation of </w:t>
      </w:r>
      <w:r w:rsidRPr="004B6CF7" w:rsidR="00BE3C66">
        <w:rPr>
          <w:b/>
        </w:rPr>
        <w:t>Costs</w:t>
      </w:r>
    </w:p>
    <w:p w:rsidR="009A4DDC" w:rsidP="004B6CF7" w:rsidRDefault="00A07B0B" w14:paraId="13958509" w14:textId="280CFB18">
      <w:pPr>
        <w:spacing w:line="480" w:lineRule="auto"/>
      </w:pPr>
      <w:r>
        <w:t xml:space="preserve">     </w:t>
      </w:r>
      <w:r w:rsidRPr="00564E45" w:rsidR="002B4E57">
        <w:t xml:space="preserve">In this section, the Agency presents the estimated costs associated with the </w:t>
      </w:r>
      <w:r w:rsidR="00AF67D5">
        <w:t xml:space="preserve">interim </w:t>
      </w:r>
      <w:r w:rsidRPr="00564E45" w:rsidR="008F4BEE">
        <w:t xml:space="preserve">final </w:t>
      </w:r>
      <w:r w:rsidRPr="00564E45" w:rsidR="002B4E57">
        <w:t xml:space="preserve">rule.  </w:t>
      </w:r>
      <w:r w:rsidRPr="00564E45" w:rsidR="00A63C3C">
        <w:t xml:space="preserve">The Agency estimates that </w:t>
      </w:r>
      <w:r w:rsidR="00AF67D5">
        <w:t>there will be approximately 500 applications for the new B&amp;I CARES Act Loan Program.</w:t>
      </w:r>
      <w:r w:rsidR="00CA22C0">
        <w:t xml:space="preserve"> </w:t>
      </w:r>
      <w:r w:rsidR="00AF67D5">
        <w:t xml:space="preserve"> </w:t>
      </w:r>
      <w:r w:rsidR="00CA22C0">
        <w:t xml:space="preserve">The costs </w:t>
      </w:r>
      <w:r w:rsidR="0016176D">
        <w:t xml:space="preserve">were </w:t>
      </w:r>
      <w:r w:rsidR="00CA22C0">
        <w:t xml:space="preserve">determined using the existing costs reported </w:t>
      </w:r>
      <w:r w:rsidR="0016176D">
        <w:t>on t</w:t>
      </w:r>
      <w:r w:rsidR="00CA22C0">
        <w:t xml:space="preserve">he B&amp;I Guaranteed Loan Program </w:t>
      </w:r>
    </w:p>
    <w:p w:rsidRPr="009A4DDC" w:rsidR="00AF67D5" w:rsidP="009A4DDC" w:rsidRDefault="009A4DDC" w14:paraId="1857C13C" w14:textId="4A09F233">
      <w:pPr>
        <w:spacing w:line="480" w:lineRule="auto"/>
        <w:rPr>
          <w:u w:val="single"/>
        </w:rPr>
      </w:pPr>
      <w:r w:rsidRPr="009A4DDC">
        <w:rPr>
          <w:u w:val="single"/>
        </w:rPr>
        <w:t>Costs to applicants</w:t>
      </w:r>
      <w:r w:rsidRPr="009A4DDC" w:rsidR="00A63C3C">
        <w:rPr>
          <w:u w:val="single"/>
        </w:rPr>
        <w:t xml:space="preserve"> </w:t>
      </w:r>
    </w:p>
    <w:p w:rsidRPr="00564E45" w:rsidR="00A86920" w:rsidP="00CA22C0" w:rsidRDefault="00CA22C0" w14:paraId="21EE2582" w14:textId="68A267E8">
      <w:pPr>
        <w:spacing w:line="480" w:lineRule="auto"/>
      </w:pPr>
      <w:r>
        <w:t xml:space="preserve">     </w:t>
      </w:r>
      <w:r w:rsidR="00AF67D5">
        <w:t>Most of the applicants are relatively highly paid professionals</w:t>
      </w:r>
      <w:r w:rsidR="001B3AE6">
        <w:t>,</w:t>
      </w:r>
      <w:r w:rsidR="00AF67D5">
        <w:t xml:space="preserve"> including financial specialists, financial analysts, and credit/loan officers.</w:t>
      </w:r>
      <w:r w:rsidR="009A4DDC">
        <w:t xml:space="preserve"> It is </w:t>
      </w:r>
      <w:r w:rsidR="00AF67D5">
        <w:t>determined that the hourly wage class was $48.29  per hour based upon the Bureau of Labor Statistics.  The overall cost is estimated at $</w:t>
      </w:r>
      <w:r w:rsidR="002D23F3">
        <w:t>23,800</w:t>
      </w:r>
      <w:r w:rsidR="00AF67D5">
        <w:t xml:space="preserve">.  </w:t>
      </w:r>
    </w:p>
    <w:p w:rsidR="009A4DDC" w:rsidP="00E60014" w:rsidRDefault="009A4DDC" w14:paraId="6F04B80D" w14:textId="56802603">
      <w:pPr>
        <w:spacing w:line="480" w:lineRule="auto"/>
        <w:rPr>
          <w:u w:val="single"/>
        </w:rPr>
      </w:pPr>
      <w:bookmarkStart w:name="OLE_LINK1" w:id="2"/>
      <w:bookmarkStart w:name="OLE_LINK2" w:id="3"/>
      <w:r>
        <w:rPr>
          <w:u w:val="single"/>
        </w:rPr>
        <w:t>Government Costs</w:t>
      </w:r>
    </w:p>
    <w:p w:rsidRPr="009A4DDC" w:rsidR="00AF67D5" w:rsidP="00CA22C0" w:rsidRDefault="00CA22C0" w14:paraId="5DEBEABF" w14:textId="798ED7E7">
      <w:pPr>
        <w:spacing w:line="480" w:lineRule="auto"/>
      </w:pPr>
      <w:r>
        <w:t xml:space="preserve">      </w:t>
      </w:r>
      <w:r w:rsidRPr="009A4DDC" w:rsidR="009A4DDC">
        <w:t xml:space="preserve">The annual cost to the Federal Government to collect and evaluate this information is estimated to be about </w:t>
      </w:r>
      <w:r w:rsidRPr="00FA3D37" w:rsidR="00FA3D37">
        <w:t>$1</w:t>
      </w:r>
      <w:r w:rsidR="002D23F3">
        <w:t>86,500</w:t>
      </w:r>
      <w:r w:rsidRPr="009A4DDC" w:rsidR="009A4DDC">
        <w:t xml:space="preserve"> per fiscal year.  Most of the review work is completed by GS-11 &amp; 12 State Loan Specialists and GS-13 State Program Directors, with GS-7 &amp; 8 Loan Technicians and clerks doing most of the computer data entry and typing.  Accordingly, the average rate was determined to be $27 per hour.  The hours were computed by estimating the average time it takes to review documentation, approve requests, and maintain the accounting and tracking systems.</w:t>
      </w:r>
    </w:p>
    <w:bookmarkEnd w:id="2"/>
    <w:bookmarkEnd w:id="3"/>
    <w:p w:rsidRPr="00564E45" w:rsidR="00A63C3C" w:rsidP="00E60014" w:rsidRDefault="00A63C3C" w14:paraId="51494A1B" w14:textId="77777777">
      <w:pPr>
        <w:spacing w:line="480" w:lineRule="auto"/>
        <w:rPr>
          <w:b/>
        </w:rPr>
      </w:pPr>
    </w:p>
    <w:p w:rsidRPr="00564E45" w:rsidR="00B706A7" w:rsidP="00B706A7" w:rsidRDefault="0042623B" w14:paraId="5E2A05FA" w14:textId="0B9AB653">
      <w:pPr>
        <w:spacing w:line="480" w:lineRule="auto"/>
        <w:rPr>
          <w:b/>
        </w:rPr>
      </w:pPr>
      <w:r w:rsidRPr="004B6CF7">
        <w:rPr>
          <w:b/>
        </w:rPr>
        <w:t>I</w:t>
      </w:r>
      <w:r w:rsidRPr="004B6CF7" w:rsidR="00B706A7">
        <w:rPr>
          <w:b/>
        </w:rPr>
        <w:t>.  Policy Implications</w:t>
      </w:r>
    </w:p>
    <w:p w:rsidRPr="00564E45" w:rsidR="0075507C" w:rsidP="00E61394" w:rsidRDefault="00B706A7" w14:paraId="25D94C9A" w14:textId="78024198">
      <w:pPr>
        <w:spacing w:line="480" w:lineRule="auto"/>
        <w:ind w:firstLine="720"/>
      </w:pPr>
      <w:r w:rsidRPr="00564E45">
        <w:t xml:space="preserve">The changes described in this document generally have relatively minor policy implications beyond the benefits and costs described above.  </w:t>
      </w:r>
    </w:p>
    <w:p w:rsidRPr="00564E45" w:rsidR="00645E05" w:rsidP="00C71C04" w:rsidRDefault="00645E05" w14:paraId="555F0275" w14:textId="77777777">
      <w:pPr>
        <w:spacing w:line="480" w:lineRule="auto"/>
        <w:rPr>
          <w:b/>
        </w:rPr>
      </w:pPr>
    </w:p>
    <w:p w:rsidR="009A4DDC" w:rsidP="007D110D" w:rsidRDefault="0042623B" w14:paraId="4EF45DD1" w14:textId="49514706">
      <w:pPr>
        <w:spacing w:line="480" w:lineRule="auto"/>
        <w:rPr>
          <w:b/>
        </w:rPr>
      </w:pPr>
      <w:r w:rsidRPr="00645E05">
        <w:rPr>
          <w:b/>
        </w:rPr>
        <w:t>J</w:t>
      </w:r>
      <w:r w:rsidRPr="00645E05" w:rsidR="00BE3C66">
        <w:rPr>
          <w:b/>
        </w:rPr>
        <w:t xml:space="preserve">.  </w:t>
      </w:r>
      <w:r w:rsidRPr="00645E05" w:rsidR="007D110D">
        <w:rPr>
          <w:b/>
        </w:rPr>
        <w:t>Economic Analysis</w:t>
      </w:r>
    </w:p>
    <w:p w:rsidR="007D110D" w:rsidP="00E61394" w:rsidRDefault="009A4DDC" w14:paraId="25868128" w14:textId="4F288DBA">
      <w:pPr>
        <w:spacing w:line="480" w:lineRule="auto"/>
      </w:pPr>
      <w:r>
        <w:rPr>
          <w:b/>
        </w:rPr>
        <w:t xml:space="preserve">      </w:t>
      </w:r>
      <w:r w:rsidRPr="00564E45" w:rsidR="007D110D">
        <w:t xml:space="preserve">The B&amp;I Guaranteed Loan program, authorized under </w:t>
      </w:r>
      <w:r w:rsidRPr="00564E45" w:rsidR="00D90F09">
        <w:t>Section 310B of the Consolidated Farm and Rural Development Act</w:t>
      </w:r>
      <w:r w:rsidR="00D90F09">
        <w:t xml:space="preserve"> of 1972</w:t>
      </w:r>
      <w:r w:rsidRPr="00564E45" w:rsidR="00D90F09">
        <w:t>, as amended by subsequent Farm Bills</w:t>
      </w:r>
      <w:r w:rsidRPr="00564E45" w:rsidR="007D110D">
        <w:t>, receives only appropriated funding each year; there is no mandatory funding associated with the program.  The Agency estimates from Fiscal Years 2016 through 2021 a total appropriated funding level of $326 million in budget authority.  If Congress elects to appropriate</w:t>
      </w:r>
      <w:r w:rsidR="00846EDA">
        <w:t xml:space="preserve"> a different amount of </w:t>
      </w:r>
      <w:r w:rsidRPr="00564E45" w:rsidR="007D110D">
        <w:t xml:space="preserve">funding to this program than the Agency has estimated, then this value will change accordingly.  </w:t>
      </w:r>
    </w:p>
    <w:p w:rsidR="007D110D" w:rsidP="004B6CF7" w:rsidRDefault="00321088" w14:paraId="34159BBF" w14:textId="6BB1C313">
      <w:pPr>
        <w:spacing w:line="480" w:lineRule="auto"/>
      </w:pPr>
      <w:r>
        <w:t xml:space="preserve">     </w:t>
      </w:r>
      <w:r w:rsidRPr="00564E45" w:rsidR="007D110D">
        <w:t>Using an interest rate of 3 percent results in an annualized budget authority of $56.2 million and using an interest rate of 7 percent results in slightly higher annualized budget authority of $58.7 million.</w:t>
      </w:r>
    </w:p>
    <w:p w:rsidRPr="00726B75" w:rsidR="00726B75" w:rsidP="004B6CF7" w:rsidRDefault="00321088" w14:paraId="45EA72CE" w14:textId="7217AE40">
      <w:pPr>
        <w:spacing w:line="480" w:lineRule="auto"/>
        <w:rPr>
          <w:color w:val="0070C0"/>
        </w:rPr>
      </w:pPr>
      <w:r>
        <w:t xml:space="preserve">     </w:t>
      </w:r>
      <w:r w:rsidRPr="002D23F3" w:rsidR="009A4DDC">
        <w:t xml:space="preserve">Under </w:t>
      </w:r>
      <w:r w:rsidRPr="002D23F3" w:rsidR="00E61394">
        <w:t xml:space="preserve">Division B, Title I of the CARES Act, </w:t>
      </w:r>
      <w:r w:rsidRPr="002D23F3" w:rsidR="009A4DDC">
        <w:t xml:space="preserve">RBCS received funding and authority to provide </w:t>
      </w:r>
      <w:r w:rsidRPr="002D23F3" w:rsidR="00E61394">
        <w:t xml:space="preserve"> $20,500,000 </w:t>
      </w:r>
      <w:r w:rsidRPr="002D23F3" w:rsidR="009A4DDC">
        <w:t>for use under the Business &amp; Industry (B&amp;I) Guaranteed Loan Program.</w:t>
      </w:r>
      <w:r w:rsidR="003A64A1">
        <w:t xml:space="preserve"> </w:t>
      </w:r>
      <w:r w:rsidRPr="003A64A1" w:rsidR="003A64A1">
        <w:t>The $20.5</w:t>
      </w:r>
      <w:r w:rsidR="003A64A1">
        <w:t xml:space="preserve"> million </w:t>
      </w:r>
      <w:r w:rsidRPr="003A64A1" w:rsidR="003A64A1">
        <w:t>funding</w:t>
      </w:r>
      <w:r w:rsidR="00D90F09">
        <w:t>,</w:t>
      </w:r>
      <w:r w:rsidRPr="003A64A1" w:rsidR="003A64A1">
        <w:t xml:space="preserve"> reduced by 3</w:t>
      </w:r>
      <w:r w:rsidR="003A64A1">
        <w:t xml:space="preserve"> percent f</w:t>
      </w:r>
      <w:r w:rsidRPr="003A64A1" w:rsidR="003A64A1">
        <w:t>or administration cost</w:t>
      </w:r>
      <w:r w:rsidR="00D90F09">
        <w:t>,</w:t>
      </w:r>
      <w:r w:rsidRPr="003A64A1" w:rsidR="003A64A1">
        <w:t xml:space="preserve"> leaves $19.885</w:t>
      </w:r>
      <w:r w:rsidR="003A64A1">
        <w:t xml:space="preserve"> million in </w:t>
      </w:r>
      <w:r w:rsidRPr="003A64A1" w:rsidR="003A64A1">
        <w:t>Budget Authority</w:t>
      </w:r>
      <w:r w:rsidR="00D90F09">
        <w:t>,</w:t>
      </w:r>
      <w:r w:rsidRPr="003A64A1" w:rsidR="003A64A1">
        <w:t xml:space="preserve"> </w:t>
      </w:r>
      <w:r w:rsidR="00D90F09">
        <w:t xml:space="preserve">which </w:t>
      </w:r>
      <w:r w:rsidR="00337971">
        <w:t>amounts</w:t>
      </w:r>
      <w:r w:rsidRPr="003A64A1" w:rsidR="00D90F09">
        <w:t xml:space="preserve"> </w:t>
      </w:r>
      <w:r w:rsidRPr="003A64A1" w:rsidR="003A64A1">
        <w:t>to a program level of about $950 million ($951.4M).</w:t>
      </w:r>
      <w:r w:rsidRPr="003A64A1" w:rsidR="009A4DDC">
        <w:t xml:space="preserve"> </w:t>
      </w:r>
      <w:r w:rsidRPr="004B6CF7" w:rsidR="00726B75">
        <w:t xml:space="preserve">These funds will be made available with the publication of a Notice of Funding Availability (NOFA) which will </w:t>
      </w:r>
      <w:r w:rsidR="00D90F09">
        <w:t xml:space="preserve">be </w:t>
      </w:r>
      <w:r w:rsidRPr="004B6CF7" w:rsidR="00726B75">
        <w:t>concurrently publish</w:t>
      </w:r>
      <w:r w:rsidR="00D90F09">
        <w:t>ed</w:t>
      </w:r>
      <w:r w:rsidRPr="004B6CF7" w:rsidR="00726B75">
        <w:t xml:space="preserve"> in the </w:t>
      </w:r>
      <w:r w:rsidRPr="004B6CF7" w:rsidR="00726B75">
        <w:rPr>
          <w:i/>
          <w:iCs/>
        </w:rPr>
        <w:t>Federal Register</w:t>
      </w:r>
      <w:r w:rsidRPr="004B6CF7" w:rsidR="00726B75">
        <w:t xml:space="preserve"> on the </w:t>
      </w:r>
      <w:r w:rsidR="00D90F09">
        <w:t xml:space="preserve">same </w:t>
      </w:r>
      <w:r w:rsidR="00CB4153">
        <w:t xml:space="preserve">day </w:t>
      </w:r>
      <w:r w:rsidRPr="004B6CF7" w:rsidR="00726B75">
        <w:t xml:space="preserve">as the interim final rule. Applications will be accepted beginning on the publication </w:t>
      </w:r>
      <w:r w:rsidR="00CB4153">
        <w:t xml:space="preserve">date </w:t>
      </w:r>
      <w:r w:rsidRPr="004B6CF7" w:rsidR="00726B75">
        <w:t xml:space="preserve">and must be received no later than September 15, 2021, or until funds are expended.  Program funding expires September 30, </w:t>
      </w:r>
      <w:r w:rsidRPr="004B6CF7" w:rsidR="00726B75">
        <w:lastRenderedPageBreak/>
        <w:t xml:space="preserve">2021.   </w:t>
      </w:r>
    </w:p>
    <w:p w:rsidRPr="00564E45" w:rsidR="007D110D" w:rsidP="007D110D" w:rsidRDefault="007D110D" w14:paraId="3C04BB6A" w14:textId="72411176">
      <w:pPr>
        <w:spacing w:line="480" w:lineRule="auto"/>
        <w:rPr>
          <w:b/>
        </w:rPr>
      </w:pPr>
    </w:p>
    <w:p w:rsidR="00BE3C66" w:rsidP="007D110D" w:rsidRDefault="0042623B" w14:paraId="03ACCB66" w14:textId="4547CF2F">
      <w:pPr>
        <w:spacing w:line="480" w:lineRule="auto"/>
        <w:rPr>
          <w:b/>
        </w:rPr>
      </w:pPr>
      <w:r w:rsidRPr="004B6CF7">
        <w:rPr>
          <w:b/>
        </w:rPr>
        <w:t>K</w:t>
      </w:r>
      <w:r w:rsidRPr="004B6CF7" w:rsidR="007D110D">
        <w:rPr>
          <w:b/>
        </w:rPr>
        <w:t xml:space="preserve">.  </w:t>
      </w:r>
      <w:r w:rsidRPr="004B6CF7" w:rsidR="00BE3C66">
        <w:rPr>
          <w:b/>
        </w:rPr>
        <w:t>Summary</w:t>
      </w:r>
    </w:p>
    <w:p w:rsidR="00A07B0B" w:rsidP="00EC5956" w:rsidRDefault="00A07B0B" w14:paraId="3DF87183" w14:textId="1184D386">
      <w:pPr>
        <w:spacing w:line="480" w:lineRule="auto"/>
        <w:rPr>
          <w:bCs/>
        </w:rPr>
      </w:pPr>
      <w:r>
        <w:rPr>
          <w:bCs/>
        </w:rPr>
        <w:t xml:space="preserve">     </w:t>
      </w:r>
      <w:r w:rsidRPr="004B6CF7" w:rsidR="00EC5956">
        <w:rPr>
          <w:bCs/>
        </w:rPr>
        <w:t>The Rural Business Cooperative Service (RBCS) received funding and authority through Division B</w:t>
      </w:r>
      <w:r w:rsidR="00972C07">
        <w:rPr>
          <w:bCs/>
        </w:rPr>
        <w:t>, Title I</w:t>
      </w:r>
      <w:r w:rsidRPr="004B6CF7" w:rsidR="00EC5956">
        <w:rPr>
          <w:bCs/>
        </w:rPr>
        <w:t xml:space="preserve"> of the Coronavirus Aid, Relief, and Economic Security Act (CARES Act), to provide for additional funds for use under the Business &amp; Industry (B&amp;I) Guaranteed Loan Program to prevent, prepare for</w:t>
      </w:r>
      <w:r w:rsidR="00972C07">
        <w:rPr>
          <w:bCs/>
        </w:rPr>
        <w:t>,</w:t>
      </w:r>
      <w:r w:rsidRPr="004B6CF7" w:rsidR="00EC5956">
        <w:rPr>
          <w:bCs/>
        </w:rPr>
        <w:t xml:space="preserve"> and respond to the effects of the national COVID-19 Public Health Emergency. Accordingly, this interim final rule would update the B&amp;I Guaranteed Loan Program (7 CFR Parts 4279 and 4287) and implement the new B&amp;I CARES Act Loan Program to allow flexibility to obligate federal funds for guaranteed loans pursuant to the CARES Act. Simultaneously, the Agency is announcing the Notice of Funding Availability for the CARES Act. </w:t>
      </w:r>
    </w:p>
    <w:p w:rsidRPr="004B6CF7" w:rsidR="00EC5956" w:rsidP="00EC5956" w:rsidRDefault="00A07B0B" w14:paraId="20574384" w14:textId="07F93303">
      <w:pPr>
        <w:spacing w:line="480" w:lineRule="auto"/>
        <w:rPr>
          <w:bCs/>
        </w:rPr>
      </w:pPr>
      <w:r>
        <w:rPr>
          <w:bCs/>
        </w:rPr>
        <w:t xml:space="preserve">     </w:t>
      </w:r>
      <w:r w:rsidRPr="004B6CF7" w:rsidR="00EC5956">
        <w:rPr>
          <w:bCs/>
        </w:rPr>
        <w:t>Th</w:t>
      </w:r>
      <w:r>
        <w:rPr>
          <w:bCs/>
        </w:rPr>
        <w:t xml:space="preserve">is rulemaking </w:t>
      </w:r>
      <w:r w:rsidRPr="004B6CF7" w:rsidR="00EC5956">
        <w:rPr>
          <w:bCs/>
        </w:rPr>
        <w:t>will allow the Agency to make available guaranteed loan funds to be used for working capital loan purposes to support business operations and facilities in rural areas.</w:t>
      </w:r>
    </w:p>
    <w:p w:rsidR="00FE78B1" w:rsidP="0040084F" w:rsidRDefault="00EC5956" w14:paraId="1D25F3B0" w14:textId="40093F4A">
      <w:pPr>
        <w:spacing w:line="480" w:lineRule="auto"/>
        <w:rPr>
          <w:bCs/>
        </w:rPr>
      </w:pPr>
      <w:r>
        <w:rPr>
          <w:bCs/>
        </w:rPr>
        <w:t>If funding availability is delayed,</w:t>
      </w:r>
      <w:r w:rsidR="0040084F">
        <w:rPr>
          <w:bCs/>
        </w:rPr>
        <w:t xml:space="preserve"> </w:t>
      </w:r>
      <w:r w:rsidRPr="004B6CF7">
        <w:rPr>
          <w:bCs/>
        </w:rPr>
        <w:t xml:space="preserve">Rural Businesses that are severely impacted due to the economic impacts of the COVID-19 pandemic will not </w:t>
      </w:r>
      <w:r w:rsidR="00972C07">
        <w:rPr>
          <w:bCs/>
        </w:rPr>
        <w:t xml:space="preserve">timely </w:t>
      </w:r>
      <w:r w:rsidRPr="004B6CF7">
        <w:rPr>
          <w:bCs/>
        </w:rPr>
        <w:t xml:space="preserve">receive this critical funding </w:t>
      </w:r>
      <w:r w:rsidR="00A7587F">
        <w:rPr>
          <w:bCs/>
        </w:rPr>
        <w:t xml:space="preserve">for operating expenses </w:t>
      </w:r>
      <w:r w:rsidRPr="004B6CF7">
        <w:rPr>
          <w:bCs/>
        </w:rPr>
        <w:t xml:space="preserve">that will allow them to stay open at this time. Therefore, </w:t>
      </w:r>
      <w:r w:rsidR="0040084F">
        <w:rPr>
          <w:bCs/>
        </w:rPr>
        <w:t xml:space="preserve">it is the </w:t>
      </w:r>
      <w:r w:rsidRPr="004B6CF7">
        <w:rPr>
          <w:bCs/>
        </w:rPr>
        <w:t xml:space="preserve">goal </w:t>
      </w:r>
      <w:r w:rsidR="0040084F">
        <w:rPr>
          <w:bCs/>
        </w:rPr>
        <w:t xml:space="preserve">of the Agency </w:t>
      </w:r>
      <w:r w:rsidRPr="004B6CF7">
        <w:rPr>
          <w:bCs/>
        </w:rPr>
        <w:t>to publish this rule as soon as possible.</w:t>
      </w:r>
    </w:p>
    <w:p w:rsidRPr="00FE78B1" w:rsidR="00EC5956" w:rsidP="00FE78B1" w:rsidRDefault="00EC5956" w14:paraId="5D6633D3" w14:textId="6540768D">
      <w:pPr>
        <w:spacing w:line="480" w:lineRule="auto"/>
        <w:rPr>
          <w:bCs/>
        </w:rPr>
      </w:pPr>
      <w:r>
        <w:rPr>
          <w:bCs/>
        </w:rPr>
        <w:t xml:space="preserve">     </w:t>
      </w:r>
    </w:p>
    <w:sectPr w:rsidRPr="00FE78B1" w:rsidR="00EC5956" w:rsidSect="00730940">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5E271" w14:textId="77777777" w:rsidR="00E52D6A" w:rsidRDefault="00E52D6A">
      <w:r>
        <w:separator/>
      </w:r>
    </w:p>
  </w:endnote>
  <w:endnote w:type="continuationSeparator" w:id="0">
    <w:p w14:paraId="54C57E43" w14:textId="77777777" w:rsidR="00E52D6A" w:rsidRDefault="00E52D6A">
      <w:r>
        <w:continuationSeparator/>
      </w:r>
    </w:p>
  </w:endnote>
  <w:endnote w:type="continuationNotice" w:id="1">
    <w:p w14:paraId="372D1A11" w14:textId="77777777" w:rsidR="00E52D6A" w:rsidRDefault="00E52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70F02" w14:textId="10320F64" w:rsidR="003708A8" w:rsidRDefault="003708A8">
    <w:pPr>
      <w:pStyle w:val="Footer"/>
      <w:jc w:val="center"/>
    </w:pPr>
    <w:r>
      <w:fldChar w:fldCharType="begin"/>
    </w:r>
    <w:r>
      <w:instrText xml:space="preserve"> PAGE   \* MERGEFORMAT </w:instrText>
    </w:r>
    <w:r>
      <w:fldChar w:fldCharType="separate"/>
    </w:r>
    <w:r w:rsidR="001B3AE6">
      <w:rPr>
        <w:noProof/>
      </w:rPr>
      <w:t>12</w:t>
    </w:r>
    <w:r>
      <w:rPr>
        <w:noProof/>
      </w:rPr>
      <w:fldChar w:fldCharType="end"/>
    </w:r>
  </w:p>
  <w:p w14:paraId="76C792AB" w14:textId="77777777" w:rsidR="003708A8" w:rsidRDefault="00370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E1972" w14:textId="77777777" w:rsidR="00E52D6A" w:rsidRDefault="00E52D6A">
      <w:r>
        <w:separator/>
      </w:r>
    </w:p>
  </w:footnote>
  <w:footnote w:type="continuationSeparator" w:id="0">
    <w:p w14:paraId="34B35004" w14:textId="77777777" w:rsidR="00E52D6A" w:rsidRDefault="00E52D6A">
      <w:r>
        <w:continuationSeparator/>
      </w:r>
    </w:p>
  </w:footnote>
  <w:footnote w:type="continuationNotice" w:id="1">
    <w:p w14:paraId="60CFA6F3" w14:textId="77777777" w:rsidR="00E52D6A" w:rsidRDefault="00E52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38F3E" w14:textId="0654D745" w:rsidR="003708A8" w:rsidRPr="004D2A6C" w:rsidRDefault="003708A8" w:rsidP="004D2A6C">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822E4FA"/>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A"/>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0000000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C"/>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E"/>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5" w15:restartNumberingAfterBreak="0">
    <w:nsid w:val="0000000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15:restartNumberingAfterBreak="0">
    <w:nsid w:val="00000010"/>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7" w15:restartNumberingAfterBreak="0">
    <w:nsid w:val="0000001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1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9" w15:restartNumberingAfterBreak="0">
    <w:nsid w:val="0000001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15:restartNumberingAfterBreak="0">
    <w:nsid w:val="0000001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1" w15:restartNumberingAfterBreak="0">
    <w:nsid w:val="0000001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2" w15:restartNumberingAfterBreak="0">
    <w:nsid w:val="00000016"/>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3" w15:restartNumberingAfterBreak="0">
    <w:nsid w:val="0000001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4" w15:restartNumberingAfterBreak="0">
    <w:nsid w:val="0000001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5" w15:restartNumberingAfterBreak="0">
    <w:nsid w:val="0000001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6" w15:restartNumberingAfterBreak="0">
    <w:nsid w:val="0000001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7" w15:restartNumberingAfterBreak="0">
    <w:nsid w:val="0000001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8" w15:restartNumberingAfterBreak="0">
    <w:nsid w:val="0000001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9" w15:restartNumberingAfterBreak="0">
    <w:nsid w:val="0000001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0" w15:restartNumberingAfterBreak="0">
    <w:nsid w:val="01084A3F"/>
    <w:multiLevelType w:val="hybridMultilevel"/>
    <w:tmpl w:val="17EAF1DE"/>
    <w:lvl w:ilvl="0" w:tplc="E822E4FA">
      <w:numFmt w:val="decimal"/>
      <w:lvlText w:val="%1."/>
      <w:legacy w:legacy="1" w:legacySpace="0" w:legacyIndent="720"/>
      <w:lvlJc w:val="left"/>
      <w:pPr>
        <w:ind w:left="2160" w:hanging="72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05651AF4"/>
    <w:multiLevelType w:val="hybridMultilevel"/>
    <w:tmpl w:val="6A164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06D2545E"/>
    <w:multiLevelType w:val="hybridMultilevel"/>
    <w:tmpl w:val="E1260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78A7192"/>
    <w:multiLevelType w:val="hybridMultilevel"/>
    <w:tmpl w:val="59707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0FEA25DD"/>
    <w:multiLevelType w:val="hybridMultilevel"/>
    <w:tmpl w:val="9A58AD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168B78BB"/>
    <w:multiLevelType w:val="hybridMultilevel"/>
    <w:tmpl w:val="F56E1A1C"/>
    <w:lvl w:ilvl="0" w:tplc="CA76CE82">
      <w:start w:val="7"/>
      <w:numFmt w:val="bullet"/>
      <w:lvlText w:val="-"/>
      <w:lvlJc w:val="left"/>
      <w:pPr>
        <w:tabs>
          <w:tab w:val="num" w:pos="1080"/>
        </w:tabs>
        <w:ind w:left="1080" w:hanging="360"/>
      </w:pPr>
      <w:rPr>
        <w:rFonts w:ascii="Courier New" w:eastAsia="Times New Roman"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7B40BDB"/>
    <w:multiLevelType w:val="hybridMultilevel"/>
    <w:tmpl w:val="1884C98A"/>
    <w:lvl w:ilvl="0" w:tplc="C248D93E">
      <w:start w:val="1"/>
      <w:numFmt w:val="bullet"/>
      <w:lvlText w:val=""/>
      <w:lvlJc w:val="left"/>
      <w:pPr>
        <w:tabs>
          <w:tab w:val="num" w:pos="1440"/>
        </w:tabs>
        <w:ind w:left="1440"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1E4A3F98"/>
    <w:multiLevelType w:val="hybridMultilevel"/>
    <w:tmpl w:val="67AEF8F8"/>
    <w:lvl w:ilvl="0" w:tplc="31749A6A">
      <w:start w:val="1"/>
      <w:numFmt w:val="decimal"/>
      <w:lvlText w:val="%1."/>
      <w:lvlJc w:val="left"/>
      <w:pPr>
        <w:ind w:left="2016" w:hanging="12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C9B776C"/>
    <w:multiLevelType w:val="hybridMultilevel"/>
    <w:tmpl w:val="74E01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DA834C5"/>
    <w:multiLevelType w:val="hybridMultilevel"/>
    <w:tmpl w:val="55BC99B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15:restartNumberingAfterBreak="0">
    <w:nsid w:val="323D7B2D"/>
    <w:multiLevelType w:val="hybridMultilevel"/>
    <w:tmpl w:val="0E6A4838"/>
    <w:lvl w:ilvl="0" w:tplc="9D6813A6">
      <w:start w:val="6"/>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2755F0A"/>
    <w:multiLevelType w:val="hybridMultilevel"/>
    <w:tmpl w:val="8E6436E8"/>
    <w:lvl w:ilvl="0" w:tplc="E822E4FA">
      <w:numFmt w:val="decimal"/>
      <w:lvlText w:val="%1."/>
      <w:legacy w:legacy="1" w:legacySpace="0" w:legacyIndent="720"/>
      <w:lvlJc w:val="left"/>
      <w:pPr>
        <w:ind w:left="2160" w:hanging="72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333D5C64"/>
    <w:multiLevelType w:val="hybridMultilevel"/>
    <w:tmpl w:val="4B8E1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3632455"/>
    <w:multiLevelType w:val="hybridMultilevel"/>
    <w:tmpl w:val="C7963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440B0D"/>
    <w:multiLevelType w:val="hybridMultilevel"/>
    <w:tmpl w:val="62F6D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90D6476"/>
    <w:multiLevelType w:val="hybridMultilevel"/>
    <w:tmpl w:val="E75A1FC8"/>
    <w:lvl w:ilvl="0" w:tplc="A970DDC2">
      <w:start w:val="1"/>
      <w:numFmt w:val="decimal"/>
      <w:lvlText w:val="(%1)"/>
      <w:lvlJc w:val="left"/>
      <w:pPr>
        <w:ind w:left="1845" w:hanging="121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15:restartNumberingAfterBreak="0">
    <w:nsid w:val="3BA27840"/>
    <w:multiLevelType w:val="hybridMultilevel"/>
    <w:tmpl w:val="11880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DAF2DA1"/>
    <w:multiLevelType w:val="hybridMultilevel"/>
    <w:tmpl w:val="F6F475FA"/>
    <w:lvl w:ilvl="0" w:tplc="1C1E2A02">
      <w:start w:val="5"/>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DF1BD0"/>
    <w:multiLevelType w:val="hybridMultilevel"/>
    <w:tmpl w:val="1B249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3BB2536"/>
    <w:multiLevelType w:val="hybridMultilevel"/>
    <w:tmpl w:val="E2C06CC2"/>
    <w:lvl w:ilvl="0" w:tplc="A8D0E752">
      <w:start w:val="5"/>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AF63FD"/>
    <w:multiLevelType w:val="hybridMultilevel"/>
    <w:tmpl w:val="CC88046C"/>
    <w:lvl w:ilvl="0" w:tplc="D7185D46">
      <w:start w:val="1"/>
      <w:numFmt w:val="decimal"/>
      <w:lvlText w:val="(%1)"/>
      <w:lvlJc w:val="left"/>
      <w:pPr>
        <w:ind w:left="1842" w:hanging="1212"/>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15:restartNumberingAfterBreak="0">
    <w:nsid w:val="50104ADF"/>
    <w:multiLevelType w:val="hybridMultilevel"/>
    <w:tmpl w:val="11C63D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1AC6E91"/>
    <w:multiLevelType w:val="hybridMultilevel"/>
    <w:tmpl w:val="FD540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2195851"/>
    <w:multiLevelType w:val="hybridMultilevel"/>
    <w:tmpl w:val="A5F8C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D9237B"/>
    <w:multiLevelType w:val="hybridMultilevel"/>
    <w:tmpl w:val="FCEA4394"/>
    <w:lvl w:ilvl="0" w:tplc="C248D93E">
      <w:start w:val="1"/>
      <w:numFmt w:val="bullet"/>
      <w:lvlText w:val=""/>
      <w:lvlJc w:val="left"/>
      <w:pPr>
        <w:tabs>
          <w:tab w:val="num" w:pos="1440"/>
        </w:tabs>
        <w:ind w:left="1440"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6CCE7CAE"/>
    <w:multiLevelType w:val="hybridMultilevel"/>
    <w:tmpl w:val="F84E5962"/>
    <w:lvl w:ilvl="0" w:tplc="E822E4FA">
      <w:numFmt w:val="decimal"/>
      <w:lvlText w:val="%1."/>
      <w:legacy w:legacy="1" w:legacySpace="0" w:legacyIndent="720"/>
      <w:lvlJc w:val="left"/>
      <w:pPr>
        <w:ind w:left="2160" w:hanging="72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6F362FE3"/>
    <w:multiLevelType w:val="hybridMultilevel"/>
    <w:tmpl w:val="BEF2BC16"/>
    <w:lvl w:ilvl="0" w:tplc="BCCC9366">
      <w:numFmt w:val="bullet"/>
      <w:lvlText w:val="·"/>
      <w:legacy w:legacy="1" w:legacySpace="0" w:legacyIndent="720"/>
      <w:lvlJc w:val="left"/>
      <w:pPr>
        <w:ind w:left="2160" w:hanging="72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72FE434B"/>
    <w:multiLevelType w:val="hybridMultilevel"/>
    <w:tmpl w:val="CE54E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54A68F3"/>
    <w:multiLevelType w:val="hybridMultilevel"/>
    <w:tmpl w:val="1A244180"/>
    <w:lvl w:ilvl="0" w:tplc="C248D93E">
      <w:start w:val="1"/>
      <w:numFmt w:val="bullet"/>
      <w:lvlText w:val=""/>
      <w:lvlJc w:val="left"/>
      <w:pPr>
        <w:tabs>
          <w:tab w:val="num" w:pos="1440"/>
        </w:tabs>
        <w:ind w:left="1440"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764D4BF8"/>
    <w:multiLevelType w:val="hybridMultilevel"/>
    <w:tmpl w:val="777C494A"/>
    <w:lvl w:ilvl="0" w:tplc="C248D93E">
      <w:start w:val="1"/>
      <w:numFmt w:val="bullet"/>
      <w:lvlText w:val=""/>
      <w:lvlJc w:val="left"/>
      <w:pPr>
        <w:tabs>
          <w:tab w:val="num" w:pos="1440"/>
        </w:tabs>
        <w:ind w:left="1440"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7C0E662F"/>
    <w:multiLevelType w:val="hybridMultilevel"/>
    <w:tmpl w:val="D4BCD7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C940120"/>
    <w:multiLevelType w:val="hybridMultilevel"/>
    <w:tmpl w:val="A19EA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9D33D7"/>
    <w:multiLevelType w:val="hybridMultilevel"/>
    <w:tmpl w:val="E0A47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F8B5D6D"/>
    <w:multiLevelType w:val="hybridMultilevel"/>
    <w:tmpl w:val="F058DE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decimal"/>
        <w:lvlText w:val="%1."/>
        <w:legacy w:legacy="1" w:legacySpace="0" w:legacyIndent="720"/>
        <w:lvlJc w:val="left"/>
        <w:pPr>
          <w:ind w:left="1440" w:hanging="720"/>
        </w:pPr>
        <w:rPr>
          <w:rFonts w:ascii="Times New Roman" w:eastAsia="Times New Roman" w:hAnsi="Times New Roman" w:cs="Times New Roman"/>
        </w:rPr>
      </w:lvl>
    </w:lvlOverride>
  </w:num>
  <w:num w:numId="2">
    <w:abstractNumId w:val="0"/>
    <w:lvlOverride w:ilvl="0">
      <w:lvl w:ilvl="0">
        <w:numFmt w:val="bullet"/>
        <w:lvlText w:val="·"/>
        <w:legacy w:legacy="1" w:legacySpace="0" w:legacyIndent="540"/>
        <w:lvlJc w:val="left"/>
        <w:pPr>
          <w:ind w:left="2160" w:hanging="540"/>
        </w:pPr>
        <w:rPr>
          <w:rFonts w:ascii="Times New Roman" w:hAnsi="Times New Roman" w:cs="Times New Roman" w:hint="default"/>
        </w:rPr>
      </w:lvl>
    </w:lvlOverride>
  </w:num>
  <w:num w:numId="3">
    <w:abstractNumId w:val="0"/>
    <w:lvlOverride w:ilvl="0">
      <w:lvl w:ilvl="0">
        <w:numFmt w:val="bullet"/>
        <w:lvlText w:val="·"/>
        <w:legacy w:legacy="1" w:legacySpace="0" w:legacyIndent="450"/>
        <w:lvlJc w:val="left"/>
        <w:pPr>
          <w:ind w:left="2160" w:hanging="450"/>
        </w:pPr>
        <w:rPr>
          <w:rFonts w:ascii="Times New Roman" w:hAnsi="Times New Roman" w:cs="Times New Roman" w:hint="default"/>
        </w:rPr>
      </w:lvl>
    </w:lvlOverride>
  </w:num>
  <w:num w:numId="4">
    <w:abstractNumId w:val="56"/>
  </w:num>
  <w:num w:numId="5">
    <w:abstractNumId w:val="30"/>
  </w:num>
  <w:num w:numId="6">
    <w:abstractNumId w:val="41"/>
  </w:num>
  <w:num w:numId="7">
    <w:abstractNumId w:val="55"/>
  </w:num>
  <w:num w:numId="8">
    <w:abstractNumId w:val="36"/>
  </w:num>
  <w:num w:numId="9">
    <w:abstractNumId w:val="59"/>
  </w:num>
  <w:num w:numId="10">
    <w:abstractNumId w:val="58"/>
  </w:num>
  <w:num w:numId="11">
    <w:abstractNumId w:val="54"/>
  </w:num>
  <w:num w:numId="12">
    <w:abstractNumId w:val="63"/>
  </w:num>
  <w:num w:numId="13">
    <w:abstractNumId w:val="35"/>
  </w:num>
  <w:num w:numId="14">
    <w:abstractNumId w:val="43"/>
  </w:num>
  <w:num w:numId="15">
    <w:abstractNumId w:val="53"/>
  </w:num>
  <w:num w:numId="16">
    <w:abstractNumId w:val="32"/>
  </w:num>
  <w:num w:numId="17">
    <w:abstractNumId w:val="52"/>
  </w:num>
  <w:num w:numId="18">
    <w:abstractNumId w:val="57"/>
  </w:num>
  <w:num w:numId="19">
    <w:abstractNumId w:val="33"/>
  </w:num>
  <w:num w:numId="20">
    <w:abstractNumId w:val="51"/>
  </w:num>
  <w:num w:numId="21">
    <w:abstractNumId w:val="46"/>
  </w:num>
  <w:num w:numId="22">
    <w:abstractNumId w:val="40"/>
  </w:num>
  <w:num w:numId="23">
    <w:abstractNumId w:val="39"/>
  </w:num>
  <w:num w:numId="24">
    <w:abstractNumId w:val="45"/>
  </w:num>
  <w:num w:numId="25">
    <w:abstractNumId w:val="31"/>
  </w:num>
  <w:num w:numId="26">
    <w:abstractNumId w:val="34"/>
  </w:num>
  <w:num w:numId="27">
    <w:abstractNumId w:val="49"/>
  </w:num>
  <w:num w:numId="28">
    <w:abstractNumId w:val="47"/>
  </w:num>
  <w:num w:numId="29">
    <w:abstractNumId w:val="50"/>
  </w:num>
  <w:num w:numId="30">
    <w:abstractNumId w:val="37"/>
  </w:num>
  <w:num w:numId="31">
    <w:abstractNumId w:val="60"/>
  </w:num>
  <w:num w:numId="32">
    <w:abstractNumId w:val="44"/>
  </w:num>
  <w:num w:numId="33">
    <w:abstractNumId w:val="48"/>
  </w:num>
  <w:num w:numId="34">
    <w:abstractNumId w:val="61"/>
  </w:num>
  <w:num w:numId="35">
    <w:abstractNumId w:val="38"/>
  </w:num>
  <w:num w:numId="36">
    <w:abstractNumId w:val="42"/>
  </w:num>
  <w:num w:numId="37">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66"/>
    <w:rsid w:val="00000B2F"/>
    <w:rsid w:val="000023FF"/>
    <w:rsid w:val="00004BB2"/>
    <w:rsid w:val="00004DE6"/>
    <w:rsid w:val="00010A6C"/>
    <w:rsid w:val="00010DDC"/>
    <w:rsid w:val="00014006"/>
    <w:rsid w:val="00014326"/>
    <w:rsid w:val="0001486C"/>
    <w:rsid w:val="00014BB0"/>
    <w:rsid w:val="00014D38"/>
    <w:rsid w:val="000167E9"/>
    <w:rsid w:val="000214C2"/>
    <w:rsid w:val="00025F79"/>
    <w:rsid w:val="00030272"/>
    <w:rsid w:val="000303DA"/>
    <w:rsid w:val="00030E55"/>
    <w:rsid w:val="00033B9A"/>
    <w:rsid w:val="0003613A"/>
    <w:rsid w:val="00041954"/>
    <w:rsid w:val="0004402A"/>
    <w:rsid w:val="0004411B"/>
    <w:rsid w:val="000466C8"/>
    <w:rsid w:val="00046BCE"/>
    <w:rsid w:val="0004711A"/>
    <w:rsid w:val="0004784D"/>
    <w:rsid w:val="00047D14"/>
    <w:rsid w:val="00047D9E"/>
    <w:rsid w:val="0005003D"/>
    <w:rsid w:val="00050F03"/>
    <w:rsid w:val="00051173"/>
    <w:rsid w:val="000525A1"/>
    <w:rsid w:val="000530DE"/>
    <w:rsid w:val="000542AA"/>
    <w:rsid w:val="000546D0"/>
    <w:rsid w:val="00055467"/>
    <w:rsid w:val="0005637D"/>
    <w:rsid w:val="000566C6"/>
    <w:rsid w:val="0005706C"/>
    <w:rsid w:val="00057481"/>
    <w:rsid w:val="00057B4A"/>
    <w:rsid w:val="000616D0"/>
    <w:rsid w:val="000624D5"/>
    <w:rsid w:val="000635C8"/>
    <w:rsid w:val="000641C2"/>
    <w:rsid w:val="00064459"/>
    <w:rsid w:val="000644AB"/>
    <w:rsid w:val="00064762"/>
    <w:rsid w:val="0006637C"/>
    <w:rsid w:val="00066CC8"/>
    <w:rsid w:val="00071A8D"/>
    <w:rsid w:val="0007247D"/>
    <w:rsid w:val="000735D9"/>
    <w:rsid w:val="00073914"/>
    <w:rsid w:val="00074B4C"/>
    <w:rsid w:val="000754F6"/>
    <w:rsid w:val="00075680"/>
    <w:rsid w:val="00075E17"/>
    <w:rsid w:val="00076440"/>
    <w:rsid w:val="00076855"/>
    <w:rsid w:val="00082F84"/>
    <w:rsid w:val="00085556"/>
    <w:rsid w:val="00085AB9"/>
    <w:rsid w:val="000868C6"/>
    <w:rsid w:val="00091E48"/>
    <w:rsid w:val="000924CF"/>
    <w:rsid w:val="000958BF"/>
    <w:rsid w:val="0009628F"/>
    <w:rsid w:val="000969FB"/>
    <w:rsid w:val="00096CBC"/>
    <w:rsid w:val="00096E3C"/>
    <w:rsid w:val="00097339"/>
    <w:rsid w:val="000975D6"/>
    <w:rsid w:val="0009783E"/>
    <w:rsid w:val="000A0DC6"/>
    <w:rsid w:val="000A11A4"/>
    <w:rsid w:val="000A26AB"/>
    <w:rsid w:val="000A389B"/>
    <w:rsid w:val="000A3F13"/>
    <w:rsid w:val="000A4192"/>
    <w:rsid w:val="000A45C1"/>
    <w:rsid w:val="000A632A"/>
    <w:rsid w:val="000A66A5"/>
    <w:rsid w:val="000A66D3"/>
    <w:rsid w:val="000A67F9"/>
    <w:rsid w:val="000A7ED1"/>
    <w:rsid w:val="000A7F35"/>
    <w:rsid w:val="000B0C57"/>
    <w:rsid w:val="000B140D"/>
    <w:rsid w:val="000B23A8"/>
    <w:rsid w:val="000B51D7"/>
    <w:rsid w:val="000B6170"/>
    <w:rsid w:val="000B64B0"/>
    <w:rsid w:val="000B7B07"/>
    <w:rsid w:val="000B7F80"/>
    <w:rsid w:val="000C2801"/>
    <w:rsid w:val="000C30DC"/>
    <w:rsid w:val="000C4068"/>
    <w:rsid w:val="000C4B72"/>
    <w:rsid w:val="000C566A"/>
    <w:rsid w:val="000C5FCB"/>
    <w:rsid w:val="000C73A7"/>
    <w:rsid w:val="000C779F"/>
    <w:rsid w:val="000C7CE0"/>
    <w:rsid w:val="000D0347"/>
    <w:rsid w:val="000D13D9"/>
    <w:rsid w:val="000D2954"/>
    <w:rsid w:val="000D3734"/>
    <w:rsid w:val="000D3D2F"/>
    <w:rsid w:val="000D5312"/>
    <w:rsid w:val="000D59D2"/>
    <w:rsid w:val="000D61B8"/>
    <w:rsid w:val="000D70B7"/>
    <w:rsid w:val="000E0B6F"/>
    <w:rsid w:val="000E2675"/>
    <w:rsid w:val="000E2E18"/>
    <w:rsid w:val="000E33E7"/>
    <w:rsid w:val="000E58B1"/>
    <w:rsid w:val="000E78E6"/>
    <w:rsid w:val="000F052A"/>
    <w:rsid w:val="000F288D"/>
    <w:rsid w:val="000F29CA"/>
    <w:rsid w:val="000F545D"/>
    <w:rsid w:val="000F6A64"/>
    <w:rsid w:val="001008D4"/>
    <w:rsid w:val="00100EC1"/>
    <w:rsid w:val="00101EDB"/>
    <w:rsid w:val="00102746"/>
    <w:rsid w:val="00102948"/>
    <w:rsid w:val="00105793"/>
    <w:rsid w:val="001073FD"/>
    <w:rsid w:val="001075CD"/>
    <w:rsid w:val="001075D7"/>
    <w:rsid w:val="00110E73"/>
    <w:rsid w:val="00111D9F"/>
    <w:rsid w:val="00113F5D"/>
    <w:rsid w:val="00114E3B"/>
    <w:rsid w:val="00115AF9"/>
    <w:rsid w:val="0011748B"/>
    <w:rsid w:val="00117AB4"/>
    <w:rsid w:val="00120AD1"/>
    <w:rsid w:val="00124D0A"/>
    <w:rsid w:val="00126691"/>
    <w:rsid w:val="001279A7"/>
    <w:rsid w:val="00131420"/>
    <w:rsid w:val="0014186B"/>
    <w:rsid w:val="00141DC6"/>
    <w:rsid w:val="00143191"/>
    <w:rsid w:val="00144FD5"/>
    <w:rsid w:val="00145E4D"/>
    <w:rsid w:val="00145FAF"/>
    <w:rsid w:val="00147A58"/>
    <w:rsid w:val="00147E3E"/>
    <w:rsid w:val="00152362"/>
    <w:rsid w:val="00152AC2"/>
    <w:rsid w:val="00154305"/>
    <w:rsid w:val="00154919"/>
    <w:rsid w:val="00155E35"/>
    <w:rsid w:val="00156113"/>
    <w:rsid w:val="0016176D"/>
    <w:rsid w:val="001637A2"/>
    <w:rsid w:val="00164035"/>
    <w:rsid w:val="00166165"/>
    <w:rsid w:val="00167947"/>
    <w:rsid w:val="00167A10"/>
    <w:rsid w:val="001701C3"/>
    <w:rsid w:val="001725E5"/>
    <w:rsid w:val="001728EF"/>
    <w:rsid w:val="00173F5F"/>
    <w:rsid w:val="00175652"/>
    <w:rsid w:val="00176AAD"/>
    <w:rsid w:val="00184638"/>
    <w:rsid w:val="00185593"/>
    <w:rsid w:val="00185E8B"/>
    <w:rsid w:val="00186A08"/>
    <w:rsid w:val="00187300"/>
    <w:rsid w:val="001878BB"/>
    <w:rsid w:val="00190B6A"/>
    <w:rsid w:val="00191A44"/>
    <w:rsid w:val="00192F91"/>
    <w:rsid w:val="001950D5"/>
    <w:rsid w:val="00195F5B"/>
    <w:rsid w:val="00196434"/>
    <w:rsid w:val="00196C17"/>
    <w:rsid w:val="00196F4F"/>
    <w:rsid w:val="001A1F97"/>
    <w:rsid w:val="001A2E52"/>
    <w:rsid w:val="001A462B"/>
    <w:rsid w:val="001A46B3"/>
    <w:rsid w:val="001A5145"/>
    <w:rsid w:val="001A57A0"/>
    <w:rsid w:val="001A6368"/>
    <w:rsid w:val="001B1204"/>
    <w:rsid w:val="001B1B45"/>
    <w:rsid w:val="001B1F93"/>
    <w:rsid w:val="001B3AE6"/>
    <w:rsid w:val="001B49D3"/>
    <w:rsid w:val="001B4A63"/>
    <w:rsid w:val="001B4B11"/>
    <w:rsid w:val="001B5D48"/>
    <w:rsid w:val="001B6E3B"/>
    <w:rsid w:val="001B7048"/>
    <w:rsid w:val="001C1BE3"/>
    <w:rsid w:val="001C41F0"/>
    <w:rsid w:val="001C4457"/>
    <w:rsid w:val="001C4597"/>
    <w:rsid w:val="001C5F2F"/>
    <w:rsid w:val="001C5FA2"/>
    <w:rsid w:val="001C7BF3"/>
    <w:rsid w:val="001D2409"/>
    <w:rsid w:val="001D2B2C"/>
    <w:rsid w:val="001D4451"/>
    <w:rsid w:val="001D5590"/>
    <w:rsid w:val="001D56FF"/>
    <w:rsid w:val="001D5870"/>
    <w:rsid w:val="001D7F24"/>
    <w:rsid w:val="001E1056"/>
    <w:rsid w:val="001E1301"/>
    <w:rsid w:val="001E1600"/>
    <w:rsid w:val="001E6534"/>
    <w:rsid w:val="001E77C7"/>
    <w:rsid w:val="001F0BB0"/>
    <w:rsid w:val="001F0D94"/>
    <w:rsid w:val="001F2823"/>
    <w:rsid w:val="001F4FE7"/>
    <w:rsid w:val="001F67CC"/>
    <w:rsid w:val="001F6BF2"/>
    <w:rsid w:val="001F7ACC"/>
    <w:rsid w:val="002005A0"/>
    <w:rsid w:val="00200640"/>
    <w:rsid w:val="00201D40"/>
    <w:rsid w:val="00203AE4"/>
    <w:rsid w:val="00204A32"/>
    <w:rsid w:val="00205C65"/>
    <w:rsid w:val="0021045E"/>
    <w:rsid w:val="00211565"/>
    <w:rsid w:val="002116C7"/>
    <w:rsid w:val="00216CBF"/>
    <w:rsid w:val="00217F80"/>
    <w:rsid w:val="00223077"/>
    <w:rsid w:val="00226D22"/>
    <w:rsid w:val="00230197"/>
    <w:rsid w:val="00231CF0"/>
    <w:rsid w:val="002332B7"/>
    <w:rsid w:val="00235B69"/>
    <w:rsid w:val="002365CC"/>
    <w:rsid w:val="002367BA"/>
    <w:rsid w:val="00237409"/>
    <w:rsid w:val="00240476"/>
    <w:rsid w:val="00240C92"/>
    <w:rsid w:val="00241C01"/>
    <w:rsid w:val="0024262D"/>
    <w:rsid w:val="00243431"/>
    <w:rsid w:val="0025165A"/>
    <w:rsid w:val="00251817"/>
    <w:rsid w:val="0025239A"/>
    <w:rsid w:val="0025338C"/>
    <w:rsid w:val="00253F9B"/>
    <w:rsid w:val="00254C2B"/>
    <w:rsid w:val="002567CD"/>
    <w:rsid w:val="00257B94"/>
    <w:rsid w:val="00261637"/>
    <w:rsid w:val="00262CC7"/>
    <w:rsid w:val="00263495"/>
    <w:rsid w:val="002637DE"/>
    <w:rsid w:val="00264950"/>
    <w:rsid w:val="002653D1"/>
    <w:rsid w:val="0026590D"/>
    <w:rsid w:val="00267520"/>
    <w:rsid w:val="00267837"/>
    <w:rsid w:val="00270C12"/>
    <w:rsid w:val="00272588"/>
    <w:rsid w:val="0027361A"/>
    <w:rsid w:val="00273F8C"/>
    <w:rsid w:val="00274760"/>
    <w:rsid w:val="00274DE2"/>
    <w:rsid w:val="0027576D"/>
    <w:rsid w:val="00275C54"/>
    <w:rsid w:val="002765DE"/>
    <w:rsid w:val="0028082F"/>
    <w:rsid w:val="00281269"/>
    <w:rsid w:val="00282709"/>
    <w:rsid w:val="00282BA6"/>
    <w:rsid w:val="00282C3A"/>
    <w:rsid w:val="00282C5A"/>
    <w:rsid w:val="00282FF4"/>
    <w:rsid w:val="002830BE"/>
    <w:rsid w:val="00283DC8"/>
    <w:rsid w:val="0028553C"/>
    <w:rsid w:val="0028713E"/>
    <w:rsid w:val="00287DB4"/>
    <w:rsid w:val="00292D48"/>
    <w:rsid w:val="00293343"/>
    <w:rsid w:val="00294E55"/>
    <w:rsid w:val="00295EA3"/>
    <w:rsid w:val="00296A41"/>
    <w:rsid w:val="002971D6"/>
    <w:rsid w:val="002A02AB"/>
    <w:rsid w:val="002A1170"/>
    <w:rsid w:val="002A2817"/>
    <w:rsid w:val="002A3C93"/>
    <w:rsid w:val="002B0AD8"/>
    <w:rsid w:val="002B1178"/>
    <w:rsid w:val="002B1930"/>
    <w:rsid w:val="002B1A3B"/>
    <w:rsid w:val="002B4E57"/>
    <w:rsid w:val="002B5C98"/>
    <w:rsid w:val="002B6959"/>
    <w:rsid w:val="002B7C08"/>
    <w:rsid w:val="002C1B59"/>
    <w:rsid w:val="002C43C7"/>
    <w:rsid w:val="002C47FA"/>
    <w:rsid w:val="002C4F4C"/>
    <w:rsid w:val="002C5846"/>
    <w:rsid w:val="002C61E0"/>
    <w:rsid w:val="002C638D"/>
    <w:rsid w:val="002C6521"/>
    <w:rsid w:val="002C6F6F"/>
    <w:rsid w:val="002D119A"/>
    <w:rsid w:val="002D1B7E"/>
    <w:rsid w:val="002D232E"/>
    <w:rsid w:val="002D23F3"/>
    <w:rsid w:val="002D25EE"/>
    <w:rsid w:val="002D490B"/>
    <w:rsid w:val="002D5579"/>
    <w:rsid w:val="002D5F90"/>
    <w:rsid w:val="002E00E7"/>
    <w:rsid w:val="002E02BB"/>
    <w:rsid w:val="002E040D"/>
    <w:rsid w:val="002E11C5"/>
    <w:rsid w:val="002E4830"/>
    <w:rsid w:val="002E49DD"/>
    <w:rsid w:val="002E52F7"/>
    <w:rsid w:val="002E54B3"/>
    <w:rsid w:val="002E646D"/>
    <w:rsid w:val="002E7822"/>
    <w:rsid w:val="002E7A0D"/>
    <w:rsid w:val="002E7E2B"/>
    <w:rsid w:val="002F3074"/>
    <w:rsid w:val="002F3F2D"/>
    <w:rsid w:val="002F4007"/>
    <w:rsid w:val="002F4DC1"/>
    <w:rsid w:val="002F5A93"/>
    <w:rsid w:val="002F69DB"/>
    <w:rsid w:val="002F6D3C"/>
    <w:rsid w:val="00300A2B"/>
    <w:rsid w:val="00301447"/>
    <w:rsid w:val="00303E15"/>
    <w:rsid w:val="0030451B"/>
    <w:rsid w:val="0030618E"/>
    <w:rsid w:val="003067E0"/>
    <w:rsid w:val="0030683F"/>
    <w:rsid w:val="003113DE"/>
    <w:rsid w:val="003136A9"/>
    <w:rsid w:val="00314260"/>
    <w:rsid w:val="0031427B"/>
    <w:rsid w:val="003142D9"/>
    <w:rsid w:val="00314E9F"/>
    <w:rsid w:val="0031617D"/>
    <w:rsid w:val="0031671D"/>
    <w:rsid w:val="0031799E"/>
    <w:rsid w:val="00320A72"/>
    <w:rsid w:val="00321088"/>
    <w:rsid w:val="0032131D"/>
    <w:rsid w:val="0032142A"/>
    <w:rsid w:val="003222C2"/>
    <w:rsid w:val="00325369"/>
    <w:rsid w:val="003268E9"/>
    <w:rsid w:val="00326911"/>
    <w:rsid w:val="00327F8C"/>
    <w:rsid w:val="00327FE9"/>
    <w:rsid w:val="00330E3A"/>
    <w:rsid w:val="00335564"/>
    <w:rsid w:val="0033603C"/>
    <w:rsid w:val="00337971"/>
    <w:rsid w:val="003379F4"/>
    <w:rsid w:val="00340018"/>
    <w:rsid w:val="00340794"/>
    <w:rsid w:val="00340942"/>
    <w:rsid w:val="00340E0E"/>
    <w:rsid w:val="00341B73"/>
    <w:rsid w:val="0034228D"/>
    <w:rsid w:val="00342D52"/>
    <w:rsid w:val="00342E5D"/>
    <w:rsid w:val="003431CB"/>
    <w:rsid w:val="00343B92"/>
    <w:rsid w:val="00344804"/>
    <w:rsid w:val="0034502A"/>
    <w:rsid w:val="003476EF"/>
    <w:rsid w:val="00347E54"/>
    <w:rsid w:val="003503A9"/>
    <w:rsid w:val="0035059B"/>
    <w:rsid w:val="00351466"/>
    <w:rsid w:val="00353060"/>
    <w:rsid w:val="0035375C"/>
    <w:rsid w:val="00353E2B"/>
    <w:rsid w:val="0035451C"/>
    <w:rsid w:val="00354CD4"/>
    <w:rsid w:val="003558DD"/>
    <w:rsid w:val="00356C3B"/>
    <w:rsid w:val="00356F3D"/>
    <w:rsid w:val="0036072E"/>
    <w:rsid w:val="00361A2A"/>
    <w:rsid w:val="00362E75"/>
    <w:rsid w:val="00365A89"/>
    <w:rsid w:val="00365DAE"/>
    <w:rsid w:val="003708A8"/>
    <w:rsid w:val="003723D8"/>
    <w:rsid w:val="00373279"/>
    <w:rsid w:val="003736D2"/>
    <w:rsid w:val="0037382D"/>
    <w:rsid w:val="00374F2C"/>
    <w:rsid w:val="00375230"/>
    <w:rsid w:val="00377183"/>
    <w:rsid w:val="00377E45"/>
    <w:rsid w:val="00381688"/>
    <w:rsid w:val="003818A1"/>
    <w:rsid w:val="00381E77"/>
    <w:rsid w:val="00381EFA"/>
    <w:rsid w:val="003837EE"/>
    <w:rsid w:val="0038449E"/>
    <w:rsid w:val="003846FF"/>
    <w:rsid w:val="00386F74"/>
    <w:rsid w:val="00390D0A"/>
    <w:rsid w:val="00391250"/>
    <w:rsid w:val="0039230E"/>
    <w:rsid w:val="003927F2"/>
    <w:rsid w:val="00392EC8"/>
    <w:rsid w:val="00393616"/>
    <w:rsid w:val="00393C73"/>
    <w:rsid w:val="003A1114"/>
    <w:rsid w:val="003A11FC"/>
    <w:rsid w:val="003A1445"/>
    <w:rsid w:val="003A15EA"/>
    <w:rsid w:val="003A2BD4"/>
    <w:rsid w:val="003A2F3C"/>
    <w:rsid w:val="003A391E"/>
    <w:rsid w:val="003A3D80"/>
    <w:rsid w:val="003A52EE"/>
    <w:rsid w:val="003A533C"/>
    <w:rsid w:val="003A5633"/>
    <w:rsid w:val="003A61AF"/>
    <w:rsid w:val="003A64A1"/>
    <w:rsid w:val="003A669A"/>
    <w:rsid w:val="003A7381"/>
    <w:rsid w:val="003B0D64"/>
    <w:rsid w:val="003B1654"/>
    <w:rsid w:val="003B1878"/>
    <w:rsid w:val="003B19CC"/>
    <w:rsid w:val="003B28D8"/>
    <w:rsid w:val="003B3AC3"/>
    <w:rsid w:val="003B4106"/>
    <w:rsid w:val="003B7363"/>
    <w:rsid w:val="003C2C96"/>
    <w:rsid w:val="003C3CA1"/>
    <w:rsid w:val="003C59D1"/>
    <w:rsid w:val="003D10B8"/>
    <w:rsid w:val="003D1102"/>
    <w:rsid w:val="003D13FC"/>
    <w:rsid w:val="003D1400"/>
    <w:rsid w:val="003D159E"/>
    <w:rsid w:val="003D1E88"/>
    <w:rsid w:val="003D2625"/>
    <w:rsid w:val="003D3553"/>
    <w:rsid w:val="003D3ACF"/>
    <w:rsid w:val="003D5EF1"/>
    <w:rsid w:val="003D64D3"/>
    <w:rsid w:val="003E2868"/>
    <w:rsid w:val="003E3C46"/>
    <w:rsid w:val="003E5ACE"/>
    <w:rsid w:val="003F1226"/>
    <w:rsid w:val="003F31B8"/>
    <w:rsid w:val="003F396A"/>
    <w:rsid w:val="003F3BA2"/>
    <w:rsid w:val="003F4CDD"/>
    <w:rsid w:val="003F59EB"/>
    <w:rsid w:val="003F5CAF"/>
    <w:rsid w:val="003F6D26"/>
    <w:rsid w:val="003F76F5"/>
    <w:rsid w:val="003F7B6D"/>
    <w:rsid w:val="0040018B"/>
    <w:rsid w:val="0040084F"/>
    <w:rsid w:val="00401AA4"/>
    <w:rsid w:val="00401F8C"/>
    <w:rsid w:val="00403FCF"/>
    <w:rsid w:val="00405D23"/>
    <w:rsid w:val="0040656D"/>
    <w:rsid w:val="004074C4"/>
    <w:rsid w:val="004106A8"/>
    <w:rsid w:val="004136DF"/>
    <w:rsid w:val="0041461F"/>
    <w:rsid w:val="00415078"/>
    <w:rsid w:val="0041666B"/>
    <w:rsid w:val="004176C3"/>
    <w:rsid w:val="00417BD6"/>
    <w:rsid w:val="00421363"/>
    <w:rsid w:val="00424332"/>
    <w:rsid w:val="004256DD"/>
    <w:rsid w:val="0042623B"/>
    <w:rsid w:val="00426FBC"/>
    <w:rsid w:val="004302E2"/>
    <w:rsid w:val="0043061B"/>
    <w:rsid w:val="0043256E"/>
    <w:rsid w:val="00432719"/>
    <w:rsid w:val="00433382"/>
    <w:rsid w:val="004336B3"/>
    <w:rsid w:val="00436525"/>
    <w:rsid w:val="0043677F"/>
    <w:rsid w:val="00436BE7"/>
    <w:rsid w:val="00436D05"/>
    <w:rsid w:val="00436F1A"/>
    <w:rsid w:val="0043725E"/>
    <w:rsid w:val="00437D55"/>
    <w:rsid w:val="004414A1"/>
    <w:rsid w:val="00441B78"/>
    <w:rsid w:val="0044320E"/>
    <w:rsid w:val="0044540C"/>
    <w:rsid w:val="00445D6B"/>
    <w:rsid w:val="00446B32"/>
    <w:rsid w:val="00446C53"/>
    <w:rsid w:val="00446EC9"/>
    <w:rsid w:val="00447433"/>
    <w:rsid w:val="00447CB8"/>
    <w:rsid w:val="00450055"/>
    <w:rsid w:val="00451682"/>
    <w:rsid w:val="0045215F"/>
    <w:rsid w:val="00455602"/>
    <w:rsid w:val="004560B3"/>
    <w:rsid w:val="00456782"/>
    <w:rsid w:val="00457E1F"/>
    <w:rsid w:val="004604F1"/>
    <w:rsid w:val="00460FEE"/>
    <w:rsid w:val="00461537"/>
    <w:rsid w:val="004618DB"/>
    <w:rsid w:val="00461FDC"/>
    <w:rsid w:val="0046234E"/>
    <w:rsid w:val="004624CE"/>
    <w:rsid w:val="004632E1"/>
    <w:rsid w:val="004633B8"/>
    <w:rsid w:val="00464151"/>
    <w:rsid w:val="0046471B"/>
    <w:rsid w:val="00466E84"/>
    <w:rsid w:val="0047166E"/>
    <w:rsid w:val="00471774"/>
    <w:rsid w:val="00472D36"/>
    <w:rsid w:val="00473210"/>
    <w:rsid w:val="0047617F"/>
    <w:rsid w:val="00476498"/>
    <w:rsid w:val="0047701C"/>
    <w:rsid w:val="0048095B"/>
    <w:rsid w:val="00483CA3"/>
    <w:rsid w:val="0048499B"/>
    <w:rsid w:val="00484A40"/>
    <w:rsid w:val="00485D07"/>
    <w:rsid w:val="00486977"/>
    <w:rsid w:val="00486B15"/>
    <w:rsid w:val="00487128"/>
    <w:rsid w:val="004903CE"/>
    <w:rsid w:val="00490BBA"/>
    <w:rsid w:val="00491BEF"/>
    <w:rsid w:val="00491FC5"/>
    <w:rsid w:val="00492B03"/>
    <w:rsid w:val="00493178"/>
    <w:rsid w:val="004950EE"/>
    <w:rsid w:val="00495A2D"/>
    <w:rsid w:val="00495C9F"/>
    <w:rsid w:val="00495E05"/>
    <w:rsid w:val="004972CC"/>
    <w:rsid w:val="004976A8"/>
    <w:rsid w:val="004A2BBB"/>
    <w:rsid w:val="004A3567"/>
    <w:rsid w:val="004A3B99"/>
    <w:rsid w:val="004A4E0D"/>
    <w:rsid w:val="004A6587"/>
    <w:rsid w:val="004A6D7C"/>
    <w:rsid w:val="004A7E7B"/>
    <w:rsid w:val="004B0016"/>
    <w:rsid w:val="004B0F8A"/>
    <w:rsid w:val="004B1A2F"/>
    <w:rsid w:val="004B2097"/>
    <w:rsid w:val="004B2185"/>
    <w:rsid w:val="004B32C3"/>
    <w:rsid w:val="004B691C"/>
    <w:rsid w:val="004B6CF7"/>
    <w:rsid w:val="004B7040"/>
    <w:rsid w:val="004B71AC"/>
    <w:rsid w:val="004B773C"/>
    <w:rsid w:val="004B7E81"/>
    <w:rsid w:val="004B7FCB"/>
    <w:rsid w:val="004C13D8"/>
    <w:rsid w:val="004C2BFD"/>
    <w:rsid w:val="004C3A3F"/>
    <w:rsid w:val="004C54FA"/>
    <w:rsid w:val="004C56E5"/>
    <w:rsid w:val="004C5E58"/>
    <w:rsid w:val="004C6A4B"/>
    <w:rsid w:val="004C7B76"/>
    <w:rsid w:val="004D08B7"/>
    <w:rsid w:val="004D2A6C"/>
    <w:rsid w:val="004D2F98"/>
    <w:rsid w:val="004D38B9"/>
    <w:rsid w:val="004D6A41"/>
    <w:rsid w:val="004E062B"/>
    <w:rsid w:val="004E1B1D"/>
    <w:rsid w:val="004E2233"/>
    <w:rsid w:val="004E508A"/>
    <w:rsid w:val="004E6F0E"/>
    <w:rsid w:val="004E73F1"/>
    <w:rsid w:val="004F2259"/>
    <w:rsid w:val="004F4E9C"/>
    <w:rsid w:val="004F7DF3"/>
    <w:rsid w:val="005028C7"/>
    <w:rsid w:val="005044DB"/>
    <w:rsid w:val="005051E4"/>
    <w:rsid w:val="0050522E"/>
    <w:rsid w:val="005057AC"/>
    <w:rsid w:val="005070C9"/>
    <w:rsid w:val="005072CE"/>
    <w:rsid w:val="00512384"/>
    <w:rsid w:val="005128EF"/>
    <w:rsid w:val="005129F6"/>
    <w:rsid w:val="00513D84"/>
    <w:rsid w:val="005159A1"/>
    <w:rsid w:val="00515A29"/>
    <w:rsid w:val="005167CD"/>
    <w:rsid w:val="005171F3"/>
    <w:rsid w:val="00520B59"/>
    <w:rsid w:val="005216B7"/>
    <w:rsid w:val="00521E58"/>
    <w:rsid w:val="00521E6D"/>
    <w:rsid w:val="00523A99"/>
    <w:rsid w:val="00524D5F"/>
    <w:rsid w:val="00524F9D"/>
    <w:rsid w:val="00525370"/>
    <w:rsid w:val="005263C4"/>
    <w:rsid w:val="005266E2"/>
    <w:rsid w:val="00526A15"/>
    <w:rsid w:val="0052764C"/>
    <w:rsid w:val="00527995"/>
    <w:rsid w:val="00530382"/>
    <w:rsid w:val="0053051A"/>
    <w:rsid w:val="00530D67"/>
    <w:rsid w:val="005310AA"/>
    <w:rsid w:val="00533745"/>
    <w:rsid w:val="00533978"/>
    <w:rsid w:val="00533F0A"/>
    <w:rsid w:val="00534E55"/>
    <w:rsid w:val="005354A2"/>
    <w:rsid w:val="00540C0D"/>
    <w:rsid w:val="0054119F"/>
    <w:rsid w:val="005421E9"/>
    <w:rsid w:val="00542240"/>
    <w:rsid w:val="005440FE"/>
    <w:rsid w:val="00546D36"/>
    <w:rsid w:val="0054710C"/>
    <w:rsid w:val="00547956"/>
    <w:rsid w:val="00547F80"/>
    <w:rsid w:val="0055051A"/>
    <w:rsid w:val="00550CCF"/>
    <w:rsid w:val="00550D3B"/>
    <w:rsid w:val="0055198D"/>
    <w:rsid w:val="00551BB1"/>
    <w:rsid w:val="00552804"/>
    <w:rsid w:val="00552A50"/>
    <w:rsid w:val="00554AF0"/>
    <w:rsid w:val="00555F87"/>
    <w:rsid w:val="005564DF"/>
    <w:rsid w:val="00557818"/>
    <w:rsid w:val="005627B8"/>
    <w:rsid w:val="00564AB2"/>
    <w:rsid w:val="00564E45"/>
    <w:rsid w:val="00566A81"/>
    <w:rsid w:val="00566D76"/>
    <w:rsid w:val="00567805"/>
    <w:rsid w:val="00567FD8"/>
    <w:rsid w:val="005707F9"/>
    <w:rsid w:val="00572865"/>
    <w:rsid w:val="005762DE"/>
    <w:rsid w:val="00580785"/>
    <w:rsid w:val="00581F24"/>
    <w:rsid w:val="005822E8"/>
    <w:rsid w:val="00583EB2"/>
    <w:rsid w:val="00584D15"/>
    <w:rsid w:val="00584F9B"/>
    <w:rsid w:val="00586BE3"/>
    <w:rsid w:val="00586C29"/>
    <w:rsid w:val="0058708A"/>
    <w:rsid w:val="0058735E"/>
    <w:rsid w:val="00593649"/>
    <w:rsid w:val="005946B6"/>
    <w:rsid w:val="0059486A"/>
    <w:rsid w:val="00594BDE"/>
    <w:rsid w:val="00595344"/>
    <w:rsid w:val="005954B2"/>
    <w:rsid w:val="00595679"/>
    <w:rsid w:val="00595AA6"/>
    <w:rsid w:val="00597AAF"/>
    <w:rsid w:val="005A0414"/>
    <w:rsid w:val="005A10F5"/>
    <w:rsid w:val="005A12AB"/>
    <w:rsid w:val="005A6CE7"/>
    <w:rsid w:val="005A7017"/>
    <w:rsid w:val="005A770F"/>
    <w:rsid w:val="005B35BF"/>
    <w:rsid w:val="005B4C83"/>
    <w:rsid w:val="005B5797"/>
    <w:rsid w:val="005B6193"/>
    <w:rsid w:val="005B66B6"/>
    <w:rsid w:val="005C0B63"/>
    <w:rsid w:val="005C241D"/>
    <w:rsid w:val="005C4598"/>
    <w:rsid w:val="005C4A47"/>
    <w:rsid w:val="005C5F56"/>
    <w:rsid w:val="005C6E30"/>
    <w:rsid w:val="005C750F"/>
    <w:rsid w:val="005C7E57"/>
    <w:rsid w:val="005D097D"/>
    <w:rsid w:val="005D20EE"/>
    <w:rsid w:val="005D3162"/>
    <w:rsid w:val="005D5BCF"/>
    <w:rsid w:val="005D6BAE"/>
    <w:rsid w:val="005D6C6B"/>
    <w:rsid w:val="005E0BC1"/>
    <w:rsid w:val="005E0DB4"/>
    <w:rsid w:val="005E18E3"/>
    <w:rsid w:val="005E2F48"/>
    <w:rsid w:val="005E400C"/>
    <w:rsid w:val="005E671C"/>
    <w:rsid w:val="005E7551"/>
    <w:rsid w:val="005F0287"/>
    <w:rsid w:val="005F0700"/>
    <w:rsid w:val="005F0BD5"/>
    <w:rsid w:val="005F1EDA"/>
    <w:rsid w:val="005F55AD"/>
    <w:rsid w:val="00600781"/>
    <w:rsid w:val="0060225D"/>
    <w:rsid w:val="00602481"/>
    <w:rsid w:val="00602942"/>
    <w:rsid w:val="00603F71"/>
    <w:rsid w:val="0060431B"/>
    <w:rsid w:val="00605184"/>
    <w:rsid w:val="00606154"/>
    <w:rsid w:val="00606338"/>
    <w:rsid w:val="006068A6"/>
    <w:rsid w:val="006076CE"/>
    <w:rsid w:val="00610A88"/>
    <w:rsid w:val="00611389"/>
    <w:rsid w:val="00614203"/>
    <w:rsid w:val="00614447"/>
    <w:rsid w:val="00616943"/>
    <w:rsid w:val="00616EF6"/>
    <w:rsid w:val="006171C1"/>
    <w:rsid w:val="00617F53"/>
    <w:rsid w:val="00621171"/>
    <w:rsid w:val="0062193C"/>
    <w:rsid w:val="00621F13"/>
    <w:rsid w:val="006220E8"/>
    <w:rsid w:val="00622955"/>
    <w:rsid w:val="00623EB2"/>
    <w:rsid w:val="006247E6"/>
    <w:rsid w:val="00624E12"/>
    <w:rsid w:val="00624EBF"/>
    <w:rsid w:val="00625867"/>
    <w:rsid w:val="0062732E"/>
    <w:rsid w:val="00627B37"/>
    <w:rsid w:val="006324F6"/>
    <w:rsid w:val="00632781"/>
    <w:rsid w:val="0063438C"/>
    <w:rsid w:val="006355EB"/>
    <w:rsid w:val="0063796D"/>
    <w:rsid w:val="00637DB5"/>
    <w:rsid w:val="00640361"/>
    <w:rsid w:val="006405E7"/>
    <w:rsid w:val="00640725"/>
    <w:rsid w:val="006415AB"/>
    <w:rsid w:val="006422A1"/>
    <w:rsid w:val="00642D1A"/>
    <w:rsid w:val="0064432E"/>
    <w:rsid w:val="006452F7"/>
    <w:rsid w:val="00645953"/>
    <w:rsid w:val="00645A7A"/>
    <w:rsid w:val="00645E05"/>
    <w:rsid w:val="00645E82"/>
    <w:rsid w:val="0064633E"/>
    <w:rsid w:val="00646C82"/>
    <w:rsid w:val="006476AA"/>
    <w:rsid w:val="006502B3"/>
    <w:rsid w:val="00650ACE"/>
    <w:rsid w:val="00651D0F"/>
    <w:rsid w:val="00652346"/>
    <w:rsid w:val="00653AA9"/>
    <w:rsid w:val="00653F09"/>
    <w:rsid w:val="00655162"/>
    <w:rsid w:val="00655BD6"/>
    <w:rsid w:val="006560DF"/>
    <w:rsid w:val="00656528"/>
    <w:rsid w:val="00656D36"/>
    <w:rsid w:val="00657F04"/>
    <w:rsid w:val="00662D49"/>
    <w:rsid w:val="006635FE"/>
    <w:rsid w:val="0066574E"/>
    <w:rsid w:val="006666C9"/>
    <w:rsid w:val="006666E9"/>
    <w:rsid w:val="0066768A"/>
    <w:rsid w:val="0067088F"/>
    <w:rsid w:val="00670E24"/>
    <w:rsid w:val="006767E4"/>
    <w:rsid w:val="00681673"/>
    <w:rsid w:val="00682499"/>
    <w:rsid w:val="00684036"/>
    <w:rsid w:val="00685FC9"/>
    <w:rsid w:val="00687F26"/>
    <w:rsid w:val="006902DA"/>
    <w:rsid w:val="00690346"/>
    <w:rsid w:val="006915FC"/>
    <w:rsid w:val="0069299E"/>
    <w:rsid w:val="006943B3"/>
    <w:rsid w:val="0069493F"/>
    <w:rsid w:val="0069706E"/>
    <w:rsid w:val="006A3156"/>
    <w:rsid w:val="006A3B8D"/>
    <w:rsid w:val="006A4459"/>
    <w:rsid w:val="006A6E74"/>
    <w:rsid w:val="006A74FB"/>
    <w:rsid w:val="006A779E"/>
    <w:rsid w:val="006A7A33"/>
    <w:rsid w:val="006B2285"/>
    <w:rsid w:val="006B3BD5"/>
    <w:rsid w:val="006B5012"/>
    <w:rsid w:val="006B79FA"/>
    <w:rsid w:val="006B7CF7"/>
    <w:rsid w:val="006C0784"/>
    <w:rsid w:val="006C0897"/>
    <w:rsid w:val="006C0C89"/>
    <w:rsid w:val="006C0D02"/>
    <w:rsid w:val="006C19D5"/>
    <w:rsid w:val="006C42EB"/>
    <w:rsid w:val="006C6610"/>
    <w:rsid w:val="006C7148"/>
    <w:rsid w:val="006C7404"/>
    <w:rsid w:val="006C768F"/>
    <w:rsid w:val="006D0A2B"/>
    <w:rsid w:val="006D0DF1"/>
    <w:rsid w:val="006D0F29"/>
    <w:rsid w:val="006D4438"/>
    <w:rsid w:val="006D4D24"/>
    <w:rsid w:val="006D52C8"/>
    <w:rsid w:val="006D5668"/>
    <w:rsid w:val="006D589A"/>
    <w:rsid w:val="006D681C"/>
    <w:rsid w:val="006D7C82"/>
    <w:rsid w:val="006E2518"/>
    <w:rsid w:val="006E4FF3"/>
    <w:rsid w:val="006E57BE"/>
    <w:rsid w:val="006E57D7"/>
    <w:rsid w:val="006E66F8"/>
    <w:rsid w:val="006F0F0C"/>
    <w:rsid w:val="006F13E1"/>
    <w:rsid w:val="006F3E1C"/>
    <w:rsid w:val="006F4000"/>
    <w:rsid w:val="006F4BDC"/>
    <w:rsid w:val="006F506D"/>
    <w:rsid w:val="006F63AF"/>
    <w:rsid w:val="006F689E"/>
    <w:rsid w:val="006F6FB7"/>
    <w:rsid w:val="007006F0"/>
    <w:rsid w:val="007023E8"/>
    <w:rsid w:val="00702670"/>
    <w:rsid w:val="007031B3"/>
    <w:rsid w:val="00703305"/>
    <w:rsid w:val="00703688"/>
    <w:rsid w:val="007038A1"/>
    <w:rsid w:val="00703B20"/>
    <w:rsid w:val="007041F7"/>
    <w:rsid w:val="00705D61"/>
    <w:rsid w:val="00706FD5"/>
    <w:rsid w:val="0070765A"/>
    <w:rsid w:val="00710252"/>
    <w:rsid w:val="007124ED"/>
    <w:rsid w:val="00712CF8"/>
    <w:rsid w:val="00712EBA"/>
    <w:rsid w:val="007154BA"/>
    <w:rsid w:val="007159D3"/>
    <w:rsid w:val="00715E9D"/>
    <w:rsid w:val="00716B55"/>
    <w:rsid w:val="00716FB3"/>
    <w:rsid w:val="00717E03"/>
    <w:rsid w:val="00717F23"/>
    <w:rsid w:val="007232F1"/>
    <w:rsid w:val="0072336E"/>
    <w:rsid w:val="007249DF"/>
    <w:rsid w:val="00724B0B"/>
    <w:rsid w:val="00726B75"/>
    <w:rsid w:val="00730308"/>
    <w:rsid w:val="00730940"/>
    <w:rsid w:val="00730DF8"/>
    <w:rsid w:val="00733B6A"/>
    <w:rsid w:val="0073611D"/>
    <w:rsid w:val="00736F16"/>
    <w:rsid w:val="007374F9"/>
    <w:rsid w:val="0073756E"/>
    <w:rsid w:val="00737905"/>
    <w:rsid w:val="00740809"/>
    <w:rsid w:val="00742999"/>
    <w:rsid w:val="00742AA8"/>
    <w:rsid w:val="00742D33"/>
    <w:rsid w:val="00744336"/>
    <w:rsid w:val="00744B86"/>
    <w:rsid w:val="00745C58"/>
    <w:rsid w:val="00745CDD"/>
    <w:rsid w:val="00746CA0"/>
    <w:rsid w:val="00746CDF"/>
    <w:rsid w:val="00752AF9"/>
    <w:rsid w:val="00754227"/>
    <w:rsid w:val="0075507C"/>
    <w:rsid w:val="0075669C"/>
    <w:rsid w:val="0076190D"/>
    <w:rsid w:val="00762968"/>
    <w:rsid w:val="0076521E"/>
    <w:rsid w:val="007663C7"/>
    <w:rsid w:val="00767CF6"/>
    <w:rsid w:val="00770D04"/>
    <w:rsid w:val="007759CD"/>
    <w:rsid w:val="00777610"/>
    <w:rsid w:val="007802A7"/>
    <w:rsid w:val="007821ED"/>
    <w:rsid w:val="00783342"/>
    <w:rsid w:val="0078471D"/>
    <w:rsid w:val="007849FF"/>
    <w:rsid w:val="00785F8C"/>
    <w:rsid w:val="007872EE"/>
    <w:rsid w:val="00787F00"/>
    <w:rsid w:val="00790950"/>
    <w:rsid w:val="00790F87"/>
    <w:rsid w:val="00793985"/>
    <w:rsid w:val="00795882"/>
    <w:rsid w:val="00795A1C"/>
    <w:rsid w:val="00795C1A"/>
    <w:rsid w:val="00796F99"/>
    <w:rsid w:val="0079731B"/>
    <w:rsid w:val="007A0326"/>
    <w:rsid w:val="007A1A00"/>
    <w:rsid w:val="007A3DA3"/>
    <w:rsid w:val="007A4280"/>
    <w:rsid w:val="007A550E"/>
    <w:rsid w:val="007A6761"/>
    <w:rsid w:val="007B21AC"/>
    <w:rsid w:val="007B28A7"/>
    <w:rsid w:val="007B3044"/>
    <w:rsid w:val="007B32DF"/>
    <w:rsid w:val="007B7FB1"/>
    <w:rsid w:val="007C15D3"/>
    <w:rsid w:val="007C17E9"/>
    <w:rsid w:val="007C4135"/>
    <w:rsid w:val="007C6BC9"/>
    <w:rsid w:val="007D110D"/>
    <w:rsid w:val="007D1FCE"/>
    <w:rsid w:val="007D3640"/>
    <w:rsid w:val="007D4044"/>
    <w:rsid w:val="007D4453"/>
    <w:rsid w:val="007D4DA9"/>
    <w:rsid w:val="007D4FC3"/>
    <w:rsid w:val="007D56F7"/>
    <w:rsid w:val="007D5C41"/>
    <w:rsid w:val="007D606F"/>
    <w:rsid w:val="007D6F40"/>
    <w:rsid w:val="007D7156"/>
    <w:rsid w:val="007E03FE"/>
    <w:rsid w:val="007E0555"/>
    <w:rsid w:val="007E0676"/>
    <w:rsid w:val="007E0BC0"/>
    <w:rsid w:val="007E12A7"/>
    <w:rsid w:val="007E2357"/>
    <w:rsid w:val="007E289B"/>
    <w:rsid w:val="007E2F6E"/>
    <w:rsid w:val="007E318B"/>
    <w:rsid w:val="007E31C9"/>
    <w:rsid w:val="007E4618"/>
    <w:rsid w:val="007E4DE1"/>
    <w:rsid w:val="007E5842"/>
    <w:rsid w:val="007E5E23"/>
    <w:rsid w:val="007E6386"/>
    <w:rsid w:val="007E7880"/>
    <w:rsid w:val="007E7C15"/>
    <w:rsid w:val="007F1055"/>
    <w:rsid w:val="007F1BAE"/>
    <w:rsid w:val="007F2017"/>
    <w:rsid w:val="007F24C8"/>
    <w:rsid w:val="007F3DE6"/>
    <w:rsid w:val="007F5D33"/>
    <w:rsid w:val="007F5D5B"/>
    <w:rsid w:val="007F73DE"/>
    <w:rsid w:val="008007EA"/>
    <w:rsid w:val="00804867"/>
    <w:rsid w:val="00804E98"/>
    <w:rsid w:val="00806767"/>
    <w:rsid w:val="008073C2"/>
    <w:rsid w:val="008079F1"/>
    <w:rsid w:val="0081024D"/>
    <w:rsid w:val="00811BF9"/>
    <w:rsid w:val="008169FD"/>
    <w:rsid w:val="008170F5"/>
    <w:rsid w:val="00817772"/>
    <w:rsid w:val="00820463"/>
    <w:rsid w:val="008213C5"/>
    <w:rsid w:val="00821697"/>
    <w:rsid w:val="0082215E"/>
    <w:rsid w:val="00822CCD"/>
    <w:rsid w:val="00822D1F"/>
    <w:rsid w:val="00824EB0"/>
    <w:rsid w:val="0082503E"/>
    <w:rsid w:val="008265EC"/>
    <w:rsid w:val="008266BD"/>
    <w:rsid w:val="008273BF"/>
    <w:rsid w:val="00827CDE"/>
    <w:rsid w:val="008311D9"/>
    <w:rsid w:val="0083241F"/>
    <w:rsid w:val="00832C8E"/>
    <w:rsid w:val="00832D0B"/>
    <w:rsid w:val="00833C8B"/>
    <w:rsid w:val="00837090"/>
    <w:rsid w:val="008400EF"/>
    <w:rsid w:val="00840BD0"/>
    <w:rsid w:val="00840DCF"/>
    <w:rsid w:val="00841B06"/>
    <w:rsid w:val="00842CB9"/>
    <w:rsid w:val="00843057"/>
    <w:rsid w:val="00844331"/>
    <w:rsid w:val="00846EDA"/>
    <w:rsid w:val="00851349"/>
    <w:rsid w:val="00851A7C"/>
    <w:rsid w:val="00851F37"/>
    <w:rsid w:val="00852557"/>
    <w:rsid w:val="00852877"/>
    <w:rsid w:val="008529F1"/>
    <w:rsid w:val="0085334A"/>
    <w:rsid w:val="00853956"/>
    <w:rsid w:val="00853CFC"/>
    <w:rsid w:val="008544CB"/>
    <w:rsid w:val="008556FC"/>
    <w:rsid w:val="00855705"/>
    <w:rsid w:val="008562F5"/>
    <w:rsid w:val="008563CB"/>
    <w:rsid w:val="008563F3"/>
    <w:rsid w:val="00856BB7"/>
    <w:rsid w:val="008608DB"/>
    <w:rsid w:val="00860FB9"/>
    <w:rsid w:val="00861118"/>
    <w:rsid w:val="008611C1"/>
    <w:rsid w:val="0086123D"/>
    <w:rsid w:val="00861BFF"/>
    <w:rsid w:val="00863CC6"/>
    <w:rsid w:val="008642F1"/>
    <w:rsid w:val="008668DA"/>
    <w:rsid w:val="00867194"/>
    <w:rsid w:val="00873843"/>
    <w:rsid w:val="00873B9B"/>
    <w:rsid w:val="00873EC2"/>
    <w:rsid w:val="00874B2D"/>
    <w:rsid w:val="00874F66"/>
    <w:rsid w:val="00875208"/>
    <w:rsid w:val="008754D1"/>
    <w:rsid w:val="00875C06"/>
    <w:rsid w:val="00875C3F"/>
    <w:rsid w:val="008767B5"/>
    <w:rsid w:val="008770AA"/>
    <w:rsid w:val="00880E0A"/>
    <w:rsid w:val="00881453"/>
    <w:rsid w:val="00881C62"/>
    <w:rsid w:val="00883961"/>
    <w:rsid w:val="00884CA8"/>
    <w:rsid w:val="00885356"/>
    <w:rsid w:val="0088567D"/>
    <w:rsid w:val="00886139"/>
    <w:rsid w:val="00886B6A"/>
    <w:rsid w:val="00886CDB"/>
    <w:rsid w:val="00891022"/>
    <w:rsid w:val="00894515"/>
    <w:rsid w:val="0089496E"/>
    <w:rsid w:val="00894F14"/>
    <w:rsid w:val="008A1851"/>
    <w:rsid w:val="008A2230"/>
    <w:rsid w:val="008A2532"/>
    <w:rsid w:val="008A4092"/>
    <w:rsid w:val="008A558F"/>
    <w:rsid w:val="008A5BB0"/>
    <w:rsid w:val="008A6EA9"/>
    <w:rsid w:val="008A7C51"/>
    <w:rsid w:val="008B02C9"/>
    <w:rsid w:val="008B03FF"/>
    <w:rsid w:val="008B0472"/>
    <w:rsid w:val="008B0AE7"/>
    <w:rsid w:val="008B18C8"/>
    <w:rsid w:val="008B2575"/>
    <w:rsid w:val="008B2D48"/>
    <w:rsid w:val="008B39D3"/>
    <w:rsid w:val="008B3B32"/>
    <w:rsid w:val="008B54EC"/>
    <w:rsid w:val="008B5C35"/>
    <w:rsid w:val="008B6373"/>
    <w:rsid w:val="008C2AEA"/>
    <w:rsid w:val="008C2B11"/>
    <w:rsid w:val="008C2B32"/>
    <w:rsid w:val="008C331D"/>
    <w:rsid w:val="008C5968"/>
    <w:rsid w:val="008C5BA1"/>
    <w:rsid w:val="008C6AC4"/>
    <w:rsid w:val="008C7FF5"/>
    <w:rsid w:val="008D318E"/>
    <w:rsid w:val="008D346D"/>
    <w:rsid w:val="008D611D"/>
    <w:rsid w:val="008D7373"/>
    <w:rsid w:val="008D7E31"/>
    <w:rsid w:val="008E1D7C"/>
    <w:rsid w:val="008E4607"/>
    <w:rsid w:val="008E4E7D"/>
    <w:rsid w:val="008E6034"/>
    <w:rsid w:val="008E690F"/>
    <w:rsid w:val="008F0D08"/>
    <w:rsid w:val="008F133D"/>
    <w:rsid w:val="008F17D4"/>
    <w:rsid w:val="008F2569"/>
    <w:rsid w:val="008F28EF"/>
    <w:rsid w:val="008F4680"/>
    <w:rsid w:val="008F4704"/>
    <w:rsid w:val="008F4BEE"/>
    <w:rsid w:val="008F4CAD"/>
    <w:rsid w:val="008F63DC"/>
    <w:rsid w:val="008F662C"/>
    <w:rsid w:val="008F7B90"/>
    <w:rsid w:val="00902959"/>
    <w:rsid w:val="009033A7"/>
    <w:rsid w:val="00903E24"/>
    <w:rsid w:val="00904AE1"/>
    <w:rsid w:val="0090681B"/>
    <w:rsid w:val="00906D50"/>
    <w:rsid w:val="00907F77"/>
    <w:rsid w:val="00910A56"/>
    <w:rsid w:val="00910A60"/>
    <w:rsid w:val="00915357"/>
    <w:rsid w:val="00915D2C"/>
    <w:rsid w:val="00916BB5"/>
    <w:rsid w:val="009171B1"/>
    <w:rsid w:val="0091764D"/>
    <w:rsid w:val="00920249"/>
    <w:rsid w:val="00921834"/>
    <w:rsid w:val="00921EBA"/>
    <w:rsid w:val="00922D28"/>
    <w:rsid w:val="009247B0"/>
    <w:rsid w:val="00924DB4"/>
    <w:rsid w:val="00924F0C"/>
    <w:rsid w:val="00925774"/>
    <w:rsid w:val="00925C59"/>
    <w:rsid w:val="0092620D"/>
    <w:rsid w:val="009264B4"/>
    <w:rsid w:val="00926AAE"/>
    <w:rsid w:val="00930572"/>
    <w:rsid w:val="0093191E"/>
    <w:rsid w:val="009324DE"/>
    <w:rsid w:val="009330FE"/>
    <w:rsid w:val="00934708"/>
    <w:rsid w:val="00934A68"/>
    <w:rsid w:val="0093526B"/>
    <w:rsid w:val="00935F62"/>
    <w:rsid w:val="00936406"/>
    <w:rsid w:val="009405E0"/>
    <w:rsid w:val="00940695"/>
    <w:rsid w:val="00940B56"/>
    <w:rsid w:val="00940D3F"/>
    <w:rsid w:val="00940F97"/>
    <w:rsid w:val="0094103D"/>
    <w:rsid w:val="009413DC"/>
    <w:rsid w:val="0094163C"/>
    <w:rsid w:val="00943260"/>
    <w:rsid w:val="009437FA"/>
    <w:rsid w:val="00943ADB"/>
    <w:rsid w:val="00943FA3"/>
    <w:rsid w:val="00945B76"/>
    <w:rsid w:val="00946FC3"/>
    <w:rsid w:val="00947E9A"/>
    <w:rsid w:val="009538C9"/>
    <w:rsid w:val="00954574"/>
    <w:rsid w:val="0095471B"/>
    <w:rsid w:val="00954C3E"/>
    <w:rsid w:val="00960EE0"/>
    <w:rsid w:val="009618E6"/>
    <w:rsid w:val="00962485"/>
    <w:rsid w:val="00962B83"/>
    <w:rsid w:val="00963EDB"/>
    <w:rsid w:val="00964958"/>
    <w:rsid w:val="00966F26"/>
    <w:rsid w:val="00970874"/>
    <w:rsid w:val="009709EA"/>
    <w:rsid w:val="00971385"/>
    <w:rsid w:val="00972C07"/>
    <w:rsid w:val="00973505"/>
    <w:rsid w:val="00974067"/>
    <w:rsid w:val="00975219"/>
    <w:rsid w:val="0097634D"/>
    <w:rsid w:val="00976388"/>
    <w:rsid w:val="00977CE6"/>
    <w:rsid w:val="00980521"/>
    <w:rsid w:val="0098271F"/>
    <w:rsid w:val="00985949"/>
    <w:rsid w:val="00986A03"/>
    <w:rsid w:val="0098712D"/>
    <w:rsid w:val="00987811"/>
    <w:rsid w:val="00990271"/>
    <w:rsid w:val="00991152"/>
    <w:rsid w:val="009913E9"/>
    <w:rsid w:val="00993BBD"/>
    <w:rsid w:val="0099474D"/>
    <w:rsid w:val="00994A54"/>
    <w:rsid w:val="00994F21"/>
    <w:rsid w:val="00995C29"/>
    <w:rsid w:val="00997B88"/>
    <w:rsid w:val="009A0D30"/>
    <w:rsid w:val="009A1B7A"/>
    <w:rsid w:val="009A3080"/>
    <w:rsid w:val="009A3A58"/>
    <w:rsid w:val="009A4DDC"/>
    <w:rsid w:val="009A51FA"/>
    <w:rsid w:val="009A77AF"/>
    <w:rsid w:val="009B265C"/>
    <w:rsid w:val="009B2817"/>
    <w:rsid w:val="009B2B52"/>
    <w:rsid w:val="009B306A"/>
    <w:rsid w:val="009B3799"/>
    <w:rsid w:val="009B3A3F"/>
    <w:rsid w:val="009B5011"/>
    <w:rsid w:val="009B5483"/>
    <w:rsid w:val="009B5CDE"/>
    <w:rsid w:val="009B6CD5"/>
    <w:rsid w:val="009C04E4"/>
    <w:rsid w:val="009C10C5"/>
    <w:rsid w:val="009C2079"/>
    <w:rsid w:val="009C20B8"/>
    <w:rsid w:val="009C27C0"/>
    <w:rsid w:val="009C2D19"/>
    <w:rsid w:val="009C2DE5"/>
    <w:rsid w:val="009C3C49"/>
    <w:rsid w:val="009C4CC5"/>
    <w:rsid w:val="009D0982"/>
    <w:rsid w:val="009D0D27"/>
    <w:rsid w:val="009D1350"/>
    <w:rsid w:val="009D2371"/>
    <w:rsid w:val="009D2B1D"/>
    <w:rsid w:val="009D2B62"/>
    <w:rsid w:val="009D2D69"/>
    <w:rsid w:val="009D309D"/>
    <w:rsid w:val="009D3E96"/>
    <w:rsid w:val="009D4E92"/>
    <w:rsid w:val="009D7989"/>
    <w:rsid w:val="009E1194"/>
    <w:rsid w:val="009E155C"/>
    <w:rsid w:val="009E2729"/>
    <w:rsid w:val="009E3CDE"/>
    <w:rsid w:val="009E4374"/>
    <w:rsid w:val="009E782E"/>
    <w:rsid w:val="009E7D33"/>
    <w:rsid w:val="009F0507"/>
    <w:rsid w:val="009F0917"/>
    <w:rsid w:val="009F272E"/>
    <w:rsid w:val="009F28B2"/>
    <w:rsid w:val="009F35ED"/>
    <w:rsid w:val="009F383A"/>
    <w:rsid w:val="009F42AE"/>
    <w:rsid w:val="009F4BE6"/>
    <w:rsid w:val="009F54B5"/>
    <w:rsid w:val="009F5B8F"/>
    <w:rsid w:val="009F67A6"/>
    <w:rsid w:val="009F6B35"/>
    <w:rsid w:val="009F71C2"/>
    <w:rsid w:val="009F7E70"/>
    <w:rsid w:val="00A01339"/>
    <w:rsid w:val="00A01594"/>
    <w:rsid w:val="00A027F4"/>
    <w:rsid w:val="00A0281D"/>
    <w:rsid w:val="00A0453A"/>
    <w:rsid w:val="00A049A8"/>
    <w:rsid w:val="00A05576"/>
    <w:rsid w:val="00A05D40"/>
    <w:rsid w:val="00A068A4"/>
    <w:rsid w:val="00A06C08"/>
    <w:rsid w:val="00A07B0B"/>
    <w:rsid w:val="00A10DEB"/>
    <w:rsid w:val="00A114F7"/>
    <w:rsid w:val="00A1393B"/>
    <w:rsid w:val="00A14515"/>
    <w:rsid w:val="00A14F63"/>
    <w:rsid w:val="00A175D3"/>
    <w:rsid w:val="00A17DF2"/>
    <w:rsid w:val="00A212F4"/>
    <w:rsid w:val="00A214C5"/>
    <w:rsid w:val="00A22297"/>
    <w:rsid w:val="00A22C8A"/>
    <w:rsid w:val="00A2303F"/>
    <w:rsid w:val="00A23342"/>
    <w:rsid w:val="00A235A6"/>
    <w:rsid w:val="00A263EE"/>
    <w:rsid w:val="00A26D00"/>
    <w:rsid w:val="00A26DDB"/>
    <w:rsid w:val="00A317B8"/>
    <w:rsid w:val="00A328FC"/>
    <w:rsid w:val="00A32C3E"/>
    <w:rsid w:val="00A32C56"/>
    <w:rsid w:val="00A33B22"/>
    <w:rsid w:val="00A341A7"/>
    <w:rsid w:val="00A351DF"/>
    <w:rsid w:val="00A355CE"/>
    <w:rsid w:val="00A36C87"/>
    <w:rsid w:val="00A400A0"/>
    <w:rsid w:val="00A41E14"/>
    <w:rsid w:val="00A42F7A"/>
    <w:rsid w:val="00A46200"/>
    <w:rsid w:val="00A506B6"/>
    <w:rsid w:val="00A55BFA"/>
    <w:rsid w:val="00A605F2"/>
    <w:rsid w:val="00A60975"/>
    <w:rsid w:val="00A61C6E"/>
    <w:rsid w:val="00A62438"/>
    <w:rsid w:val="00A62FDF"/>
    <w:rsid w:val="00A63BBD"/>
    <w:rsid w:val="00A63C3C"/>
    <w:rsid w:val="00A6462D"/>
    <w:rsid w:val="00A67FE4"/>
    <w:rsid w:val="00A70D0D"/>
    <w:rsid w:val="00A73045"/>
    <w:rsid w:val="00A74256"/>
    <w:rsid w:val="00A74364"/>
    <w:rsid w:val="00A74EFA"/>
    <w:rsid w:val="00A7587F"/>
    <w:rsid w:val="00A76185"/>
    <w:rsid w:val="00A76F62"/>
    <w:rsid w:val="00A76FBB"/>
    <w:rsid w:val="00A80BD7"/>
    <w:rsid w:val="00A80E11"/>
    <w:rsid w:val="00A81328"/>
    <w:rsid w:val="00A816C9"/>
    <w:rsid w:val="00A817C3"/>
    <w:rsid w:val="00A829F0"/>
    <w:rsid w:val="00A82E88"/>
    <w:rsid w:val="00A84EBF"/>
    <w:rsid w:val="00A862C6"/>
    <w:rsid w:val="00A86837"/>
    <w:rsid w:val="00A86920"/>
    <w:rsid w:val="00A86C91"/>
    <w:rsid w:val="00A86EC0"/>
    <w:rsid w:val="00A8720F"/>
    <w:rsid w:val="00A90FD2"/>
    <w:rsid w:val="00A92E18"/>
    <w:rsid w:val="00A93680"/>
    <w:rsid w:val="00A9384B"/>
    <w:rsid w:val="00A95A96"/>
    <w:rsid w:val="00A97356"/>
    <w:rsid w:val="00A97550"/>
    <w:rsid w:val="00A97E36"/>
    <w:rsid w:val="00AA0D79"/>
    <w:rsid w:val="00AA103A"/>
    <w:rsid w:val="00AA14FE"/>
    <w:rsid w:val="00AA2655"/>
    <w:rsid w:val="00AA4348"/>
    <w:rsid w:val="00AA5768"/>
    <w:rsid w:val="00AA598F"/>
    <w:rsid w:val="00AA6323"/>
    <w:rsid w:val="00AA6A1E"/>
    <w:rsid w:val="00AA79A6"/>
    <w:rsid w:val="00AA7C9A"/>
    <w:rsid w:val="00AB13B9"/>
    <w:rsid w:val="00AB289C"/>
    <w:rsid w:val="00AB2FDD"/>
    <w:rsid w:val="00AB3C91"/>
    <w:rsid w:val="00AB5C67"/>
    <w:rsid w:val="00AB63AC"/>
    <w:rsid w:val="00AC19CD"/>
    <w:rsid w:val="00AC2238"/>
    <w:rsid w:val="00AC397E"/>
    <w:rsid w:val="00AC48E4"/>
    <w:rsid w:val="00AC4A6F"/>
    <w:rsid w:val="00AC4C9B"/>
    <w:rsid w:val="00AC5B89"/>
    <w:rsid w:val="00AC62A7"/>
    <w:rsid w:val="00AD0A66"/>
    <w:rsid w:val="00AD0F87"/>
    <w:rsid w:val="00AD1916"/>
    <w:rsid w:val="00AD1CA9"/>
    <w:rsid w:val="00AD4AA2"/>
    <w:rsid w:val="00AD4DB4"/>
    <w:rsid w:val="00AD5307"/>
    <w:rsid w:val="00AD5E0B"/>
    <w:rsid w:val="00AD6F9A"/>
    <w:rsid w:val="00AD7DE5"/>
    <w:rsid w:val="00AE2529"/>
    <w:rsid w:val="00AE3B50"/>
    <w:rsid w:val="00AE3B6F"/>
    <w:rsid w:val="00AE5016"/>
    <w:rsid w:val="00AE56F5"/>
    <w:rsid w:val="00AF0853"/>
    <w:rsid w:val="00AF13ED"/>
    <w:rsid w:val="00AF1551"/>
    <w:rsid w:val="00AF2EBB"/>
    <w:rsid w:val="00AF36F7"/>
    <w:rsid w:val="00AF3EFE"/>
    <w:rsid w:val="00AF45F7"/>
    <w:rsid w:val="00AF5053"/>
    <w:rsid w:val="00AF67D5"/>
    <w:rsid w:val="00B00AC5"/>
    <w:rsid w:val="00B01A05"/>
    <w:rsid w:val="00B01FCE"/>
    <w:rsid w:val="00B0304B"/>
    <w:rsid w:val="00B04108"/>
    <w:rsid w:val="00B052E2"/>
    <w:rsid w:val="00B053A4"/>
    <w:rsid w:val="00B059A4"/>
    <w:rsid w:val="00B06BB6"/>
    <w:rsid w:val="00B07556"/>
    <w:rsid w:val="00B10E8A"/>
    <w:rsid w:val="00B14442"/>
    <w:rsid w:val="00B15872"/>
    <w:rsid w:val="00B15F25"/>
    <w:rsid w:val="00B16389"/>
    <w:rsid w:val="00B16F91"/>
    <w:rsid w:val="00B2389F"/>
    <w:rsid w:val="00B23E2A"/>
    <w:rsid w:val="00B24263"/>
    <w:rsid w:val="00B26B97"/>
    <w:rsid w:val="00B26CBD"/>
    <w:rsid w:val="00B31B5A"/>
    <w:rsid w:val="00B34AE3"/>
    <w:rsid w:val="00B35520"/>
    <w:rsid w:val="00B367D2"/>
    <w:rsid w:val="00B374DD"/>
    <w:rsid w:val="00B40441"/>
    <w:rsid w:val="00B405AD"/>
    <w:rsid w:val="00B4315A"/>
    <w:rsid w:val="00B44954"/>
    <w:rsid w:val="00B45A75"/>
    <w:rsid w:val="00B46872"/>
    <w:rsid w:val="00B471B1"/>
    <w:rsid w:val="00B47C30"/>
    <w:rsid w:val="00B51A5D"/>
    <w:rsid w:val="00B51C17"/>
    <w:rsid w:val="00B52079"/>
    <w:rsid w:val="00B531EB"/>
    <w:rsid w:val="00B55996"/>
    <w:rsid w:val="00B57550"/>
    <w:rsid w:val="00B6450E"/>
    <w:rsid w:val="00B702D5"/>
    <w:rsid w:val="00B706A7"/>
    <w:rsid w:val="00B71892"/>
    <w:rsid w:val="00B73BC8"/>
    <w:rsid w:val="00B74C9A"/>
    <w:rsid w:val="00B75913"/>
    <w:rsid w:val="00B800D5"/>
    <w:rsid w:val="00B81041"/>
    <w:rsid w:val="00B82A42"/>
    <w:rsid w:val="00B82FAC"/>
    <w:rsid w:val="00B84835"/>
    <w:rsid w:val="00B8693A"/>
    <w:rsid w:val="00B900F1"/>
    <w:rsid w:val="00B9093F"/>
    <w:rsid w:val="00B91A3C"/>
    <w:rsid w:val="00B9408D"/>
    <w:rsid w:val="00B94286"/>
    <w:rsid w:val="00B9461F"/>
    <w:rsid w:val="00B9520C"/>
    <w:rsid w:val="00B9695E"/>
    <w:rsid w:val="00BA00A9"/>
    <w:rsid w:val="00BA193D"/>
    <w:rsid w:val="00BA270C"/>
    <w:rsid w:val="00BA31EC"/>
    <w:rsid w:val="00BA47B0"/>
    <w:rsid w:val="00BA4845"/>
    <w:rsid w:val="00BA5675"/>
    <w:rsid w:val="00BA5EF6"/>
    <w:rsid w:val="00BA5F53"/>
    <w:rsid w:val="00BA66AA"/>
    <w:rsid w:val="00BB0ABC"/>
    <w:rsid w:val="00BB18C2"/>
    <w:rsid w:val="00BB18FF"/>
    <w:rsid w:val="00BB26CA"/>
    <w:rsid w:val="00BB418A"/>
    <w:rsid w:val="00BB4990"/>
    <w:rsid w:val="00BB57D1"/>
    <w:rsid w:val="00BC0D06"/>
    <w:rsid w:val="00BC1625"/>
    <w:rsid w:val="00BC46EB"/>
    <w:rsid w:val="00BC53DF"/>
    <w:rsid w:val="00BC56C7"/>
    <w:rsid w:val="00BC5CE2"/>
    <w:rsid w:val="00BC6126"/>
    <w:rsid w:val="00BC6188"/>
    <w:rsid w:val="00BC6324"/>
    <w:rsid w:val="00BD09C5"/>
    <w:rsid w:val="00BD2120"/>
    <w:rsid w:val="00BD31AE"/>
    <w:rsid w:val="00BD407E"/>
    <w:rsid w:val="00BD455D"/>
    <w:rsid w:val="00BD4D71"/>
    <w:rsid w:val="00BD56E3"/>
    <w:rsid w:val="00BD64A7"/>
    <w:rsid w:val="00BD707D"/>
    <w:rsid w:val="00BE1141"/>
    <w:rsid w:val="00BE1A77"/>
    <w:rsid w:val="00BE1D0D"/>
    <w:rsid w:val="00BE3C66"/>
    <w:rsid w:val="00BE4EF5"/>
    <w:rsid w:val="00BE6367"/>
    <w:rsid w:val="00BE6486"/>
    <w:rsid w:val="00BE684D"/>
    <w:rsid w:val="00BE7743"/>
    <w:rsid w:val="00BF045F"/>
    <w:rsid w:val="00BF261E"/>
    <w:rsid w:val="00BF3B6D"/>
    <w:rsid w:val="00BF7138"/>
    <w:rsid w:val="00BF766B"/>
    <w:rsid w:val="00C01E90"/>
    <w:rsid w:val="00C02D44"/>
    <w:rsid w:val="00C065E2"/>
    <w:rsid w:val="00C07119"/>
    <w:rsid w:val="00C07BF4"/>
    <w:rsid w:val="00C10399"/>
    <w:rsid w:val="00C11D89"/>
    <w:rsid w:val="00C13469"/>
    <w:rsid w:val="00C13CB0"/>
    <w:rsid w:val="00C15B4B"/>
    <w:rsid w:val="00C1705F"/>
    <w:rsid w:val="00C20409"/>
    <w:rsid w:val="00C20ABA"/>
    <w:rsid w:val="00C21DE2"/>
    <w:rsid w:val="00C21FEA"/>
    <w:rsid w:val="00C22818"/>
    <w:rsid w:val="00C24D98"/>
    <w:rsid w:val="00C25448"/>
    <w:rsid w:val="00C25E8D"/>
    <w:rsid w:val="00C27EF4"/>
    <w:rsid w:val="00C31145"/>
    <w:rsid w:val="00C31387"/>
    <w:rsid w:val="00C31FFF"/>
    <w:rsid w:val="00C32AC3"/>
    <w:rsid w:val="00C356F7"/>
    <w:rsid w:val="00C3575A"/>
    <w:rsid w:val="00C35B8C"/>
    <w:rsid w:val="00C4030E"/>
    <w:rsid w:val="00C436B9"/>
    <w:rsid w:val="00C452CF"/>
    <w:rsid w:val="00C46C25"/>
    <w:rsid w:val="00C501C0"/>
    <w:rsid w:val="00C5590B"/>
    <w:rsid w:val="00C5598D"/>
    <w:rsid w:val="00C601CD"/>
    <w:rsid w:val="00C609AB"/>
    <w:rsid w:val="00C60D30"/>
    <w:rsid w:val="00C62964"/>
    <w:rsid w:val="00C62BD3"/>
    <w:rsid w:val="00C63D30"/>
    <w:rsid w:val="00C64D09"/>
    <w:rsid w:val="00C65998"/>
    <w:rsid w:val="00C670D8"/>
    <w:rsid w:val="00C703C8"/>
    <w:rsid w:val="00C71C04"/>
    <w:rsid w:val="00C726EA"/>
    <w:rsid w:val="00C72C04"/>
    <w:rsid w:val="00C7642B"/>
    <w:rsid w:val="00C771A4"/>
    <w:rsid w:val="00C7720F"/>
    <w:rsid w:val="00C815E0"/>
    <w:rsid w:val="00C84B38"/>
    <w:rsid w:val="00C84C8D"/>
    <w:rsid w:val="00C8505F"/>
    <w:rsid w:val="00C85A9A"/>
    <w:rsid w:val="00C86B47"/>
    <w:rsid w:val="00C8756D"/>
    <w:rsid w:val="00C87A45"/>
    <w:rsid w:val="00C9247B"/>
    <w:rsid w:val="00C92927"/>
    <w:rsid w:val="00C92BF2"/>
    <w:rsid w:val="00C932B7"/>
    <w:rsid w:val="00C94C1E"/>
    <w:rsid w:val="00C958C6"/>
    <w:rsid w:val="00C95E85"/>
    <w:rsid w:val="00C97762"/>
    <w:rsid w:val="00C97900"/>
    <w:rsid w:val="00CA1438"/>
    <w:rsid w:val="00CA22C0"/>
    <w:rsid w:val="00CA387F"/>
    <w:rsid w:val="00CA4BC2"/>
    <w:rsid w:val="00CA4F2E"/>
    <w:rsid w:val="00CA5661"/>
    <w:rsid w:val="00CA617E"/>
    <w:rsid w:val="00CA6D87"/>
    <w:rsid w:val="00CA7669"/>
    <w:rsid w:val="00CB2F61"/>
    <w:rsid w:val="00CB4153"/>
    <w:rsid w:val="00CB45EB"/>
    <w:rsid w:val="00CB4F80"/>
    <w:rsid w:val="00CB676A"/>
    <w:rsid w:val="00CB7C4C"/>
    <w:rsid w:val="00CB7C62"/>
    <w:rsid w:val="00CC0B0D"/>
    <w:rsid w:val="00CC1F36"/>
    <w:rsid w:val="00CC3E08"/>
    <w:rsid w:val="00CC5B2C"/>
    <w:rsid w:val="00CC603E"/>
    <w:rsid w:val="00CC6226"/>
    <w:rsid w:val="00CC6593"/>
    <w:rsid w:val="00CC735A"/>
    <w:rsid w:val="00CD4C19"/>
    <w:rsid w:val="00CD5B80"/>
    <w:rsid w:val="00CD5D43"/>
    <w:rsid w:val="00CD65D9"/>
    <w:rsid w:val="00CD79C9"/>
    <w:rsid w:val="00CE001C"/>
    <w:rsid w:val="00CE107B"/>
    <w:rsid w:val="00CE2D98"/>
    <w:rsid w:val="00CE39E3"/>
    <w:rsid w:val="00CE7ABB"/>
    <w:rsid w:val="00CE7F69"/>
    <w:rsid w:val="00CF053A"/>
    <w:rsid w:val="00CF0D2E"/>
    <w:rsid w:val="00CF27D5"/>
    <w:rsid w:val="00CF44D0"/>
    <w:rsid w:val="00CF72DA"/>
    <w:rsid w:val="00D00479"/>
    <w:rsid w:val="00D015F4"/>
    <w:rsid w:val="00D01B54"/>
    <w:rsid w:val="00D01F81"/>
    <w:rsid w:val="00D030F1"/>
    <w:rsid w:val="00D0459B"/>
    <w:rsid w:val="00D046F2"/>
    <w:rsid w:val="00D05278"/>
    <w:rsid w:val="00D05A92"/>
    <w:rsid w:val="00D06121"/>
    <w:rsid w:val="00D10899"/>
    <w:rsid w:val="00D115EA"/>
    <w:rsid w:val="00D12E93"/>
    <w:rsid w:val="00D138CC"/>
    <w:rsid w:val="00D15552"/>
    <w:rsid w:val="00D17F22"/>
    <w:rsid w:val="00D206EA"/>
    <w:rsid w:val="00D20A8D"/>
    <w:rsid w:val="00D20CE5"/>
    <w:rsid w:val="00D213DA"/>
    <w:rsid w:val="00D24352"/>
    <w:rsid w:val="00D24734"/>
    <w:rsid w:val="00D24B87"/>
    <w:rsid w:val="00D25B6F"/>
    <w:rsid w:val="00D25F9C"/>
    <w:rsid w:val="00D26156"/>
    <w:rsid w:val="00D277ED"/>
    <w:rsid w:val="00D30E9D"/>
    <w:rsid w:val="00D324E1"/>
    <w:rsid w:val="00D32786"/>
    <w:rsid w:val="00D4076C"/>
    <w:rsid w:val="00D408A8"/>
    <w:rsid w:val="00D40BBF"/>
    <w:rsid w:val="00D414FA"/>
    <w:rsid w:val="00D420CB"/>
    <w:rsid w:val="00D4326C"/>
    <w:rsid w:val="00D43E51"/>
    <w:rsid w:val="00D450AF"/>
    <w:rsid w:val="00D45EB4"/>
    <w:rsid w:val="00D50B2C"/>
    <w:rsid w:val="00D51005"/>
    <w:rsid w:val="00D551AE"/>
    <w:rsid w:val="00D55594"/>
    <w:rsid w:val="00D609F0"/>
    <w:rsid w:val="00D60A14"/>
    <w:rsid w:val="00D61D99"/>
    <w:rsid w:val="00D62A78"/>
    <w:rsid w:val="00D6357D"/>
    <w:rsid w:val="00D63812"/>
    <w:rsid w:val="00D6401E"/>
    <w:rsid w:val="00D6597C"/>
    <w:rsid w:val="00D66850"/>
    <w:rsid w:val="00D6715E"/>
    <w:rsid w:val="00D674FC"/>
    <w:rsid w:val="00D67B40"/>
    <w:rsid w:val="00D70C6A"/>
    <w:rsid w:val="00D70E88"/>
    <w:rsid w:val="00D714E3"/>
    <w:rsid w:val="00D71E0D"/>
    <w:rsid w:val="00D72210"/>
    <w:rsid w:val="00D73B6E"/>
    <w:rsid w:val="00D74EAF"/>
    <w:rsid w:val="00D75DA9"/>
    <w:rsid w:val="00D764C5"/>
    <w:rsid w:val="00D768C5"/>
    <w:rsid w:val="00D80EB5"/>
    <w:rsid w:val="00D814C7"/>
    <w:rsid w:val="00D82FE0"/>
    <w:rsid w:val="00D83480"/>
    <w:rsid w:val="00D83DFD"/>
    <w:rsid w:val="00D87F56"/>
    <w:rsid w:val="00D9043C"/>
    <w:rsid w:val="00D90F09"/>
    <w:rsid w:val="00D9157A"/>
    <w:rsid w:val="00D919A1"/>
    <w:rsid w:val="00D93131"/>
    <w:rsid w:val="00D935A2"/>
    <w:rsid w:val="00D9439B"/>
    <w:rsid w:val="00D95961"/>
    <w:rsid w:val="00D95F4F"/>
    <w:rsid w:val="00D96385"/>
    <w:rsid w:val="00D96CAB"/>
    <w:rsid w:val="00D96D41"/>
    <w:rsid w:val="00D97252"/>
    <w:rsid w:val="00D97EBC"/>
    <w:rsid w:val="00DA11EC"/>
    <w:rsid w:val="00DA184D"/>
    <w:rsid w:val="00DA32BF"/>
    <w:rsid w:val="00DA3309"/>
    <w:rsid w:val="00DA3D56"/>
    <w:rsid w:val="00DA66A3"/>
    <w:rsid w:val="00DA6F2A"/>
    <w:rsid w:val="00DA7466"/>
    <w:rsid w:val="00DB48C8"/>
    <w:rsid w:val="00DB4C04"/>
    <w:rsid w:val="00DB5C61"/>
    <w:rsid w:val="00DB6452"/>
    <w:rsid w:val="00DB6C1B"/>
    <w:rsid w:val="00DB7260"/>
    <w:rsid w:val="00DB7807"/>
    <w:rsid w:val="00DB7C38"/>
    <w:rsid w:val="00DC02DD"/>
    <w:rsid w:val="00DC08E8"/>
    <w:rsid w:val="00DC0C01"/>
    <w:rsid w:val="00DC1947"/>
    <w:rsid w:val="00DC2470"/>
    <w:rsid w:val="00DC2499"/>
    <w:rsid w:val="00DC2BE6"/>
    <w:rsid w:val="00DC40D0"/>
    <w:rsid w:val="00DC48FC"/>
    <w:rsid w:val="00DC4941"/>
    <w:rsid w:val="00DC5529"/>
    <w:rsid w:val="00DC60A8"/>
    <w:rsid w:val="00DC650E"/>
    <w:rsid w:val="00DC67B1"/>
    <w:rsid w:val="00DD0AFB"/>
    <w:rsid w:val="00DD295A"/>
    <w:rsid w:val="00DD2EFB"/>
    <w:rsid w:val="00DD3D32"/>
    <w:rsid w:val="00DD410A"/>
    <w:rsid w:val="00DD55F6"/>
    <w:rsid w:val="00DD621D"/>
    <w:rsid w:val="00DD6977"/>
    <w:rsid w:val="00DD6B91"/>
    <w:rsid w:val="00DD6F6D"/>
    <w:rsid w:val="00DD73B0"/>
    <w:rsid w:val="00DE0D3D"/>
    <w:rsid w:val="00DE1DBE"/>
    <w:rsid w:val="00DE2201"/>
    <w:rsid w:val="00DE2298"/>
    <w:rsid w:val="00DE2EF9"/>
    <w:rsid w:val="00DE46E3"/>
    <w:rsid w:val="00DE5792"/>
    <w:rsid w:val="00DE5871"/>
    <w:rsid w:val="00DE6561"/>
    <w:rsid w:val="00DE66F3"/>
    <w:rsid w:val="00DE68DD"/>
    <w:rsid w:val="00DE706C"/>
    <w:rsid w:val="00DF0426"/>
    <w:rsid w:val="00DF04E6"/>
    <w:rsid w:val="00DF0A88"/>
    <w:rsid w:val="00DF1B1E"/>
    <w:rsid w:val="00DF20E8"/>
    <w:rsid w:val="00DF50BF"/>
    <w:rsid w:val="00DF5534"/>
    <w:rsid w:val="00DF5886"/>
    <w:rsid w:val="00E000A7"/>
    <w:rsid w:val="00E00BAF"/>
    <w:rsid w:val="00E02705"/>
    <w:rsid w:val="00E03A6E"/>
    <w:rsid w:val="00E07F40"/>
    <w:rsid w:val="00E07FE8"/>
    <w:rsid w:val="00E13565"/>
    <w:rsid w:val="00E1518F"/>
    <w:rsid w:val="00E154B7"/>
    <w:rsid w:val="00E15FDC"/>
    <w:rsid w:val="00E213D3"/>
    <w:rsid w:val="00E21EBB"/>
    <w:rsid w:val="00E22381"/>
    <w:rsid w:val="00E22760"/>
    <w:rsid w:val="00E22CC0"/>
    <w:rsid w:val="00E241AE"/>
    <w:rsid w:val="00E24C23"/>
    <w:rsid w:val="00E2508F"/>
    <w:rsid w:val="00E26069"/>
    <w:rsid w:val="00E26AD0"/>
    <w:rsid w:val="00E27449"/>
    <w:rsid w:val="00E27846"/>
    <w:rsid w:val="00E3027F"/>
    <w:rsid w:val="00E30762"/>
    <w:rsid w:val="00E319F3"/>
    <w:rsid w:val="00E322BE"/>
    <w:rsid w:val="00E32958"/>
    <w:rsid w:val="00E331C2"/>
    <w:rsid w:val="00E35084"/>
    <w:rsid w:val="00E360ED"/>
    <w:rsid w:val="00E36AFF"/>
    <w:rsid w:val="00E36C4D"/>
    <w:rsid w:val="00E370BB"/>
    <w:rsid w:val="00E4044E"/>
    <w:rsid w:val="00E40BC9"/>
    <w:rsid w:val="00E43775"/>
    <w:rsid w:val="00E43A31"/>
    <w:rsid w:val="00E441BF"/>
    <w:rsid w:val="00E505A9"/>
    <w:rsid w:val="00E51952"/>
    <w:rsid w:val="00E52D6A"/>
    <w:rsid w:val="00E549EB"/>
    <w:rsid w:val="00E57CAE"/>
    <w:rsid w:val="00E60014"/>
    <w:rsid w:val="00E61394"/>
    <w:rsid w:val="00E616A8"/>
    <w:rsid w:val="00E61CD6"/>
    <w:rsid w:val="00E63152"/>
    <w:rsid w:val="00E64190"/>
    <w:rsid w:val="00E648AB"/>
    <w:rsid w:val="00E649CB"/>
    <w:rsid w:val="00E674B6"/>
    <w:rsid w:val="00E67898"/>
    <w:rsid w:val="00E70B11"/>
    <w:rsid w:val="00E72A57"/>
    <w:rsid w:val="00E739CE"/>
    <w:rsid w:val="00E75449"/>
    <w:rsid w:val="00E75AA2"/>
    <w:rsid w:val="00E762A9"/>
    <w:rsid w:val="00E76C39"/>
    <w:rsid w:val="00E76D48"/>
    <w:rsid w:val="00E76E81"/>
    <w:rsid w:val="00E76F8E"/>
    <w:rsid w:val="00E8025F"/>
    <w:rsid w:val="00E80EF7"/>
    <w:rsid w:val="00E81689"/>
    <w:rsid w:val="00E83A00"/>
    <w:rsid w:val="00E83ADA"/>
    <w:rsid w:val="00E854FC"/>
    <w:rsid w:val="00E85522"/>
    <w:rsid w:val="00E87886"/>
    <w:rsid w:val="00E878B9"/>
    <w:rsid w:val="00E9086A"/>
    <w:rsid w:val="00E9155E"/>
    <w:rsid w:val="00E921C6"/>
    <w:rsid w:val="00E925AF"/>
    <w:rsid w:val="00E93835"/>
    <w:rsid w:val="00E93B23"/>
    <w:rsid w:val="00E93DA1"/>
    <w:rsid w:val="00E95CDF"/>
    <w:rsid w:val="00E95EEB"/>
    <w:rsid w:val="00E976F4"/>
    <w:rsid w:val="00E97BED"/>
    <w:rsid w:val="00EA025E"/>
    <w:rsid w:val="00EA0397"/>
    <w:rsid w:val="00EA1FEE"/>
    <w:rsid w:val="00EA2C29"/>
    <w:rsid w:val="00EA4787"/>
    <w:rsid w:val="00EB066D"/>
    <w:rsid w:val="00EB2A56"/>
    <w:rsid w:val="00EB2D0D"/>
    <w:rsid w:val="00EB46D1"/>
    <w:rsid w:val="00EB4850"/>
    <w:rsid w:val="00EB4B41"/>
    <w:rsid w:val="00EB549B"/>
    <w:rsid w:val="00EB5EB4"/>
    <w:rsid w:val="00EB6FFF"/>
    <w:rsid w:val="00EB7D03"/>
    <w:rsid w:val="00EC219E"/>
    <w:rsid w:val="00EC28A4"/>
    <w:rsid w:val="00EC2C5E"/>
    <w:rsid w:val="00EC2EE8"/>
    <w:rsid w:val="00EC4DC8"/>
    <w:rsid w:val="00EC53F7"/>
    <w:rsid w:val="00EC551A"/>
    <w:rsid w:val="00EC5804"/>
    <w:rsid w:val="00EC5956"/>
    <w:rsid w:val="00EC5A4B"/>
    <w:rsid w:val="00EC67A3"/>
    <w:rsid w:val="00EC764D"/>
    <w:rsid w:val="00ED16D2"/>
    <w:rsid w:val="00ED2413"/>
    <w:rsid w:val="00ED2FA6"/>
    <w:rsid w:val="00ED315F"/>
    <w:rsid w:val="00ED37DE"/>
    <w:rsid w:val="00ED3FF9"/>
    <w:rsid w:val="00ED5E7C"/>
    <w:rsid w:val="00ED6100"/>
    <w:rsid w:val="00ED6251"/>
    <w:rsid w:val="00ED7D22"/>
    <w:rsid w:val="00EE00D3"/>
    <w:rsid w:val="00EE0145"/>
    <w:rsid w:val="00EE2547"/>
    <w:rsid w:val="00EE51E6"/>
    <w:rsid w:val="00EE5CD1"/>
    <w:rsid w:val="00EE5F56"/>
    <w:rsid w:val="00EF00E1"/>
    <w:rsid w:val="00EF17C2"/>
    <w:rsid w:val="00EF18E3"/>
    <w:rsid w:val="00EF1D68"/>
    <w:rsid w:val="00EF2634"/>
    <w:rsid w:val="00EF2E0F"/>
    <w:rsid w:val="00EF3028"/>
    <w:rsid w:val="00EF3ADB"/>
    <w:rsid w:val="00EF42BF"/>
    <w:rsid w:val="00EF4AD7"/>
    <w:rsid w:val="00EF504C"/>
    <w:rsid w:val="00EF5CB3"/>
    <w:rsid w:val="00EF5EB2"/>
    <w:rsid w:val="00EF69DA"/>
    <w:rsid w:val="00EF756B"/>
    <w:rsid w:val="00F004C8"/>
    <w:rsid w:val="00F0059C"/>
    <w:rsid w:val="00F00CFF"/>
    <w:rsid w:val="00F014C1"/>
    <w:rsid w:val="00F01568"/>
    <w:rsid w:val="00F02BC4"/>
    <w:rsid w:val="00F03ED1"/>
    <w:rsid w:val="00F03F00"/>
    <w:rsid w:val="00F07049"/>
    <w:rsid w:val="00F11A92"/>
    <w:rsid w:val="00F13064"/>
    <w:rsid w:val="00F1309F"/>
    <w:rsid w:val="00F135D9"/>
    <w:rsid w:val="00F14BCB"/>
    <w:rsid w:val="00F15160"/>
    <w:rsid w:val="00F15E62"/>
    <w:rsid w:val="00F160B1"/>
    <w:rsid w:val="00F17F49"/>
    <w:rsid w:val="00F20744"/>
    <w:rsid w:val="00F21749"/>
    <w:rsid w:val="00F246A6"/>
    <w:rsid w:val="00F2540F"/>
    <w:rsid w:val="00F25E1D"/>
    <w:rsid w:val="00F26ED3"/>
    <w:rsid w:val="00F30C08"/>
    <w:rsid w:val="00F315D4"/>
    <w:rsid w:val="00F34823"/>
    <w:rsid w:val="00F34EF0"/>
    <w:rsid w:val="00F35228"/>
    <w:rsid w:val="00F35B9C"/>
    <w:rsid w:val="00F3630E"/>
    <w:rsid w:val="00F37A3F"/>
    <w:rsid w:val="00F37AAF"/>
    <w:rsid w:val="00F40F0D"/>
    <w:rsid w:val="00F4152B"/>
    <w:rsid w:val="00F418DB"/>
    <w:rsid w:val="00F41B2D"/>
    <w:rsid w:val="00F4281E"/>
    <w:rsid w:val="00F4312A"/>
    <w:rsid w:val="00F431A3"/>
    <w:rsid w:val="00F43C23"/>
    <w:rsid w:val="00F4404F"/>
    <w:rsid w:val="00F46586"/>
    <w:rsid w:val="00F475FC"/>
    <w:rsid w:val="00F541F5"/>
    <w:rsid w:val="00F55097"/>
    <w:rsid w:val="00F60B97"/>
    <w:rsid w:val="00F65765"/>
    <w:rsid w:val="00F669F9"/>
    <w:rsid w:val="00F67488"/>
    <w:rsid w:val="00F70970"/>
    <w:rsid w:val="00F70AB1"/>
    <w:rsid w:val="00F70DD9"/>
    <w:rsid w:val="00F71159"/>
    <w:rsid w:val="00F719B2"/>
    <w:rsid w:val="00F72988"/>
    <w:rsid w:val="00F73742"/>
    <w:rsid w:val="00F746F5"/>
    <w:rsid w:val="00F76A7C"/>
    <w:rsid w:val="00F76FAB"/>
    <w:rsid w:val="00F77ABF"/>
    <w:rsid w:val="00F81B9E"/>
    <w:rsid w:val="00F82C67"/>
    <w:rsid w:val="00F85064"/>
    <w:rsid w:val="00F85A99"/>
    <w:rsid w:val="00F85B54"/>
    <w:rsid w:val="00F86912"/>
    <w:rsid w:val="00F908DD"/>
    <w:rsid w:val="00F90CF0"/>
    <w:rsid w:val="00F9127D"/>
    <w:rsid w:val="00F91FFD"/>
    <w:rsid w:val="00F92693"/>
    <w:rsid w:val="00F92869"/>
    <w:rsid w:val="00F94114"/>
    <w:rsid w:val="00F9564B"/>
    <w:rsid w:val="00F95AF4"/>
    <w:rsid w:val="00FA1F44"/>
    <w:rsid w:val="00FA22DB"/>
    <w:rsid w:val="00FA2BDD"/>
    <w:rsid w:val="00FA3788"/>
    <w:rsid w:val="00FA3D37"/>
    <w:rsid w:val="00FA682F"/>
    <w:rsid w:val="00FA6B70"/>
    <w:rsid w:val="00FA73CB"/>
    <w:rsid w:val="00FB041E"/>
    <w:rsid w:val="00FB226B"/>
    <w:rsid w:val="00FB3980"/>
    <w:rsid w:val="00FB3FEA"/>
    <w:rsid w:val="00FB433B"/>
    <w:rsid w:val="00FB4C10"/>
    <w:rsid w:val="00FB5C0B"/>
    <w:rsid w:val="00FB5D49"/>
    <w:rsid w:val="00FC01D3"/>
    <w:rsid w:val="00FC35C2"/>
    <w:rsid w:val="00FD08E6"/>
    <w:rsid w:val="00FD1200"/>
    <w:rsid w:val="00FD1D33"/>
    <w:rsid w:val="00FD2751"/>
    <w:rsid w:val="00FD3FA8"/>
    <w:rsid w:val="00FD521C"/>
    <w:rsid w:val="00FE0743"/>
    <w:rsid w:val="00FE274C"/>
    <w:rsid w:val="00FE35FD"/>
    <w:rsid w:val="00FE78B1"/>
    <w:rsid w:val="00FF0E34"/>
    <w:rsid w:val="00FF1AEB"/>
    <w:rsid w:val="00FF4D29"/>
    <w:rsid w:val="00FF60DC"/>
    <w:rsid w:val="00FF6BA3"/>
    <w:rsid w:val="00FF7429"/>
    <w:rsid w:val="00FF7467"/>
    <w:rsid w:val="00FF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387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43A31"/>
    <w:pPr>
      <w:widowControl w:val="0"/>
      <w:autoSpaceDE w:val="0"/>
      <w:autoSpaceDN w:val="0"/>
      <w:adjustRightInd w:val="0"/>
    </w:pPr>
    <w:rPr>
      <w:sz w:val="24"/>
      <w:szCs w:val="24"/>
    </w:rPr>
  </w:style>
  <w:style w:type="paragraph" w:styleId="Heading2">
    <w:name w:val="heading 2"/>
    <w:basedOn w:val="Normal"/>
    <w:next w:val="Normal"/>
    <w:link w:val="Heading2Char"/>
    <w:semiHidden/>
    <w:unhideWhenUsed/>
    <w:qFormat/>
    <w:rsid w:val="002D25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qFormat/>
    <w:rsid w:val="00D00479"/>
    <w:pPr>
      <w:widowControl/>
      <w:tabs>
        <w:tab w:val="num" w:pos="6120"/>
      </w:tabs>
      <w:autoSpaceDE/>
      <w:autoSpaceDN/>
      <w:adjustRightInd/>
      <w:spacing w:before="240" w:after="60"/>
      <w:ind w:left="57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E43A31"/>
  </w:style>
  <w:style w:type="paragraph" w:customStyle="1" w:styleId="Level1">
    <w:name w:val="Level 1"/>
    <w:basedOn w:val="Normal"/>
    <w:rsid w:val="00E43A31"/>
    <w:pPr>
      <w:ind w:left="1440" w:hanging="720"/>
    </w:pPr>
  </w:style>
  <w:style w:type="paragraph" w:styleId="Header">
    <w:name w:val="header"/>
    <w:basedOn w:val="Normal"/>
    <w:link w:val="HeaderChar"/>
    <w:uiPriority w:val="99"/>
    <w:rsid w:val="00D9439B"/>
    <w:pPr>
      <w:tabs>
        <w:tab w:val="center" w:pos="4320"/>
        <w:tab w:val="right" w:pos="8640"/>
      </w:tabs>
    </w:pPr>
  </w:style>
  <w:style w:type="paragraph" w:styleId="Footer">
    <w:name w:val="footer"/>
    <w:basedOn w:val="Normal"/>
    <w:link w:val="FooterChar"/>
    <w:uiPriority w:val="99"/>
    <w:rsid w:val="00D9439B"/>
    <w:pPr>
      <w:tabs>
        <w:tab w:val="center" w:pos="4320"/>
        <w:tab w:val="right" w:pos="8640"/>
      </w:tabs>
    </w:pPr>
  </w:style>
  <w:style w:type="character" w:styleId="PageNumber">
    <w:name w:val="page number"/>
    <w:basedOn w:val="DefaultParagraphFont"/>
    <w:rsid w:val="00393C73"/>
  </w:style>
  <w:style w:type="paragraph" w:styleId="BalloonText">
    <w:name w:val="Balloon Text"/>
    <w:basedOn w:val="Normal"/>
    <w:semiHidden/>
    <w:rsid w:val="00EF3028"/>
    <w:rPr>
      <w:rFonts w:ascii="Tahoma" w:hAnsi="Tahoma" w:cs="Tahoma"/>
      <w:sz w:val="16"/>
      <w:szCs w:val="16"/>
    </w:rPr>
  </w:style>
  <w:style w:type="table" w:styleId="TableGrid">
    <w:name w:val="Table Grid"/>
    <w:basedOn w:val="TableNormal"/>
    <w:rsid w:val="00A869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E6367"/>
    <w:rPr>
      <w:sz w:val="16"/>
      <w:szCs w:val="16"/>
    </w:rPr>
  </w:style>
  <w:style w:type="paragraph" w:styleId="CommentText">
    <w:name w:val="annotation text"/>
    <w:basedOn w:val="Normal"/>
    <w:link w:val="CommentTextChar"/>
    <w:uiPriority w:val="99"/>
    <w:rsid w:val="00B51C17"/>
    <w:rPr>
      <w:sz w:val="20"/>
      <w:szCs w:val="20"/>
    </w:rPr>
  </w:style>
  <w:style w:type="paragraph" w:styleId="CommentSubject">
    <w:name w:val="annotation subject"/>
    <w:basedOn w:val="CommentText"/>
    <w:next w:val="CommentText"/>
    <w:semiHidden/>
    <w:rsid w:val="00BE6367"/>
    <w:rPr>
      <w:b/>
      <w:bCs/>
    </w:rPr>
  </w:style>
  <w:style w:type="paragraph" w:styleId="ListParagraph">
    <w:name w:val="List Paragraph"/>
    <w:basedOn w:val="Normal"/>
    <w:uiPriority w:val="34"/>
    <w:qFormat/>
    <w:rsid w:val="00903E24"/>
    <w:pPr>
      <w:ind w:left="720"/>
      <w:contextualSpacing/>
    </w:pPr>
  </w:style>
  <w:style w:type="paragraph" w:styleId="FootnoteText">
    <w:name w:val="footnote text"/>
    <w:basedOn w:val="Normal"/>
    <w:link w:val="FootnoteTextChar"/>
    <w:uiPriority w:val="99"/>
    <w:rsid w:val="00A76185"/>
    <w:rPr>
      <w:sz w:val="20"/>
      <w:szCs w:val="20"/>
    </w:rPr>
  </w:style>
  <w:style w:type="character" w:customStyle="1" w:styleId="FootnoteTextChar">
    <w:name w:val="Footnote Text Char"/>
    <w:basedOn w:val="DefaultParagraphFont"/>
    <w:link w:val="FootnoteText"/>
    <w:uiPriority w:val="99"/>
    <w:rsid w:val="00A76185"/>
  </w:style>
  <w:style w:type="character" w:styleId="Hyperlink">
    <w:name w:val="Hyperlink"/>
    <w:uiPriority w:val="99"/>
    <w:unhideWhenUsed/>
    <w:rsid w:val="00D764C5"/>
    <w:rPr>
      <w:color w:val="3366CC"/>
      <w:u w:val="single"/>
    </w:rPr>
  </w:style>
  <w:style w:type="character" w:customStyle="1" w:styleId="Heading9Char">
    <w:name w:val="Heading 9 Char"/>
    <w:link w:val="Heading9"/>
    <w:rsid w:val="00D00479"/>
    <w:rPr>
      <w:rFonts w:ascii="Arial" w:hAnsi="Arial" w:cs="Arial"/>
      <w:sz w:val="22"/>
      <w:szCs w:val="22"/>
    </w:rPr>
  </w:style>
  <w:style w:type="paragraph" w:customStyle="1" w:styleId="Paragrapha">
    <w:name w:val="Paragraph (a)"/>
    <w:rsid w:val="00A26DDB"/>
    <w:pPr>
      <w:overflowPunct w:val="0"/>
      <w:autoSpaceDE w:val="0"/>
      <w:autoSpaceDN w:val="0"/>
      <w:adjustRightInd w:val="0"/>
      <w:spacing w:line="240" w:lineRule="exact"/>
      <w:ind w:left="605"/>
      <w:textAlignment w:val="baseline"/>
    </w:pPr>
    <w:rPr>
      <w:rFonts w:ascii="Courier" w:hAnsi="Courier"/>
    </w:rPr>
  </w:style>
  <w:style w:type="paragraph" w:customStyle="1" w:styleId="Paragraph1">
    <w:name w:val="Paragraph (1)"/>
    <w:rsid w:val="00A26DDB"/>
    <w:pPr>
      <w:overflowPunct w:val="0"/>
      <w:autoSpaceDE w:val="0"/>
      <w:autoSpaceDN w:val="0"/>
      <w:adjustRightInd w:val="0"/>
      <w:spacing w:line="240" w:lineRule="exact"/>
      <w:ind w:left="1195"/>
      <w:textAlignment w:val="baseline"/>
    </w:pPr>
    <w:rPr>
      <w:rFonts w:ascii="Courier" w:hAnsi="Courier"/>
    </w:rPr>
  </w:style>
  <w:style w:type="paragraph" w:styleId="Revision">
    <w:name w:val="Revision"/>
    <w:hidden/>
    <w:uiPriority w:val="99"/>
    <w:semiHidden/>
    <w:rsid w:val="00A26DDB"/>
    <w:rPr>
      <w:sz w:val="24"/>
      <w:szCs w:val="24"/>
    </w:rPr>
  </w:style>
  <w:style w:type="character" w:styleId="Strong">
    <w:name w:val="Strong"/>
    <w:uiPriority w:val="22"/>
    <w:qFormat/>
    <w:rsid w:val="00F60B97"/>
    <w:rPr>
      <w:b/>
      <w:bCs/>
    </w:rPr>
  </w:style>
  <w:style w:type="character" w:customStyle="1" w:styleId="HeaderChar">
    <w:name w:val="Header Char"/>
    <w:link w:val="Header"/>
    <w:uiPriority w:val="99"/>
    <w:rsid w:val="00730940"/>
    <w:rPr>
      <w:sz w:val="24"/>
      <w:szCs w:val="24"/>
    </w:rPr>
  </w:style>
  <w:style w:type="character" w:customStyle="1" w:styleId="FooterChar">
    <w:name w:val="Footer Char"/>
    <w:link w:val="Footer"/>
    <w:uiPriority w:val="99"/>
    <w:rsid w:val="00730940"/>
    <w:rPr>
      <w:sz w:val="24"/>
      <w:szCs w:val="24"/>
    </w:rPr>
  </w:style>
  <w:style w:type="paragraph" w:styleId="NormalWeb">
    <w:name w:val="Normal (Web)"/>
    <w:basedOn w:val="Normal"/>
    <w:uiPriority w:val="99"/>
    <w:unhideWhenUsed/>
    <w:rsid w:val="00B51C17"/>
    <w:pPr>
      <w:widowControl/>
      <w:autoSpaceDE/>
      <w:autoSpaceDN/>
      <w:adjustRightInd/>
      <w:spacing w:before="100" w:beforeAutospacing="1" w:after="100" w:afterAutospacing="1"/>
    </w:pPr>
    <w:rPr>
      <w:rFonts w:eastAsiaTheme="minorEastAsia"/>
    </w:rPr>
  </w:style>
  <w:style w:type="character" w:customStyle="1" w:styleId="CommentTextChar">
    <w:name w:val="Comment Text Char"/>
    <w:basedOn w:val="DefaultParagraphFont"/>
    <w:link w:val="CommentText"/>
    <w:uiPriority w:val="99"/>
    <w:rsid w:val="00856BB7"/>
  </w:style>
  <w:style w:type="character" w:customStyle="1" w:styleId="Heading2Char">
    <w:name w:val="Heading 2 Char"/>
    <w:basedOn w:val="DefaultParagraphFont"/>
    <w:link w:val="Heading2"/>
    <w:semiHidden/>
    <w:rsid w:val="002D25E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3479">
      <w:bodyDiv w:val="1"/>
      <w:marLeft w:val="0"/>
      <w:marRight w:val="0"/>
      <w:marTop w:val="0"/>
      <w:marBottom w:val="0"/>
      <w:divBdr>
        <w:top w:val="none" w:sz="0" w:space="0" w:color="auto"/>
        <w:left w:val="none" w:sz="0" w:space="0" w:color="auto"/>
        <w:bottom w:val="none" w:sz="0" w:space="0" w:color="auto"/>
        <w:right w:val="none" w:sz="0" w:space="0" w:color="auto"/>
      </w:divBdr>
    </w:div>
    <w:div w:id="739326608">
      <w:bodyDiv w:val="1"/>
      <w:marLeft w:val="0"/>
      <w:marRight w:val="0"/>
      <w:marTop w:val="0"/>
      <w:marBottom w:val="0"/>
      <w:divBdr>
        <w:top w:val="none" w:sz="0" w:space="0" w:color="auto"/>
        <w:left w:val="none" w:sz="0" w:space="0" w:color="auto"/>
        <w:bottom w:val="none" w:sz="0" w:space="0" w:color="auto"/>
        <w:right w:val="none" w:sz="0" w:space="0" w:color="auto"/>
      </w:divBdr>
    </w:div>
    <w:div w:id="767430131">
      <w:bodyDiv w:val="1"/>
      <w:marLeft w:val="0"/>
      <w:marRight w:val="0"/>
      <w:marTop w:val="30"/>
      <w:marBottom w:val="750"/>
      <w:divBdr>
        <w:top w:val="none" w:sz="0" w:space="0" w:color="auto"/>
        <w:left w:val="none" w:sz="0" w:space="0" w:color="auto"/>
        <w:bottom w:val="none" w:sz="0" w:space="0" w:color="auto"/>
        <w:right w:val="none" w:sz="0" w:space="0" w:color="auto"/>
      </w:divBdr>
      <w:divsChild>
        <w:div w:id="1610157831">
          <w:marLeft w:val="0"/>
          <w:marRight w:val="0"/>
          <w:marTop w:val="0"/>
          <w:marBottom w:val="0"/>
          <w:divBdr>
            <w:top w:val="none" w:sz="0" w:space="0" w:color="auto"/>
            <w:left w:val="none" w:sz="0" w:space="0" w:color="auto"/>
            <w:bottom w:val="none" w:sz="0" w:space="0" w:color="auto"/>
            <w:right w:val="none" w:sz="0" w:space="0" w:color="auto"/>
          </w:divBdr>
        </w:div>
      </w:divsChild>
    </w:div>
    <w:div w:id="1386297178">
      <w:bodyDiv w:val="1"/>
      <w:marLeft w:val="0"/>
      <w:marRight w:val="0"/>
      <w:marTop w:val="0"/>
      <w:marBottom w:val="0"/>
      <w:divBdr>
        <w:top w:val="none" w:sz="0" w:space="0" w:color="auto"/>
        <w:left w:val="none" w:sz="0" w:space="0" w:color="auto"/>
        <w:bottom w:val="none" w:sz="0" w:space="0" w:color="auto"/>
        <w:right w:val="none" w:sz="0" w:space="0" w:color="auto"/>
      </w:divBdr>
      <w:divsChild>
        <w:div w:id="279921838">
          <w:marLeft w:val="0"/>
          <w:marRight w:val="0"/>
          <w:marTop w:val="0"/>
          <w:marBottom w:val="0"/>
          <w:divBdr>
            <w:top w:val="none" w:sz="0" w:space="0" w:color="auto"/>
            <w:left w:val="none" w:sz="0" w:space="0" w:color="auto"/>
            <w:bottom w:val="none" w:sz="0" w:space="0" w:color="auto"/>
            <w:right w:val="none" w:sz="0" w:space="0" w:color="auto"/>
          </w:divBdr>
          <w:divsChild>
            <w:div w:id="1734885708">
              <w:marLeft w:val="0"/>
              <w:marRight w:val="0"/>
              <w:marTop w:val="0"/>
              <w:marBottom w:val="0"/>
              <w:divBdr>
                <w:top w:val="none" w:sz="0" w:space="0" w:color="auto"/>
                <w:left w:val="none" w:sz="0" w:space="0" w:color="auto"/>
                <w:bottom w:val="none" w:sz="0" w:space="0" w:color="auto"/>
                <w:right w:val="none" w:sz="0" w:space="0" w:color="auto"/>
              </w:divBdr>
              <w:divsChild>
                <w:div w:id="1175269822">
                  <w:marLeft w:val="0"/>
                  <w:marRight w:val="0"/>
                  <w:marTop w:val="0"/>
                  <w:marBottom w:val="0"/>
                  <w:divBdr>
                    <w:top w:val="none" w:sz="0" w:space="0" w:color="auto"/>
                    <w:left w:val="none" w:sz="0" w:space="0" w:color="auto"/>
                    <w:bottom w:val="none" w:sz="0" w:space="0" w:color="auto"/>
                    <w:right w:val="none" w:sz="0" w:space="0" w:color="auto"/>
                  </w:divBdr>
                  <w:divsChild>
                    <w:div w:id="1043748658">
                      <w:marLeft w:val="0"/>
                      <w:marRight w:val="0"/>
                      <w:marTop w:val="82"/>
                      <w:marBottom w:val="0"/>
                      <w:divBdr>
                        <w:top w:val="none" w:sz="0" w:space="0" w:color="auto"/>
                        <w:left w:val="none" w:sz="0" w:space="0" w:color="auto"/>
                        <w:bottom w:val="none" w:sz="0" w:space="0" w:color="auto"/>
                        <w:right w:val="none" w:sz="0" w:space="0" w:color="auto"/>
                      </w:divBdr>
                      <w:divsChild>
                        <w:div w:id="895970103">
                          <w:marLeft w:val="0"/>
                          <w:marRight w:val="0"/>
                          <w:marTop w:val="0"/>
                          <w:marBottom w:val="0"/>
                          <w:divBdr>
                            <w:top w:val="none" w:sz="0" w:space="0" w:color="auto"/>
                            <w:left w:val="none" w:sz="0" w:space="0" w:color="auto"/>
                            <w:bottom w:val="none" w:sz="0" w:space="0" w:color="auto"/>
                            <w:right w:val="none" w:sz="0" w:space="0" w:color="auto"/>
                          </w:divBdr>
                          <w:divsChild>
                            <w:div w:id="1962761300">
                              <w:marLeft w:val="0"/>
                              <w:marRight w:val="0"/>
                              <w:marTop w:val="0"/>
                              <w:marBottom w:val="0"/>
                              <w:divBdr>
                                <w:top w:val="none" w:sz="0" w:space="0" w:color="auto"/>
                                <w:left w:val="none" w:sz="0" w:space="0" w:color="auto"/>
                                <w:bottom w:val="none" w:sz="0" w:space="0" w:color="auto"/>
                                <w:right w:val="none" w:sz="0" w:space="0" w:color="auto"/>
                              </w:divBdr>
                              <w:divsChild>
                                <w:div w:id="7173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245971">
      <w:bodyDiv w:val="1"/>
      <w:marLeft w:val="0"/>
      <w:marRight w:val="0"/>
      <w:marTop w:val="0"/>
      <w:marBottom w:val="0"/>
      <w:divBdr>
        <w:top w:val="none" w:sz="0" w:space="0" w:color="auto"/>
        <w:left w:val="none" w:sz="0" w:space="0" w:color="auto"/>
        <w:bottom w:val="none" w:sz="0" w:space="0" w:color="auto"/>
        <w:right w:val="none" w:sz="0" w:space="0" w:color="auto"/>
      </w:divBdr>
    </w:div>
    <w:div w:id="1762602361">
      <w:bodyDiv w:val="1"/>
      <w:marLeft w:val="0"/>
      <w:marRight w:val="0"/>
      <w:marTop w:val="0"/>
      <w:marBottom w:val="0"/>
      <w:divBdr>
        <w:top w:val="none" w:sz="0" w:space="0" w:color="auto"/>
        <w:left w:val="none" w:sz="0" w:space="0" w:color="auto"/>
        <w:bottom w:val="none" w:sz="0" w:space="0" w:color="auto"/>
        <w:right w:val="none" w:sz="0" w:space="0" w:color="auto"/>
      </w:divBdr>
    </w:div>
    <w:div w:id="204632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8FC0BB-F929-4482-A2E7-289F0CEBF711}">
  <ds:schemaRefs>
    <ds:schemaRef ds:uri="http://schemas.openxmlformats.org/officeDocument/2006/bibliography"/>
  </ds:schemaRefs>
</ds:datastoreItem>
</file>

<file path=customXml/itemProps2.xml><?xml version="1.0" encoding="utf-8"?>
<ds:datastoreItem xmlns:ds="http://schemas.openxmlformats.org/officeDocument/2006/customXml" ds:itemID="{7AAE9406-325B-4A87-B1EA-34D0309349D6}">
  <ds:schemaRefs>
    <ds:schemaRef ds:uri="http://schemas.openxmlformats.org/officeDocument/2006/bibliography"/>
  </ds:schemaRefs>
</ds:datastoreItem>
</file>

<file path=customXml/itemProps3.xml><?xml version="1.0" encoding="utf-8"?>
<ds:datastoreItem xmlns:ds="http://schemas.openxmlformats.org/officeDocument/2006/customXml" ds:itemID="{29BBAABB-73CF-4EC8-9031-0617EE7BC473}">
  <ds:schemaRefs>
    <ds:schemaRef ds:uri="http://schemas.openxmlformats.org/officeDocument/2006/bibliography"/>
  </ds:schemaRefs>
</ds:datastoreItem>
</file>

<file path=customXml/itemProps4.xml><?xml version="1.0" encoding="utf-8"?>
<ds:datastoreItem xmlns:ds="http://schemas.openxmlformats.org/officeDocument/2006/customXml" ds:itemID="{25D88D70-9BC7-4031-AF79-E9069C00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3447</Words>
  <Characters>19114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2020-05-20T16:04:00Z</dcterms:created>
  <dcterms:modified xsi:type="dcterms:W3CDTF">2020-05-20T16:04:00Z</dcterms:modified>
</cp:coreProperties>
</file>