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5431" w:rsidR="00490720" w:rsidRDefault="00490720" w14:paraId="145C3F7F" w14:textId="77777777">
      <w:pPr>
        <w:widowControl/>
        <w:autoSpaceDE/>
        <w:autoSpaceDN/>
        <w:adjustRightInd/>
        <w:rPr>
          <w:rFonts w:ascii="Arial" w:hAnsi="Arial" w:cs="Arial"/>
          <w:b/>
          <w:bCs/>
          <w:sz w:val="32"/>
          <w:szCs w:val="32"/>
        </w:rPr>
      </w:pPr>
      <w:bookmarkStart w:name="_GoBack" w:id="0"/>
      <w:bookmarkEnd w:id="0"/>
    </w:p>
    <w:p w:rsidRPr="00D2299E" w:rsidR="005F5342" w:rsidP="005F5342" w:rsidRDefault="005F5342" w14:paraId="32AF0D29" w14:textId="77777777">
      <w:pPr>
        <w:tabs>
          <w:tab w:val="left" w:pos="-720"/>
          <w:tab w:val="right" w:pos="8622"/>
        </w:tabs>
        <w:jc w:val="center"/>
        <w:rPr>
          <w:b/>
          <w:sz w:val="24"/>
        </w:rPr>
      </w:pPr>
      <w:r w:rsidRPr="00D2299E">
        <w:rPr>
          <w:b/>
          <w:sz w:val="24"/>
        </w:rPr>
        <w:t>Health Resources and Services Administration</w:t>
      </w:r>
    </w:p>
    <w:p w:rsidR="005F5342" w:rsidP="005F5342" w:rsidRDefault="005F5342" w14:paraId="00989D4A" w14:textId="2172D20B">
      <w:pPr>
        <w:tabs>
          <w:tab w:val="left" w:pos="-720"/>
          <w:tab w:val="right" w:pos="8622"/>
        </w:tabs>
        <w:jc w:val="center"/>
        <w:rPr>
          <w:b/>
          <w:bCs/>
          <w:sz w:val="24"/>
        </w:rPr>
      </w:pPr>
      <w:r>
        <w:rPr>
          <w:b/>
          <w:bCs/>
          <w:sz w:val="24"/>
        </w:rPr>
        <w:t>S</w:t>
      </w:r>
      <w:r w:rsidR="00287962">
        <w:rPr>
          <w:b/>
          <w:bCs/>
          <w:sz w:val="24"/>
        </w:rPr>
        <w:t>upporting</w:t>
      </w:r>
      <w:r>
        <w:rPr>
          <w:b/>
          <w:bCs/>
          <w:sz w:val="24"/>
        </w:rPr>
        <w:t xml:space="preserve"> </w:t>
      </w:r>
      <w:r w:rsidR="00287962">
        <w:rPr>
          <w:b/>
          <w:bCs/>
          <w:sz w:val="24"/>
        </w:rPr>
        <w:t>Statement</w:t>
      </w:r>
      <w:r>
        <w:rPr>
          <w:b/>
          <w:bCs/>
          <w:sz w:val="24"/>
        </w:rPr>
        <w:t xml:space="preserve"> </w:t>
      </w:r>
    </w:p>
    <w:p w:rsidRPr="002531C8" w:rsidR="00E33F4F" w:rsidP="00E33F4F" w:rsidRDefault="00287962" w14:paraId="390D3373" w14:textId="16CD8615">
      <w:pPr>
        <w:pStyle w:val="BodyText"/>
        <w:ind w:right="-14"/>
        <w:jc w:val="center"/>
        <w:rPr>
          <w:b/>
          <w:w w:val="105"/>
          <w:sz w:val="22"/>
          <w:szCs w:val="22"/>
        </w:rPr>
      </w:pPr>
      <w:r>
        <w:rPr>
          <w:b/>
          <w:w w:val="105"/>
          <w:sz w:val="22"/>
          <w:szCs w:val="22"/>
        </w:rPr>
        <w:t>ADAP Data Report</w:t>
      </w:r>
    </w:p>
    <w:p w:rsidRPr="002531C8" w:rsidR="00BA1A0C" w:rsidP="00CE5AA9" w:rsidRDefault="00BA1A0C" w14:paraId="0328AB97" w14:textId="77777777">
      <w:pPr>
        <w:tabs>
          <w:tab w:val="center" w:pos="4680"/>
        </w:tabs>
        <w:spacing w:before="120"/>
        <w:jc w:val="center"/>
        <w:rPr>
          <w:b/>
          <w:bCs/>
          <w:sz w:val="22"/>
          <w:szCs w:val="22"/>
        </w:rPr>
      </w:pPr>
    </w:p>
    <w:p w:rsidR="005F5342" w:rsidP="005F5342" w:rsidRDefault="00BA1A0C" w14:paraId="66FF1174" w14:textId="41BF05D7">
      <w:pPr>
        <w:tabs>
          <w:tab w:val="center" w:pos="4680"/>
        </w:tabs>
        <w:jc w:val="center"/>
        <w:rPr>
          <w:b/>
          <w:bCs/>
          <w:sz w:val="22"/>
          <w:szCs w:val="22"/>
        </w:rPr>
      </w:pPr>
      <w:r w:rsidRPr="002531C8">
        <w:rPr>
          <w:b/>
          <w:bCs/>
          <w:sz w:val="22"/>
          <w:szCs w:val="22"/>
        </w:rPr>
        <w:t xml:space="preserve">OMB Control No. </w:t>
      </w:r>
      <w:r w:rsidRPr="00E3460D" w:rsidR="00E3460D">
        <w:rPr>
          <w:b/>
          <w:bCs/>
          <w:sz w:val="22"/>
          <w:szCs w:val="22"/>
        </w:rPr>
        <w:t>0915-0345</w:t>
      </w:r>
    </w:p>
    <w:p w:rsidR="0028667D" w:rsidP="005F5342" w:rsidRDefault="0028667D" w14:paraId="584FDB3A" w14:textId="6507EF7E">
      <w:pPr>
        <w:tabs>
          <w:tab w:val="center" w:pos="4680"/>
        </w:tabs>
        <w:jc w:val="center"/>
        <w:rPr>
          <w:b/>
          <w:bCs/>
          <w:sz w:val="22"/>
          <w:szCs w:val="22"/>
        </w:rPr>
      </w:pPr>
    </w:p>
    <w:p w:rsidRPr="005F5342" w:rsidR="0028667D" w:rsidP="005F5342" w:rsidRDefault="0028667D" w14:paraId="7C7B9F05" w14:textId="27987736">
      <w:pPr>
        <w:tabs>
          <w:tab w:val="center" w:pos="4680"/>
        </w:tabs>
        <w:jc w:val="center"/>
        <w:rPr>
          <w:b/>
          <w:bCs/>
          <w:sz w:val="22"/>
          <w:szCs w:val="22"/>
        </w:rPr>
      </w:pPr>
      <w:r>
        <w:rPr>
          <w:b/>
          <w:bCs/>
          <w:sz w:val="22"/>
          <w:szCs w:val="22"/>
        </w:rPr>
        <w:t>Revision</w:t>
      </w:r>
    </w:p>
    <w:p w:rsidRPr="002531C8" w:rsidR="00BA1A0C" w:rsidP="00CE5AA9" w:rsidRDefault="00BA1A0C" w14:paraId="4A4B835E" w14:textId="50E3FBA6">
      <w:pPr>
        <w:tabs>
          <w:tab w:val="center" w:pos="4680"/>
        </w:tabs>
        <w:spacing w:before="120"/>
        <w:jc w:val="center"/>
        <w:rPr>
          <w:b/>
          <w:bCs/>
          <w:sz w:val="22"/>
          <w:szCs w:val="22"/>
        </w:rPr>
      </w:pPr>
    </w:p>
    <w:p w:rsidRPr="00287962" w:rsidR="00287962" w:rsidP="00287962" w:rsidRDefault="00287962" w14:paraId="6767DE7B" w14:textId="77777777">
      <w:pPr>
        <w:spacing w:after="60"/>
        <w:rPr>
          <w:b/>
          <w:bCs/>
          <w:sz w:val="22"/>
          <w:szCs w:val="22"/>
        </w:rPr>
      </w:pPr>
      <w:r w:rsidRPr="00287962">
        <w:rPr>
          <w:b/>
          <w:bCs/>
          <w:sz w:val="22"/>
          <w:szCs w:val="22"/>
        </w:rPr>
        <w:t xml:space="preserve">Terms of Clearance: </w:t>
      </w:r>
      <w:r w:rsidRPr="00287962">
        <w:rPr>
          <w:sz w:val="22"/>
          <w:szCs w:val="22"/>
        </w:rPr>
        <w:t>None</w:t>
      </w:r>
    </w:p>
    <w:p w:rsidRPr="002531C8" w:rsidR="00A27D7E" w:rsidP="00CE5AA9" w:rsidRDefault="00A27D7E" w14:paraId="7959AF7D" w14:textId="77777777">
      <w:pPr>
        <w:spacing w:before="120"/>
        <w:rPr>
          <w:b/>
          <w:sz w:val="22"/>
          <w:szCs w:val="22"/>
        </w:rPr>
      </w:pPr>
    </w:p>
    <w:p w:rsidRPr="003F350E" w:rsidR="009B3794" w:rsidP="00CA3DA6" w:rsidRDefault="009B3794" w14:paraId="00AE42EE" w14:textId="660D3739">
      <w:pPr>
        <w:spacing w:before="120"/>
        <w:rPr>
          <w:b/>
          <w:bCs/>
          <w:sz w:val="22"/>
          <w:szCs w:val="22"/>
        </w:rPr>
      </w:pPr>
      <w:r w:rsidRPr="003F350E">
        <w:rPr>
          <w:b/>
          <w:bCs/>
          <w:sz w:val="22"/>
          <w:szCs w:val="22"/>
        </w:rPr>
        <w:t>A.</w:t>
      </w:r>
      <w:r w:rsidRPr="003F350E" w:rsidR="00287962">
        <w:rPr>
          <w:b/>
          <w:bCs/>
          <w:sz w:val="22"/>
          <w:szCs w:val="22"/>
        </w:rPr>
        <w:t xml:space="preserve"> </w:t>
      </w:r>
      <w:r w:rsidRPr="003F350E">
        <w:rPr>
          <w:b/>
          <w:bCs/>
          <w:sz w:val="22"/>
          <w:szCs w:val="22"/>
        </w:rPr>
        <w:t>Justification</w:t>
      </w:r>
    </w:p>
    <w:p w:rsidRPr="003F350E" w:rsidR="009B3794" w:rsidP="00C0107A" w:rsidRDefault="009B3794" w14:paraId="384A42F5" w14:textId="77777777">
      <w:pPr>
        <w:numPr>
          <w:ilvl w:val="0"/>
          <w:numId w:val="1"/>
        </w:numPr>
        <w:spacing w:before="240"/>
        <w:rPr>
          <w:b/>
          <w:sz w:val="22"/>
          <w:szCs w:val="22"/>
        </w:rPr>
      </w:pPr>
      <w:r w:rsidRPr="003F350E">
        <w:rPr>
          <w:b/>
          <w:sz w:val="22"/>
          <w:szCs w:val="22"/>
          <w:u w:val="single"/>
        </w:rPr>
        <w:t>Circumstances Making the Collection of Information Necessary</w:t>
      </w:r>
    </w:p>
    <w:p w:rsidRPr="003F350E" w:rsidR="008F6ABC" w:rsidP="000238F6" w:rsidRDefault="008F6ABC" w14:paraId="13F78813" w14:textId="77777777">
      <w:pPr>
        <w:widowControl/>
        <w:shd w:val="clear" w:color="auto" w:fill="FFFFFF"/>
        <w:autoSpaceDE/>
        <w:autoSpaceDN/>
        <w:adjustRightInd/>
        <w:rPr>
          <w:sz w:val="22"/>
          <w:szCs w:val="22"/>
        </w:rPr>
      </w:pPr>
    </w:p>
    <w:p w:rsidRPr="003F350E" w:rsidR="00A110CF" w:rsidP="00A110CF" w:rsidRDefault="006D2080" w14:paraId="3F496905" w14:textId="3ED10EBD">
      <w:pPr>
        <w:rPr>
          <w:sz w:val="22"/>
          <w:szCs w:val="22"/>
        </w:rPr>
      </w:pPr>
      <w:r w:rsidRPr="003F350E">
        <w:rPr>
          <w:rStyle w:val="BodyTextFi"/>
          <w:sz w:val="22"/>
          <w:szCs w:val="22"/>
        </w:rPr>
        <w:t>The Health Resources and Services Administration (HRSA) is requesting</w:t>
      </w:r>
      <w:r w:rsidRPr="003F350E" w:rsidR="00947EB3">
        <w:rPr>
          <w:rStyle w:val="BodyTextFi"/>
          <w:sz w:val="22"/>
          <w:szCs w:val="22"/>
        </w:rPr>
        <w:t xml:space="preserve"> </w:t>
      </w:r>
      <w:r w:rsidR="00656CBD">
        <w:rPr>
          <w:rStyle w:val="BodyTextFi"/>
          <w:sz w:val="22"/>
          <w:szCs w:val="22"/>
        </w:rPr>
        <w:t xml:space="preserve">continued </w:t>
      </w:r>
      <w:r w:rsidRPr="003F350E" w:rsidR="00947EB3">
        <w:rPr>
          <w:rStyle w:val="BodyTextFi"/>
          <w:sz w:val="22"/>
          <w:szCs w:val="22"/>
        </w:rPr>
        <w:t>approval</w:t>
      </w:r>
      <w:r w:rsidRPr="003F350E">
        <w:rPr>
          <w:rStyle w:val="BodyTextFi"/>
          <w:sz w:val="22"/>
          <w:szCs w:val="22"/>
        </w:rPr>
        <w:t xml:space="preserve"> f</w:t>
      </w:r>
      <w:r w:rsidR="00656CBD">
        <w:rPr>
          <w:rStyle w:val="BodyTextFi"/>
          <w:sz w:val="22"/>
          <w:szCs w:val="22"/>
        </w:rPr>
        <w:t>rom the</w:t>
      </w:r>
      <w:r w:rsidRPr="003F350E">
        <w:rPr>
          <w:rStyle w:val="BodyTextFi"/>
          <w:sz w:val="22"/>
          <w:szCs w:val="22"/>
        </w:rPr>
        <w:t xml:space="preserve"> </w:t>
      </w:r>
      <w:r w:rsidRPr="003F350E" w:rsidR="00E3460D">
        <w:rPr>
          <w:rStyle w:val="BodyTextFi"/>
          <w:sz w:val="22"/>
          <w:szCs w:val="22"/>
        </w:rPr>
        <w:t>Office of Management and Budget (</w:t>
      </w:r>
      <w:r w:rsidRPr="003F350E">
        <w:rPr>
          <w:rStyle w:val="BodyTextFi"/>
          <w:sz w:val="22"/>
          <w:szCs w:val="22"/>
        </w:rPr>
        <w:t>OMB</w:t>
      </w:r>
      <w:r w:rsidRPr="003F350E" w:rsidR="00E3460D">
        <w:rPr>
          <w:rStyle w:val="BodyTextFi"/>
          <w:sz w:val="22"/>
          <w:szCs w:val="22"/>
        </w:rPr>
        <w:t>)</w:t>
      </w:r>
      <w:r w:rsidRPr="003F350E" w:rsidR="00947EB3">
        <w:rPr>
          <w:rStyle w:val="BodyTextFi"/>
          <w:sz w:val="22"/>
          <w:szCs w:val="22"/>
        </w:rPr>
        <w:t xml:space="preserve"> for a</w:t>
      </w:r>
      <w:r w:rsidR="0028667D">
        <w:rPr>
          <w:rStyle w:val="BodyTextFi"/>
          <w:sz w:val="22"/>
          <w:szCs w:val="22"/>
        </w:rPr>
        <w:t xml:space="preserve"> revision</w:t>
      </w:r>
      <w:r w:rsidRPr="003F350E" w:rsidR="00947EB3">
        <w:rPr>
          <w:rStyle w:val="BodyTextFi"/>
          <w:sz w:val="22"/>
          <w:szCs w:val="22"/>
        </w:rPr>
        <w:t xml:space="preserve"> of the client-level data reporting system,</w:t>
      </w:r>
      <w:r w:rsidRPr="003F350E">
        <w:rPr>
          <w:rStyle w:val="BodyTextFi"/>
          <w:sz w:val="22"/>
          <w:szCs w:val="22"/>
        </w:rPr>
        <w:t xml:space="preserve"> </w:t>
      </w:r>
      <w:r w:rsidRPr="003F350E" w:rsidR="00A110CF">
        <w:rPr>
          <w:sz w:val="22"/>
          <w:szCs w:val="22"/>
        </w:rPr>
        <w:t>the Ryan White Program’s HIV</w:t>
      </w:r>
      <w:r w:rsidRPr="003F350E" w:rsidR="00E3460D">
        <w:rPr>
          <w:sz w:val="22"/>
          <w:szCs w:val="22"/>
        </w:rPr>
        <w:t xml:space="preserve">/AIDS Program </w:t>
      </w:r>
      <w:r w:rsidR="00656CBD">
        <w:rPr>
          <w:sz w:val="22"/>
          <w:szCs w:val="22"/>
        </w:rPr>
        <w:t xml:space="preserve">(RWHAP) </w:t>
      </w:r>
      <w:r w:rsidRPr="003F350E" w:rsidR="00E3460D">
        <w:rPr>
          <w:sz w:val="22"/>
          <w:szCs w:val="22"/>
        </w:rPr>
        <w:t>Part B AIDS Drug Assistance Program (ADAP) Data Report (ADR)</w:t>
      </w:r>
      <w:r w:rsidRPr="003F350E" w:rsidR="00A110CF">
        <w:rPr>
          <w:sz w:val="22"/>
          <w:szCs w:val="22"/>
        </w:rPr>
        <w:t xml:space="preserve">. The </w:t>
      </w:r>
      <w:r w:rsidR="00656CBD">
        <w:rPr>
          <w:sz w:val="22"/>
          <w:szCs w:val="22"/>
        </w:rPr>
        <w:t xml:space="preserve">current </w:t>
      </w:r>
      <w:r w:rsidRPr="003F350E" w:rsidR="00E3460D">
        <w:rPr>
          <w:sz w:val="22"/>
          <w:szCs w:val="22"/>
        </w:rPr>
        <w:t>ADR</w:t>
      </w:r>
      <w:r w:rsidR="00656CBD">
        <w:rPr>
          <w:sz w:val="22"/>
          <w:szCs w:val="22"/>
        </w:rPr>
        <w:t xml:space="preserve"> Information Collection Request (ICR)</w:t>
      </w:r>
      <w:r w:rsidRPr="003F350E" w:rsidR="00A110CF">
        <w:rPr>
          <w:sz w:val="22"/>
          <w:szCs w:val="22"/>
        </w:rPr>
        <w:t>,</w:t>
      </w:r>
      <w:r w:rsidRPr="003F350E" w:rsidR="00A110CF">
        <w:rPr>
          <w:rStyle w:val="BodyTextFi"/>
          <w:sz w:val="22"/>
          <w:szCs w:val="22"/>
        </w:rPr>
        <w:t xml:space="preserve"> </w:t>
      </w:r>
      <w:r w:rsidRPr="003F350E">
        <w:rPr>
          <w:rStyle w:val="BodyTextFi"/>
          <w:sz w:val="22"/>
          <w:szCs w:val="22"/>
        </w:rPr>
        <w:t xml:space="preserve">which expires on </w:t>
      </w:r>
      <w:r w:rsidRPr="003F350E" w:rsidR="00A110CF">
        <w:rPr>
          <w:rStyle w:val="BodyTextFi"/>
          <w:sz w:val="22"/>
          <w:szCs w:val="22"/>
        </w:rPr>
        <w:t>December 31, 2</w:t>
      </w:r>
      <w:r w:rsidRPr="003F350E" w:rsidR="00E922B9">
        <w:rPr>
          <w:rStyle w:val="BodyTextFi"/>
          <w:sz w:val="22"/>
          <w:szCs w:val="22"/>
        </w:rPr>
        <w:t>020</w:t>
      </w:r>
      <w:r w:rsidRPr="003F350E" w:rsidR="007E570A">
        <w:rPr>
          <w:rStyle w:val="BodyTextFi"/>
          <w:sz w:val="22"/>
          <w:szCs w:val="22"/>
        </w:rPr>
        <w:t>,</w:t>
      </w:r>
      <w:r w:rsidRPr="003F350E" w:rsidR="00A110CF">
        <w:rPr>
          <w:rStyle w:val="BodyTextFi"/>
          <w:sz w:val="22"/>
          <w:szCs w:val="22"/>
        </w:rPr>
        <w:t xml:space="preserve"> </w:t>
      </w:r>
      <w:r w:rsidRPr="003F350E" w:rsidR="00A110CF">
        <w:rPr>
          <w:sz w:val="22"/>
          <w:szCs w:val="22"/>
        </w:rPr>
        <w:t xml:space="preserve">is </w:t>
      </w:r>
      <w:r w:rsidRPr="003F350E" w:rsidR="00947EB3">
        <w:rPr>
          <w:sz w:val="22"/>
          <w:szCs w:val="22"/>
        </w:rPr>
        <w:t>currently used to collect information from</w:t>
      </w:r>
      <w:r w:rsidRPr="003F350E" w:rsidR="00A110CF">
        <w:rPr>
          <w:sz w:val="22"/>
          <w:szCs w:val="22"/>
        </w:rPr>
        <w:t xml:space="preserve"> </w:t>
      </w:r>
      <w:r w:rsidRPr="003F350E" w:rsidR="00947EB3">
        <w:rPr>
          <w:sz w:val="22"/>
          <w:szCs w:val="22"/>
        </w:rPr>
        <w:t xml:space="preserve">grant </w:t>
      </w:r>
      <w:r w:rsidRPr="003F350E" w:rsidR="00A110CF">
        <w:rPr>
          <w:sz w:val="22"/>
          <w:szCs w:val="22"/>
        </w:rPr>
        <w:t xml:space="preserve">recipients funded under Part </w:t>
      </w:r>
      <w:r w:rsidRPr="003F350E" w:rsidR="00C2606E">
        <w:rPr>
          <w:sz w:val="22"/>
          <w:szCs w:val="22"/>
        </w:rPr>
        <w:t xml:space="preserve">B </w:t>
      </w:r>
      <w:r w:rsidRPr="003F350E" w:rsidR="00A110CF">
        <w:rPr>
          <w:sz w:val="22"/>
          <w:szCs w:val="22"/>
        </w:rPr>
        <w:t>of the Ryan White HIV/AIDS Treatment Extension Act of 2009</w:t>
      </w:r>
      <w:r w:rsidRPr="003F350E" w:rsidR="00947EB3">
        <w:rPr>
          <w:sz w:val="22"/>
          <w:szCs w:val="22"/>
        </w:rPr>
        <w:t xml:space="preserve">. </w:t>
      </w:r>
      <w:r w:rsidRPr="003F350E" w:rsidR="00A110CF">
        <w:rPr>
          <w:sz w:val="22"/>
          <w:szCs w:val="22"/>
        </w:rPr>
        <w:t>The RWHAP, authorized under Title XXVI of the Public Health Service Act, as amended by the Ryan White HIV/AIDS Treatment Extension Act of 2009, funds and coordinates with cities, states, and local clinics/community-based organizations to deliver efficient and effective HIV care, treatment, and support to low-income people with HI</w:t>
      </w:r>
      <w:r w:rsidRPr="003F350E" w:rsidR="00E922B9">
        <w:rPr>
          <w:sz w:val="22"/>
          <w:szCs w:val="22"/>
        </w:rPr>
        <w:t>V</w:t>
      </w:r>
      <w:r w:rsidRPr="003F350E" w:rsidR="00A110CF">
        <w:rPr>
          <w:sz w:val="22"/>
          <w:szCs w:val="22"/>
        </w:rPr>
        <w:t xml:space="preserve">. </w:t>
      </w:r>
      <w:r w:rsidRPr="0046221A" w:rsidR="00A110CF">
        <w:rPr>
          <w:sz w:val="22"/>
          <w:szCs w:val="22"/>
        </w:rPr>
        <w:t>See Attachment A for a copy of the 2009 legislation.</w:t>
      </w:r>
      <w:r w:rsidRPr="003F350E" w:rsidR="00A110CF">
        <w:rPr>
          <w:sz w:val="22"/>
          <w:szCs w:val="22"/>
        </w:rPr>
        <w:t xml:space="preserve"> The Department of Health and Human Services (HHS) HRSA administers funds for the RWHAP. </w:t>
      </w:r>
    </w:p>
    <w:p w:rsidRPr="003F350E" w:rsidR="006D2080" w:rsidP="00A110CF" w:rsidRDefault="006D2080" w14:paraId="634025DB" w14:textId="2B725D80">
      <w:pPr>
        <w:rPr>
          <w:sz w:val="22"/>
          <w:szCs w:val="22"/>
        </w:rPr>
      </w:pPr>
    </w:p>
    <w:p w:rsidRPr="003F350E" w:rsidR="00A110CF" w:rsidP="00A110CF" w:rsidRDefault="00A110CF" w14:paraId="7134E48E" w14:textId="3088E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22"/>
          <w:szCs w:val="22"/>
          <w:lang w:eastAsia="ja-JP"/>
        </w:rPr>
      </w:pPr>
      <w:r w:rsidRPr="003F350E">
        <w:rPr>
          <w:rFonts w:eastAsia="Calibri"/>
          <w:sz w:val="22"/>
          <w:szCs w:val="22"/>
          <w:lang w:eastAsia="ja-JP"/>
        </w:rPr>
        <w:t xml:space="preserve">The </w:t>
      </w:r>
      <w:r w:rsidRPr="003F350E" w:rsidR="001B3699">
        <w:rPr>
          <w:rFonts w:eastAsia="Calibri"/>
          <w:sz w:val="22"/>
          <w:szCs w:val="22"/>
          <w:lang w:eastAsia="ja-JP"/>
        </w:rPr>
        <w:t>RWHAP</w:t>
      </w:r>
      <w:r w:rsidRPr="003F350E">
        <w:rPr>
          <w:rFonts w:eastAsia="Calibri"/>
          <w:sz w:val="22"/>
          <w:szCs w:val="22"/>
          <w:lang w:eastAsia="ja-JP"/>
        </w:rPr>
        <w:t xml:space="preserve"> supports a comprehensive system of direct health care and support services for over half a million people with HIV</w:t>
      </w:r>
      <w:r w:rsidRPr="003F350E" w:rsidR="00E922B9">
        <w:rPr>
          <w:rFonts w:eastAsia="Calibri"/>
          <w:sz w:val="22"/>
          <w:szCs w:val="22"/>
          <w:lang w:eastAsia="ja-JP"/>
        </w:rPr>
        <w:t>.</w:t>
      </w:r>
      <w:r w:rsidRPr="003F350E">
        <w:rPr>
          <w:sz w:val="22"/>
          <w:szCs w:val="22"/>
          <w:lang w:eastAsia="ja-JP"/>
        </w:rPr>
        <w:t xml:space="preserve"> The HRSA RWHAP makes financial assistance available for the development, organization, coordination, and operation of more effective and cost-efficient systems for the delivery of essential core medical and support services to persons with HIV.</w:t>
      </w:r>
      <w:r w:rsidRPr="003F350E">
        <w:rPr>
          <w:rFonts w:eastAsia="MS Mincho" w:cs="Arial"/>
          <w:sz w:val="22"/>
          <w:szCs w:val="22"/>
          <w:lang w:eastAsia="ja-JP"/>
        </w:rPr>
        <w:t xml:space="preserve"> </w:t>
      </w:r>
      <w:r w:rsidRPr="003F350E">
        <w:rPr>
          <w:sz w:val="22"/>
          <w:szCs w:val="22"/>
          <w:lang w:eastAsia="ja-JP"/>
        </w:rPr>
        <w:t xml:space="preserve">Funding priorities are determined by stakeholders at local and state levels, resulting in uniquely structured programs that address their jurisdictions’ critical gaps and needs.  HRSA also works in partnership with RWHAP recipients at state and local levels to use innovative approaches for community engagement, needs assessment, planning processes, policy development, service delivery, clinical quality improvement, and workforce development activities that are needed to support a robust system of HIV care, support and treatment. </w:t>
      </w:r>
    </w:p>
    <w:p w:rsidRPr="003F350E" w:rsidR="00C25A62" w:rsidP="00A110CF" w:rsidRDefault="00C25A62" w14:paraId="7BE77B38" w14:textId="62FAA7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22"/>
          <w:szCs w:val="22"/>
          <w:lang w:eastAsia="ja-JP"/>
        </w:rPr>
      </w:pPr>
    </w:p>
    <w:p w:rsidRPr="003F350E" w:rsidR="00C25A62" w:rsidP="00A110CF" w:rsidRDefault="00C25A62" w14:paraId="44F68247" w14:textId="10138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22"/>
          <w:szCs w:val="22"/>
          <w:lang w:eastAsia="ja-JP"/>
        </w:rPr>
      </w:pPr>
      <w:r w:rsidRPr="003F350E">
        <w:rPr>
          <w:sz w:val="22"/>
          <w:szCs w:val="22"/>
        </w:rPr>
        <w:t xml:space="preserve">Part B of the Ryan White HIV/AIDS Treatment Extension Act of 2009 funds States and U.S. Territories to improve the quality, availability, and organization of HIV/AIDS health care and support services.  </w:t>
      </w:r>
      <w:r w:rsidR="00656CBD">
        <w:rPr>
          <w:sz w:val="22"/>
          <w:szCs w:val="22"/>
        </w:rPr>
        <w:t xml:space="preserve">The </w:t>
      </w:r>
      <w:r w:rsidRPr="003F350E">
        <w:rPr>
          <w:sz w:val="22"/>
          <w:szCs w:val="22"/>
        </w:rPr>
        <w:t xml:space="preserve">ADAP is authorized in section 2623 of the Ryan White HIV/AIDS Treatment Extension Act of 2009.  This section authorizes a portion of Part B funds to be “earmarked” for ADAP, </w:t>
      </w:r>
      <w:r w:rsidRPr="003F350E">
        <w:rPr>
          <w:color w:val="000000"/>
          <w:sz w:val="22"/>
          <w:szCs w:val="22"/>
        </w:rPr>
        <w:t xml:space="preserve">a program that provides medications for the treatment of HIV. </w:t>
      </w:r>
      <w:r w:rsidR="00656CBD">
        <w:rPr>
          <w:color w:val="000000"/>
          <w:sz w:val="22"/>
          <w:szCs w:val="22"/>
        </w:rPr>
        <w:t xml:space="preserve"> </w:t>
      </w:r>
      <w:r w:rsidRPr="003F350E">
        <w:rPr>
          <w:color w:val="000000"/>
          <w:sz w:val="22"/>
          <w:szCs w:val="22"/>
        </w:rPr>
        <w:t>Program funds may also be used to purchase health insurance for eligible clients and for services that enhance access to, adherence to, and monitoring of drug treatments.  Grants are awarded to all 50 States, the District of Columbia, Puerto Rico, Guam, the U.S. Virgin Islands, and several US Territories.</w:t>
      </w:r>
    </w:p>
    <w:p w:rsidRPr="003F350E" w:rsidR="001C0BDC" w:rsidP="001C0BDC" w:rsidRDefault="001C0BDC" w14:paraId="4A2228A5" w14:textId="77777777">
      <w:pPr>
        <w:rPr>
          <w:color w:val="000000"/>
          <w:sz w:val="22"/>
          <w:szCs w:val="22"/>
        </w:rPr>
      </w:pPr>
    </w:p>
    <w:p w:rsidR="001C0BDC" w:rsidP="001C0BDC" w:rsidRDefault="001C0BDC" w14:paraId="09040C6A" w14:textId="0C173774">
      <w:pPr>
        <w:pStyle w:val="ColorfulList-Accent11"/>
        <w:tabs>
          <w:tab w:val="left" w:pos="288"/>
          <w:tab w:val="left" w:pos="720"/>
          <w:tab w:val="left" w:pos="1058"/>
          <w:tab w:val="left" w:pos="1814"/>
          <w:tab w:val="left" w:pos="2494"/>
          <w:tab w:val="left" w:pos="3132"/>
          <w:tab w:val="left" w:pos="4006"/>
          <w:tab w:val="left" w:pos="4687"/>
          <w:tab w:val="left" w:pos="5443"/>
        </w:tabs>
        <w:ind w:left="0"/>
        <w:rPr>
          <w:rFonts w:ascii="Times New Roman" w:hAnsi="Times New Roman"/>
          <w:sz w:val="22"/>
          <w:szCs w:val="22"/>
        </w:rPr>
      </w:pPr>
      <w:r w:rsidRPr="003F350E">
        <w:rPr>
          <w:rFonts w:ascii="Times New Roman" w:hAnsi="Times New Roman"/>
          <w:sz w:val="22"/>
          <w:szCs w:val="22"/>
        </w:rPr>
        <w:t xml:space="preserve">The information to be collected in the ADR includes an online </w:t>
      </w:r>
      <w:r w:rsidRPr="003F350E" w:rsidR="00457273">
        <w:rPr>
          <w:rFonts w:ascii="Times New Roman" w:hAnsi="Times New Roman"/>
          <w:sz w:val="22"/>
          <w:szCs w:val="22"/>
        </w:rPr>
        <w:t xml:space="preserve">Recipient Report </w:t>
      </w:r>
      <w:r w:rsidRPr="003F350E">
        <w:rPr>
          <w:rFonts w:ascii="Times New Roman" w:hAnsi="Times New Roman"/>
          <w:sz w:val="22"/>
          <w:szCs w:val="22"/>
        </w:rPr>
        <w:t>and submission of client-level data by electronic upload. The data and information collected using the ADR are designed to be complementary to (but not duplicative of) the Ryan White Services Report (RSR)</w:t>
      </w:r>
      <w:r w:rsidRPr="0046221A" w:rsidR="007662FB">
        <w:rPr>
          <w:rStyle w:val="FootnoteReference"/>
          <w:rFonts w:ascii="Times New Roman" w:hAnsi="Times New Roman"/>
          <w:sz w:val="22"/>
          <w:szCs w:val="22"/>
          <w:vertAlign w:val="superscript"/>
        </w:rPr>
        <w:footnoteReference w:id="1"/>
      </w:r>
      <w:r w:rsidRPr="003F350E">
        <w:rPr>
          <w:rFonts w:ascii="Times New Roman" w:hAnsi="Times New Roman"/>
          <w:sz w:val="22"/>
          <w:szCs w:val="22"/>
        </w:rPr>
        <w:t xml:space="preserve">, a three-part data collection system already approved by the Office of Management and Budget. The variables contained in both the RSR and the ADR are designed to enable HRSA to fulfill its responsibilities in the administration of grant funds.  Accurate records of the grantees receiving Ryan White HIV/AIDS Program funding, services provided, and clients served continue to be critical to the implementation of the legislation and thus are necessary for HRSA to fulfill its responsibilities.  Client-level data enables HRSA to monitor the ability of the ADAP program to reach populations impacted by the HIV/AIDS epidemic, while ensuring that programmatic objectives such as addressing HIV/AIDS disparities are met.  </w:t>
      </w:r>
    </w:p>
    <w:p w:rsidR="00656CBD" w:rsidP="001C0BDC" w:rsidRDefault="00656CBD" w14:paraId="1211302F" w14:textId="2FAAE3D0">
      <w:pPr>
        <w:pStyle w:val="ColorfulList-Accent11"/>
        <w:tabs>
          <w:tab w:val="left" w:pos="288"/>
          <w:tab w:val="left" w:pos="720"/>
          <w:tab w:val="left" w:pos="1058"/>
          <w:tab w:val="left" w:pos="1814"/>
          <w:tab w:val="left" w:pos="2494"/>
          <w:tab w:val="left" w:pos="3132"/>
          <w:tab w:val="left" w:pos="4006"/>
          <w:tab w:val="left" w:pos="4687"/>
          <w:tab w:val="left" w:pos="5443"/>
        </w:tabs>
        <w:ind w:left="0"/>
        <w:rPr>
          <w:rFonts w:ascii="Times New Roman" w:hAnsi="Times New Roman"/>
          <w:sz w:val="22"/>
          <w:szCs w:val="22"/>
        </w:rPr>
      </w:pPr>
    </w:p>
    <w:p w:rsidR="0046221A" w:rsidP="00656CBD" w:rsidRDefault="0046221A" w14:paraId="6FED0491" w14:textId="77777777">
      <w:pPr>
        <w:pStyle w:val="ColorfulList-Accent11"/>
        <w:tabs>
          <w:tab w:val="left" w:pos="288"/>
          <w:tab w:val="left" w:pos="720"/>
          <w:tab w:val="left" w:pos="1058"/>
          <w:tab w:val="left" w:pos="1814"/>
          <w:tab w:val="left" w:pos="2494"/>
          <w:tab w:val="left" w:pos="3132"/>
          <w:tab w:val="left" w:pos="4006"/>
          <w:tab w:val="left" w:pos="4687"/>
          <w:tab w:val="left" w:pos="5443"/>
        </w:tabs>
        <w:ind w:left="0"/>
        <w:rPr>
          <w:rFonts w:ascii="Times New Roman" w:hAnsi="Times New Roman"/>
          <w:sz w:val="22"/>
          <w:szCs w:val="22"/>
        </w:rPr>
      </w:pPr>
    </w:p>
    <w:p w:rsidRPr="0046221A" w:rsidR="007662FB" w:rsidP="00656CBD" w:rsidRDefault="00FD7046" w14:paraId="4B6C5954" w14:textId="3CAB4410">
      <w:pPr>
        <w:pStyle w:val="ColorfulList-Accent11"/>
        <w:tabs>
          <w:tab w:val="left" w:pos="288"/>
          <w:tab w:val="left" w:pos="720"/>
          <w:tab w:val="left" w:pos="1058"/>
          <w:tab w:val="left" w:pos="1814"/>
          <w:tab w:val="left" w:pos="2494"/>
          <w:tab w:val="left" w:pos="3132"/>
          <w:tab w:val="left" w:pos="4006"/>
          <w:tab w:val="left" w:pos="4687"/>
          <w:tab w:val="left" w:pos="5443"/>
        </w:tabs>
        <w:ind w:left="0"/>
        <w:rPr>
          <w:rFonts w:ascii="Times New Roman" w:hAnsi="Times New Roman"/>
          <w:sz w:val="22"/>
          <w:szCs w:val="22"/>
        </w:rPr>
      </w:pPr>
      <w:r w:rsidRPr="000D19AE">
        <w:rPr>
          <w:rFonts w:ascii="Times New Roman" w:hAnsi="Times New Roman"/>
          <w:sz w:val="22"/>
          <w:szCs w:val="22"/>
        </w:rPr>
        <w:t xml:space="preserve">In addition, a new initiative, </w:t>
      </w:r>
      <w:r w:rsidRPr="000D19AE">
        <w:rPr>
          <w:rFonts w:ascii="Times New Roman" w:hAnsi="Times New Roman"/>
          <w:i/>
          <w:sz w:val="22"/>
          <w:szCs w:val="22"/>
        </w:rPr>
        <w:t>Ending the HIV Epidemic: A Plan for America</w:t>
      </w:r>
      <w:r w:rsidRPr="000D19AE">
        <w:rPr>
          <w:rFonts w:ascii="Times New Roman" w:hAnsi="Times New Roman"/>
          <w:sz w:val="22"/>
          <w:szCs w:val="22"/>
        </w:rPr>
        <w:t xml:space="preserve"> (EHE), began in FY 2020 and</w:t>
      </w:r>
      <w:r w:rsidRPr="0046221A" w:rsidR="00656CBD">
        <w:rPr>
          <w:rFonts w:ascii="Times New Roman" w:hAnsi="Times New Roman"/>
          <w:sz w:val="22"/>
          <w:szCs w:val="22"/>
        </w:rPr>
        <w:t xml:space="preserve"> </w:t>
      </w:r>
      <w:r w:rsidR="00033FCA">
        <w:rPr>
          <w:rFonts w:ascii="Times New Roman" w:hAnsi="Times New Roman"/>
          <w:sz w:val="22"/>
          <w:szCs w:val="22"/>
        </w:rPr>
        <w:t>s</w:t>
      </w:r>
      <w:r w:rsidRPr="0046221A" w:rsidR="00656CBD">
        <w:rPr>
          <w:rFonts w:ascii="Times New Roman" w:hAnsi="Times New Roman"/>
          <w:sz w:val="22"/>
          <w:szCs w:val="22"/>
        </w:rPr>
        <w:t>ome of the data element requirements will be incorporated in existing annual data collections</w:t>
      </w:r>
      <w:r w:rsidR="00033FCA">
        <w:rPr>
          <w:rFonts w:ascii="Times New Roman" w:hAnsi="Times New Roman"/>
          <w:sz w:val="22"/>
          <w:szCs w:val="22"/>
        </w:rPr>
        <w:t>, including the ADR,</w:t>
      </w:r>
      <w:r w:rsidRPr="0046221A" w:rsidR="00656CBD">
        <w:rPr>
          <w:rFonts w:ascii="Times New Roman" w:hAnsi="Times New Roman"/>
          <w:sz w:val="22"/>
          <w:szCs w:val="22"/>
        </w:rPr>
        <w:t xml:space="preserve"> in order to limit recipient burden</w:t>
      </w:r>
      <w:r w:rsidR="00033FCA">
        <w:rPr>
          <w:rFonts w:ascii="Times New Roman" w:hAnsi="Times New Roman"/>
          <w:sz w:val="22"/>
          <w:szCs w:val="22"/>
        </w:rPr>
        <w:t>.</w:t>
      </w:r>
    </w:p>
    <w:p w:rsidRPr="003F350E" w:rsidR="001C0BDC" w:rsidP="008F6ABC" w:rsidRDefault="001C0BDC" w14:paraId="2DAA2FF6" w14:textId="77777777">
      <w:pPr>
        <w:pStyle w:val="Answerbulleted"/>
        <w:numPr>
          <w:ilvl w:val="0"/>
          <w:numId w:val="0"/>
        </w:numPr>
        <w:ind w:right="0"/>
        <w:rPr>
          <w:rFonts w:ascii="Times New Roman" w:hAnsi="Times New Roman"/>
          <w:w w:val="105"/>
        </w:rPr>
      </w:pPr>
    </w:p>
    <w:p w:rsidRPr="003F350E" w:rsidR="008F6ABC" w:rsidP="00C0107A" w:rsidRDefault="009B3794" w14:paraId="33004E92" w14:textId="77777777">
      <w:pPr>
        <w:pStyle w:val="Answerbulleted"/>
        <w:numPr>
          <w:ilvl w:val="0"/>
          <w:numId w:val="1"/>
        </w:numPr>
        <w:ind w:right="0"/>
        <w:rPr>
          <w:rFonts w:ascii="Times New Roman" w:hAnsi="Times New Roman"/>
          <w:b/>
          <w:u w:val="single"/>
        </w:rPr>
      </w:pPr>
      <w:r w:rsidRPr="003F350E">
        <w:rPr>
          <w:rFonts w:ascii="Times New Roman" w:hAnsi="Times New Roman"/>
          <w:b/>
          <w:u w:val="single"/>
        </w:rPr>
        <w:t>Purpose and Use of Information Collection</w:t>
      </w:r>
    </w:p>
    <w:p w:rsidRPr="003F350E" w:rsidR="00D15144" w:rsidP="000238F6" w:rsidRDefault="003E187D" w14:paraId="14DF5D8D" w14:textId="115EFBD2">
      <w:pPr>
        <w:pStyle w:val="ColorfulList-Accent11"/>
        <w:ind w:left="0"/>
        <w:rPr>
          <w:rFonts w:ascii="Times New Roman" w:hAnsi="Times New Roman"/>
          <w:sz w:val="22"/>
          <w:szCs w:val="22"/>
        </w:rPr>
      </w:pPr>
      <w:bookmarkStart w:name="_Hlk12446623" w:id="1"/>
      <w:r w:rsidRPr="003F350E">
        <w:rPr>
          <w:rFonts w:ascii="Times New Roman" w:hAnsi="Times New Roman"/>
          <w:sz w:val="22"/>
          <w:szCs w:val="22"/>
        </w:rPr>
        <w:t>The RWH</w:t>
      </w:r>
      <w:r w:rsidR="007662FB">
        <w:rPr>
          <w:rFonts w:ascii="Times New Roman" w:hAnsi="Times New Roman"/>
          <w:sz w:val="22"/>
          <w:szCs w:val="22"/>
        </w:rPr>
        <w:t>A</w:t>
      </w:r>
      <w:r w:rsidRPr="003F350E">
        <w:rPr>
          <w:rFonts w:ascii="Times New Roman" w:hAnsi="Times New Roman"/>
          <w:sz w:val="22"/>
          <w:szCs w:val="22"/>
        </w:rPr>
        <w:t xml:space="preserve">P requires the submission of annual reports by the Secretary of DHHS to the appropriate committees of Congress.  The collection of </w:t>
      </w:r>
      <w:r w:rsidRPr="003F350E" w:rsidR="00457273">
        <w:rPr>
          <w:rFonts w:ascii="Times New Roman" w:hAnsi="Times New Roman"/>
          <w:sz w:val="22"/>
          <w:szCs w:val="22"/>
        </w:rPr>
        <w:t>the Recipient Report</w:t>
      </w:r>
      <w:r w:rsidRPr="003F350E">
        <w:rPr>
          <w:rFonts w:ascii="Times New Roman" w:hAnsi="Times New Roman"/>
          <w:sz w:val="22"/>
          <w:szCs w:val="22"/>
        </w:rPr>
        <w:t xml:space="preserve"> and </w:t>
      </w:r>
      <w:r w:rsidRPr="003F350E" w:rsidR="001B3699">
        <w:rPr>
          <w:rFonts w:ascii="Times New Roman" w:hAnsi="Times New Roman"/>
          <w:sz w:val="22"/>
          <w:szCs w:val="22"/>
        </w:rPr>
        <w:t>C</w:t>
      </w:r>
      <w:r w:rsidRPr="003F350E">
        <w:rPr>
          <w:rFonts w:ascii="Times New Roman" w:hAnsi="Times New Roman"/>
          <w:sz w:val="22"/>
          <w:szCs w:val="22"/>
        </w:rPr>
        <w:t xml:space="preserve">lient-level data enables HRSA to more effectively respond to requests from the Secretary of DHHS. </w:t>
      </w:r>
      <w:r w:rsidR="00D52997">
        <w:rPr>
          <w:rFonts w:ascii="Times New Roman" w:hAnsi="Times New Roman"/>
          <w:sz w:val="22"/>
          <w:szCs w:val="22"/>
        </w:rPr>
        <w:t>Recipient-level data is needed to support the implementation and monitoring of the Ending the HIV Epidemic (EHE) initiative. C</w:t>
      </w:r>
      <w:r w:rsidRPr="003F350E">
        <w:rPr>
          <w:rFonts w:ascii="Times New Roman" w:hAnsi="Times New Roman"/>
          <w:sz w:val="22"/>
          <w:szCs w:val="22"/>
        </w:rPr>
        <w:t>lient-level information is needed by HRSA in order to respond to the request for reviews of program performance and information for strategic planning. Client-level data is also needed to support the implementation and monitoring of the National HIV/AIDS Strategy (NHAS).</w:t>
      </w:r>
    </w:p>
    <w:p w:rsidRPr="003F350E" w:rsidR="003E187D" w:rsidP="000238F6" w:rsidRDefault="003E187D" w14:paraId="062BD84B" w14:textId="5B157323">
      <w:pPr>
        <w:pStyle w:val="ColorfulList-Accent11"/>
        <w:ind w:left="0"/>
        <w:rPr>
          <w:rFonts w:ascii="Times New Roman" w:hAnsi="Times New Roman"/>
          <w:sz w:val="22"/>
          <w:szCs w:val="22"/>
        </w:rPr>
      </w:pPr>
    </w:p>
    <w:p w:rsidRPr="003F350E" w:rsidR="003E187D" w:rsidP="003E187D" w:rsidRDefault="003E187D" w14:paraId="7EE62D05" w14:textId="03EF713F">
      <w:pPr>
        <w:pStyle w:val="ColorfulList-Accent11"/>
        <w:tabs>
          <w:tab w:val="left" w:pos="288"/>
          <w:tab w:val="left" w:pos="1058"/>
          <w:tab w:val="left" w:pos="1814"/>
          <w:tab w:val="left" w:pos="2494"/>
          <w:tab w:val="left" w:pos="3132"/>
          <w:tab w:val="left" w:pos="4006"/>
          <w:tab w:val="left" w:pos="4687"/>
          <w:tab w:val="left" w:pos="5443"/>
        </w:tabs>
        <w:ind w:left="3"/>
        <w:rPr>
          <w:rFonts w:ascii="Times New Roman" w:hAnsi="Times New Roman"/>
          <w:sz w:val="22"/>
          <w:szCs w:val="22"/>
        </w:rPr>
      </w:pPr>
      <w:r w:rsidRPr="003F350E">
        <w:rPr>
          <w:rFonts w:ascii="Times New Roman" w:hAnsi="Times New Roman"/>
          <w:sz w:val="22"/>
          <w:szCs w:val="22"/>
        </w:rPr>
        <w:t xml:space="preserve">In selecting the variables to include in the ADR, HRSA’s goal was to collect only the data necessary to respond to inquiries from Congress and other stakeholders and to fully reflect the program.  The ADR </w:t>
      </w:r>
      <w:r w:rsidR="003A301B">
        <w:rPr>
          <w:rFonts w:ascii="Times New Roman" w:hAnsi="Times New Roman"/>
          <w:sz w:val="22"/>
          <w:szCs w:val="22"/>
        </w:rPr>
        <w:t>is</w:t>
      </w:r>
      <w:r w:rsidRPr="003F350E">
        <w:rPr>
          <w:rFonts w:ascii="Times New Roman" w:hAnsi="Times New Roman"/>
          <w:sz w:val="22"/>
          <w:szCs w:val="22"/>
        </w:rPr>
        <w:t xml:space="preserve"> be submitted annually in June. The ADR consists of two components – the </w:t>
      </w:r>
      <w:r w:rsidRPr="003F350E" w:rsidR="00742E1D">
        <w:rPr>
          <w:rFonts w:ascii="Times New Roman" w:hAnsi="Times New Roman"/>
          <w:sz w:val="22"/>
          <w:szCs w:val="22"/>
        </w:rPr>
        <w:t xml:space="preserve">Recipient Report </w:t>
      </w:r>
      <w:r w:rsidRPr="003F350E">
        <w:rPr>
          <w:rFonts w:ascii="Times New Roman" w:hAnsi="Times New Roman"/>
          <w:sz w:val="22"/>
          <w:szCs w:val="22"/>
        </w:rPr>
        <w:t xml:space="preserve">and </w:t>
      </w:r>
      <w:r w:rsidR="008415EC">
        <w:rPr>
          <w:rFonts w:ascii="Times New Roman" w:hAnsi="Times New Roman"/>
          <w:sz w:val="22"/>
          <w:szCs w:val="22"/>
        </w:rPr>
        <w:t xml:space="preserve">Client </w:t>
      </w:r>
      <w:r w:rsidRPr="003F350E">
        <w:rPr>
          <w:rFonts w:ascii="Times New Roman" w:hAnsi="Times New Roman"/>
          <w:sz w:val="22"/>
          <w:szCs w:val="22"/>
        </w:rPr>
        <w:t xml:space="preserve">Report. The </w:t>
      </w:r>
      <w:r w:rsidRPr="003F350E" w:rsidR="000B13A0">
        <w:rPr>
          <w:rFonts w:ascii="Times New Roman" w:hAnsi="Times New Roman"/>
          <w:sz w:val="22"/>
          <w:szCs w:val="22"/>
        </w:rPr>
        <w:t>Recipient</w:t>
      </w:r>
      <w:r w:rsidRPr="003F350E">
        <w:rPr>
          <w:rFonts w:ascii="Times New Roman" w:hAnsi="Times New Roman"/>
          <w:sz w:val="22"/>
          <w:szCs w:val="22"/>
        </w:rPr>
        <w:t xml:space="preserve"> Report consists of 11 items divided into two sections: </w:t>
      </w:r>
    </w:p>
    <w:p w:rsidRPr="003F350E" w:rsidR="003E187D" w:rsidP="003E187D" w:rsidRDefault="003E187D" w14:paraId="472D04F0" w14:textId="25234B19">
      <w:pPr>
        <w:pStyle w:val="ColorfulList-Accent11"/>
        <w:tabs>
          <w:tab w:val="left" w:pos="288"/>
          <w:tab w:val="left" w:pos="1058"/>
          <w:tab w:val="left" w:pos="1814"/>
          <w:tab w:val="left" w:pos="2494"/>
          <w:tab w:val="left" w:pos="3132"/>
          <w:tab w:val="left" w:pos="4006"/>
          <w:tab w:val="left" w:pos="4687"/>
          <w:tab w:val="left" w:pos="5443"/>
        </w:tabs>
        <w:ind w:left="3"/>
        <w:rPr>
          <w:rFonts w:ascii="Times New Roman" w:hAnsi="Times New Roman"/>
          <w:sz w:val="22"/>
          <w:szCs w:val="22"/>
        </w:rPr>
      </w:pPr>
    </w:p>
    <w:p w:rsidRPr="003F350E" w:rsidR="003E187D" w:rsidP="00C0107A" w:rsidRDefault="003E187D" w14:paraId="08299F4E" w14:textId="03621519">
      <w:pPr>
        <w:pStyle w:val="ColorfulList-Accent11"/>
        <w:widowControl/>
        <w:numPr>
          <w:ilvl w:val="0"/>
          <w:numId w:val="4"/>
        </w:numPr>
        <w:tabs>
          <w:tab w:val="left" w:pos="288"/>
          <w:tab w:val="left" w:pos="720"/>
          <w:tab w:val="left" w:pos="1814"/>
          <w:tab w:val="left" w:pos="2494"/>
          <w:tab w:val="left" w:pos="3132"/>
          <w:tab w:val="left" w:pos="4006"/>
          <w:tab w:val="left" w:pos="4687"/>
          <w:tab w:val="left" w:pos="5443"/>
        </w:tabs>
        <w:spacing w:line="276" w:lineRule="auto"/>
        <w:ind w:left="734" w:hanging="547"/>
        <w:rPr>
          <w:rFonts w:ascii="Times New Roman" w:hAnsi="Times New Roman"/>
          <w:sz w:val="22"/>
          <w:szCs w:val="22"/>
        </w:rPr>
      </w:pPr>
      <w:r w:rsidRPr="003F350E">
        <w:rPr>
          <w:rFonts w:ascii="Times New Roman" w:hAnsi="Times New Roman"/>
          <w:sz w:val="22"/>
          <w:szCs w:val="22"/>
        </w:rPr>
        <w:t xml:space="preserve">Grantee Contact Information – This includes the name of the grantee as well as grant number, DUNS number, </w:t>
      </w:r>
      <w:r w:rsidRPr="003F350E" w:rsidR="00742E1D">
        <w:rPr>
          <w:rFonts w:ascii="Times New Roman" w:hAnsi="Times New Roman"/>
          <w:sz w:val="22"/>
          <w:szCs w:val="22"/>
        </w:rPr>
        <w:t xml:space="preserve">Recipient </w:t>
      </w:r>
      <w:r w:rsidRPr="003F350E">
        <w:rPr>
          <w:rFonts w:ascii="Times New Roman" w:hAnsi="Times New Roman"/>
          <w:sz w:val="22"/>
          <w:szCs w:val="22"/>
        </w:rPr>
        <w:t>address, and contact information of the person completing the report;</w:t>
      </w:r>
    </w:p>
    <w:p w:rsidRPr="003F350E" w:rsidR="003E187D" w:rsidP="00C0107A" w:rsidRDefault="003E187D" w14:paraId="3FD12BE8" w14:textId="77777777">
      <w:pPr>
        <w:pStyle w:val="ColorfulList-Accent11"/>
        <w:widowControl/>
        <w:numPr>
          <w:ilvl w:val="0"/>
          <w:numId w:val="4"/>
        </w:numPr>
        <w:tabs>
          <w:tab w:val="left" w:pos="288"/>
          <w:tab w:val="left" w:pos="720"/>
          <w:tab w:val="left" w:pos="1814"/>
          <w:tab w:val="left" w:pos="2494"/>
          <w:tab w:val="left" w:pos="3132"/>
          <w:tab w:val="left" w:pos="4006"/>
          <w:tab w:val="left" w:pos="4687"/>
          <w:tab w:val="left" w:pos="5443"/>
        </w:tabs>
        <w:spacing w:line="276" w:lineRule="auto"/>
        <w:ind w:left="734" w:hanging="547"/>
        <w:rPr>
          <w:rFonts w:ascii="Times New Roman" w:hAnsi="Times New Roman"/>
          <w:sz w:val="22"/>
          <w:szCs w:val="22"/>
        </w:rPr>
      </w:pPr>
      <w:r w:rsidRPr="003F350E">
        <w:rPr>
          <w:rFonts w:ascii="Times New Roman" w:hAnsi="Times New Roman"/>
          <w:sz w:val="22"/>
          <w:szCs w:val="22"/>
        </w:rPr>
        <w:t>Programmatic Summary Submission – This includes program administration such as ADAP program limits and federal poverty level eligibility requirements, as well as funding, expenditures, and medications on the ADAP formulary and cost saving strategies.</w:t>
      </w:r>
    </w:p>
    <w:p w:rsidRPr="003F350E" w:rsidR="003E187D" w:rsidP="003E187D" w:rsidRDefault="003E187D" w14:paraId="5604C4BD" w14:textId="7D43B6FA">
      <w:pPr>
        <w:pStyle w:val="ColorfulList-Accent11"/>
        <w:tabs>
          <w:tab w:val="left" w:pos="288"/>
          <w:tab w:val="left" w:pos="1058"/>
          <w:tab w:val="left" w:pos="1814"/>
          <w:tab w:val="left" w:pos="2494"/>
          <w:tab w:val="left" w:pos="3132"/>
          <w:tab w:val="left" w:pos="4006"/>
          <w:tab w:val="left" w:pos="4687"/>
          <w:tab w:val="left" w:pos="5443"/>
        </w:tabs>
        <w:ind w:left="3"/>
        <w:rPr>
          <w:rFonts w:ascii="Times New Roman" w:hAnsi="Times New Roman"/>
          <w:sz w:val="22"/>
          <w:szCs w:val="22"/>
        </w:rPr>
      </w:pPr>
    </w:p>
    <w:p w:rsidRPr="003F350E" w:rsidR="003E187D" w:rsidP="003E187D" w:rsidRDefault="008415EC" w14:paraId="2470CEA0" w14:textId="6DA85434">
      <w:pPr>
        <w:pStyle w:val="ColorfulList-Accent11"/>
        <w:tabs>
          <w:tab w:val="left" w:pos="288"/>
          <w:tab w:val="left" w:pos="1058"/>
          <w:tab w:val="left" w:pos="1814"/>
          <w:tab w:val="left" w:pos="2494"/>
          <w:tab w:val="left" w:pos="3132"/>
          <w:tab w:val="left" w:pos="4006"/>
          <w:tab w:val="left" w:pos="4687"/>
          <w:tab w:val="left" w:pos="5443"/>
        </w:tabs>
        <w:ind w:left="0"/>
        <w:rPr>
          <w:rFonts w:ascii="Times New Roman" w:hAnsi="Times New Roman"/>
          <w:sz w:val="22"/>
          <w:szCs w:val="22"/>
        </w:rPr>
      </w:pPr>
      <w:r>
        <w:rPr>
          <w:rFonts w:ascii="Times New Roman" w:hAnsi="Times New Roman"/>
          <w:sz w:val="22"/>
          <w:szCs w:val="22"/>
        </w:rPr>
        <w:t>Grant recipients</w:t>
      </w:r>
      <w:r w:rsidRPr="003F350E" w:rsidR="003E187D">
        <w:rPr>
          <w:rFonts w:ascii="Times New Roman" w:hAnsi="Times New Roman"/>
          <w:sz w:val="22"/>
          <w:szCs w:val="22"/>
        </w:rPr>
        <w:t xml:space="preserve"> report data on ADAP clients in the Client Report. A client is a patient who is determined to be eligible and enrolled in the ADAP.  Unlike the </w:t>
      </w:r>
      <w:r w:rsidRPr="003F350E" w:rsidR="000B13A0">
        <w:rPr>
          <w:rFonts w:ascii="Times New Roman" w:hAnsi="Times New Roman"/>
          <w:sz w:val="22"/>
          <w:szCs w:val="22"/>
        </w:rPr>
        <w:t>Recipient</w:t>
      </w:r>
      <w:r w:rsidRPr="003F350E" w:rsidR="003E187D">
        <w:rPr>
          <w:rFonts w:ascii="Times New Roman" w:hAnsi="Times New Roman"/>
          <w:sz w:val="22"/>
          <w:szCs w:val="22"/>
        </w:rPr>
        <w:t xml:space="preserve"> Report which reports data based on the grant year, the Client Report report</w:t>
      </w:r>
      <w:r w:rsidR="003A301B">
        <w:rPr>
          <w:rFonts w:ascii="Times New Roman" w:hAnsi="Times New Roman"/>
          <w:sz w:val="22"/>
          <w:szCs w:val="22"/>
        </w:rPr>
        <w:t>s</w:t>
      </w:r>
      <w:r w:rsidRPr="003F350E" w:rsidR="003E187D">
        <w:rPr>
          <w:rFonts w:ascii="Times New Roman" w:hAnsi="Times New Roman"/>
          <w:sz w:val="22"/>
          <w:szCs w:val="22"/>
        </w:rPr>
        <w:t xml:space="preserve"> client data based on the calendar year. Some data </w:t>
      </w:r>
      <w:r w:rsidR="003A301B">
        <w:rPr>
          <w:rFonts w:ascii="Times New Roman" w:hAnsi="Times New Roman"/>
          <w:sz w:val="22"/>
          <w:szCs w:val="22"/>
        </w:rPr>
        <w:t>i</w:t>
      </w:r>
      <w:r w:rsidRPr="000D19AE" w:rsidR="003A301B">
        <w:rPr>
          <w:rFonts w:ascii="Times New Roman" w:hAnsi="Times New Roman"/>
          <w:sz w:val="22"/>
          <w:szCs w:val="22"/>
        </w:rPr>
        <w:t>s</w:t>
      </w:r>
      <w:r w:rsidRPr="003F350E" w:rsidR="003E187D">
        <w:rPr>
          <w:rFonts w:ascii="Times New Roman" w:hAnsi="Times New Roman"/>
          <w:sz w:val="22"/>
          <w:szCs w:val="22"/>
        </w:rPr>
        <w:t xml:space="preserve"> required for all clients (i.e., demographic and enrollment information); additional data </w:t>
      </w:r>
      <w:r w:rsidR="003A301B">
        <w:rPr>
          <w:rFonts w:ascii="Times New Roman" w:hAnsi="Times New Roman"/>
          <w:sz w:val="22"/>
          <w:szCs w:val="22"/>
        </w:rPr>
        <w:t>is</w:t>
      </w:r>
      <w:r w:rsidR="000D19AE">
        <w:rPr>
          <w:rFonts w:ascii="Times New Roman" w:hAnsi="Times New Roman"/>
          <w:sz w:val="22"/>
          <w:szCs w:val="22"/>
        </w:rPr>
        <w:t xml:space="preserve"> </w:t>
      </w:r>
      <w:r w:rsidRPr="003F350E" w:rsidR="003E187D">
        <w:rPr>
          <w:rFonts w:ascii="Times New Roman" w:hAnsi="Times New Roman"/>
          <w:sz w:val="22"/>
          <w:szCs w:val="22"/>
        </w:rPr>
        <w:t xml:space="preserve">required for clients who received a </w:t>
      </w:r>
      <w:r w:rsidRPr="003F350E" w:rsidR="00E922B9">
        <w:rPr>
          <w:rFonts w:ascii="Times New Roman" w:hAnsi="Times New Roman"/>
          <w:sz w:val="22"/>
          <w:szCs w:val="22"/>
        </w:rPr>
        <w:t xml:space="preserve">particular </w:t>
      </w:r>
      <w:r w:rsidRPr="003F350E" w:rsidR="003E187D">
        <w:rPr>
          <w:rFonts w:ascii="Times New Roman" w:hAnsi="Times New Roman"/>
          <w:sz w:val="22"/>
          <w:szCs w:val="22"/>
        </w:rPr>
        <w:t>service (i.e.,</w:t>
      </w:r>
      <w:r w:rsidRPr="003F350E" w:rsidR="00E922B9">
        <w:rPr>
          <w:rFonts w:ascii="Times New Roman" w:hAnsi="Times New Roman"/>
          <w:sz w:val="22"/>
          <w:szCs w:val="22"/>
        </w:rPr>
        <w:t xml:space="preserve"> type of</w:t>
      </w:r>
      <w:r w:rsidRPr="003F350E" w:rsidR="003E187D">
        <w:rPr>
          <w:rFonts w:ascii="Times New Roman" w:hAnsi="Times New Roman"/>
          <w:sz w:val="22"/>
          <w:szCs w:val="22"/>
        </w:rPr>
        <w:t xml:space="preserve"> service, </w:t>
      </w:r>
      <w:r w:rsidRPr="003F350E" w:rsidR="00E922B9">
        <w:rPr>
          <w:rFonts w:ascii="Times New Roman" w:hAnsi="Times New Roman"/>
          <w:sz w:val="22"/>
          <w:szCs w:val="22"/>
        </w:rPr>
        <w:t>number of months,</w:t>
      </w:r>
      <w:r w:rsidRPr="003F350E" w:rsidR="003E187D">
        <w:rPr>
          <w:rFonts w:ascii="Times New Roman" w:hAnsi="Times New Roman"/>
          <w:sz w:val="22"/>
          <w:szCs w:val="22"/>
        </w:rPr>
        <w:t xml:space="preserve"> and cost information).  The Client Report consists of 3</w:t>
      </w:r>
      <w:r w:rsidRPr="003F350E" w:rsidR="00E922B9">
        <w:rPr>
          <w:rFonts w:ascii="Times New Roman" w:hAnsi="Times New Roman"/>
          <w:sz w:val="22"/>
          <w:szCs w:val="22"/>
        </w:rPr>
        <w:t>1</w:t>
      </w:r>
      <w:r w:rsidRPr="003F350E" w:rsidR="003E187D">
        <w:rPr>
          <w:rFonts w:ascii="Times New Roman" w:hAnsi="Times New Roman"/>
          <w:sz w:val="22"/>
          <w:szCs w:val="22"/>
        </w:rPr>
        <w:t xml:space="preserve"> items divided into five sections: </w:t>
      </w:r>
    </w:p>
    <w:p w:rsidRPr="003F350E" w:rsidR="00742E1D" w:rsidP="003E187D" w:rsidRDefault="00742E1D" w14:paraId="1685C0DB" w14:textId="77777777">
      <w:pPr>
        <w:pStyle w:val="ColorfulList-Accent11"/>
        <w:tabs>
          <w:tab w:val="left" w:pos="288"/>
          <w:tab w:val="left" w:pos="1058"/>
          <w:tab w:val="left" w:pos="1814"/>
          <w:tab w:val="left" w:pos="2494"/>
          <w:tab w:val="left" w:pos="3132"/>
          <w:tab w:val="left" w:pos="4006"/>
          <w:tab w:val="left" w:pos="4687"/>
          <w:tab w:val="left" w:pos="5443"/>
        </w:tabs>
        <w:ind w:left="0"/>
        <w:rPr>
          <w:rFonts w:ascii="Times New Roman" w:hAnsi="Times New Roman"/>
          <w:sz w:val="22"/>
          <w:szCs w:val="22"/>
        </w:rPr>
      </w:pPr>
    </w:p>
    <w:p w:rsidRPr="003F350E" w:rsidR="003E187D" w:rsidP="00C0107A" w:rsidRDefault="003E187D" w14:paraId="16B38B06" w14:textId="77560095">
      <w:pPr>
        <w:pStyle w:val="ColorfulList-Accent11"/>
        <w:widowControl/>
        <w:numPr>
          <w:ilvl w:val="0"/>
          <w:numId w:val="5"/>
        </w:numPr>
        <w:tabs>
          <w:tab w:val="left" w:pos="288"/>
          <w:tab w:val="left" w:pos="720"/>
          <w:tab w:val="left" w:pos="1814"/>
          <w:tab w:val="left" w:pos="2494"/>
          <w:tab w:val="left" w:pos="3132"/>
          <w:tab w:val="left" w:pos="4006"/>
          <w:tab w:val="left" w:pos="4687"/>
          <w:tab w:val="left" w:pos="5443"/>
        </w:tabs>
        <w:spacing w:line="276" w:lineRule="auto"/>
        <w:ind w:left="734" w:hanging="547"/>
        <w:rPr>
          <w:rFonts w:ascii="Times New Roman" w:hAnsi="Times New Roman"/>
          <w:sz w:val="22"/>
          <w:szCs w:val="22"/>
        </w:rPr>
      </w:pPr>
      <w:r w:rsidRPr="003F350E">
        <w:rPr>
          <w:rFonts w:ascii="Times New Roman" w:hAnsi="Times New Roman"/>
          <w:sz w:val="22"/>
          <w:szCs w:val="22"/>
        </w:rPr>
        <w:t>Client Demographics – This includes race, ethnicity, gender, and year of birth</w:t>
      </w:r>
      <w:r w:rsidRPr="003F350E" w:rsidR="00742E1D">
        <w:rPr>
          <w:rFonts w:ascii="Times New Roman" w:hAnsi="Times New Roman"/>
          <w:sz w:val="22"/>
          <w:szCs w:val="22"/>
        </w:rPr>
        <w:t>, HIV/AIDS status,</w:t>
      </w:r>
      <w:r w:rsidRPr="003F350E">
        <w:rPr>
          <w:rFonts w:ascii="Times New Roman" w:hAnsi="Times New Roman"/>
          <w:sz w:val="22"/>
          <w:szCs w:val="22"/>
        </w:rPr>
        <w:t xml:space="preserve"> poverty status, and health insurance coverage;</w:t>
      </w:r>
    </w:p>
    <w:p w:rsidRPr="003F350E" w:rsidR="003E187D" w:rsidP="00C0107A" w:rsidRDefault="003E187D" w14:paraId="081085F8" w14:textId="369BFD56">
      <w:pPr>
        <w:pStyle w:val="ColorfulList-Accent11"/>
        <w:widowControl/>
        <w:numPr>
          <w:ilvl w:val="0"/>
          <w:numId w:val="5"/>
        </w:numPr>
        <w:tabs>
          <w:tab w:val="left" w:pos="288"/>
          <w:tab w:val="left" w:pos="720"/>
          <w:tab w:val="left" w:pos="1814"/>
          <w:tab w:val="left" w:pos="2494"/>
          <w:tab w:val="left" w:pos="3132"/>
          <w:tab w:val="left" w:pos="4006"/>
          <w:tab w:val="left" w:pos="4687"/>
          <w:tab w:val="left" w:pos="5443"/>
        </w:tabs>
        <w:spacing w:line="276" w:lineRule="auto"/>
        <w:ind w:left="734" w:hanging="547"/>
        <w:rPr>
          <w:rFonts w:ascii="Times New Roman" w:hAnsi="Times New Roman"/>
          <w:sz w:val="22"/>
          <w:szCs w:val="22"/>
        </w:rPr>
      </w:pPr>
      <w:r w:rsidRPr="003F350E">
        <w:rPr>
          <w:rFonts w:ascii="Times New Roman" w:hAnsi="Times New Roman"/>
          <w:sz w:val="22"/>
          <w:szCs w:val="22"/>
        </w:rPr>
        <w:t xml:space="preserve">Enrollment and Certification – For new clients, ADAPs </w:t>
      </w:r>
      <w:r w:rsidR="003A301B">
        <w:rPr>
          <w:rFonts w:ascii="Times New Roman" w:hAnsi="Times New Roman"/>
          <w:sz w:val="22"/>
          <w:szCs w:val="22"/>
        </w:rPr>
        <w:t xml:space="preserve">are </w:t>
      </w:r>
      <w:r w:rsidRPr="003F350E">
        <w:rPr>
          <w:rFonts w:ascii="Times New Roman" w:hAnsi="Times New Roman"/>
          <w:sz w:val="22"/>
          <w:szCs w:val="22"/>
        </w:rPr>
        <w:t xml:space="preserve">required to report application date, approval date and date of first service. For all clients (both new and existing), the dates that clients were determined to be eligible to continue to receive ADAP services, client’s enrollment status as of the end of the reporting period and reason(s) for disenrollment (if applicable) </w:t>
      </w:r>
      <w:r w:rsidR="003A301B">
        <w:rPr>
          <w:rFonts w:ascii="Times New Roman" w:hAnsi="Times New Roman"/>
          <w:sz w:val="22"/>
          <w:szCs w:val="22"/>
        </w:rPr>
        <w:t>are</w:t>
      </w:r>
      <w:r w:rsidRPr="003F350E">
        <w:rPr>
          <w:rFonts w:ascii="Times New Roman" w:hAnsi="Times New Roman"/>
          <w:sz w:val="22"/>
          <w:szCs w:val="22"/>
        </w:rPr>
        <w:t xml:space="preserve"> required to be reported;</w:t>
      </w:r>
    </w:p>
    <w:p w:rsidRPr="003F350E" w:rsidR="003E187D" w:rsidP="00C0107A" w:rsidRDefault="003E187D" w14:paraId="7CF021AE" w14:textId="1952A170">
      <w:pPr>
        <w:pStyle w:val="ColorfulList-Accent11"/>
        <w:widowControl/>
        <w:numPr>
          <w:ilvl w:val="0"/>
          <w:numId w:val="5"/>
        </w:numPr>
        <w:tabs>
          <w:tab w:val="left" w:pos="288"/>
          <w:tab w:val="left" w:pos="720"/>
          <w:tab w:val="left" w:pos="1814"/>
          <w:tab w:val="left" w:pos="2494"/>
          <w:tab w:val="left" w:pos="3132"/>
          <w:tab w:val="left" w:pos="4006"/>
          <w:tab w:val="left" w:pos="4687"/>
          <w:tab w:val="left" w:pos="5443"/>
        </w:tabs>
        <w:spacing w:line="276" w:lineRule="auto"/>
        <w:ind w:left="734" w:hanging="547"/>
        <w:rPr>
          <w:rFonts w:ascii="Times New Roman" w:hAnsi="Times New Roman"/>
          <w:sz w:val="22"/>
          <w:szCs w:val="22"/>
        </w:rPr>
      </w:pPr>
      <w:r w:rsidRPr="003F350E">
        <w:rPr>
          <w:rFonts w:ascii="Times New Roman" w:hAnsi="Times New Roman"/>
          <w:sz w:val="22"/>
          <w:szCs w:val="22"/>
        </w:rPr>
        <w:t xml:space="preserve">ADAP </w:t>
      </w:r>
      <w:r w:rsidRPr="003F350E" w:rsidR="00CE0085">
        <w:rPr>
          <w:rFonts w:ascii="Times New Roman" w:hAnsi="Times New Roman"/>
          <w:sz w:val="22"/>
          <w:szCs w:val="22"/>
        </w:rPr>
        <w:t>Health Insurance Services</w:t>
      </w:r>
      <w:r w:rsidRPr="003F350E">
        <w:rPr>
          <w:rFonts w:ascii="Times New Roman" w:hAnsi="Times New Roman"/>
          <w:sz w:val="22"/>
          <w:szCs w:val="22"/>
        </w:rPr>
        <w:t xml:space="preserve"> – For clients receiving ADAP-funded insurance services, type of ADAP-funded insurance assistance, total insurance premium paid and number of months this payment covered, and total deductible and copays, </w:t>
      </w:r>
      <w:r w:rsidR="003A301B">
        <w:rPr>
          <w:rFonts w:ascii="Times New Roman" w:hAnsi="Times New Roman"/>
          <w:sz w:val="22"/>
          <w:szCs w:val="22"/>
        </w:rPr>
        <w:t xml:space="preserve">are </w:t>
      </w:r>
      <w:r w:rsidRPr="003F350E">
        <w:rPr>
          <w:rFonts w:ascii="Times New Roman" w:hAnsi="Times New Roman"/>
          <w:sz w:val="22"/>
          <w:szCs w:val="22"/>
        </w:rPr>
        <w:t>required to be reported in this section;</w:t>
      </w:r>
    </w:p>
    <w:p w:rsidRPr="003F350E" w:rsidR="003E187D" w:rsidP="00C0107A" w:rsidRDefault="00CE0085" w14:paraId="23490A75" w14:textId="12080D52">
      <w:pPr>
        <w:pStyle w:val="ColorfulList-Accent11"/>
        <w:widowControl/>
        <w:numPr>
          <w:ilvl w:val="0"/>
          <w:numId w:val="5"/>
        </w:numPr>
        <w:tabs>
          <w:tab w:val="left" w:pos="288"/>
          <w:tab w:val="left" w:pos="720"/>
          <w:tab w:val="left" w:pos="1814"/>
          <w:tab w:val="left" w:pos="2494"/>
          <w:tab w:val="left" w:pos="3132"/>
          <w:tab w:val="left" w:pos="4006"/>
          <w:tab w:val="left" w:pos="4687"/>
          <w:tab w:val="left" w:pos="5443"/>
        </w:tabs>
        <w:spacing w:line="276" w:lineRule="auto"/>
        <w:ind w:left="734" w:hanging="547"/>
        <w:rPr>
          <w:rFonts w:ascii="Times New Roman" w:hAnsi="Times New Roman"/>
          <w:sz w:val="22"/>
          <w:szCs w:val="22"/>
        </w:rPr>
      </w:pPr>
      <w:r w:rsidRPr="003F350E">
        <w:rPr>
          <w:rFonts w:ascii="Times New Roman" w:hAnsi="Times New Roman"/>
          <w:sz w:val="22"/>
          <w:szCs w:val="22"/>
        </w:rPr>
        <w:t>Medication Assistance Services</w:t>
      </w:r>
      <w:r w:rsidRPr="003F350E" w:rsidR="003E187D">
        <w:rPr>
          <w:rFonts w:ascii="Times New Roman" w:hAnsi="Times New Roman"/>
          <w:sz w:val="22"/>
          <w:szCs w:val="22"/>
        </w:rPr>
        <w:t xml:space="preserve"> – The </w:t>
      </w:r>
      <w:r w:rsidRPr="003F350E" w:rsidR="00E922B9">
        <w:rPr>
          <w:rFonts w:ascii="Times New Roman" w:hAnsi="Times New Roman"/>
          <w:sz w:val="22"/>
          <w:szCs w:val="22"/>
        </w:rPr>
        <w:t>national</w:t>
      </w:r>
      <w:r w:rsidRPr="003F350E" w:rsidR="003E187D">
        <w:rPr>
          <w:rFonts w:ascii="Times New Roman" w:hAnsi="Times New Roman"/>
          <w:sz w:val="22"/>
          <w:szCs w:val="22"/>
        </w:rPr>
        <w:t xml:space="preserve"> drug code</w:t>
      </w:r>
      <w:r w:rsidRPr="003F350E" w:rsidR="00E922B9">
        <w:rPr>
          <w:rFonts w:ascii="Times New Roman" w:hAnsi="Times New Roman"/>
          <w:sz w:val="22"/>
          <w:szCs w:val="22"/>
        </w:rPr>
        <w:t xml:space="preserve"> and costs</w:t>
      </w:r>
      <w:r w:rsidRPr="003F350E" w:rsidR="003E187D">
        <w:rPr>
          <w:rFonts w:ascii="Times New Roman" w:hAnsi="Times New Roman"/>
          <w:sz w:val="22"/>
          <w:szCs w:val="22"/>
        </w:rPr>
        <w:t xml:space="preserve"> </w:t>
      </w:r>
      <w:r w:rsidR="003A301B">
        <w:rPr>
          <w:rFonts w:ascii="Times New Roman" w:hAnsi="Times New Roman"/>
          <w:sz w:val="22"/>
          <w:szCs w:val="22"/>
        </w:rPr>
        <w:t xml:space="preserve">are </w:t>
      </w:r>
      <w:r w:rsidRPr="003F350E" w:rsidR="003E187D">
        <w:rPr>
          <w:rFonts w:ascii="Times New Roman" w:hAnsi="Times New Roman"/>
          <w:sz w:val="22"/>
          <w:szCs w:val="22"/>
        </w:rPr>
        <w:t>reported for all clients for whom an ADAP-funded medication was dispensed during the reporting period</w:t>
      </w:r>
      <w:r w:rsidRPr="003F350E" w:rsidR="00C86ADE">
        <w:rPr>
          <w:rFonts w:ascii="Times New Roman" w:hAnsi="Times New Roman"/>
          <w:sz w:val="22"/>
          <w:szCs w:val="22"/>
        </w:rPr>
        <w:t>.</w:t>
      </w:r>
    </w:p>
    <w:p w:rsidRPr="003F350E" w:rsidR="00E922B9" w:rsidP="00E922B9" w:rsidRDefault="00E922B9" w14:paraId="08C59F6E" w14:textId="77777777">
      <w:pPr>
        <w:pStyle w:val="ColorfulList-Accent11"/>
        <w:widowControl/>
        <w:numPr>
          <w:ilvl w:val="0"/>
          <w:numId w:val="5"/>
        </w:numPr>
        <w:tabs>
          <w:tab w:val="left" w:pos="288"/>
          <w:tab w:val="left" w:pos="720"/>
          <w:tab w:val="left" w:pos="1814"/>
          <w:tab w:val="left" w:pos="2494"/>
          <w:tab w:val="left" w:pos="3132"/>
          <w:tab w:val="left" w:pos="4006"/>
          <w:tab w:val="left" w:pos="4687"/>
          <w:tab w:val="left" w:pos="5443"/>
        </w:tabs>
        <w:spacing w:line="276" w:lineRule="auto"/>
        <w:ind w:left="734" w:hanging="547"/>
        <w:rPr>
          <w:rFonts w:ascii="Times New Roman" w:hAnsi="Times New Roman"/>
          <w:sz w:val="22"/>
          <w:szCs w:val="22"/>
        </w:rPr>
      </w:pPr>
      <w:r w:rsidRPr="003F350E">
        <w:rPr>
          <w:rFonts w:ascii="Times New Roman" w:hAnsi="Times New Roman"/>
          <w:sz w:val="22"/>
          <w:szCs w:val="22"/>
        </w:rPr>
        <w:t>Clinical Information – This includes the most recent CD4 and viral load counts, including the dates on which the blood tests were completed;</w:t>
      </w:r>
    </w:p>
    <w:p w:rsidRPr="003F350E" w:rsidR="003E187D" w:rsidP="00A66DE6" w:rsidRDefault="003E187D" w14:paraId="29CF7ED8" w14:textId="77777777">
      <w:pPr>
        <w:pStyle w:val="ColorfulList-Accent11"/>
        <w:tabs>
          <w:tab w:val="left" w:pos="288"/>
          <w:tab w:val="left" w:pos="1058"/>
          <w:tab w:val="left" w:pos="1814"/>
          <w:tab w:val="left" w:pos="2494"/>
          <w:tab w:val="left" w:pos="3132"/>
          <w:tab w:val="left" w:pos="4006"/>
          <w:tab w:val="left" w:pos="4687"/>
          <w:tab w:val="left" w:pos="5443"/>
        </w:tabs>
        <w:ind w:left="0"/>
        <w:rPr>
          <w:rFonts w:ascii="Times New Roman" w:hAnsi="Times New Roman"/>
          <w:sz w:val="22"/>
          <w:szCs w:val="22"/>
        </w:rPr>
      </w:pPr>
    </w:p>
    <w:p w:rsidRPr="003F350E" w:rsidR="003E187D" w:rsidP="003E187D" w:rsidRDefault="003E187D" w14:paraId="116AB904" w14:textId="37CC2FF7">
      <w:pPr>
        <w:pStyle w:val="ColorfulList-Accent11"/>
        <w:tabs>
          <w:tab w:val="left" w:pos="288"/>
          <w:tab w:val="left" w:pos="1058"/>
          <w:tab w:val="left" w:pos="1814"/>
          <w:tab w:val="left" w:pos="2494"/>
          <w:tab w:val="left" w:pos="3132"/>
          <w:tab w:val="left" w:pos="4006"/>
          <w:tab w:val="left" w:pos="4687"/>
          <w:tab w:val="left" w:pos="5443"/>
        </w:tabs>
        <w:ind w:left="0"/>
        <w:rPr>
          <w:rFonts w:ascii="Times New Roman" w:hAnsi="Times New Roman"/>
          <w:sz w:val="22"/>
          <w:szCs w:val="22"/>
        </w:rPr>
      </w:pPr>
      <w:r w:rsidRPr="003F350E">
        <w:rPr>
          <w:rFonts w:ascii="Times New Roman" w:hAnsi="Times New Roman"/>
          <w:sz w:val="22"/>
          <w:szCs w:val="22"/>
        </w:rPr>
        <w:t xml:space="preserve">The </w:t>
      </w:r>
      <w:r w:rsidR="008415EC">
        <w:rPr>
          <w:rFonts w:ascii="Times New Roman" w:hAnsi="Times New Roman"/>
          <w:sz w:val="22"/>
          <w:szCs w:val="22"/>
        </w:rPr>
        <w:t>c</w:t>
      </w:r>
      <w:r w:rsidRPr="003F350E">
        <w:rPr>
          <w:rFonts w:ascii="Times New Roman" w:hAnsi="Times New Roman"/>
          <w:sz w:val="22"/>
          <w:szCs w:val="22"/>
        </w:rPr>
        <w:t>lient-level data requested in the ADR enable HRSA to effectively respond to requests from the Secretary of DHHS, Congress and other stakeholders as well as monitor performance measures</w:t>
      </w:r>
      <w:r w:rsidR="00D52997">
        <w:rPr>
          <w:rFonts w:ascii="Times New Roman" w:hAnsi="Times New Roman"/>
          <w:sz w:val="22"/>
          <w:szCs w:val="22"/>
        </w:rPr>
        <w:t xml:space="preserve"> and </w:t>
      </w:r>
      <w:r w:rsidRPr="003F350E">
        <w:rPr>
          <w:rFonts w:ascii="Times New Roman" w:hAnsi="Times New Roman"/>
          <w:sz w:val="22"/>
          <w:szCs w:val="22"/>
        </w:rPr>
        <w:t xml:space="preserve"> NHAS implementation. The ADR Client Report variables are consistent with the variables in its other client-level data reporting system, the RSR. Ensuring</w:t>
      </w:r>
      <w:r w:rsidR="008415EC">
        <w:rPr>
          <w:rFonts w:ascii="Times New Roman" w:hAnsi="Times New Roman"/>
          <w:sz w:val="22"/>
          <w:szCs w:val="22"/>
        </w:rPr>
        <w:t xml:space="preserve"> that</w:t>
      </w:r>
      <w:r w:rsidRPr="003F350E">
        <w:rPr>
          <w:rFonts w:ascii="Times New Roman" w:hAnsi="Times New Roman"/>
          <w:sz w:val="22"/>
          <w:szCs w:val="22"/>
        </w:rPr>
        <w:t xml:space="preserve"> these </w:t>
      </w:r>
      <w:r w:rsidR="008415EC">
        <w:rPr>
          <w:rFonts w:ascii="Times New Roman" w:hAnsi="Times New Roman"/>
          <w:sz w:val="22"/>
          <w:szCs w:val="22"/>
        </w:rPr>
        <w:t xml:space="preserve">data collections </w:t>
      </w:r>
      <w:r w:rsidRPr="003F350E">
        <w:rPr>
          <w:rFonts w:ascii="Times New Roman" w:hAnsi="Times New Roman"/>
          <w:sz w:val="22"/>
          <w:szCs w:val="22"/>
        </w:rPr>
        <w:t>are complementary enables HRSA to comprehensively fulfill its responsibilities in the administration of grant funds, the allocation of funds, the evaluation of programs for the population served, and the improvement of the quantity and quality of care</w:t>
      </w:r>
      <w:r w:rsidRPr="0046221A" w:rsidR="008415EC">
        <w:rPr>
          <w:rStyle w:val="FootnoteReference"/>
          <w:rFonts w:ascii="Times New Roman" w:hAnsi="Times New Roman"/>
          <w:sz w:val="22"/>
          <w:szCs w:val="22"/>
          <w:vertAlign w:val="superscript"/>
        </w:rPr>
        <w:footnoteReference w:id="2"/>
      </w:r>
      <w:r w:rsidRPr="003F350E">
        <w:rPr>
          <w:rFonts w:ascii="Times New Roman" w:hAnsi="Times New Roman"/>
          <w:sz w:val="22"/>
          <w:szCs w:val="22"/>
        </w:rPr>
        <w:t>. Each year, HRSA generate</w:t>
      </w:r>
      <w:r w:rsidR="003A301B">
        <w:rPr>
          <w:rFonts w:ascii="Times New Roman" w:hAnsi="Times New Roman"/>
          <w:sz w:val="22"/>
          <w:szCs w:val="22"/>
        </w:rPr>
        <w:t>s</w:t>
      </w:r>
      <w:r w:rsidRPr="003F350E">
        <w:rPr>
          <w:rFonts w:ascii="Times New Roman" w:hAnsi="Times New Roman"/>
          <w:sz w:val="22"/>
          <w:szCs w:val="22"/>
        </w:rPr>
        <w:t xml:space="preserve"> descriptive reports about the uses of funds and conduct detailed analyses of national and regional information about clients and services.  Grant</w:t>
      </w:r>
      <w:r w:rsidR="008415EC">
        <w:rPr>
          <w:rFonts w:ascii="Times New Roman" w:hAnsi="Times New Roman"/>
          <w:sz w:val="22"/>
          <w:szCs w:val="22"/>
        </w:rPr>
        <w:t xml:space="preserve"> recipients</w:t>
      </w:r>
      <w:r w:rsidRPr="003F350E">
        <w:rPr>
          <w:rFonts w:ascii="Times New Roman" w:hAnsi="Times New Roman"/>
          <w:sz w:val="22"/>
          <w:szCs w:val="22"/>
        </w:rPr>
        <w:t xml:space="preserve"> may also generate descriptive reports and conduct analyses for internal use or for use by local planning groups.  HRSA has several resources in place to help grant</w:t>
      </w:r>
      <w:r w:rsidR="008415EC">
        <w:rPr>
          <w:rFonts w:ascii="Times New Roman" w:hAnsi="Times New Roman"/>
          <w:sz w:val="22"/>
          <w:szCs w:val="22"/>
        </w:rPr>
        <w:t xml:space="preserve"> recipients</w:t>
      </w:r>
      <w:r w:rsidRPr="003F350E">
        <w:rPr>
          <w:rFonts w:ascii="Times New Roman" w:hAnsi="Times New Roman"/>
          <w:sz w:val="22"/>
          <w:szCs w:val="22"/>
        </w:rPr>
        <w:t xml:space="preserve"> use data to improve program performance.</w:t>
      </w:r>
    </w:p>
    <w:p w:rsidRPr="003F350E" w:rsidR="003E187D" w:rsidP="003E187D" w:rsidRDefault="003E187D" w14:paraId="32404D9F" w14:textId="77777777">
      <w:pPr>
        <w:rPr>
          <w:sz w:val="22"/>
          <w:szCs w:val="22"/>
        </w:rPr>
      </w:pPr>
    </w:p>
    <w:p w:rsidRPr="003F350E" w:rsidR="003E187D" w:rsidP="000238F6" w:rsidRDefault="003E187D" w14:paraId="31337E22" w14:textId="633CC871">
      <w:pPr>
        <w:pStyle w:val="ColorfulList-Accent11"/>
        <w:ind w:left="0"/>
        <w:rPr>
          <w:rFonts w:ascii="Times New Roman" w:hAnsi="Times New Roman"/>
          <w:sz w:val="22"/>
          <w:szCs w:val="22"/>
        </w:rPr>
      </w:pPr>
      <w:r w:rsidRPr="003F350E">
        <w:rPr>
          <w:rFonts w:ascii="Times New Roman" w:hAnsi="Times New Roman"/>
          <w:sz w:val="22"/>
          <w:szCs w:val="22"/>
        </w:rPr>
        <w:t>As previously noted, client-level data is necessary to ensure that HRSA can respond to requests from Congress and other stakeholders.  HRSA also requires data to demonstrate the need for funding requests; monitor use of HRSA funds; ensure adherence to grant requirements; assess the impact of services funded by the RWH</w:t>
      </w:r>
      <w:r w:rsidR="008415EC">
        <w:rPr>
          <w:rFonts w:ascii="Times New Roman" w:hAnsi="Times New Roman"/>
          <w:sz w:val="22"/>
          <w:szCs w:val="22"/>
        </w:rPr>
        <w:t>A</w:t>
      </w:r>
      <w:r w:rsidRPr="003F350E">
        <w:rPr>
          <w:rFonts w:ascii="Times New Roman" w:hAnsi="Times New Roman"/>
          <w:sz w:val="22"/>
          <w:szCs w:val="22"/>
        </w:rPr>
        <w:t>P; and appraise the performance of funded programs</w:t>
      </w:r>
      <w:r w:rsidR="008415EC">
        <w:rPr>
          <w:rFonts w:ascii="Times New Roman" w:hAnsi="Times New Roman"/>
          <w:sz w:val="22"/>
          <w:szCs w:val="22"/>
        </w:rPr>
        <w:t>, including the RWHAP and EHE</w:t>
      </w:r>
      <w:r w:rsidR="008F3881">
        <w:rPr>
          <w:rFonts w:ascii="Times New Roman" w:hAnsi="Times New Roman"/>
          <w:sz w:val="22"/>
          <w:szCs w:val="22"/>
        </w:rPr>
        <w:t xml:space="preserve"> Initiative</w:t>
      </w:r>
      <w:r w:rsidR="008415EC">
        <w:rPr>
          <w:rFonts w:ascii="Times New Roman" w:hAnsi="Times New Roman"/>
          <w:sz w:val="22"/>
          <w:szCs w:val="22"/>
        </w:rPr>
        <w:t>.</w:t>
      </w:r>
    </w:p>
    <w:bookmarkEnd w:id="1"/>
    <w:p w:rsidRPr="003F350E" w:rsidR="008F6ABC" w:rsidP="00C0107A" w:rsidRDefault="009B3794" w14:paraId="45F4B195" w14:textId="7B9613DD">
      <w:pPr>
        <w:numPr>
          <w:ilvl w:val="0"/>
          <w:numId w:val="1"/>
        </w:numPr>
        <w:spacing w:before="240"/>
        <w:rPr>
          <w:b/>
          <w:sz w:val="22"/>
          <w:szCs w:val="22"/>
        </w:rPr>
      </w:pPr>
      <w:r w:rsidRPr="003F350E">
        <w:rPr>
          <w:b/>
          <w:sz w:val="22"/>
          <w:szCs w:val="22"/>
          <w:u w:val="single"/>
        </w:rPr>
        <w:t>Use of Improved Information Technology</w:t>
      </w:r>
      <w:r w:rsidRPr="003F350E" w:rsidR="008841EE">
        <w:rPr>
          <w:b/>
          <w:sz w:val="22"/>
          <w:szCs w:val="22"/>
          <w:u w:val="single"/>
        </w:rPr>
        <w:t xml:space="preserve"> and Burden Reduction</w:t>
      </w:r>
    </w:p>
    <w:p w:rsidR="000B45BA" w:rsidP="008F6ABC" w:rsidRDefault="000B45BA" w14:paraId="574D744C" w14:textId="0CEA2FF8">
      <w:pPr>
        <w:spacing w:before="240"/>
        <w:rPr>
          <w:rFonts w:eastAsia="Calibri"/>
          <w:sz w:val="22"/>
          <w:szCs w:val="22"/>
        </w:rPr>
      </w:pPr>
      <w:r w:rsidRPr="003F350E">
        <w:rPr>
          <w:sz w:val="22"/>
          <w:szCs w:val="22"/>
        </w:rPr>
        <w:t xml:space="preserve">The </w:t>
      </w:r>
      <w:r w:rsidRPr="003F350E" w:rsidR="008841EE">
        <w:rPr>
          <w:sz w:val="22"/>
          <w:szCs w:val="22"/>
        </w:rPr>
        <w:t>ADAP</w:t>
      </w:r>
      <w:r w:rsidRPr="003F350E">
        <w:rPr>
          <w:sz w:val="22"/>
          <w:szCs w:val="22"/>
        </w:rPr>
        <w:t xml:space="preserve"> </w:t>
      </w:r>
      <w:r w:rsidRPr="003F350E" w:rsidR="001626D0">
        <w:rPr>
          <w:sz w:val="22"/>
          <w:szCs w:val="22"/>
        </w:rPr>
        <w:t>M</w:t>
      </w:r>
      <w:r w:rsidRPr="003F350E">
        <w:rPr>
          <w:sz w:val="22"/>
          <w:szCs w:val="22"/>
        </w:rPr>
        <w:t>odule is housed in the Electronic Handbooks (EHBs), an existing web</w:t>
      </w:r>
      <w:r w:rsidR="008F3881">
        <w:rPr>
          <w:sz w:val="22"/>
          <w:szCs w:val="22"/>
        </w:rPr>
        <w:t xml:space="preserve"> system</w:t>
      </w:r>
      <w:r w:rsidRPr="003F350E">
        <w:rPr>
          <w:sz w:val="22"/>
          <w:szCs w:val="22"/>
        </w:rPr>
        <w:t xml:space="preserve"> for recipients to enter other data required for </w:t>
      </w:r>
      <w:r w:rsidRPr="003F350E" w:rsidR="001626D0">
        <w:rPr>
          <w:sz w:val="22"/>
          <w:szCs w:val="22"/>
        </w:rPr>
        <w:t>RWHAP</w:t>
      </w:r>
      <w:r w:rsidRPr="003F350E">
        <w:rPr>
          <w:sz w:val="22"/>
          <w:szCs w:val="22"/>
        </w:rPr>
        <w:t>-</w:t>
      </w:r>
      <w:r w:rsidR="008F3881">
        <w:rPr>
          <w:sz w:val="22"/>
          <w:szCs w:val="22"/>
        </w:rPr>
        <w:t xml:space="preserve"> and EHE-</w:t>
      </w:r>
      <w:r w:rsidRPr="003F350E">
        <w:rPr>
          <w:sz w:val="22"/>
          <w:szCs w:val="22"/>
        </w:rPr>
        <w:t xml:space="preserve">funded agencies, such as the Ryan White Services Report (RSR). Users must obtain or learn this technology for other </w:t>
      </w:r>
      <w:r w:rsidRPr="003F350E" w:rsidR="001626D0">
        <w:rPr>
          <w:sz w:val="22"/>
          <w:szCs w:val="22"/>
        </w:rPr>
        <w:t>RWHAP</w:t>
      </w:r>
      <w:r w:rsidRPr="003F350E">
        <w:rPr>
          <w:sz w:val="22"/>
          <w:szCs w:val="22"/>
        </w:rPr>
        <w:t xml:space="preserve"> purposes </w:t>
      </w:r>
      <w:r w:rsidRPr="003F350E" w:rsidR="00A5782C">
        <w:rPr>
          <w:sz w:val="22"/>
          <w:szCs w:val="22"/>
        </w:rPr>
        <w:t xml:space="preserve">beyond the </w:t>
      </w:r>
      <w:r w:rsidRPr="003F350E">
        <w:rPr>
          <w:sz w:val="22"/>
          <w:szCs w:val="22"/>
        </w:rPr>
        <w:t>use of the</w:t>
      </w:r>
      <w:r w:rsidRPr="003F350E" w:rsidR="008841EE">
        <w:rPr>
          <w:sz w:val="22"/>
          <w:szCs w:val="22"/>
        </w:rPr>
        <w:t xml:space="preserve"> ADAP </w:t>
      </w:r>
      <w:r w:rsidRPr="003F350E" w:rsidR="001626D0">
        <w:rPr>
          <w:sz w:val="22"/>
          <w:szCs w:val="22"/>
        </w:rPr>
        <w:t>M</w:t>
      </w:r>
      <w:r w:rsidRPr="003F350E">
        <w:rPr>
          <w:sz w:val="22"/>
          <w:szCs w:val="22"/>
        </w:rPr>
        <w:t>odule.</w:t>
      </w:r>
      <w:r w:rsidRPr="003F350E" w:rsidR="00575CBB">
        <w:rPr>
          <w:sz w:val="22"/>
          <w:szCs w:val="22"/>
        </w:rPr>
        <w:t xml:space="preserve"> </w:t>
      </w:r>
      <w:r w:rsidRPr="003F350E" w:rsidR="0042392C">
        <w:rPr>
          <w:rFonts w:eastAsia="Calibri"/>
          <w:sz w:val="22"/>
          <w:szCs w:val="22"/>
        </w:rPr>
        <w:t xml:space="preserve">The EHBs </w:t>
      </w:r>
      <w:r w:rsidR="008F3881">
        <w:rPr>
          <w:rFonts w:eastAsia="Calibri"/>
          <w:sz w:val="22"/>
          <w:szCs w:val="22"/>
        </w:rPr>
        <w:t xml:space="preserve">system </w:t>
      </w:r>
      <w:r w:rsidRPr="003F350E" w:rsidR="0042392C">
        <w:rPr>
          <w:rFonts w:eastAsia="Calibri"/>
          <w:sz w:val="22"/>
          <w:szCs w:val="22"/>
        </w:rPr>
        <w:t xml:space="preserve">also allows for some information to pre-populate, particularly organization details, while other data </w:t>
      </w:r>
      <w:r w:rsidR="008F3881">
        <w:rPr>
          <w:rFonts w:eastAsia="Calibri"/>
          <w:sz w:val="22"/>
          <w:szCs w:val="22"/>
        </w:rPr>
        <w:t>are</w:t>
      </w:r>
      <w:r w:rsidRPr="003F350E" w:rsidR="0042392C">
        <w:rPr>
          <w:rFonts w:eastAsia="Calibri"/>
          <w:sz w:val="22"/>
          <w:szCs w:val="22"/>
        </w:rPr>
        <w:t xml:space="preserve"> stored and saved for the next data collection so that users can easily update or change their data.</w:t>
      </w:r>
    </w:p>
    <w:p w:rsidRPr="003F350E" w:rsidR="000D19AE" w:rsidP="008F6ABC" w:rsidRDefault="000D19AE" w14:paraId="0F3F082D" w14:textId="77777777">
      <w:pPr>
        <w:spacing w:before="240"/>
        <w:rPr>
          <w:rFonts w:eastAsia="Calibri"/>
          <w:sz w:val="22"/>
          <w:szCs w:val="22"/>
        </w:rPr>
      </w:pPr>
    </w:p>
    <w:p w:rsidRPr="003F350E" w:rsidR="000B13A0" w:rsidP="003F350E" w:rsidRDefault="009B3794" w14:paraId="0D9A8165" w14:textId="741F4258">
      <w:pPr>
        <w:numPr>
          <w:ilvl w:val="0"/>
          <w:numId w:val="1"/>
        </w:numPr>
        <w:spacing w:before="240"/>
        <w:rPr>
          <w:b/>
          <w:sz w:val="22"/>
          <w:szCs w:val="22"/>
        </w:rPr>
      </w:pPr>
      <w:r w:rsidRPr="003F350E">
        <w:rPr>
          <w:b/>
          <w:sz w:val="22"/>
          <w:szCs w:val="22"/>
          <w:u w:val="single"/>
        </w:rPr>
        <w:t xml:space="preserve">Efforts to </w:t>
      </w:r>
      <w:r w:rsidRPr="003F350E" w:rsidR="009E7063">
        <w:rPr>
          <w:b/>
          <w:sz w:val="22"/>
          <w:szCs w:val="22"/>
          <w:u w:val="single"/>
        </w:rPr>
        <w:t>Avoid</w:t>
      </w:r>
      <w:r w:rsidRPr="003F350E">
        <w:rPr>
          <w:b/>
          <w:sz w:val="22"/>
          <w:szCs w:val="22"/>
          <w:u w:val="single"/>
        </w:rPr>
        <w:t xml:space="preserve"> Duplication</w:t>
      </w:r>
      <w:r w:rsidRPr="003F350E" w:rsidR="0042392C">
        <w:rPr>
          <w:b/>
          <w:sz w:val="22"/>
          <w:szCs w:val="22"/>
          <w:u w:val="single"/>
        </w:rPr>
        <w:t xml:space="preserve"> and Use of Similar Information</w:t>
      </w:r>
    </w:p>
    <w:p w:rsidR="008F3881" w:rsidP="003F350E" w:rsidRDefault="008F3881" w14:paraId="5333382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2"/>
          <w:szCs w:val="22"/>
        </w:rPr>
      </w:pPr>
    </w:p>
    <w:p w:rsidRPr="003F350E" w:rsidR="0003279E" w:rsidP="003F350E" w:rsidRDefault="00BC6596" w14:paraId="60249B53" w14:textId="21F110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3F350E">
        <w:rPr>
          <w:rStyle w:val="BodyTextFi"/>
          <w:sz w:val="22"/>
          <w:szCs w:val="22"/>
        </w:rPr>
        <w:t>Data of the type required to evaluate or monitor the HRSA RWHAP Part</w:t>
      </w:r>
      <w:r w:rsidRPr="003F350E" w:rsidR="000B13A0">
        <w:rPr>
          <w:rStyle w:val="BodyTextFi"/>
          <w:sz w:val="22"/>
          <w:szCs w:val="22"/>
        </w:rPr>
        <w:t xml:space="preserve"> B</w:t>
      </w:r>
      <w:r w:rsidRPr="003F350E">
        <w:rPr>
          <w:rStyle w:val="BodyTextFi"/>
          <w:sz w:val="22"/>
          <w:szCs w:val="22"/>
        </w:rPr>
        <w:t xml:space="preserve"> </w:t>
      </w:r>
      <w:r w:rsidRPr="003F350E" w:rsidR="000B13A0">
        <w:rPr>
          <w:rStyle w:val="BodyTextFi"/>
          <w:sz w:val="22"/>
          <w:szCs w:val="22"/>
        </w:rPr>
        <w:t>is</w:t>
      </w:r>
      <w:r w:rsidRPr="003F350E">
        <w:rPr>
          <w:rStyle w:val="BodyTextFi"/>
          <w:sz w:val="22"/>
          <w:szCs w:val="22"/>
        </w:rPr>
        <w:t xml:space="preserve"> not available elsewhere. No known studies of people with HIV or sample studies of people in defined demographic or risk groups provide comprehensive, overall program information specifically about grant recipients, subrecipients, and clients of the </w:t>
      </w:r>
      <w:r w:rsidRPr="003F350E">
        <w:rPr>
          <w:sz w:val="22"/>
          <w:szCs w:val="22"/>
        </w:rPr>
        <w:t>HRSA RWHAP</w:t>
      </w:r>
      <w:r w:rsidRPr="003F350E">
        <w:rPr>
          <w:rStyle w:val="BodyTextFi"/>
          <w:sz w:val="22"/>
          <w:szCs w:val="22"/>
        </w:rPr>
        <w:t>. The ADR is the only comprehensive source of ADAP clients and services information that adequately address</w:t>
      </w:r>
      <w:r w:rsidR="00E310E4">
        <w:rPr>
          <w:rStyle w:val="BodyTextFi"/>
          <w:sz w:val="22"/>
          <w:szCs w:val="22"/>
        </w:rPr>
        <w:t>es</w:t>
      </w:r>
      <w:r w:rsidRPr="003F350E">
        <w:rPr>
          <w:rStyle w:val="BodyTextFi"/>
          <w:sz w:val="22"/>
          <w:szCs w:val="22"/>
        </w:rPr>
        <w:t xml:space="preserve"> and meet</w:t>
      </w:r>
      <w:r w:rsidR="00E310E4">
        <w:rPr>
          <w:rStyle w:val="BodyTextFi"/>
          <w:sz w:val="22"/>
          <w:szCs w:val="22"/>
        </w:rPr>
        <w:t>s</w:t>
      </w:r>
      <w:r w:rsidRPr="003F350E">
        <w:rPr>
          <w:rStyle w:val="BodyTextFi"/>
          <w:sz w:val="22"/>
          <w:szCs w:val="22"/>
        </w:rPr>
        <w:t xml:space="preserve"> HRSA HAB’s data collection needs and objectives.</w:t>
      </w:r>
    </w:p>
    <w:p w:rsidRPr="003F350E" w:rsidR="008C2269" w:rsidP="00C0107A" w:rsidRDefault="009B3794" w14:paraId="4D9963F6" w14:textId="2DE81CBE">
      <w:pPr>
        <w:numPr>
          <w:ilvl w:val="0"/>
          <w:numId w:val="1"/>
        </w:numPr>
        <w:spacing w:before="240"/>
        <w:rPr>
          <w:color w:val="000000"/>
          <w:sz w:val="22"/>
          <w:szCs w:val="22"/>
        </w:rPr>
      </w:pPr>
      <w:r w:rsidRPr="003F350E">
        <w:rPr>
          <w:b/>
          <w:sz w:val="22"/>
          <w:szCs w:val="22"/>
          <w:u w:val="single"/>
        </w:rPr>
        <w:t xml:space="preserve">Impact </w:t>
      </w:r>
      <w:r w:rsidRPr="003F350E" w:rsidR="009E7063">
        <w:rPr>
          <w:b/>
          <w:sz w:val="22"/>
          <w:szCs w:val="22"/>
          <w:u w:val="single"/>
        </w:rPr>
        <w:t>of</w:t>
      </w:r>
      <w:r w:rsidRPr="003F350E">
        <w:rPr>
          <w:b/>
          <w:sz w:val="22"/>
          <w:szCs w:val="22"/>
          <w:u w:val="single"/>
        </w:rPr>
        <w:t xml:space="preserve"> Small Entities</w:t>
      </w:r>
      <w:r w:rsidRPr="003F350E" w:rsidR="000B13A0">
        <w:rPr>
          <w:b/>
          <w:bCs/>
          <w:color w:val="000000"/>
          <w:sz w:val="22"/>
          <w:szCs w:val="22"/>
          <w:u w:val="single"/>
        </w:rPr>
        <w:t xml:space="preserve"> or Other Small Entities</w:t>
      </w:r>
      <w:r w:rsidRPr="003F350E" w:rsidR="008C2269">
        <w:rPr>
          <w:color w:val="000000"/>
          <w:sz w:val="22"/>
          <w:szCs w:val="22"/>
        </w:rPr>
        <w:br/>
      </w:r>
    </w:p>
    <w:p w:rsidRPr="003F350E" w:rsidR="004F2035" w:rsidP="004F2035" w:rsidRDefault="009B3794" w14:paraId="62CC8A1E" w14:textId="27CE1704">
      <w:pPr>
        <w:rPr>
          <w:sz w:val="22"/>
          <w:szCs w:val="22"/>
        </w:rPr>
      </w:pPr>
      <w:r w:rsidRPr="003F350E">
        <w:rPr>
          <w:color w:val="000000"/>
          <w:sz w:val="22"/>
          <w:szCs w:val="22"/>
        </w:rPr>
        <w:t xml:space="preserve">No small businesses will be involved in this </w:t>
      </w:r>
      <w:r w:rsidRPr="003F350E" w:rsidR="00BC6596">
        <w:rPr>
          <w:color w:val="000000"/>
          <w:sz w:val="22"/>
          <w:szCs w:val="22"/>
        </w:rPr>
        <w:t>information collection.</w:t>
      </w:r>
    </w:p>
    <w:p w:rsidRPr="003F350E" w:rsidR="004F2035" w:rsidP="004F2035" w:rsidRDefault="004F2035" w14:paraId="11A3CC6F" w14:textId="77777777">
      <w:pPr>
        <w:rPr>
          <w:sz w:val="22"/>
          <w:szCs w:val="22"/>
        </w:rPr>
      </w:pPr>
    </w:p>
    <w:p w:rsidRPr="0046221A" w:rsidR="008F3881" w:rsidP="000B13A0" w:rsidRDefault="000B13A0" w14:paraId="0E9745C4" w14:textId="77777777">
      <w:pPr>
        <w:pStyle w:val="ListParagraph"/>
        <w:numPr>
          <w:ilvl w:val="0"/>
          <w:numId w:val="1"/>
        </w:numPr>
        <w:rPr>
          <w:b/>
          <w:sz w:val="22"/>
          <w:szCs w:val="22"/>
          <w:u w:val="single"/>
        </w:rPr>
      </w:pPr>
      <w:r w:rsidRPr="003F350E">
        <w:rPr>
          <w:b/>
          <w:sz w:val="22"/>
          <w:szCs w:val="22"/>
          <w:u w:val="single"/>
        </w:rPr>
        <w:t>Consequences of Collecting the Information Less Frequently</w:t>
      </w:r>
    </w:p>
    <w:p w:rsidR="008F3881" w:rsidP="0046221A" w:rsidRDefault="008F3881" w14:paraId="1B5F9670" w14:textId="77777777">
      <w:pPr>
        <w:rPr>
          <w:bCs/>
          <w:sz w:val="22"/>
          <w:szCs w:val="22"/>
          <w:u w:val="single"/>
        </w:rPr>
      </w:pPr>
    </w:p>
    <w:p w:rsidRPr="0046221A" w:rsidR="008F6ABC" w:rsidP="0046221A" w:rsidRDefault="00A030F3" w14:paraId="0D86FBF6" w14:textId="000B711B">
      <w:pPr>
        <w:rPr>
          <w:b/>
          <w:sz w:val="22"/>
          <w:szCs w:val="22"/>
          <w:u w:val="single"/>
        </w:rPr>
      </w:pPr>
      <w:r w:rsidRPr="0046221A">
        <w:rPr>
          <w:sz w:val="22"/>
          <w:szCs w:val="22"/>
        </w:rPr>
        <w:t xml:space="preserve">The ADR </w:t>
      </w:r>
      <w:r w:rsidR="003A301B">
        <w:rPr>
          <w:sz w:val="22"/>
          <w:szCs w:val="22"/>
        </w:rPr>
        <w:t xml:space="preserve">is </w:t>
      </w:r>
      <w:r w:rsidRPr="0046221A">
        <w:rPr>
          <w:sz w:val="22"/>
          <w:szCs w:val="22"/>
        </w:rPr>
        <w:t>submitted annually. If the information w</w:t>
      </w:r>
      <w:r w:rsidR="003A301B">
        <w:rPr>
          <w:sz w:val="22"/>
          <w:szCs w:val="22"/>
        </w:rPr>
        <w:t>ere</w:t>
      </w:r>
      <w:r w:rsidRPr="0046221A">
        <w:rPr>
          <w:sz w:val="22"/>
          <w:szCs w:val="22"/>
        </w:rPr>
        <w:t xml:space="preserve"> reported less frequently, HRSA would not be able to carry out its responsibility to oversee compliance with the intent of Congressional appropriations in a timely manner.  Annual reporting of the characteristics of ADAP clients is necessary to understand who the program is serving as well as the extent that the ADAP program is addressing the NHAS priorities, including addressing disparities among different populations.  If the information w</w:t>
      </w:r>
      <w:r w:rsidR="003A301B">
        <w:rPr>
          <w:sz w:val="22"/>
          <w:szCs w:val="22"/>
        </w:rPr>
        <w:t>ere</w:t>
      </w:r>
      <w:r w:rsidRPr="0046221A">
        <w:rPr>
          <w:sz w:val="22"/>
          <w:szCs w:val="22"/>
        </w:rPr>
        <w:t xml:space="preserve"> not collected at all, HRSA would not know, and would not be able to report:</w:t>
      </w:r>
    </w:p>
    <w:p w:rsidRPr="003F350E" w:rsidR="00A030F3" w:rsidP="00A030F3" w:rsidRDefault="00A030F3" w14:paraId="270EA0BE" w14:textId="77777777">
      <w:pPr>
        <w:pStyle w:val="ListParagraph"/>
        <w:widowControl/>
        <w:autoSpaceDE/>
        <w:autoSpaceDN/>
        <w:adjustRightInd/>
        <w:spacing w:before="120"/>
        <w:ind w:left="0"/>
        <w:rPr>
          <w:sz w:val="22"/>
          <w:szCs w:val="22"/>
        </w:rPr>
      </w:pPr>
    </w:p>
    <w:p w:rsidRPr="003F350E" w:rsidR="00A030F3" w:rsidP="00C0107A" w:rsidRDefault="00A030F3" w14:paraId="27AC425D" w14:textId="77777777">
      <w:pPr>
        <w:widowControl/>
        <w:numPr>
          <w:ilvl w:val="0"/>
          <w:numId w:val="6"/>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autoSpaceDE/>
        <w:autoSpaceDN/>
        <w:adjustRightInd/>
        <w:spacing w:after="200" w:line="276" w:lineRule="auto"/>
        <w:ind w:left="792"/>
        <w:rPr>
          <w:sz w:val="22"/>
          <w:szCs w:val="22"/>
        </w:rPr>
      </w:pPr>
      <w:r w:rsidRPr="003F350E">
        <w:rPr>
          <w:sz w:val="22"/>
          <w:szCs w:val="22"/>
        </w:rPr>
        <w:t>Whether program funds are being spent for their intended purposes;</w:t>
      </w:r>
    </w:p>
    <w:p w:rsidRPr="003F350E" w:rsidR="00A030F3" w:rsidP="00C0107A" w:rsidRDefault="00A030F3" w14:paraId="167AAE46" w14:textId="77777777">
      <w:pPr>
        <w:widowControl/>
        <w:numPr>
          <w:ilvl w:val="0"/>
          <w:numId w:val="6"/>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autoSpaceDE/>
        <w:autoSpaceDN/>
        <w:adjustRightInd/>
        <w:spacing w:after="200" w:line="276" w:lineRule="auto"/>
        <w:ind w:left="720" w:hanging="270"/>
        <w:rPr>
          <w:sz w:val="22"/>
          <w:szCs w:val="22"/>
        </w:rPr>
      </w:pPr>
      <w:r w:rsidRPr="003F350E">
        <w:rPr>
          <w:sz w:val="22"/>
          <w:szCs w:val="22"/>
        </w:rPr>
        <w:t>How many and what types of individuals are receiving services, and how different services are distributed across various groups;</w:t>
      </w:r>
    </w:p>
    <w:p w:rsidRPr="003F350E" w:rsidR="00A030F3" w:rsidP="00C0107A" w:rsidRDefault="00A030F3" w14:paraId="7B7C67A7" w14:textId="77777777">
      <w:pPr>
        <w:widowControl/>
        <w:numPr>
          <w:ilvl w:val="0"/>
          <w:numId w:val="6"/>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autoSpaceDE/>
        <w:autoSpaceDN/>
        <w:adjustRightInd/>
        <w:spacing w:after="200" w:line="276" w:lineRule="auto"/>
        <w:ind w:left="720" w:hanging="288"/>
        <w:rPr>
          <w:sz w:val="22"/>
          <w:szCs w:val="22"/>
        </w:rPr>
      </w:pPr>
      <w:r w:rsidRPr="003F350E">
        <w:rPr>
          <w:sz w:val="22"/>
          <w:szCs w:val="22"/>
        </w:rPr>
        <w:t>How the distribution of program funds, the distribution of services, and the characteristics of individual beneficiaries are changing from one year to the next; and</w:t>
      </w:r>
    </w:p>
    <w:p w:rsidRPr="003F350E" w:rsidR="00A030F3" w:rsidP="00C0107A" w:rsidRDefault="00A030F3" w14:paraId="6EA162A8" w14:textId="77777777">
      <w:pPr>
        <w:widowControl/>
        <w:numPr>
          <w:ilvl w:val="0"/>
          <w:numId w:val="6"/>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autoSpaceDE/>
        <w:autoSpaceDN/>
        <w:adjustRightInd/>
        <w:spacing w:line="276" w:lineRule="auto"/>
        <w:ind w:left="720" w:hanging="288"/>
        <w:rPr>
          <w:sz w:val="22"/>
          <w:szCs w:val="22"/>
        </w:rPr>
      </w:pPr>
      <w:r w:rsidRPr="003F350E">
        <w:rPr>
          <w:sz w:val="22"/>
          <w:szCs w:val="22"/>
        </w:rPr>
        <w:t xml:space="preserve">To what extent the ADAP program is reducing HIV/AIDS disparities. </w:t>
      </w:r>
    </w:p>
    <w:p w:rsidRPr="003F350E" w:rsidR="00A030F3" w:rsidP="00A030F3" w:rsidRDefault="00A030F3" w14:paraId="624B9E6D" w14:textId="77777777">
      <w:pPr>
        <w:pStyle w:val="ListParagraph"/>
        <w:widowControl/>
        <w:autoSpaceDE/>
        <w:autoSpaceDN/>
        <w:adjustRightInd/>
        <w:spacing w:before="120"/>
        <w:ind w:left="0"/>
        <w:rPr>
          <w:sz w:val="22"/>
          <w:szCs w:val="22"/>
        </w:rPr>
      </w:pPr>
    </w:p>
    <w:p w:rsidRPr="0046221A" w:rsidR="008F3881" w:rsidP="000B13A0" w:rsidRDefault="000B13A0" w14:paraId="00682453" w14:textId="77777777">
      <w:pPr>
        <w:pStyle w:val="ListParagraph"/>
        <w:numPr>
          <w:ilvl w:val="0"/>
          <w:numId w:val="1"/>
        </w:numPr>
        <w:rPr>
          <w:bCs/>
          <w:sz w:val="22"/>
          <w:szCs w:val="22"/>
          <w:u w:val="single"/>
        </w:rPr>
      </w:pPr>
      <w:r w:rsidRPr="003F350E">
        <w:rPr>
          <w:b/>
          <w:sz w:val="22"/>
          <w:szCs w:val="22"/>
          <w:u w:val="single"/>
        </w:rPr>
        <w:t>Special Circumstances Relating to the Guidelines of 5 CFR 1320.5</w:t>
      </w:r>
    </w:p>
    <w:p w:rsidR="008F3881" w:rsidP="0046221A" w:rsidRDefault="008F3881" w14:paraId="11CF343C" w14:textId="77777777">
      <w:pPr>
        <w:rPr>
          <w:bCs/>
          <w:sz w:val="22"/>
          <w:szCs w:val="22"/>
          <w:u w:val="single"/>
        </w:rPr>
      </w:pPr>
    </w:p>
    <w:p w:rsidRPr="0046221A" w:rsidR="009B3794" w:rsidP="0046221A" w:rsidRDefault="00627FFD" w14:paraId="63992A79" w14:textId="2F657AFB">
      <w:pPr>
        <w:rPr>
          <w:bCs/>
          <w:sz w:val="22"/>
          <w:szCs w:val="22"/>
          <w:u w:val="single"/>
        </w:rPr>
      </w:pPr>
      <w:r w:rsidRPr="0046221A">
        <w:rPr>
          <w:sz w:val="22"/>
          <w:szCs w:val="22"/>
        </w:rPr>
        <w:t>T</w:t>
      </w:r>
      <w:r w:rsidRPr="0046221A" w:rsidR="009B3794">
        <w:rPr>
          <w:sz w:val="22"/>
          <w:szCs w:val="22"/>
        </w:rPr>
        <w:t>he request fully complies with the regulation.</w:t>
      </w:r>
    </w:p>
    <w:p w:rsidRPr="003F350E" w:rsidR="008E5E75" w:rsidP="00C0107A" w:rsidRDefault="008E5E75" w14:paraId="3B432C15" w14:textId="77777777">
      <w:pPr>
        <w:numPr>
          <w:ilvl w:val="0"/>
          <w:numId w:val="1"/>
        </w:numPr>
        <w:tabs>
          <w:tab w:val="left" w:pos="360"/>
        </w:tabs>
        <w:spacing w:before="240"/>
        <w:rPr>
          <w:b/>
          <w:sz w:val="22"/>
          <w:szCs w:val="22"/>
        </w:rPr>
      </w:pPr>
      <w:r w:rsidRPr="003F350E">
        <w:rPr>
          <w:b/>
          <w:sz w:val="22"/>
          <w:szCs w:val="22"/>
          <w:u w:val="single"/>
        </w:rPr>
        <w:t>Comments in Response to the Federal Register Notice/Outside Consultation</w:t>
      </w:r>
      <w:r w:rsidRPr="003F350E" w:rsidR="008C2269">
        <w:rPr>
          <w:b/>
          <w:sz w:val="22"/>
          <w:szCs w:val="22"/>
        </w:rPr>
        <w:br/>
      </w:r>
    </w:p>
    <w:p w:rsidRPr="003F350E" w:rsidR="008E5E75" w:rsidP="008E5E75" w:rsidRDefault="008E5E75" w14:paraId="6819BED4" w14:textId="00CFB443">
      <w:pPr>
        <w:tabs>
          <w:tab w:val="left" w:pos="360"/>
        </w:tabs>
        <w:spacing w:before="240"/>
        <w:rPr>
          <w:b/>
          <w:bCs/>
          <w:sz w:val="22"/>
          <w:szCs w:val="22"/>
        </w:rPr>
      </w:pPr>
      <w:r w:rsidRPr="003F350E">
        <w:rPr>
          <w:b/>
          <w:bCs/>
          <w:sz w:val="22"/>
          <w:szCs w:val="22"/>
        </w:rPr>
        <w:t>Section 8A:</w:t>
      </w:r>
    </w:p>
    <w:p w:rsidRPr="003F350E" w:rsidR="00942532" w:rsidP="008E5E75" w:rsidRDefault="008E5E75" w14:paraId="4E9BCB22" w14:textId="68A6FF0F">
      <w:pPr>
        <w:spacing w:before="240"/>
        <w:rPr>
          <w:sz w:val="22"/>
          <w:szCs w:val="22"/>
        </w:rPr>
      </w:pPr>
      <w:r w:rsidRPr="003F350E">
        <w:rPr>
          <w:sz w:val="22"/>
          <w:szCs w:val="22"/>
        </w:rPr>
        <w:t xml:space="preserve">A 60-day Federal Register Notice was published in the </w:t>
      </w:r>
      <w:r w:rsidRPr="003F350E">
        <w:rPr>
          <w:i/>
          <w:iCs/>
          <w:sz w:val="22"/>
          <w:szCs w:val="22"/>
        </w:rPr>
        <w:t>Federal Register</w:t>
      </w:r>
      <w:r w:rsidRPr="003F350E">
        <w:rPr>
          <w:sz w:val="22"/>
          <w:szCs w:val="22"/>
        </w:rPr>
        <w:t xml:space="preserve"> on December 3, 2019 (Vol. 84, No. 232, pp. 66202–66203</w:t>
      </w:r>
      <w:r w:rsidR="009E2540">
        <w:rPr>
          <w:sz w:val="22"/>
          <w:szCs w:val="22"/>
        </w:rPr>
        <w:t>).   See attached f</w:t>
      </w:r>
      <w:r w:rsidR="00B7575B">
        <w:rPr>
          <w:sz w:val="22"/>
          <w:szCs w:val="22"/>
        </w:rPr>
        <w:t>o</w:t>
      </w:r>
      <w:r w:rsidR="009E2540">
        <w:rPr>
          <w:sz w:val="22"/>
          <w:szCs w:val="22"/>
        </w:rPr>
        <w:t>r</w:t>
      </w:r>
      <w:r w:rsidR="00B7575B">
        <w:rPr>
          <w:sz w:val="22"/>
          <w:szCs w:val="22"/>
        </w:rPr>
        <w:t xml:space="preserve"> public comments.</w:t>
      </w:r>
    </w:p>
    <w:p w:rsidR="000D19AE" w:rsidP="00942532" w:rsidRDefault="000D19AE" w14:paraId="2A9F449C" w14:textId="77777777">
      <w:pPr>
        <w:spacing w:before="240"/>
        <w:rPr>
          <w:b/>
          <w:sz w:val="22"/>
          <w:szCs w:val="22"/>
        </w:rPr>
      </w:pPr>
    </w:p>
    <w:p w:rsidRPr="003F350E" w:rsidR="00942532" w:rsidP="00942532" w:rsidRDefault="00942532" w14:paraId="6D1A751F" w14:textId="4F8E8C0A">
      <w:pPr>
        <w:spacing w:before="240"/>
        <w:rPr>
          <w:b/>
          <w:sz w:val="22"/>
          <w:szCs w:val="22"/>
        </w:rPr>
      </w:pPr>
      <w:r w:rsidRPr="003F350E">
        <w:rPr>
          <w:b/>
          <w:sz w:val="22"/>
          <w:szCs w:val="22"/>
        </w:rPr>
        <w:t>Section 8B:</w:t>
      </w:r>
    </w:p>
    <w:p w:rsidRPr="00101CF2" w:rsidR="00101CF2" w:rsidP="00101CF2" w:rsidRDefault="00101CF2" w14:paraId="1A0665FF" w14:textId="5520B459">
      <w:pPr>
        <w:tabs>
          <w:tab w:val="left" w:pos="360"/>
        </w:tabs>
        <w:spacing w:before="240"/>
        <w:rPr>
          <w:bCs/>
          <w:sz w:val="22"/>
          <w:szCs w:val="22"/>
        </w:rPr>
      </w:pPr>
      <w:r w:rsidRPr="00101CF2">
        <w:rPr>
          <w:bCs/>
          <w:sz w:val="22"/>
          <w:szCs w:val="22"/>
        </w:rPr>
        <w:t xml:space="preserve">In July 2019, four ADAP grant recipients were consulted to obtain their views on the revisions to the ADR data collection. All four recipients stated that the changes would not result in a burden increase. However, two Part B recipients expressed that </w:t>
      </w:r>
      <w:r w:rsidR="004A114B">
        <w:rPr>
          <w:bCs/>
          <w:sz w:val="22"/>
          <w:szCs w:val="22"/>
        </w:rPr>
        <w:t>some</w:t>
      </w:r>
      <w:r w:rsidRPr="00101CF2">
        <w:rPr>
          <w:bCs/>
          <w:sz w:val="22"/>
          <w:szCs w:val="22"/>
        </w:rPr>
        <w:t xml:space="preserve"> burden would be in the preparation as</w:t>
      </w:r>
      <w:r w:rsidRPr="003F350E">
        <w:rPr>
          <w:bCs/>
          <w:sz w:val="22"/>
          <w:szCs w:val="22"/>
        </w:rPr>
        <w:t xml:space="preserve"> </w:t>
      </w:r>
      <w:r w:rsidRPr="00101CF2">
        <w:rPr>
          <w:bCs/>
          <w:sz w:val="22"/>
          <w:szCs w:val="22"/>
        </w:rPr>
        <w:t>they would need to update their data system and retrain their staff</w:t>
      </w:r>
      <w:r w:rsidR="003A50D3">
        <w:rPr>
          <w:bCs/>
          <w:sz w:val="22"/>
          <w:szCs w:val="22"/>
        </w:rPr>
        <w:t xml:space="preserve">. While one of these recipients didn’t have an estimate of these costs, the other thought it would be about $1,000. </w:t>
      </w:r>
      <w:r w:rsidRPr="00101CF2">
        <w:rPr>
          <w:bCs/>
          <w:sz w:val="22"/>
          <w:szCs w:val="22"/>
        </w:rPr>
        <w:t xml:space="preserve">One ADAP </w:t>
      </w:r>
      <w:r w:rsidR="00AC7B84">
        <w:rPr>
          <w:bCs/>
          <w:sz w:val="22"/>
          <w:szCs w:val="22"/>
        </w:rPr>
        <w:t xml:space="preserve">grantee </w:t>
      </w:r>
      <w:r w:rsidRPr="00101CF2">
        <w:rPr>
          <w:bCs/>
          <w:sz w:val="22"/>
          <w:szCs w:val="22"/>
        </w:rPr>
        <w:t>said they will probably need to make changes to their Ph</w:t>
      </w:r>
      <w:r w:rsidR="001B6D8D">
        <w:rPr>
          <w:bCs/>
          <w:sz w:val="22"/>
          <w:szCs w:val="22"/>
        </w:rPr>
        <w:t xml:space="preserve">armacy Benefits Management </w:t>
      </w:r>
      <w:r w:rsidRPr="00101CF2">
        <w:rPr>
          <w:bCs/>
          <w:sz w:val="22"/>
          <w:szCs w:val="22"/>
        </w:rPr>
        <w:t xml:space="preserve">contract and that there may be an increase in cost. Another recipient stated that the new updates – the change in the use of medication codes and </w:t>
      </w:r>
      <w:r w:rsidRPr="003F350E" w:rsidR="007E570A">
        <w:rPr>
          <w:bCs/>
          <w:sz w:val="22"/>
          <w:szCs w:val="22"/>
        </w:rPr>
        <w:t xml:space="preserve">the </w:t>
      </w:r>
      <w:r w:rsidRPr="00101CF2">
        <w:rPr>
          <w:bCs/>
          <w:sz w:val="22"/>
          <w:szCs w:val="22"/>
        </w:rPr>
        <w:t xml:space="preserve">requirement for clinical data for all clients would actually reduce the time it takes to complete the report. </w:t>
      </w:r>
    </w:p>
    <w:p w:rsidRPr="003F350E" w:rsidR="00970090" w:rsidP="00942532" w:rsidRDefault="00970090" w14:paraId="13AABC68" w14:textId="27BEB757">
      <w:pPr>
        <w:tabs>
          <w:tab w:val="left" w:pos="360"/>
        </w:tabs>
        <w:spacing w:before="240"/>
        <w:rPr>
          <w:bCs/>
          <w:sz w:val="22"/>
          <w:szCs w:val="22"/>
        </w:rPr>
      </w:pPr>
      <w:r w:rsidRPr="003F350E">
        <w:rPr>
          <w:bCs/>
          <w:sz w:val="22"/>
          <w:szCs w:val="22"/>
        </w:rPr>
        <w:t xml:space="preserve">HRSA RWHAP </w:t>
      </w:r>
      <w:r w:rsidR="004A114B">
        <w:rPr>
          <w:bCs/>
          <w:sz w:val="22"/>
          <w:szCs w:val="22"/>
        </w:rPr>
        <w:t>ADAP</w:t>
      </w:r>
      <w:r w:rsidRPr="003F350E">
        <w:rPr>
          <w:bCs/>
          <w:sz w:val="22"/>
          <w:szCs w:val="22"/>
        </w:rPr>
        <w:t xml:space="preserve"> Respondents</w:t>
      </w:r>
    </w:p>
    <w:p w:rsidRPr="003F350E" w:rsidR="00F43CA7" w:rsidP="00F43CA7" w:rsidRDefault="00F43CA7" w14:paraId="42A596F1"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b/>
          <w:sz w:val="22"/>
          <w:szCs w:val="22"/>
          <w:lang w:eastAsia="ja-JP"/>
        </w:rPr>
      </w:pPr>
    </w:p>
    <w:p w:rsidRPr="003F350E" w:rsidR="00F43CA7" w:rsidP="00F43CA7" w:rsidRDefault="00F43CA7" w14:paraId="68A511BC" w14:textId="71B3AED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b/>
          <w:sz w:val="22"/>
          <w:szCs w:val="22"/>
          <w:lang w:eastAsia="ja-JP"/>
        </w:rPr>
      </w:pPr>
      <w:bookmarkStart w:name="_Hlk29465237" w:id="2"/>
      <w:r w:rsidRPr="003F350E">
        <w:rPr>
          <w:b/>
          <w:sz w:val="22"/>
          <w:szCs w:val="22"/>
          <w:lang w:eastAsia="ja-JP"/>
        </w:rPr>
        <w:t>Cindy Ly</w:t>
      </w:r>
    </w:p>
    <w:p w:rsidRPr="003F350E" w:rsidR="00F43CA7" w:rsidP="00F43CA7" w:rsidRDefault="00F43CA7" w14:paraId="1FA642B9" w14:textId="41CAEB0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22"/>
          <w:szCs w:val="22"/>
          <w:lang w:eastAsia="ja-JP"/>
        </w:rPr>
      </w:pPr>
      <w:r w:rsidRPr="003F350E">
        <w:rPr>
          <w:sz w:val="22"/>
          <w:szCs w:val="22"/>
          <w:lang w:eastAsia="ja-JP"/>
        </w:rPr>
        <w:t>California Department of Public Health</w:t>
      </w:r>
    </w:p>
    <w:p w:rsidRPr="003F350E" w:rsidR="00F43CA7" w:rsidP="00F43CA7" w:rsidRDefault="00F43CA7" w14:paraId="485A7C7D" w14:textId="2E82080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22"/>
          <w:szCs w:val="22"/>
          <w:lang w:eastAsia="ja-JP"/>
        </w:rPr>
      </w:pPr>
      <w:r w:rsidRPr="003F350E">
        <w:rPr>
          <w:sz w:val="22"/>
          <w:szCs w:val="22"/>
          <w:lang w:eastAsia="ja-JP"/>
        </w:rPr>
        <w:t>916 449 5981</w:t>
      </w:r>
    </w:p>
    <w:p w:rsidRPr="003F350E" w:rsidR="00F43CA7" w:rsidP="00F43CA7" w:rsidRDefault="00A96CA2" w14:paraId="10C29C9F" w14:textId="0E15AE03">
      <w:pPr>
        <w:tabs>
          <w:tab w:val="left" w:pos="900"/>
        </w:tabs>
        <w:spacing w:line="360" w:lineRule="auto"/>
        <w:rPr>
          <w:rStyle w:val="Hyperlink"/>
          <w:color w:val="000000" w:themeColor="text1"/>
          <w:sz w:val="22"/>
          <w:szCs w:val="22"/>
          <w:u w:val="none"/>
        </w:rPr>
      </w:pPr>
      <w:hyperlink w:history="1" r:id="rId8">
        <w:r w:rsidRPr="003F350E" w:rsidR="00F43CA7">
          <w:rPr>
            <w:rStyle w:val="Hyperlink"/>
            <w:color w:val="000000" w:themeColor="text1"/>
            <w:sz w:val="22"/>
            <w:szCs w:val="22"/>
            <w:u w:val="none"/>
          </w:rPr>
          <w:t>Cindy.ly@cdph.ca.gov</w:t>
        </w:r>
      </w:hyperlink>
    </w:p>
    <w:bookmarkEnd w:id="2"/>
    <w:p w:rsidRPr="003F350E" w:rsidR="00DD56A5" w:rsidP="00DD56A5" w:rsidRDefault="00DD56A5" w14:paraId="0F3C0F02" w14:textId="747A0F2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b/>
          <w:sz w:val="22"/>
          <w:szCs w:val="22"/>
          <w:lang w:eastAsia="ja-JP"/>
        </w:rPr>
      </w:pPr>
      <w:r w:rsidRPr="003F350E">
        <w:rPr>
          <w:b/>
          <w:sz w:val="22"/>
          <w:szCs w:val="22"/>
          <w:lang w:eastAsia="ja-JP"/>
        </w:rPr>
        <w:t>Eleana Sessoms</w:t>
      </w:r>
    </w:p>
    <w:p w:rsidRPr="003F350E" w:rsidR="00DD56A5" w:rsidP="00DD56A5" w:rsidRDefault="00DD56A5" w14:paraId="0E186E8F" w14:textId="7B8AAEA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22"/>
          <w:szCs w:val="22"/>
          <w:lang w:eastAsia="ja-JP"/>
        </w:rPr>
      </w:pPr>
      <w:r w:rsidRPr="003F350E">
        <w:rPr>
          <w:sz w:val="22"/>
          <w:szCs w:val="22"/>
          <w:lang w:eastAsia="ja-JP"/>
        </w:rPr>
        <w:t>North Carolina Department of Health and Human Services</w:t>
      </w:r>
    </w:p>
    <w:p w:rsidRPr="003F350E" w:rsidR="00DD56A5" w:rsidP="00DD56A5" w:rsidRDefault="00DD56A5" w14:paraId="5A562B9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22"/>
          <w:szCs w:val="22"/>
          <w:lang w:eastAsia="ja-JP"/>
        </w:rPr>
      </w:pPr>
      <w:r w:rsidRPr="003F350E">
        <w:rPr>
          <w:sz w:val="22"/>
          <w:szCs w:val="22"/>
          <w:lang w:eastAsia="ja-JP"/>
        </w:rPr>
        <w:t>916 449 5981</w:t>
      </w:r>
    </w:p>
    <w:p w:rsidRPr="003F350E" w:rsidR="00DD56A5" w:rsidP="00F43CA7" w:rsidRDefault="00A96CA2" w14:paraId="70C1730B" w14:textId="46373D96">
      <w:pPr>
        <w:tabs>
          <w:tab w:val="left" w:pos="900"/>
        </w:tabs>
        <w:spacing w:line="360" w:lineRule="auto"/>
        <w:rPr>
          <w:color w:val="000000" w:themeColor="text1"/>
          <w:sz w:val="22"/>
          <w:szCs w:val="22"/>
        </w:rPr>
      </w:pPr>
      <w:hyperlink w:history="1" r:id="rId9">
        <w:r w:rsidRPr="003F350E" w:rsidR="00DD56A5">
          <w:rPr>
            <w:rStyle w:val="Hyperlink"/>
            <w:color w:val="000000" w:themeColor="text1"/>
            <w:sz w:val="22"/>
            <w:szCs w:val="22"/>
            <w:u w:val="none"/>
          </w:rPr>
          <w:t>Eleana.sessoms@dhhs.nc.gov</w:t>
        </w:r>
      </w:hyperlink>
    </w:p>
    <w:p w:rsidRPr="003F350E" w:rsidR="00DD56A5" w:rsidP="00DD56A5" w:rsidRDefault="00DD56A5" w14:paraId="642316E9" w14:textId="582D7F5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b/>
          <w:sz w:val="22"/>
          <w:szCs w:val="22"/>
          <w:lang w:eastAsia="ja-JP"/>
        </w:rPr>
      </w:pPr>
      <w:r w:rsidRPr="003F350E">
        <w:rPr>
          <w:b/>
          <w:sz w:val="22"/>
          <w:szCs w:val="22"/>
          <w:lang w:eastAsia="ja-JP"/>
        </w:rPr>
        <w:t>Jeremy Martinez</w:t>
      </w:r>
    </w:p>
    <w:p w:rsidRPr="003F350E" w:rsidR="00DD56A5" w:rsidP="00DD56A5" w:rsidRDefault="00DD56A5" w14:paraId="3132C628" w14:textId="11C059F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22"/>
          <w:szCs w:val="22"/>
          <w:lang w:eastAsia="ja-JP"/>
        </w:rPr>
      </w:pPr>
      <w:r w:rsidRPr="003F350E">
        <w:rPr>
          <w:sz w:val="22"/>
          <w:szCs w:val="22"/>
          <w:lang w:eastAsia="ja-JP"/>
        </w:rPr>
        <w:t>Colorado State Department of Public Health and Environment</w:t>
      </w:r>
    </w:p>
    <w:p w:rsidRPr="003F350E" w:rsidR="00DD56A5" w:rsidP="00DD56A5" w:rsidRDefault="00DD56A5" w14:paraId="03E8BA63" w14:textId="61AB64C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22"/>
          <w:szCs w:val="22"/>
          <w:lang w:eastAsia="ja-JP"/>
        </w:rPr>
      </w:pPr>
      <w:r w:rsidRPr="003F350E">
        <w:rPr>
          <w:sz w:val="22"/>
          <w:szCs w:val="22"/>
          <w:lang w:eastAsia="ja-JP"/>
        </w:rPr>
        <w:t>303 692 2687</w:t>
      </w:r>
    </w:p>
    <w:p w:rsidRPr="003F350E" w:rsidR="00DD56A5" w:rsidP="00DD56A5" w:rsidRDefault="00A96CA2" w14:paraId="04B7D9A4" w14:textId="77777777">
      <w:pPr>
        <w:tabs>
          <w:tab w:val="left" w:pos="900"/>
        </w:tabs>
        <w:spacing w:line="360" w:lineRule="auto"/>
        <w:rPr>
          <w:color w:val="000000" w:themeColor="text1"/>
          <w:sz w:val="22"/>
          <w:szCs w:val="22"/>
        </w:rPr>
      </w:pPr>
      <w:hyperlink w:history="1" r:id="rId10">
        <w:r w:rsidRPr="003F350E" w:rsidR="00DD56A5">
          <w:rPr>
            <w:rStyle w:val="Hyperlink"/>
            <w:color w:val="000000" w:themeColor="text1"/>
            <w:sz w:val="22"/>
            <w:szCs w:val="22"/>
            <w:u w:val="none"/>
          </w:rPr>
          <w:t>Jeremy.martinez@state.co.us</w:t>
        </w:r>
      </w:hyperlink>
    </w:p>
    <w:p w:rsidRPr="003F350E" w:rsidR="00DD56A5" w:rsidP="00DD56A5" w:rsidRDefault="00DD56A5" w14:paraId="3915C635" w14:textId="6B2657B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b/>
          <w:sz w:val="22"/>
          <w:szCs w:val="22"/>
          <w:lang w:eastAsia="ja-JP"/>
        </w:rPr>
      </w:pPr>
      <w:r w:rsidRPr="003F350E">
        <w:rPr>
          <w:b/>
          <w:sz w:val="22"/>
          <w:szCs w:val="22"/>
          <w:lang w:eastAsia="ja-JP"/>
        </w:rPr>
        <w:t>Tara B. Thomas</w:t>
      </w:r>
    </w:p>
    <w:p w:rsidRPr="003F350E" w:rsidR="00DD56A5" w:rsidP="00DD56A5" w:rsidRDefault="00DD56A5" w14:paraId="1361AFF4" w14:textId="22E8BAC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22"/>
          <w:szCs w:val="22"/>
          <w:lang w:eastAsia="ja-JP"/>
        </w:rPr>
      </w:pPr>
      <w:r w:rsidRPr="003F350E">
        <w:rPr>
          <w:sz w:val="22"/>
          <w:szCs w:val="22"/>
          <w:lang w:eastAsia="ja-JP"/>
        </w:rPr>
        <w:t>Maine Department of Human Services</w:t>
      </w:r>
    </w:p>
    <w:p w:rsidRPr="003F350E" w:rsidR="00DD56A5" w:rsidP="00DD56A5" w:rsidRDefault="00DD56A5" w14:paraId="25A7EF2C" w14:textId="63013EC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22"/>
          <w:szCs w:val="22"/>
          <w:lang w:eastAsia="ja-JP"/>
        </w:rPr>
      </w:pPr>
      <w:r w:rsidRPr="003F350E">
        <w:rPr>
          <w:sz w:val="22"/>
          <w:szCs w:val="22"/>
          <w:lang w:eastAsia="ja-JP"/>
        </w:rPr>
        <w:t xml:space="preserve">207 </w:t>
      </w:r>
      <w:r w:rsidRPr="003F350E" w:rsidR="00D10B10">
        <w:rPr>
          <w:sz w:val="22"/>
          <w:szCs w:val="22"/>
          <w:lang w:eastAsia="ja-JP"/>
        </w:rPr>
        <w:t>287</w:t>
      </w:r>
      <w:r w:rsidRPr="003F350E">
        <w:rPr>
          <w:sz w:val="22"/>
          <w:szCs w:val="22"/>
          <w:lang w:eastAsia="ja-JP"/>
        </w:rPr>
        <w:t xml:space="preserve"> 5</w:t>
      </w:r>
      <w:r w:rsidRPr="003F350E" w:rsidR="00D10B10">
        <w:rPr>
          <w:sz w:val="22"/>
          <w:szCs w:val="22"/>
          <w:lang w:eastAsia="ja-JP"/>
        </w:rPr>
        <w:t>199</w:t>
      </w:r>
    </w:p>
    <w:p w:rsidR="00D10B10" w:rsidP="00D10B10" w:rsidRDefault="00A96CA2" w14:paraId="4F06783A" w14:textId="2A23FD01">
      <w:pPr>
        <w:tabs>
          <w:tab w:val="left" w:pos="900"/>
        </w:tabs>
        <w:spacing w:line="360" w:lineRule="auto"/>
        <w:rPr>
          <w:rStyle w:val="Hyperlink"/>
          <w:color w:val="000000" w:themeColor="text1"/>
          <w:sz w:val="22"/>
          <w:szCs w:val="22"/>
          <w:u w:val="none"/>
        </w:rPr>
      </w:pPr>
      <w:hyperlink w:history="1" r:id="rId11">
        <w:r w:rsidRPr="003F350E" w:rsidR="00D10B10">
          <w:rPr>
            <w:rStyle w:val="Hyperlink"/>
            <w:color w:val="000000" w:themeColor="text1"/>
            <w:sz w:val="22"/>
            <w:szCs w:val="22"/>
            <w:u w:val="none"/>
          </w:rPr>
          <w:t>Tara.thomas@maine.gov</w:t>
        </w:r>
      </w:hyperlink>
    </w:p>
    <w:p w:rsidRPr="003F350E" w:rsidR="00983221" w:rsidP="00D10B10" w:rsidRDefault="00983221" w14:paraId="41ADDD24" w14:textId="77777777">
      <w:pPr>
        <w:tabs>
          <w:tab w:val="left" w:pos="900"/>
        </w:tabs>
        <w:spacing w:line="360" w:lineRule="auto"/>
        <w:rPr>
          <w:color w:val="000000" w:themeColor="text1"/>
          <w:sz w:val="22"/>
          <w:szCs w:val="22"/>
        </w:rPr>
      </w:pPr>
    </w:p>
    <w:p w:rsidRPr="003F350E" w:rsidR="008C2269" w:rsidP="00C0107A" w:rsidRDefault="009D0491" w14:paraId="22EE48EA" w14:textId="6CBC9769">
      <w:pPr>
        <w:pStyle w:val="ListParagraph"/>
        <w:numPr>
          <w:ilvl w:val="0"/>
          <w:numId w:val="1"/>
        </w:numPr>
        <w:spacing w:before="120"/>
        <w:rPr>
          <w:b/>
          <w:bCs/>
          <w:sz w:val="22"/>
          <w:szCs w:val="22"/>
        </w:rPr>
      </w:pPr>
      <w:r w:rsidRPr="003F350E">
        <w:rPr>
          <w:b/>
          <w:bCs/>
          <w:sz w:val="22"/>
          <w:szCs w:val="22"/>
          <w:u w:val="single"/>
        </w:rPr>
        <w:t>Explanation of any Payment/Gift to Respondents</w:t>
      </w:r>
      <w:r w:rsidRPr="003F350E" w:rsidR="008C2269">
        <w:rPr>
          <w:b/>
          <w:bCs/>
          <w:sz w:val="22"/>
          <w:szCs w:val="22"/>
        </w:rPr>
        <w:br/>
      </w:r>
    </w:p>
    <w:p w:rsidRPr="003F350E" w:rsidR="009D0491" w:rsidP="009D0491" w:rsidRDefault="009D0491" w14:paraId="2E97B01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2"/>
          <w:szCs w:val="22"/>
        </w:rPr>
      </w:pPr>
      <w:r w:rsidRPr="003F350E">
        <w:rPr>
          <w:rStyle w:val="BodyTextFi"/>
          <w:sz w:val="22"/>
          <w:szCs w:val="22"/>
        </w:rPr>
        <w:t>The proposed collection of information does not involve any remuneration to respondents.</w:t>
      </w:r>
    </w:p>
    <w:p w:rsidRPr="003F350E" w:rsidR="00B50A61" w:rsidP="00C0107A" w:rsidRDefault="009B3794" w14:paraId="2FDE59B5" w14:textId="66ECEC18">
      <w:pPr>
        <w:numPr>
          <w:ilvl w:val="0"/>
          <w:numId w:val="1"/>
        </w:numPr>
        <w:spacing w:before="240"/>
        <w:rPr>
          <w:b/>
          <w:sz w:val="22"/>
          <w:szCs w:val="22"/>
        </w:rPr>
      </w:pPr>
      <w:r w:rsidRPr="003F350E">
        <w:rPr>
          <w:b/>
          <w:sz w:val="22"/>
          <w:szCs w:val="22"/>
          <w:u w:val="single"/>
        </w:rPr>
        <w:t>Assurance of Confidentiality</w:t>
      </w:r>
      <w:r w:rsidRPr="003F350E" w:rsidR="009D0491">
        <w:rPr>
          <w:b/>
          <w:sz w:val="22"/>
          <w:szCs w:val="22"/>
          <w:u w:val="single"/>
        </w:rPr>
        <w:t xml:space="preserve"> Provided to Respondents</w:t>
      </w:r>
    </w:p>
    <w:p w:rsidRPr="003F350E" w:rsidR="00090374" w:rsidP="009D0491" w:rsidRDefault="00502ABD" w14:paraId="0CAE45F8" w14:textId="1BA42851">
      <w:pPr>
        <w:spacing w:before="240"/>
        <w:rPr>
          <w:b/>
          <w:sz w:val="22"/>
          <w:szCs w:val="22"/>
        </w:rPr>
      </w:pPr>
      <w:r w:rsidRPr="003F350E">
        <w:rPr>
          <w:sz w:val="22"/>
          <w:szCs w:val="22"/>
        </w:rPr>
        <w:t xml:space="preserve">The </w:t>
      </w:r>
      <w:r w:rsidRPr="003F350E" w:rsidR="009D0491">
        <w:rPr>
          <w:iCs/>
          <w:sz w:val="22"/>
          <w:szCs w:val="22"/>
        </w:rPr>
        <w:t>ADR</w:t>
      </w:r>
      <w:r w:rsidRPr="003F350E">
        <w:rPr>
          <w:iCs/>
          <w:sz w:val="22"/>
          <w:szCs w:val="22"/>
        </w:rPr>
        <w:t xml:space="preserve"> </w:t>
      </w:r>
      <w:r w:rsidRPr="003F350E" w:rsidR="009D0491">
        <w:rPr>
          <w:iCs/>
          <w:sz w:val="22"/>
          <w:szCs w:val="22"/>
        </w:rPr>
        <w:t xml:space="preserve">Report </w:t>
      </w:r>
      <w:r w:rsidRPr="003F350E">
        <w:rPr>
          <w:sz w:val="22"/>
          <w:szCs w:val="22"/>
        </w:rPr>
        <w:t xml:space="preserve">does not require any information that could identify individual clients. Aggregate data on </w:t>
      </w:r>
      <w:r w:rsidRPr="003F350E" w:rsidR="00444B57">
        <w:rPr>
          <w:sz w:val="22"/>
          <w:szCs w:val="22"/>
        </w:rPr>
        <w:t xml:space="preserve">the </w:t>
      </w:r>
      <w:r w:rsidRPr="003F350E">
        <w:rPr>
          <w:sz w:val="22"/>
          <w:szCs w:val="22"/>
        </w:rPr>
        <w:t xml:space="preserve">number of </w:t>
      </w:r>
      <w:r w:rsidRPr="003F350E" w:rsidR="00444B57">
        <w:rPr>
          <w:sz w:val="22"/>
          <w:szCs w:val="22"/>
        </w:rPr>
        <w:t xml:space="preserve">clients who received </w:t>
      </w:r>
      <w:r w:rsidRPr="003F350E">
        <w:rPr>
          <w:sz w:val="22"/>
          <w:szCs w:val="22"/>
        </w:rPr>
        <w:t xml:space="preserve">services </w:t>
      </w:r>
      <w:r w:rsidR="00E310E4">
        <w:rPr>
          <w:sz w:val="22"/>
          <w:szCs w:val="22"/>
        </w:rPr>
        <w:t>are</w:t>
      </w:r>
      <w:r w:rsidRPr="003F350E">
        <w:rPr>
          <w:sz w:val="22"/>
          <w:szCs w:val="22"/>
        </w:rPr>
        <w:t xml:space="preserve"> be collected</w:t>
      </w:r>
      <w:r w:rsidRPr="003F350E" w:rsidR="00444B57">
        <w:rPr>
          <w:sz w:val="22"/>
          <w:szCs w:val="22"/>
        </w:rPr>
        <w:t>,</w:t>
      </w:r>
      <w:r w:rsidRPr="003F350E">
        <w:rPr>
          <w:sz w:val="22"/>
          <w:szCs w:val="22"/>
        </w:rPr>
        <w:t xml:space="preserve"> but </w:t>
      </w:r>
      <w:r w:rsidRPr="003F350E" w:rsidR="00444B57">
        <w:rPr>
          <w:sz w:val="22"/>
          <w:szCs w:val="22"/>
        </w:rPr>
        <w:t xml:space="preserve">client </w:t>
      </w:r>
      <w:r w:rsidRPr="003F350E">
        <w:rPr>
          <w:sz w:val="22"/>
          <w:szCs w:val="22"/>
        </w:rPr>
        <w:t xml:space="preserve">names </w:t>
      </w:r>
      <w:r w:rsidRPr="003F350E" w:rsidR="00444B57">
        <w:rPr>
          <w:sz w:val="22"/>
          <w:szCs w:val="22"/>
        </w:rPr>
        <w:t xml:space="preserve">or </w:t>
      </w:r>
      <w:r w:rsidRPr="003F350E" w:rsidR="00112CCF">
        <w:rPr>
          <w:sz w:val="22"/>
          <w:szCs w:val="22"/>
        </w:rPr>
        <w:t xml:space="preserve">other </w:t>
      </w:r>
      <w:r w:rsidRPr="003F350E">
        <w:rPr>
          <w:sz w:val="22"/>
          <w:szCs w:val="22"/>
        </w:rPr>
        <w:t>personal</w:t>
      </w:r>
      <w:r w:rsidRPr="003F350E" w:rsidR="00444B57">
        <w:rPr>
          <w:sz w:val="22"/>
          <w:szCs w:val="22"/>
        </w:rPr>
        <w:t>ly</w:t>
      </w:r>
      <w:r w:rsidRPr="003F350E">
        <w:rPr>
          <w:sz w:val="22"/>
          <w:szCs w:val="22"/>
        </w:rPr>
        <w:t xml:space="preserve"> identifi</w:t>
      </w:r>
      <w:r w:rsidRPr="003F350E" w:rsidR="00112CCF">
        <w:rPr>
          <w:sz w:val="22"/>
          <w:szCs w:val="22"/>
        </w:rPr>
        <w:t>able</w:t>
      </w:r>
      <w:r w:rsidRPr="003F350E">
        <w:rPr>
          <w:sz w:val="22"/>
          <w:szCs w:val="22"/>
        </w:rPr>
        <w:t xml:space="preserve"> </w:t>
      </w:r>
      <w:r w:rsidRPr="003F350E" w:rsidR="00112CCF">
        <w:rPr>
          <w:sz w:val="22"/>
          <w:szCs w:val="22"/>
        </w:rPr>
        <w:t xml:space="preserve">information </w:t>
      </w:r>
      <w:r w:rsidR="00E310E4">
        <w:rPr>
          <w:sz w:val="22"/>
          <w:szCs w:val="22"/>
        </w:rPr>
        <w:t>are</w:t>
      </w:r>
      <w:r w:rsidR="000D19AE">
        <w:rPr>
          <w:sz w:val="22"/>
          <w:szCs w:val="22"/>
        </w:rPr>
        <w:t xml:space="preserve"> </w:t>
      </w:r>
      <w:r w:rsidRPr="003F350E" w:rsidR="00112CCF">
        <w:rPr>
          <w:sz w:val="22"/>
          <w:szCs w:val="22"/>
        </w:rPr>
        <w:t>not</w:t>
      </w:r>
      <w:r w:rsidR="000D19AE">
        <w:rPr>
          <w:sz w:val="22"/>
          <w:szCs w:val="22"/>
        </w:rPr>
        <w:t xml:space="preserve"> </w:t>
      </w:r>
      <w:r w:rsidRPr="003F350E">
        <w:rPr>
          <w:sz w:val="22"/>
          <w:szCs w:val="22"/>
        </w:rPr>
        <w:t xml:space="preserve">collected. </w:t>
      </w:r>
      <w:r w:rsidRPr="003F350E" w:rsidR="0012347F">
        <w:rPr>
          <w:sz w:val="22"/>
          <w:szCs w:val="22"/>
        </w:rPr>
        <w:br/>
      </w:r>
    </w:p>
    <w:p w:rsidRPr="003F350E" w:rsidR="00B50A61" w:rsidP="00C0107A" w:rsidRDefault="009D0491" w14:paraId="7F2330EF" w14:textId="3FF1780F">
      <w:pPr>
        <w:numPr>
          <w:ilvl w:val="0"/>
          <w:numId w:val="1"/>
        </w:numPr>
        <w:spacing w:before="240"/>
        <w:rPr>
          <w:b/>
          <w:sz w:val="22"/>
          <w:szCs w:val="22"/>
        </w:rPr>
      </w:pPr>
      <w:r w:rsidRPr="003F350E">
        <w:rPr>
          <w:b/>
          <w:sz w:val="22"/>
          <w:szCs w:val="22"/>
          <w:u w:val="single"/>
        </w:rPr>
        <w:t xml:space="preserve">Justification for </w:t>
      </w:r>
      <w:r w:rsidRPr="003F350E" w:rsidR="009B3794">
        <w:rPr>
          <w:b/>
          <w:sz w:val="22"/>
          <w:szCs w:val="22"/>
          <w:u w:val="single"/>
        </w:rPr>
        <w:t xml:space="preserve">Sensitive </w:t>
      </w:r>
      <w:r w:rsidRPr="003F350E" w:rsidR="009E7063">
        <w:rPr>
          <w:b/>
          <w:sz w:val="22"/>
          <w:szCs w:val="22"/>
          <w:u w:val="single"/>
        </w:rPr>
        <w:t>Nature</w:t>
      </w:r>
    </w:p>
    <w:p w:rsidRPr="003F350E" w:rsidR="009B3794" w:rsidP="00B50A61" w:rsidRDefault="00090374" w14:paraId="04193874" w14:textId="623478F5">
      <w:pPr>
        <w:spacing w:before="240"/>
        <w:rPr>
          <w:sz w:val="22"/>
          <w:szCs w:val="22"/>
        </w:rPr>
      </w:pPr>
      <w:r w:rsidRPr="003F350E">
        <w:rPr>
          <w:sz w:val="22"/>
          <w:szCs w:val="22"/>
        </w:rPr>
        <w:t>There are no</w:t>
      </w:r>
      <w:r w:rsidRPr="003F350E" w:rsidR="009B3794">
        <w:rPr>
          <w:sz w:val="22"/>
          <w:szCs w:val="22"/>
        </w:rPr>
        <w:t xml:space="preserve"> </w:t>
      </w:r>
      <w:r w:rsidRPr="003F350E">
        <w:rPr>
          <w:sz w:val="22"/>
          <w:szCs w:val="22"/>
        </w:rPr>
        <w:t>questions of a sensitive nature</w:t>
      </w:r>
      <w:r w:rsidRPr="003F350E" w:rsidR="009B3794">
        <w:rPr>
          <w:sz w:val="22"/>
          <w:szCs w:val="22"/>
        </w:rPr>
        <w:t xml:space="preserve">. </w:t>
      </w:r>
      <w:r w:rsidRPr="003F350E" w:rsidR="0012347F">
        <w:rPr>
          <w:sz w:val="22"/>
          <w:szCs w:val="22"/>
        </w:rPr>
        <w:br/>
      </w:r>
    </w:p>
    <w:p w:rsidRPr="003F350E" w:rsidR="009B3794" w:rsidP="00C0107A" w:rsidRDefault="009B3794" w14:paraId="0769B9B3" w14:textId="6C3DB7DF">
      <w:pPr>
        <w:numPr>
          <w:ilvl w:val="0"/>
          <w:numId w:val="1"/>
        </w:numPr>
        <w:spacing w:before="240"/>
        <w:rPr>
          <w:b/>
          <w:sz w:val="22"/>
          <w:szCs w:val="22"/>
        </w:rPr>
      </w:pPr>
      <w:r w:rsidRPr="003F350E">
        <w:rPr>
          <w:b/>
          <w:sz w:val="22"/>
          <w:szCs w:val="22"/>
          <w:u w:val="single"/>
        </w:rPr>
        <w:t xml:space="preserve">Estimates of Annualized Hour Burden </w:t>
      </w:r>
      <w:r w:rsidRPr="003F350E" w:rsidR="004F2955">
        <w:rPr>
          <w:b/>
          <w:sz w:val="22"/>
          <w:szCs w:val="22"/>
          <w:u w:val="single"/>
        </w:rPr>
        <w:t>and Cost Burden</w:t>
      </w:r>
    </w:p>
    <w:p w:rsidRPr="003F350E" w:rsidR="0070633B" w:rsidP="0070633B" w:rsidRDefault="00E36A9F" w14:paraId="16C3C5B3" w14:textId="20C09135">
      <w:pPr>
        <w:spacing w:before="240"/>
        <w:rPr>
          <w:bCs/>
          <w:sz w:val="22"/>
          <w:szCs w:val="22"/>
        </w:rPr>
      </w:pPr>
      <w:r w:rsidRPr="003F350E">
        <w:rPr>
          <w:bCs/>
          <w:sz w:val="22"/>
          <w:szCs w:val="22"/>
        </w:rPr>
        <w:t xml:space="preserve">The estimated average annualized hour burden is </w:t>
      </w:r>
      <w:r w:rsidR="00602080">
        <w:rPr>
          <w:bCs/>
          <w:sz w:val="22"/>
          <w:szCs w:val="22"/>
        </w:rPr>
        <w:t xml:space="preserve">4,698 </w:t>
      </w:r>
      <w:r w:rsidRPr="003F350E">
        <w:rPr>
          <w:bCs/>
          <w:sz w:val="22"/>
          <w:szCs w:val="22"/>
        </w:rPr>
        <w:t xml:space="preserve">hours per year.  Burden estimates are broken out by recipient respondents as seen in Table 1: Estimates of Annualized Burden Hour by each data collection instrument: </w:t>
      </w:r>
      <w:r w:rsidRPr="003F350E" w:rsidR="00350DC2">
        <w:rPr>
          <w:bCs/>
          <w:sz w:val="22"/>
          <w:szCs w:val="22"/>
        </w:rPr>
        <w:t>Recipient</w:t>
      </w:r>
      <w:r w:rsidRPr="003F350E">
        <w:rPr>
          <w:bCs/>
          <w:sz w:val="22"/>
          <w:szCs w:val="22"/>
        </w:rPr>
        <w:t xml:space="preserve"> Report and Client-level Report.  Estimates from grant recipients are based on prior experience in collecting, maintaining, and reporting data using the data systems.</w:t>
      </w:r>
    </w:p>
    <w:p w:rsidRPr="003F350E" w:rsidR="0070633B" w:rsidP="0070633B" w:rsidRDefault="0070633B" w14:paraId="3C52FCEC" w14:textId="501C6439">
      <w:pPr>
        <w:spacing w:before="240"/>
        <w:rPr>
          <w:b/>
          <w:sz w:val="22"/>
          <w:szCs w:val="22"/>
        </w:rPr>
      </w:pPr>
      <w:r w:rsidRPr="003F350E">
        <w:rPr>
          <w:b/>
          <w:sz w:val="22"/>
          <w:szCs w:val="22"/>
        </w:rPr>
        <w:t>12A. Table 1: Estimated Annualized Burden Hours</w:t>
      </w:r>
    </w:p>
    <w:p w:rsidRPr="003F350E" w:rsidR="0070633B" w:rsidP="005F0537" w:rsidRDefault="0070633B" w14:paraId="6C316359" w14:textId="64CB4A86">
      <w:pPr>
        <w:spacing w:before="240"/>
        <w:rPr>
          <w:bCs/>
          <w:sz w:val="22"/>
          <w:szCs w:val="22"/>
        </w:rPr>
      </w:pPr>
      <w:r w:rsidRPr="003F350E">
        <w:rPr>
          <w:bCs/>
          <w:sz w:val="22"/>
          <w:szCs w:val="22"/>
        </w:rPr>
        <w:t>The estimated annual time and cost burdens to respondents are presented in the tables below:</w:t>
      </w:r>
    </w:p>
    <w:tbl>
      <w:tblPr>
        <w:tblW w:w="9765" w:type="dxa"/>
        <w:tblInd w:w="-85" w:type="dxa"/>
        <w:tblCellMar>
          <w:left w:w="0" w:type="dxa"/>
          <w:right w:w="0" w:type="dxa"/>
        </w:tblCellMar>
        <w:tblLook w:val="04A0" w:firstRow="1" w:lastRow="0" w:firstColumn="1" w:lastColumn="0" w:noHBand="0" w:noVBand="1"/>
      </w:tblPr>
      <w:tblGrid>
        <w:gridCol w:w="2258"/>
        <w:gridCol w:w="1539"/>
        <w:gridCol w:w="1629"/>
        <w:gridCol w:w="1446"/>
        <w:gridCol w:w="1446"/>
        <w:gridCol w:w="1447"/>
      </w:tblGrid>
      <w:tr w:rsidRPr="003F350E" w:rsidR="0070633B" w:rsidTr="0070633B" w14:paraId="097A2ABC" w14:textId="77777777">
        <w:trPr>
          <w:trHeight w:val="2021" w:hRule="exact"/>
        </w:trPr>
        <w:tc>
          <w:tcPr>
            <w:tcW w:w="2258" w:type="dxa"/>
            <w:tcBorders>
              <w:top w:val="single" w:color="000000" w:sz="8" w:space="0"/>
              <w:left w:val="single" w:color="auto" w:sz="8" w:space="0"/>
              <w:bottom w:val="single" w:color="000000" w:sz="8" w:space="0"/>
              <w:right w:val="single" w:color="000000" w:sz="8" w:space="0"/>
            </w:tcBorders>
            <w:vAlign w:val="center"/>
          </w:tcPr>
          <w:p w:rsidRPr="003F350E" w:rsidR="0070633B" w:rsidP="005F0537" w:rsidRDefault="0070633B" w14:paraId="5B4CDDD1" w14:textId="77777777">
            <w:pPr>
              <w:rPr>
                <w:sz w:val="22"/>
                <w:szCs w:val="22"/>
              </w:rPr>
            </w:pPr>
          </w:p>
          <w:p w:rsidRPr="003F350E" w:rsidR="0070633B" w:rsidP="005F0537" w:rsidRDefault="0070633B" w14:paraId="2EE68CF8" w14:textId="5420288F">
            <w:pPr>
              <w:ind w:left="324"/>
              <w:rPr>
                <w:b/>
                <w:bCs/>
                <w:sz w:val="22"/>
                <w:szCs w:val="22"/>
              </w:rPr>
            </w:pPr>
            <w:r w:rsidRPr="003F350E">
              <w:rPr>
                <w:b/>
                <w:bCs/>
                <w:sz w:val="22"/>
                <w:szCs w:val="22"/>
              </w:rPr>
              <w:t>ADR Data Collection</w:t>
            </w:r>
          </w:p>
        </w:tc>
        <w:tc>
          <w:tcPr>
            <w:tcW w:w="1539" w:type="dxa"/>
            <w:tcBorders>
              <w:top w:val="single" w:color="000000" w:sz="8" w:space="0"/>
              <w:left w:val="nil"/>
              <w:bottom w:val="single" w:color="000000" w:sz="8" w:space="0"/>
              <w:right w:val="single" w:color="000000" w:sz="8" w:space="0"/>
            </w:tcBorders>
            <w:vAlign w:val="center"/>
          </w:tcPr>
          <w:p w:rsidRPr="003F350E" w:rsidR="0070633B" w:rsidP="005F0537" w:rsidRDefault="0070633B" w14:paraId="5DBACB1A" w14:textId="77777777">
            <w:pPr>
              <w:jc w:val="center"/>
              <w:rPr>
                <w:sz w:val="22"/>
                <w:szCs w:val="22"/>
              </w:rPr>
            </w:pPr>
          </w:p>
          <w:p w:rsidRPr="003F350E" w:rsidR="0070633B" w:rsidP="005F0537" w:rsidRDefault="0070633B" w14:paraId="620E8972" w14:textId="77777777">
            <w:pPr>
              <w:spacing w:before="1"/>
              <w:jc w:val="center"/>
              <w:rPr>
                <w:sz w:val="22"/>
                <w:szCs w:val="22"/>
              </w:rPr>
            </w:pPr>
          </w:p>
          <w:p w:rsidRPr="003F350E" w:rsidR="0070633B" w:rsidP="005F0537" w:rsidRDefault="0070633B" w14:paraId="62BBD4EC" w14:textId="77777777">
            <w:pPr>
              <w:ind w:left="93" w:right="115" w:firstLine="86"/>
              <w:jc w:val="center"/>
              <w:rPr>
                <w:sz w:val="22"/>
                <w:szCs w:val="22"/>
              </w:rPr>
            </w:pPr>
            <w:r w:rsidRPr="003F350E">
              <w:rPr>
                <w:sz w:val="22"/>
                <w:szCs w:val="22"/>
              </w:rPr>
              <w:t>Number</w:t>
            </w:r>
            <w:r w:rsidRPr="003F350E">
              <w:rPr>
                <w:spacing w:val="12"/>
                <w:sz w:val="22"/>
                <w:szCs w:val="22"/>
              </w:rPr>
              <w:t xml:space="preserve"> </w:t>
            </w:r>
            <w:r w:rsidRPr="003F350E">
              <w:rPr>
                <w:sz w:val="22"/>
                <w:szCs w:val="22"/>
              </w:rPr>
              <w:t>of Respondents</w:t>
            </w:r>
          </w:p>
        </w:tc>
        <w:tc>
          <w:tcPr>
            <w:tcW w:w="1629" w:type="dxa"/>
            <w:tcBorders>
              <w:top w:val="single" w:color="000000" w:sz="8" w:space="0"/>
              <w:left w:val="nil"/>
              <w:bottom w:val="single" w:color="000000" w:sz="8" w:space="0"/>
              <w:right w:val="single" w:color="000000" w:sz="8" w:space="0"/>
            </w:tcBorders>
            <w:vAlign w:val="center"/>
          </w:tcPr>
          <w:p w:rsidRPr="003F350E" w:rsidR="0070633B" w:rsidP="005F0537" w:rsidRDefault="0070633B" w14:paraId="5AE43AE6" w14:textId="77777777">
            <w:pPr>
              <w:jc w:val="center"/>
              <w:rPr>
                <w:sz w:val="22"/>
                <w:szCs w:val="22"/>
              </w:rPr>
            </w:pPr>
          </w:p>
          <w:p w:rsidRPr="003F350E" w:rsidR="0070633B" w:rsidP="005F0537" w:rsidRDefault="0070633B" w14:paraId="00B4693E" w14:textId="77777777">
            <w:pPr>
              <w:ind w:left="201" w:right="206" w:firstLine="1"/>
              <w:jc w:val="center"/>
              <w:rPr>
                <w:sz w:val="22"/>
                <w:szCs w:val="22"/>
              </w:rPr>
            </w:pPr>
            <w:r w:rsidRPr="003F350E">
              <w:rPr>
                <w:sz w:val="22"/>
                <w:szCs w:val="22"/>
              </w:rPr>
              <w:t>Number</w:t>
            </w:r>
            <w:r w:rsidRPr="003F350E">
              <w:rPr>
                <w:spacing w:val="6"/>
                <w:sz w:val="22"/>
                <w:szCs w:val="22"/>
              </w:rPr>
              <w:t xml:space="preserve"> </w:t>
            </w:r>
            <w:r w:rsidRPr="003F350E">
              <w:rPr>
                <w:sz w:val="22"/>
                <w:szCs w:val="22"/>
              </w:rPr>
              <w:t>of Responses</w:t>
            </w:r>
            <w:r w:rsidRPr="003F350E">
              <w:rPr>
                <w:spacing w:val="-19"/>
                <w:sz w:val="22"/>
                <w:szCs w:val="22"/>
              </w:rPr>
              <w:t xml:space="preserve"> </w:t>
            </w:r>
            <w:r w:rsidRPr="003F350E">
              <w:rPr>
                <w:sz w:val="22"/>
                <w:szCs w:val="22"/>
              </w:rPr>
              <w:t>per Respondent</w:t>
            </w:r>
          </w:p>
        </w:tc>
        <w:tc>
          <w:tcPr>
            <w:tcW w:w="1446" w:type="dxa"/>
            <w:tcBorders>
              <w:top w:val="single" w:color="000000" w:sz="8" w:space="0"/>
              <w:left w:val="nil"/>
              <w:bottom w:val="single" w:color="000000" w:sz="8" w:space="0"/>
              <w:right w:val="single" w:color="000000" w:sz="8" w:space="0"/>
            </w:tcBorders>
            <w:vAlign w:val="center"/>
          </w:tcPr>
          <w:p w:rsidRPr="003F350E" w:rsidR="0070633B" w:rsidP="005F0537" w:rsidRDefault="0070633B" w14:paraId="24362147" w14:textId="77777777">
            <w:pPr>
              <w:jc w:val="center"/>
              <w:rPr>
                <w:sz w:val="22"/>
                <w:szCs w:val="22"/>
              </w:rPr>
            </w:pPr>
          </w:p>
          <w:p w:rsidRPr="003F350E" w:rsidR="0070633B" w:rsidP="005F0537" w:rsidRDefault="0070633B" w14:paraId="4BA76BA6" w14:textId="77777777">
            <w:pPr>
              <w:spacing w:before="1"/>
              <w:jc w:val="center"/>
              <w:rPr>
                <w:sz w:val="22"/>
                <w:szCs w:val="22"/>
              </w:rPr>
            </w:pPr>
          </w:p>
          <w:p w:rsidRPr="003F350E" w:rsidR="0070633B" w:rsidP="005F0537" w:rsidRDefault="0070633B" w14:paraId="70D98FE3" w14:textId="77777777">
            <w:pPr>
              <w:ind w:right="220"/>
              <w:jc w:val="center"/>
              <w:rPr>
                <w:sz w:val="22"/>
                <w:szCs w:val="22"/>
              </w:rPr>
            </w:pPr>
            <w:r w:rsidRPr="003F350E">
              <w:rPr>
                <w:sz w:val="22"/>
                <w:szCs w:val="22"/>
              </w:rPr>
              <w:t>Total Responses</w:t>
            </w:r>
          </w:p>
        </w:tc>
        <w:tc>
          <w:tcPr>
            <w:tcW w:w="1446" w:type="dxa"/>
            <w:tcBorders>
              <w:top w:val="single" w:color="000000" w:sz="8" w:space="0"/>
              <w:left w:val="nil"/>
              <w:bottom w:val="single" w:color="000000" w:sz="8" w:space="0"/>
              <w:right w:val="single" w:color="000000" w:sz="8" w:space="0"/>
            </w:tcBorders>
            <w:vAlign w:val="center"/>
            <w:hideMark/>
          </w:tcPr>
          <w:p w:rsidRPr="003F350E" w:rsidR="0070633B" w:rsidP="005F0537" w:rsidRDefault="0070633B" w14:paraId="6571F20C" w14:textId="77777777">
            <w:pPr>
              <w:ind w:left="122" w:right="128" w:hanging="10"/>
              <w:jc w:val="center"/>
              <w:rPr>
                <w:sz w:val="22"/>
                <w:szCs w:val="22"/>
              </w:rPr>
            </w:pPr>
            <w:r w:rsidRPr="003F350E">
              <w:rPr>
                <w:sz w:val="22"/>
                <w:szCs w:val="22"/>
              </w:rPr>
              <w:t>Average burden per response (in hours)</w:t>
            </w:r>
          </w:p>
        </w:tc>
        <w:tc>
          <w:tcPr>
            <w:tcW w:w="1447" w:type="dxa"/>
            <w:tcBorders>
              <w:top w:val="single" w:color="000000" w:sz="8" w:space="0"/>
              <w:left w:val="nil"/>
              <w:bottom w:val="single" w:color="000000" w:sz="8" w:space="0"/>
              <w:right w:val="single" w:color="000000" w:sz="8" w:space="0"/>
            </w:tcBorders>
            <w:vAlign w:val="center"/>
          </w:tcPr>
          <w:p w:rsidRPr="003F350E" w:rsidR="0070633B" w:rsidP="005F0537" w:rsidRDefault="0070633B" w14:paraId="5F5F967E" w14:textId="77777777">
            <w:pPr>
              <w:jc w:val="center"/>
              <w:rPr>
                <w:sz w:val="22"/>
                <w:szCs w:val="22"/>
              </w:rPr>
            </w:pPr>
          </w:p>
          <w:p w:rsidRPr="003F350E" w:rsidR="0070633B" w:rsidP="005F0537" w:rsidRDefault="0070633B" w14:paraId="711D3B55" w14:textId="77777777">
            <w:pPr>
              <w:ind w:left="352" w:right="367" w:firstLine="4"/>
              <w:jc w:val="center"/>
              <w:rPr>
                <w:sz w:val="22"/>
                <w:szCs w:val="22"/>
              </w:rPr>
            </w:pPr>
            <w:r w:rsidRPr="003F350E">
              <w:rPr>
                <w:sz w:val="22"/>
                <w:szCs w:val="22"/>
              </w:rPr>
              <w:t>Total Burden Hours</w:t>
            </w:r>
          </w:p>
        </w:tc>
      </w:tr>
      <w:tr w:rsidRPr="003F350E" w:rsidR="0070633B" w:rsidTr="0070633B" w14:paraId="4C97B173" w14:textId="77777777">
        <w:trPr>
          <w:trHeight w:val="445"/>
        </w:trPr>
        <w:tc>
          <w:tcPr>
            <w:tcW w:w="2258" w:type="dxa"/>
            <w:tcBorders>
              <w:top w:val="nil"/>
              <w:left w:val="single" w:color="auto" w:sz="8" w:space="0"/>
              <w:bottom w:val="single" w:color="000000" w:sz="8" w:space="0"/>
              <w:right w:val="single" w:color="000000" w:sz="8" w:space="0"/>
            </w:tcBorders>
            <w:hideMark/>
          </w:tcPr>
          <w:p w:rsidRPr="003F350E" w:rsidR="0070633B" w:rsidP="005F0537" w:rsidRDefault="0070633B" w14:paraId="2EC635B4" w14:textId="70CF2A78">
            <w:pPr>
              <w:spacing w:before="1"/>
              <w:ind w:left="165" w:right="684"/>
              <w:rPr>
                <w:sz w:val="22"/>
                <w:szCs w:val="22"/>
              </w:rPr>
            </w:pPr>
            <w:r w:rsidRPr="003F350E">
              <w:rPr>
                <w:sz w:val="22"/>
                <w:szCs w:val="22"/>
              </w:rPr>
              <w:t>Grantee Report</w:t>
            </w:r>
          </w:p>
        </w:tc>
        <w:tc>
          <w:tcPr>
            <w:tcW w:w="1539" w:type="dxa"/>
            <w:tcBorders>
              <w:top w:val="nil"/>
              <w:left w:val="nil"/>
              <w:bottom w:val="single" w:color="000000" w:sz="8" w:space="0"/>
              <w:right w:val="single" w:color="000000" w:sz="8" w:space="0"/>
            </w:tcBorders>
            <w:vAlign w:val="center"/>
            <w:hideMark/>
          </w:tcPr>
          <w:p w:rsidRPr="003F350E" w:rsidR="0070633B" w:rsidP="005F0537" w:rsidRDefault="0070633B" w14:paraId="05071834" w14:textId="4841FFB3">
            <w:pPr>
              <w:jc w:val="center"/>
              <w:rPr>
                <w:sz w:val="22"/>
                <w:szCs w:val="22"/>
              </w:rPr>
            </w:pPr>
            <w:r w:rsidRPr="003F350E">
              <w:rPr>
                <w:sz w:val="22"/>
                <w:szCs w:val="22"/>
              </w:rPr>
              <w:t>54</w:t>
            </w:r>
          </w:p>
        </w:tc>
        <w:tc>
          <w:tcPr>
            <w:tcW w:w="1629" w:type="dxa"/>
            <w:tcBorders>
              <w:top w:val="nil"/>
              <w:left w:val="nil"/>
              <w:bottom w:val="single" w:color="000000" w:sz="8" w:space="0"/>
              <w:right w:val="single" w:color="000000" w:sz="8" w:space="0"/>
            </w:tcBorders>
            <w:vAlign w:val="center"/>
            <w:hideMark/>
          </w:tcPr>
          <w:p w:rsidRPr="003F350E" w:rsidR="0070633B" w:rsidP="005F0537" w:rsidRDefault="0070633B" w14:paraId="7C38463F" w14:textId="77777777">
            <w:pPr>
              <w:ind w:right="5"/>
              <w:jc w:val="center"/>
              <w:rPr>
                <w:sz w:val="22"/>
                <w:szCs w:val="22"/>
              </w:rPr>
            </w:pPr>
            <w:r w:rsidRPr="003F350E">
              <w:rPr>
                <w:sz w:val="22"/>
                <w:szCs w:val="22"/>
              </w:rPr>
              <w:t>1</w:t>
            </w:r>
          </w:p>
        </w:tc>
        <w:tc>
          <w:tcPr>
            <w:tcW w:w="1446" w:type="dxa"/>
            <w:tcBorders>
              <w:top w:val="nil"/>
              <w:left w:val="nil"/>
              <w:bottom w:val="single" w:color="000000" w:sz="8" w:space="0"/>
              <w:right w:val="single" w:color="000000" w:sz="8" w:space="0"/>
            </w:tcBorders>
            <w:vAlign w:val="center"/>
            <w:hideMark/>
          </w:tcPr>
          <w:p w:rsidRPr="003F350E" w:rsidR="0070633B" w:rsidP="005F0537" w:rsidRDefault="0070633B" w14:paraId="15EBEA68" w14:textId="32E9DAC5">
            <w:pPr>
              <w:jc w:val="center"/>
              <w:rPr>
                <w:sz w:val="22"/>
                <w:szCs w:val="22"/>
              </w:rPr>
            </w:pPr>
            <w:r w:rsidRPr="003F350E">
              <w:rPr>
                <w:sz w:val="22"/>
                <w:szCs w:val="22"/>
              </w:rPr>
              <w:t>54</w:t>
            </w:r>
          </w:p>
        </w:tc>
        <w:tc>
          <w:tcPr>
            <w:tcW w:w="1446" w:type="dxa"/>
            <w:tcBorders>
              <w:top w:val="nil"/>
              <w:left w:val="nil"/>
              <w:bottom w:val="single" w:color="000000" w:sz="8" w:space="0"/>
              <w:right w:val="single" w:color="000000" w:sz="8" w:space="0"/>
            </w:tcBorders>
            <w:vAlign w:val="center"/>
            <w:hideMark/>
          </w:tcPr>
          <w:p w:rsidRPr="003F350E" w:rsidR="0070633B" w:rsidP="005F0537" w:rsidRDefault="0070633B" w14:paraId="168C53A7" w14:textId="3111842C">
            <w:pPr>
              <w:jc w:val="center"/>
              <w:rPr>
                <w:sz w:val="22"/>
                <w:szCs w:val="22"/>
              </w:rPr>
            </w:pPr>
            <w:r w:rsidRPr="003F350E">
              <w:rPr>
                <w:sz w:val="22"/>
                <w:szCs w:val="22"/>
              </w:rPr>
              <w:t>6</w:t>
            </w:r>
          </w:p>
        </w:tc>
        <w:tc>
          <w:tcPr>
            <w:tcW w:w="1447" w:type="dxa"/>
            <w:tcBorders>
              <w:top w:val="nil"/>
              <w:left w:val="nil"/>
              <w:bottom w:val="single" w:color="000000" w:sz="8" w:space="0"/>
              <w:right w:val="single" w:color="000000" w:sz="8" w:space="0"/>
            </w:tcBorders>
            <w:vAlign w:val="center"/>
            <w:hideMark/>
          </w:tcPr>
          <w:p w:rsidRPr="003F350E" w:rsidR="0070633B" w:rsidP="005F0537" w:rsidRDefault="0070633B" w14:paraId="2071E62B" w14:textId="5899673E">
            <w:pPr>
              <w:jc w:val="center"/>
              <w:rPr>
                <w:sz w:val="22"/>
                <w:szCs w:val="22"/>
              </w:rPr>
            </w:pPr>
            <w:r w:rsidRPr="003F350E">
              <w:rPr>
                <w:sz w:val="22"/>
                <w:szCs w:val="22"/>
              </w:rPr>
              <w:t>324</w:t>
            </w:r>
          </w:p>
        </w:tc>
      </w:tr>
      <w:tr w:rsidRPr="003F350E" w:rsidR="0070633B" w:rsidTr="0070633B" w14:paraId="136E9085" w14:textId="77777777">
        <w:trPr>
          <w:trHeight w:val="445"/>
        </w:trPr>
        <w:tc>
          <w:tcPr>
            <w:tcW w:w="2258" w:type="dxa"/>
            <w:tcBorders>
              <w:top w:val="nil"/>
              <w:left w:val="single" w:color="auto" w:sz="8" w:space="0"/>
              <w:bottom w:val="single" w:color="000000" w:sz="8" w:space="0"/>
              <w:right w:val="single" w:color="000000" w:sz="8" w:space="0"/>
            </w:tcBorders>
            <w:hideMark/>
          </w:tcPr>
          <w:p w:rsidRPr="003F350E" w:rsidR="0070633B" w:rsidP="005F0537" w:rsidRDefault="0070633B" w14:paraId="727F5A99" w14:textId="67B32D94">
            <w:pPr>
              <w:ind w:left="165"/>
              <w:rPr>
                <w:sz w:val="22"/>
                <w:szCs w:val="22"/>
              </w:rPr>
            </w:pPr>
            <w:r w:rsidRPr="003F350E">
              <w:rPr>
                <w:sz w:val="22"/>
                <w:szCs w:val="22"/>
              </w:rPr>
              <w:t>Client-level Report</w:t>
            </w:r>
          </w:p>
        </w:tc>
        <w:tc>
          <w:tcPr>
            <w:tcW w:w="1539" w:type="dxa"/>
            <w:tcBorders>
              <w:top w:val="nil"/>
              <w:left w:val="nil"/>
              <w:bottom w:val="single" w:color="000000" w:sz="8" w:space="0"/>
              <w:right w:val="single" w:color="000000" w:sz="8" w:space="0"/>
            </w:tcBorders>
            <w:vAlign w:val="center"/>
            <w:hideMark/>
          </w:tcPr>
          <w:p w:rsidRPr="003F350E" w:rsidR="0070633B" w:rsidP="005F0537" w:rsidRDefault="0070633B" w14:paraId="1AC386E9" w14:textId="22FBF2CF">
            <w:pPr>
              <w:jc w:val="center"/>
              <w:rPr>
                <w:sz w:val="22"/>
                <w:szCs w:val="22"/>
              </w:rPr>
            </w:pPr>
            <w:r w:rsidRPr="003F350E">
              <w:rPr>
                <w:sz w:val="22"/>
                <w:szCs w:val="22"/>
              </w:rPr>
              <w:t>54</w:t>
            </w:r>
          </w:p>
        </w:tc>
        <w:tc>
          <w:tcPr>
            <w:tcW w:w="1629" w:type="dxa"/>
            <w:tcBorders>
              <w:top w:val="nil"/>
              <w:left w:val="nil"/>
              <w:bottom w:val="single" w:color="000000" w:sz="8" w:space="0"/>
              <w:right w:val="single" w:color="000000" w:sz="8" w:space="0"/>
            </w:tcBorders>
            <w:vAlign w:val="center"/>
            <w:hideMark/>
          </w:tcPr>
          <w:p w:rsidRPr="003F350E" w:rsidR="0070633B" w:rsidP="005F0537" w:rsidRDefault="0070633B" w14:paraId="5A1B5EB4" w14:textId="77777777">
            <w:pPr>
              <w:jc w:val="center"/>
              <w:rPr>
                <w:sz w:val="22"/>
                <w:szCs w:val="22"/>
              </w:rPr>
            </w:pPr>
            <w:r w:rsidRPr="003F350E">
              <w:rPr>
                <w:sz w:val="22"/>
                <w:szCs w:val="22"/>
              </w:rPr>
              <w:t>1</w:t>
            </w:r>
          </w:p>
        </w:tc>
        <w:tc>
          <w:tcPr>
            <w:tcW w:w="1446" w:type="dxa"/>
            <w:tcBorders>
              <w:top w:val="nil"/>
              <w:left w:val="nil"/>
              <w:bottom w:val="single" w:color="000000" w:sz="8" w:space="0"/>
              <w:right w:val="single" w:color="000000" w:sz="8" w:space="0"/>
            </w:tcBorders>
            <w:vAlign w:val="center"/>
            <w:hideMark/>
          </w:tcPr>
          <w:p w:rsidRPr="003F350E" w:rsidR="0070633B" w:rsidP="005F0537" w:rsidRDefault="0070633B" w14:paraId="670CF2DC" w14:textId="599E99EE">
            <w:pPr>
              <w:jc w:val="center"/>
              <w:rPr>
                <w:sz w:val="22"/>
                <w:szCs w:val="22"/>
              </w:rPr>
            </w:pPr>
            <w:r w:rsidRPr="003F350E">
              <w:rPr>
                <w:sz w:val="22"/>
                <w:szCs w:val="22"/>
              </w:rPr>
              <w:t>54</w:t>
            </w:r>
          </w:p>
        </w:tc>
        <w:tc>
          <w:tcPr>
            <w:tcW w:w="1446" w:type="dxa"/>
            <w:tcBorders>
              <w:top w:val="nil"/>
              <w:left w:val="nil"/>
              <w:bottom w:val="single" w:color="000000" w:sz="8" w:space="0"/>
              <w:right w:val="single" w:color="000000" w:sz="8" w:space="0"/>
            </w:tcBorders>
            <w:vAlign w:val="center"/>
            <w:hideMark/>
          </w:tcPr>
          <w:p w:rsidRPr="003F350E" w:rsidR="0070633B" w:rsidP="005F0537" w:rsidRDefault="0078165A" w14:paraId="76CDC918" w14:textId="2F99AF0C">
            <w:pPr>
              <w:jc w:val="center"/>
              <w:rPr>
                <w:sz w:val="22"/>
                <w:szCs w:val="22"/>
              </w:rPr>
            </w:pPr>
            <w:r>
              <w:rPr>
                <w:sz w:val="22"/>
                <w:szCs w:val="22"/>
              </w:rPr>
              <w:t>81</w:t>
            </w:r>
          </w:p>
        </w:tc>
        <w:tc>
          <w:tcPr>
            <w:tcW w:w="1447" w:type="dxa"/>
            <w:tcBorders>
              <w:top w:val="nil"/>
              <w:left w:val="nil"/>
              <w:bottom w:val="single" w:color="000000" w:sz="8" w:space="0"/>
              <w:right w:val="single" w:color="000000" w:sz="8" w:space="0"/>
            </w:tcBorders>
            <w:vAlign w:val="center"/>
            <w:hideMark/>
          </w:tcPr>
          <w:p w:rsidRPr="003F350E" w:rsidR="0070633B" w:rsidP="005F0537" w:rsidRDefault="0078165A" w14:paraId="4FA8A27E" w14:textId="2AE8FE0C">
            <w:pPr>
              <w:jc w:val="center"/>
              <w:rPr>
                <w:sz w:val="22"/>
                <w:szCs w:val="22"/>
              </w:rPr>
            </w:pPr>
            <w:r>
              <w:rPr>
                <w:sz w:val="22"/>
                <w:szCs w:val="22"/>
              </w:rPr>
              <w:t>4,37</w:t>
            </w:r>
            <w:r w:rsidR="008D0995">
              <w:rPr>
                <w:sz w:val="22"/>
                <w:szCs w:val="22"/>
              </w:rPr>
              <w:t>4</w:t>
            </w:r>
          </w:p>
        </w:tc>
      </w:tr>
      <w:tr w:rsidRPr="003F350E" w:rsidR="0070633B" w:rsidTr="0070633B" w14:paraId="4A91C345" w14:textId="77777777">
        <w:trPr>
          <w:trHeight w:val="340" w:hRule="exact"/>
        </w:trPr>
        <w:tc>
          <w:tcPr>
            <w:tcW w:w="2258" w:type="dxa"/>
            <w:tcBorders>
              <w:top w:val="nil"/>
              <w:left w:val="single" w:color="auto" w:sz="8" w:space="0"/>
              <w:bottom w:val="single" w:color="000000" w:sz="8" w:space="0"/>
              <w:right w:val="single" w:color="000000" w:sz="8" w:space="0"/>
            </w:tcBorders>
            <w:hideMark/>
          </w:tcPr>
          <w:p w:rsidRPr="003F350E" w:rsidR="0070633B" w:rsidP="005F0537" w:rsidRDefault="0070633B" w14:paraId="2CAAC8B3" w14:textId="77777777">
            <w:pPr>
              <w:ind w:left="165"/>
              <w:rPr>
                <w:b/>
                <w:bCs/>
                <w:sz w:val="22"/>
                <w:szCs w:val="22"/>
              </w:rPr>
            </w:pPr>
            <w:r w:rsidRPr="003F350E">
              <w:rPr>
                <w:b/>
                <w:bCs/>
                <w:sz w:val="22"/>
                <w:szCs w:val="22"/>
              </w:rPr>
              <w:t>Total</w:t>
            </w:r>
          </w:p>
        </w:tc>
        <w:tc>
          <w:tcPr>
            <w:tcW w:w="1539" w:type="dxa"/>
            <w:tcBorders>
              <w:top w:val="nil"/>
              <w:left w:val="nil"/>
              <w:bottom w:val="single" w:color="000000" w:sz="8" w:space="0"/>
              <w:right w:val="single" w:color="000000" w:sz="8" w:space="0"/>
            </w:tcBorders>
            <w:vAlign w:val="center"/>
          </w:tcPr>
          <w:p w:rsidRPr="003F350E" w:rsidR="0070633B" w:rsidP="005F0537" w:rsidRDefault="00983221" w14:paraId="2EE24C53" w14:textId="6B24CDE0">
            <w:pPr>
              <w:jc w:val="center"/>
              <w:rPr>
                <w:b/>
                <w:bCs/>
                <w:sz w:val="22"/>
                <w:szCs w:val="22"/>
              </w:rPr>
            </w:pPr>
            <w:r>
              <w:rPr>
                <w:b/>
                <w:bCs/>
                <w:sz w:val="22"/>
                <w:szCs w:val="22"/>
              </w:rPr>
              <w:t>54</w:t>
            </w:r>
          </w:p>
        </w:tc>
        <w:tc>
          <w:tcPr>
            <w:tcW w:w="1629" w:type="dxa"/>
            <w:tcBorders>
              <w:top w:val="nil"/>
              <w:left w:val="nil"/>
              <w:bottom w:val="single" w:color="000000" w:sz="8" w:space="0"/>
              <w:right w:val="single" w:color="000000" w:sz="8" w:space="0"/>
            </w:tcBorders>
            <w:vAlign w:val="center"/>
          </w:tcPr>
          <w:p w:rsidRPr="003F350E" w:rsidR="0070633B" w:rsidP="005F0537" w:rsidRDefault="0070633B" w14:paraId="3A96E910" w14:textId="661335AE">
            <w:pPr>
              <w:jc w:val="center"/>
              <w:rPr>
                <w:b/>
                <w:bCs/>
                <w:sz w:val="22"/>
                <w:szCs w:val="22"/>
              </w:rPr>
            </w:pPr>
          </w:p>
        </w:tc>
        <w:tc>
          <w:tcPr>
            <w:tcW w:w="1446" w:type="dxa"/>
            <w:tcBorders>
              <w:top w:val="nil"/>
              <w:left w:val="nil"/>
              <w:bottom w:val="single" w:color="000000" w:sz="8" w:space="0"/>
              <w:right w:val="single" w:color="000000" w:sz="8" w:space="0"/>
            </w:tcBorders>
            <w:vAlign w:val="center"/>
          </w:tcPr>
          <w:p w:rsidRPr="003F350E" w:rsidR="0070633B" w:rsidP="005F0537" w:rsidRDefault="00546644" w14:paraId="4A77EDA5" w14:textId="73021618">
            <w:pPr>
              <w:jc w:val="center"/>
              <w:rPr>
                <w:b/>
                <w:bCs/>
                <w:sz w:val="22"/>
                <w:szCs w:val="22"/>
              </w:rPr>
            </w:pPr>
            <w:r>
              <w:rPr>
                <w:b/>
                <w:bCs/>
                <w:sz w:val="22"/>
                <w:szCs w:val="22"/>
              </w:rPr>
              <w:t>54</w:t>
            </w:r>
          </w:p>
        </w:tc>
        <w:tc>
          <w:tcPr>
            <w:tcW w:w="1446" w:type="dxa"/>
            <w:tcBorders>
              <w:top w:val="nil"/>
              <w:left w:val="nil"/>
              <w:bottom w:val="single" w:color="000000" w:sz="8" w:space="0"/>
              <w:right w:val="single" w:color="000000" w:sz="8" w:space="0"/>
            </w:tcBorders>
            <w:vAlign w:val="center"/>
            <w:hideMark/>
          </w:tcPr>
          <w:p w:rsidRPr="003F350E" w:rsidR="0070633B" w:rsidP="005F0537" w:rsidRDefault="0070633B" w14:paraId="75E49CD1" w14:textId="7E535FF6">
            <w:pPr>
              <w:jc w:val="center"/>
              <w:rPr>
                <w:sz w:val="22"/>
                <w:szCs w:val="22"/>
              </w:rPr>
            </w:pPr>
          </w:p>
        </w:tc>
        <w:tc>
          <w:tcPr>
            <w:tcW w:w="1447" w:type="dxa"/>
            <w:tcBorders>
              <w:top w:val="nil"/>
              <w:left w:val="nil"/>
              <w:bottom w:val="single" w:color="000000" w:sz="8" w:space="0"/>
              <w:right w:val="single" w:color="000000" w:sz="8" w:space="0"/>
            </w:tcBorders>
            <w:vAlign w:val="center"/>
            <w:hideMark/>
          </w:tcPr>
          <w:p w:rsidRPr="003F350E" w:rsidR="0070633B" w:rsidP="005F0537" w:rsidRDefault="0078165A" w14:paraId="5E6101DF" w14:textId="5F955986">
            <w:pPr>
              <w:jc w:val="center"/>
              <w:rPr>
                <w:b/>
                <w:bCs/>
                <w:sz w:val="22"/>
                <w:szCs w:val="22"/>
              </w:rPr>
            </w:pPr>
            <w:r>
              <w:rPr>
                <w:b/>
                <w:bCs/>
                <w:sz w:val="22"/>
                <w:szCs w:val="22"/>
              </w:rPr>
              <w:t>4,698</w:t>
            </w:r>
          </w:p>
        </w:tc>
      </w:tr>
    </w:tbl>
    <w:p w:rsidRPr="003F350E" w:rsidR="0070633B" w:rsidP="005F0537" w:rsidRDefault="0070633B" w14:paraId="24333389" w14:textId="31786864">
      <w:pPr>
        <w:spacing w:before="240"/>
        <w:rPr>
          <w:b/>
          <w:sz w:val="22"/>
          <w:szCs w:val="22"/>
        </w:rPr>
      </w:pPr>
      <w:r w:rsidRPr="003F350E">
        <w:rPr>
          <w:b/>
          <w:sz w:val="22"/>
          <w:szCs w:val="22"/>
        </w:rPr>
        <w:t>12B. Estimated Annualized Burden Costs</w:t>
      </w:r>
    </w:p>
    <w:p w:rsidRPr="003F350E" w:rsidR="005F0537" w:rsidP="005F0537" w:rsidRDefault="005F0537" w14:paraId="1575634A" w14:textId="00DD841A">
      <w:pPr>
        <w:spacing w:before="240"/>
        <w:rPr>
          <w:bCs/>
          <w:sz w:val="22"/>
          <w:szCs w:val="22"/>
        </w:rPr>
      </w:pPr>
      <w:r w:rsidRPr="003F350E">
        <w:rPr>
          <w:bCs/>
          <w:sz w:val="22"/>
          <w:szCs w:val="22"/>
        </w:rPr>
        <w:t xml:space="preserve">The annualized burden costs for recipients is based on the May 2019 National Occupational Employment and Wage Estimates by the Bureau of Labor, https://www.bls.gov/oes/current/oes_nat.htm. The respondent, a healthcare support worker (occupational code 31-9099), takes </w:t>
      </w:r>
      <w:r w:rsidR="000919E9">
        <w:rPr>
          <w:bCs/>
          <w:sz w:val="22"/>
          <w:szCs w:val="22"/>
        </w:rPr>
        <w:t>8</w:t>
      </w:r>
      <w:r w:rsidR="00917A06">
        <w:rPr>
          <w:bCs/>
          <w:sz w:val="22"/>
          <w:szCs w:val="22"/>
        </w:rPr>
        <w:t>7</w:t>
      </w:r>
      <w:r w:rsidR="000919E9">
        <w:rPr>
          <w:bCs/>
          <w:sz w:val="22"/>
          <w:szCs w:val="22"/>
        </w:rPr>
        <w:t xml:space="preserve"> hours </w:t>
      </w:r>
      <w:r w:rsidR="00917A06">
        <w:rPr>
          <w:bCs/>
          <w:sz w:val="22"/>
          <w:szCs w:val="22"/>
        </w:rPr>
        <w:t xml:space="preserve">(4,698 hours </w:t>
      </w:r>
      <w:r w:rsidRPr="003F350E">
        <w:rPr>
          <w:bCs/>
          <w:sz w:val="22"/>
          <w:szCs w:val="22"/>
        </w:rPr>
        <w:t>in total for all respondents</w:t>
      </w:r>
      <w:r w:rsidR="00917A06">
        <w:rPr>
          <w:bCs/>
          <w:sz w:val="22"/>
          <w:szCs w:val="22"/>
        </w:rPr>
        <w:t>)</w:t>
      </w:r>
      <w:r w:rsidRPr="003F350E">
        <w:rPr>
          <w:bCs/>
          <w:sz w:val="22"/>
          <w:szCs w:val="22"/>
        </w:rPr>
        <w:t xml:space="preserve"> annually to complete the </w:t>
      </w:r>
      <w:r w:rsidRPr="003F350E" w:rsidR="00517CB6">
        <w:rPr>
          <w:bCs/>
          <w:sz w:val="22"/>
          <w:szCs w:val="22"/>
        </w:rPr>
        <w:t>ADR</w:t>
      </w:r>
      <w:r w:rsidRPr="003F350E">
        <w:rPr>
          <w:bCs/>
          <w:sz w:val="22"/>
          <w:szCs w:val="22"/>
        </w:rPr>
        <w:t xml:space="preserve"> data collection at a labor rate of $18.80 per hour.</w:t>
      </w:r>
      <w:r w:rsidR="00204ADB">
        <w:rPr>
          <w:bCs/>
          <w:sz w:val="22"/>
          <w:szCs w:val="22"/>
        </w:rPr>
        <w:t xml:space="preserve"> The net total hour cost</w:t>
      </w:r>
      <w:r w:rsidR="00F10C15">
        <w:rPr>
          <w:bCs/>
          <w:sz w:val="22"/>
          <w:szCs w:val="22"/>
        </w:rPr>
        <w:t>, $88,322.4, is double to account for employer overhead and fringe benefits, yielding a total hour cost of $176,644.80.</w:t>
      </w:r>
    </w:p>
    <w:p w:rsidRPr="003F350E" w:rsidR="00350DC2" w:rsidP="005F0537" w:rsidRDefault="00517CB6" w14:paraId="74E03DD7" w14:textId="02A47FD5">
      <w:pPr>
        <w:spacing w:before="240"/>
        <w:rPr>
          <w:b/>
          <w:sz w:val="22"/>
          <w:szCs w:val="22"/>
        </w:rPr>
      </w:pPr>
      <w:r w:rsidRPr="003F350E">
        <w:rPr>
          <w:b/>
          <w:sz w:val="22"/>
          <w:szCs w:val="22"/>
        </w:rPr>
        <w:t>Table 2: Estimated Annualized Burden Costs</w:t>
      </w:r>
    </w:p>
    <w:tbl>
      <w:tblPr>
        <w:tblW w:w="9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27"/>
        <w:gridCol w:w="2238"/>
        <w:gridCol w:w="2174"/>
        <w:gridCol w:w="3206"/>
      </w:tblGrid>
      <w:tr w:rsidRPr="003F350E" w:rsidR="005F0537" w:rsidTr="00A96CA2" w14:paraId="6DFBA122" w14:textId="77777777">
        <w:tc>
          <w:tcPr>
            <w:tcW w:w="1627" w:type="dxa"/>
            <w:vAlign w:val="center"/>
          </w:tcPr>
          <w:p w:rsidRPr="003F350E" w:rsidR="005F0537" w:rsidP="00DC5740" w:rsidRDefault="005F0537" w14:paraId="6330A830" w14:textId="77777777">
            <w:pPr>
              <w:jc w:val="center"/>
              <w:rPr>
                <w:sz w:val="22"/>
                <w:szCs w:val="22"/>
              </w:rPr>
            </w:pPr>
            <w:r w:rsidRPr="003F350E">
              <w:rPr>
                <w:sz w:val="22"/>
                <w:szCs w:val="22"/>
              </w:rPr>
              <w:t>Form Name</w:t>
            </w:r>
          </w:p>
        </w:tc>
        <w:tc>
          <w:tcPr>
            <w:tcW w:w="2238" w:type="dxa"/>
            <w:vAlign w:val="center"/>
          </w:tcPr>
          <w:p w:rsidRPr="003F350E" w:rsidR="005F0537" w:rsidP="00DC5740" w:rsidRDefault="005F0537" w14:paraId="5CB128BE" w14:textId="77777777">
            <w:pPr>
              <w:jc w:val="center"/>
              <w:rPr>
                <w:sz w:val="22"/>
                <w:szCs w:val="22"/>
              </w:rPr>
            </w:pPr>
            <w:r w:rsidRPr="003F350E">
              <w:rPr>
                <w:sz w:val="22"/>
                <w:szCs w:val="22"/>
              </w:rPr>
              <w:t>Total Burden Hours</w:t>
            </w:r>
          </w:p>
        </w:tc>
        <w:tc>
          <w:tcPr>
            <w:tcW w:w="2174" w:type="dxa"/>
            <w:vAlign w:val="center"/>
          </w:tcPr>
          <w:p w:rsidRPr="003F350E" w:rsidR="005F0537" w:rsidP="00DC5740" w:rsidRDefault="005F0537" w14:paraId="1374E761" w14:textId="77777777">
            <w:pPr>
              <w:jc w:val="center"/>
              <w:rPr>
                <w:sz w:val="22"/>
                <w:szCs w:val="22"/>
              </w:rPr>
            </w:pPr>
            <w:r w:rsidRPr="003F350E">
              <w:rPr>
                <w:sz w:val="22"/>
                <w:szCs w:val="22"/>
              </w:rPr>
              <w:t>Hourly Wage Rate</w:t>
            </w:r>
          </w:p>
        </w:tc>
        <w:tc>
          <w:tcPr>
            <w:tcW w:w="3206" w:type="dxa"/>
            <w:vAlign w:val="center"/>
          </w:tcPr>
          <w:p w:rsidRPr="003F350E" w:rsidR="005F0537" w:rsidP="00DC5740" w:rsidRDefault="005F0537" w14:paraId="06DD2C5D" w14:textId="77777777">
            <w:pPr>
              <w:jc w:val="center"/>
              <w:rPr>
                <w:sz w:val="22"/>
                <w:szCs w:val="22"/>
              </w:rPr>
            </w:pPr>
            <w:r w:rsidRPr="003F350E">
              <w:rPr>
                <w:sz w:val="22"/>
                <w:szCs w:val="22"/>
              </w:rPr>
              <w:t>Total Respondents Costs</w:t>
            </w:r>
          </w:p>
        </w:tc>
      </w:tr>
      <w:tr w:rsidRPr="003F350E" w:rsidR="005F0537" w:rsidTr="00A96CA2" w14:paraId="501672E5" w14:textId="77777777">
        <w:trPr>
          <w:trHeight w:val="1134"/>
        </w:trPr>
        <w:tc>
          <w:tcPr>
            <w:tcW w:w="1627" w:type="dxa"/>
            <w:tcBorders>
              <w:top w:val="single" w:color="auto" w:sz="4" w:space="0"/>
              <w:left w:val="single" w:color="auto" w:sz="4" w:space="0"/>
              <w:bottom w:val="single" w:color="auto" w:sz="4" w:space="0"/>
              <w:right w:val="single" w:color="auto" w:sz="4" w:space="0"/>
            </w:tcBorders>
            <w:vAlign w:val="center"/>
          </w:tcPr>
          <w:p w:rsidRPr="003F350E" w:rsidR="005F0537" w:rsidP="00DC5740" w:rsidRDefault="005F0537" w14:paraId="69617BC7" w14:textId="5297ED2C">
            <w:pPr>
              <w:jc w:val="center"/>
              <w:rPr>
                <w:sz w:val="22"/>
                <w:szCs w:val="22"/>
              </w:rPr>
            </w:pPr>
            <w:r w:rsidRPr="003F350E">
              <w:rPr>
                <w:sz w:val="22"/>
                <w:szCs w:val="22"/>
              </w:rPr>
              <w:t>Grantee Report</w:t>
            </w:r>
          </w:p>
        </w:tc>
        <w:tc>
          <w:tcPr>
            <w:tcW w:w="2238" w:type="dxa"/>
            <w:tcBorders>
              <w:top w:val="single" w:color="auto" w:sz="4" w:space="0"/>
              <w:left w:val="single" w:color="auto" w:sz="4" w:space="0"/>
              <w:bottom w:val="single" w:color="auto" w:sz="4" w:space="0"/>
              <w:right w:val="single" w:color="auto" w:sz="4" w:space="0"/>
            </w:tcBorders>
            <w:vAlign w:val="center"/>
          </w:tcPr>
          <w:p w:rsidRPr="003F350E" w:rsidR="005F0537" w:rsidP="00DC5740" w:rsidRDefault="005F0537" w14:paraId="5BD666D2" w14:textId="74150717">
            <w:pPr>
              <w:jc w:val="center"/>
              <w:rPr>
                <w:sz w:val="22"/>
                <w:szCs w:val="22"/>
              </w:rPr>
            </w:pPr>
            <w:r w:rsidRPr="003F350E">
              <w:rPr>
                <w:sz w:val="22"/>
                <w:szCs w:val="22"/>
              </w:rPr>
              <w:t>324</w:t>
            </w:r>
          </w:p>
        </w:tc>
        <w:tc>
          <w:tcPr>
            <w:tcW w:w="2174" w:type="dxa"/>
            <w:tcBorders>
              <w:top w:val="single" w:color="auto" w:sz="4" w:space="0"/>
              <w:left w:val="single" w:color="auto" w:sz="4" w:space="0"/>
              <w:bottom w:val="single" w:color="auto" w:sz="4" w:space="0"/>
              <w:right w:val="single" w:color="auto" w:sz="4" w:space="0"/>
            </w:tcBorders>
            <w:vAlign w:val="center"/>
          </w:tcPr>
          <w:p w:rsidRPr="003F350E" w:rsidR="005F0537" w:rsidP="00DC5740" w:rsidRDefault="005F0537" w14:paraId="4B3364D9" w14:textId="77777777">
            <w:pPr>
              <w:jc w:val="center"/>
              <w:rPr>
                <w:sz w:val="22"/>
                <w:szCs w:val="22"/>
              </w:rPr>
            </w:pPr>
            <w:r w:rsidRPr="003F350E">
              <w:rPr>
                <w:sz w:val="22"/>
                <w:szCs w:val="22"/>
              </w:rPr>
              <w:t>$18.80</w:t>
            </w:r>
          </w:p>
        </w:tc>
        <w:tc>
          <w:tcPr>
            <w:tcW w:w="3206" w:type="dxa"/>
            <w:tcBorders>
              <w:top w:val="single" w:color="auto" w:sz="4" w:space="0"/>
              <w:left w:val="single" w:color="auto" w:sz="4" w:space="0"/>
              <w:bottom w:val="single" w:color="auto" w:sz="4" w:space="0"/>
              <w:right w:val="single" w:color="auto" w:sz="4" w:space="0"/>
            </w:tcBorders>
            <w:vAlign w:val="center"/>
          </w:tcPr>
          <w:p w:rsidRPr="003F350E" w:rsidR="005F0537" w:rsidP="00DC5740" w:rsidRDefault="005F0537" w14:paraId="0DB0BB84" w14:textId="1962D95E">
            <w:pPr>
              <w:jc w:val="center"/>
              <w:rPr>
                <w:sz w:val="22"/>
                <w:szCs w:val="22"/>
              </w:rPr>
            </w:pPr>
            <w:r w:rsidRPr="003F350E">
              <w:rPr>
                <w:sz w:val="22"/>
                <w:szCs w:val="22"/>
              </w:rPr>
              <w:t>$</w:t>
            </w:r>
            <w:r w:rsidRPr="003F350E" w:rsidR="00517CB6">
              <w:rPr>
                <w:sz w:val="22"/>
                <w:szCs w:val="22"/>
              </w:rPr>
              <w:t>6,091.2</w:t>
            </w:r>
          </w:p>
        </w:tc>
      </w:tr>
      <w:tr w:rsidRPr="003F350E" w:rsidR="005F0537" w:rsidTr="00A96CA2" w14:paraId="322FAD24" w14:textId="77777777">
        <w:trPr>
          <w:trHeight w:val="1134"/>
        </w:trPr>
        <w:tc>
          <w:tcPr>
            <w:tcW w:w="1627" w:type="dxa"/>
            <w:tcBorders>
              <w:top w:val="single" w:color="auto" w:sz="4" w:space="0"/>
              <w:left w:val="single" w:color="auto" w:sz="4" w:space="0"/>
              <w:bottom w:val="single" w:color="auto" w:sz="4" w:space="0"/>
              <w:right w:val="single" w:color="auto" w:sz="4" w:space="0"/>
            </w:tcBorders>
            <w:vAlign w:val="center"/>
          </w:tcPr>
          <w:p w:rsidRPr="003F350E" w:rsidR="005F0537" w:rsidP="00DC5740" w:rsidRDefault="005F0537" w14:paraId="0842A106" w14:textId="05603749">
            <w:pPr>
              <w:jc w:val="center"/>
              <w:rPr>
                <w:sz w:val="22"/>
                <w:szCs w:val="22"/>
              </w:rPr>
            </w:pPr>
            <w:r w:rsidRPr="003F350E">
              <w:rPr>
                <w:sz w:val="22"/>
                <w:szCs w:val="22"/>
              </w:rPr>
              <w:t>Client-level Report</w:t>
            </w:r>
          </w:p>
        </w:tc>
        <w:tc>
          <w:tcPr>
            <w:tcW w:w="2238" w:type="dxa"/>
            <w:tcBorders>
              <w:top w:val="single" w:color="auto" w:sz="4" w:space="0"/>
              <w:left w:val="single" w:color="auto" w:sz="4" w:space="0"/>
              <w:bottom w:val="single" w:color="auto" w:sz="4" w:space="0"/>
              <w:right w:val="single" w:color="auto" w:sz="4" w:space="0"/>
            </w:tcBorders>
            <w:vAlign w:val="center"/>
          </w:tcPr>
          <w:p w:rsidRPr="003F350E" w:rsidR="005F0537" w:rsidP="00DC5740" w:rsidRDefault="0085547F" w14:paraId="7F2810E2" w14:textId="4D218F9E">
            <w:pPr>
              <w:jc w:val="center"/>
              <w:rPr>
                <w:sz w:val="22"/>
                <w:szCs w:val="22"/>
              </w:rPr>
            </w:pPr>
            <w:r>
              <w:rPr>
                <w:sz w:val="22"/>
                <w:szCs w:val="22"/>
              </w:rPr>
              <w:t>4,374</w:t>
            </w:r>
          </w:p>
        </w:tc>
        <w:tc>
          <w:tcPr>
            <w:tcW w:w="2174" w:type="dxa"/>
            <w:tcBorders>
              <w:top w:val="single" w:color="auto" w:sz="4" w:space="0"/>
              <w:left w:val="single" w:color="auto" w:sz="4" w:space="0"/>
              <w:bottom w:val="single" w:color="auto" w:sz="4" w:space="0"/>
              <w:right w:val="single" w:color="auto" w:sz="4" w:space="0"/>
            </w:tcBorders>
            <w:vAlign w:val="center"/>
          </w:tcPr>
          <w:p w:rsidRPr="003F350E" w:rsidR="005F0537" w:rsidP="00DC5740" w:rsidRDefault="005F0537" w14:paraId="3F1CA6A9" w14:textId="77777777">
            <w:pPr>
              <w:jc w:val="center"/>
              <w:rPr>
                <w:sz w:val="22"/>
                <w:szCs w:val="22"/>
              </w:rPr>
            </w:pPr>
            <w:r w:rsidRPr="003F350E">
              <w:rPr>
                <w:sz w:val="22"/>
                <w:szCs w:val="22"/>
              </w:rPr>
              <w:t>$18.80</w:t>
            </w:r>
          </w:p>
        </w:tc>
        <w:tc>
          <w:tcPr>
            <w:tcW w:w="3206" w:type="dxa"/>
            <w:tcBorders>
              <w:top w:val="single" w:color="auto" w:sz="4" w:space="0"/>
              <w:left w:val="single" w:color="auto" w:sz="4" w:space="0"/>
              <w:bottom w:val="single" w:color="auto" w:sz="4" w:space="0"/>
              <w:right w:val="single" w:color="auto" w:sz="4" w:space="0"/>
            </w:tcBorders>
            <w:vAlign w:val="center"/>
          </w:tcPr>
          <w:p w:rsidRPr="003F350E" w:rsidR="005F0537" w:rsidP="00DC5740" w:rsidRDefault="0085547F" w14:paraId="49328546" w14:textId="6C315DB2">
            <w:pPr>
              <w:jc w:val="center"/>
              <w:rPr>
                <w:sz w:val="22"/>
                <w:szCs w:val="22"/>
              </w:rPr>
            </w:pPr>
            <w:r>
              <w:rPr>
                <w:sz w:val="22"/>
                <w:szCs w:val="22"/>
              </w:rPr>
              <w:t>$82,231.2</w:t>
            </w:r>
          </w:p>
        </w:tc>
      </w:tr>
      <w:tr w:rsidRPr="003F350E" w:rsidR="005F0537" w:rsidTr="00A96CA2" w14:paraId="6A5F4B0C" w14:textId="77777777">
        <w:trPr>
          <w:trHeight w:val="782"/>
        </w:trPr>
        <w:tc>
          <w:tcPr>
            <w:tcW w:w="1627" w:type="dxa"/>
            <w:tcBorders>
              <w:top w:val="single" w:color="auto" w:sz="4" w:space="0"/>
              <w:left w:val="single" w:color="auto" w:sz="4" w:space="0"/>
              <w:bottom w:val="single" w:color="auto" w:sz="4" w:space="0"/>
              <w:right w:val="single" w:color="auto" w:sz="4" w:space="0"/>
            </w:tcBorders>
            <w:vAlign w:val="center"/>
          </w:tcPr>
          <w:p w:rsidRPr="003F350E" w:rsidR="005F0537" w:rsidP="00DC5740" w:rsidRDefault="005F0537" w14:paraId="69150991" w14:textId="77777777">
            <w:pPr>
              <w:jc w:val="center"/>
              <w:rPr>
                <w:b/>
                <w:bCs/>
                <w:sz w:val="22"/>
                <w:szCs w:val="22"/>
              </w:rPr>
            </w:pPr>
            <w:r w:rsidRPr="003F350E">
              <w:rPr>
                <w:b/>
                <w:bCs/>
                <w:sz w:val="22"/>
                <w:szCs w:val="22"/>
              </w:rPr>
              <w:t>Total</w:t>
            </w:r>
          </w:p>
        </w:tc>
        <w:tc>
          <w:tcPr>
            <w:tcW w:w="2238" w:type="dxa"/>
            <w:tcBorders>
              <w:top w:val="single" w:color="auto" w:sz="4" w:space="0"/>
              <w:left w:val="single" w:color="auto" w:sz="4" w:space="0"/>
              <w:bottom w:val="single" w:color="auto" w:sz="4" w:space="0"/>
              <w:right w:val="single" w:color="auto" w:sz="4" w:space="0"/>
            </w:tcBorders>
            <w:vAlign w:val="center"/>
          </w:tcPr>
          <w:p w:rsidRPr="003F350E" w:rsidR="005F0537" w:rsidP="00DC5740" w:rsidRDefault="0085547F" w14:paraId="671CF11D" w14:textId="3CE46FB9">
            <w:pPr>
              <w:jc w:val="center"/>
              <w:rPr>
                <w:b/>
                <w:bCs/>
                <w:sz w:val="22"/>
                <w:szCs w:val="22"/>
              </w:rPr>
            </w:pPr>
            <w:r>
              <w:rPr>
                <w:b/>
                <w:bCs/>
                <w:sz w:val="22"/>
                <w:szCs w:val="22"/>
              </w:rPr>
              <w:t>4,698</w:t>
            </w:r>
          </w:p>
        </w:tc>
        <w:tc>
          <w:tcPr>
            <w:tcW w:w="2174" w:type="dxa"/>
            <w:tcBorders>
              <w:top w:val="single" w:color="auto" w:sz="4" w:space="0"/>
              <w:left w:val="single" w:color="auto" w:sz="4" w:space="0"/>
              <w:bottom w:val="single" w:color="auto" w:sz="4" w:space="0"/>
              <w:right w:val="single" w:color="auto" w:sz="4" w:space="0"/>
            </w:tcBorders>
            <w:vAlign w:val="center"/>
          </w:tcPr>
          <w:p w:rsidRPr="003F350E" w:rsidR="005F0537" w:rsidP="00DC5740" w:rsidRDefault="005F0537" w14:paraId="5C5AE5E3" w14:textId="77777777">
            <w:pPr>
              <w:jc w:val="center"/>
              <w:rPr>
                <w:sz w:val="22"/>
                <w:szCs w:val="22"/>
              </w:rPr>
            </w:pPr>
          </w:p>
        </w:tc>
        <w:tc>
          <w:tcPr>
            <w:tcW w:w="3206" w:type="dxa"/>
            <w:tcBorders>
              <w:top w:val="single" w:color="auto" w:sz="4" w:space="0"/>
              <w:left w:val="single" w:color="auto" w:sz="4" w:space="0"/>
              <w:bottom w:val="single" w:color="auto" w:sz="4" w:space="0"/>
              <w:right w:val="single" w:color="auto" w:sz="4" w:space="0"/>
            </w:tcBorders>
            <w:vAlign w:val="center"/>
          </w:tcPr>
          <w:p w:rsidRPr="003D5B02" w:rsidR="0074188F" w:rsidP="0074188F" w:rsidRDefault="0085547F" w14:paraId="2C347F12" w14:textId="4450F304">
            <w:pPr>
              <w:jc w:val="center"/>
              <w:rPr>
                <w:bCs/>
              </w:rPr>
            </w:pPr>
            <w:r>
              <w:rPr>
                <w:bCs/>
                <w:sz w:val="22"/>
                <w:szCs w:val="22"/>
              </w:rPr>
              <w:t xml:space="preserve">88,322.4 </w:t>
            </w:r>
            <w:r w:rsidRPr="00A96CA2" w:rsidR="0074188F">
              <w:rPr>
                <w:bCs/>
                <w:sz w:val="22"/>
                <w:szCs w:val="22"/>
              </w:rPr>
              <w:t>x 2 (overhead/fringe) =</w:t>
            </w:r>
          </w:p>
          <w:p w:rsidRPr="003F350E" w:rsidR="005F0537" w:rsidP="00DC5740" w:rsidRDefault="0085547F" w14:paraId="26321513" w14:textId="6BCE06EF">
            <w:pPr>
              <w:jc w:val="center"/>
              <w:rPr>
                <w:b/>
                <w:bCs/>
                <w:sz w:val="22"/>
                <w:szCs w:val="22"/>
              </w:rPr>
            </w:pPr>
            <w:r>
              <w:rPr>
                <w:b/>
                <w:bCs/>
                <w:sz w:val="22"/>
                <w:szCs w:val="22"/>
              </w:rPr>
              <w:t>$176,644.8</w:t>
            </w:r>
          </w:p>
        </w:tc>
      </w:tr>
    </w:tbl>
    <w:p w:rsidRPr="003F350E" w:rsidR="00517CB6" w:rsidP="00517CB6" w:rsidRDefault="00517CB6" w14:paraId="551EB370" w14:textId="77777777">
      <w:pPr>
        <w:tabs>
          <w:tab w:val="num" w:pos="720"/>
        </w:tabs>
        <w:spacing w:before="120"/>
        <w:rPr>
          <w:bCs/>
          <w:i/>
          <w:iCs/>
          <w:sz w:val="22"/>
          <w:szCs w:val="22"/>
        </w:rPr>
      </w:pPr>
      <w:r w:rsidRPr="003F350E">
        <w:rPr>
          <w:bCs/>
          <w:i/>
          <w:iCs/>
          <w:sz w:val="22"/>
          <w:szCs w:val="22"/>
        </w:rPr>
        <w:t>Planned frequency of information collection:</w:t>
      </w:r>
    </w:p>
    <w:p w:rsidRPr="003F350E" w:rsidR="00517CB6" w:rsidP="00517CB6" w:rsidRDefault="00FA31CF" w14:paraId="15D6B5F8" w14:textId="017CF07A">
      <w:pPr>
        <w:tabs>
          <w:tab w:val="num" w:pos="720"/>
        </w:tabs>
        <w:spacing w:before="120"/>
        <w:rPr>
          <w:bCs/>
          <w:sz w:val="22"/>
          <w:szCs w:val="22"/>
        </w:rPr>
      </w:pPr>
      <w:r>
        <w:rPr>
          <w:bCs/>
          <w:sz w:val="22"/>
          <w:szCs w:val="22"/>
        </w:rPr>
        <w:t>The</w:t>
      </w:r>
      <w:r w:rsidRPr="003F350E">
        <w:rPr>
          <w:bCs/>
          <w:sz w:val="22"/>
          <w:szCs w:val="22"/>
        </w:rPr>
        <w:t xml:space="preserve"> ADR </w:t>
      </w:r>
      <w:r>
        <w:rPr>
          <w:bCs/>
          <w:sz w:val="22"/>
          <w:szCs w:val="22"/>
        </w:rPr>
        <w:t xml:space="preserve">Report submission </w:t>
      </w:r>
      <w:r w:rsidRPr="003F350E">
        <w:rPr>
          <w:bCs/>
          <w:sz w:val="22"/>
          <w:szCs w:val="22"/>
        </w:rPr>
        <w:t>occur</w:t>
      </w:r>
      <w:r>
        <w:rPr>
          <w:bCs/>
          <w:sz w:val="22"/>
          <w:szCs w:val="22"/>
        </w:rPr>
        <w:t>s</w:t>
      </w:r>
      <w:r w:rsidRPr="003F350E">
        <w:rPr>
          <w:bCs/>
          <w:sz w:val="22"/>
          <w:szCs w:val="22"/>
        </w:rPr>
        <w:t xml:space="preserve"> </w:t>
      </w:r>
      <w:r>
        <w:rPr>
          <w:bCs/>
          <w:sz w:val="22"/>
          <w:szCs w:val="22"/>
        </w:rPr>
        <w:t>once</w:t>
      </w:r>
      <w:r w:rsidRPr="003F350E">
        <w:rPr>
          <w:bCs/>
          <w:sz w:val="22"/>
          <w:szCs w:val="22"/>
        </w:rPr>
        <w:t xml:space="preserve"> a year</w:t>
      </w:r>
      <w:r>
        <w:rPr>
          <w:bCs/>
          <w:sz w:val="22"/>
          <w:szCs w:val="22"/>
        </w:rPr>
        <w:t xml:space="preserve"> while data collection is an-going process throughout the year</w:t>
      </w:r>
      <w:r w:rsidRPr="003F350E">
        <w:rPr>
          <w:bCs/>
          <w:sz w:val="22"/>
          <w:szCs w:val="22"/>
        </w:rPr>
        <w:t xml:space="preserve">. The </w:t>
      </w:r>
      <w:r>
        <w:rPr>
          <w:bCs/>
          <w:sz w:val="22"/>
          <w:szCs w:val="22"/>
        </w:rPr>
        <w:t xml:space="preserve">EHB which houses the </w:t>
      </w:r>
      <w:r w:rsidRPr="003F350E">
        <w:rPr>
          <w:bCs/>
          <w:sz w:val="22"/>
          <w:szCs w:val="22"/>
        </w:rPr>
        <w:t>ADR R</w:t>
      </w:r>
      <w:r>
        <w:rPr>
          <w:bCs/>
          <w:sz w:val="22"/>
          <w:szCs w:val="22"/>
        </w:rPr>
        <w:t>eport</w:t>
      </w:r>
      <w:r w:rsidRPr="003F350E">
        <w:rPr>
          <w:bCs/>
          <w:sz w:val="22"/>
          <w:szCs w:val="22"/>
        </w:rPr>
        <w:t xml:space="preserve"> will be open to </w:t>
      </w:r>
      <w:r w:rsidRPr="003F350E">
        <w:rPr>
          <w:spacing w:val="1"/>
          <w:w w:val="105"/>
          <w:sz w:val="22"/>
          <w:szCs w:val="22"/>
        </w:rPr>
        <w:t>recipients in April</w:t>
      </w:r>
      <w:r>
        <w:rPr>
          <w:spacing w:val="1"/>
          <w:w w:val="105"/>
          <w:sz w:val="22"/>
          <w:szCs w:val="22"/>
        </w:rPr>
        <w:t xml:space="preserve"> and the submission deadline is in June. </w:t>
      </w:r>
    </w:p>
    <w:p w:rsidRPr="003F350E" w:rsidR="006D403E" w:rsidP="006D403E" w:rsidRDefault="006D403E" w14:paraId="7E05B85A" w14:textId="77777777">
      <w:pPr>
        <w:rPr>
          <w:sz w:val="22"/>
          <w:szCs w:val="22"/>
        </w:rPr>
      </w:pPr>
    </w:p>
    <w:p w:rsidRPr="003F350E" w:rsidR="00B50A61" w:rsidP="00C0107A" w:rsidRDefault="009B3794" w14:paraId="7D9D7AA9" w14:textId="1E725D30">
      <w:pPr>
        <w:numPr>
          <w:ilvl w:val="0"/>
          <w:numId w:val="1"/>
        </w:numPr>
        <w:spacing w:before="240"/>
        <w:rPr>
          <w:b/>
          <w:sz w:val="22"/>
          <w:szCs w:val="22"/>
        </w:rPr>
      </w:pPr>
      <w:r w:rsidRPr="003F350E">
        <w:rPr>
          <w:b/>
          <w:sz w:val="22"/>
          <w:szCs w:val="22"/>
          <w:u w:val="single"/>
        </w:rPr>
        <w:t>Estimates of Annual</w:t>
      </w:r>
      <w:r w:rsidRPr="003F350E" w:rsidR="00E63714">
        <w:rPr>
          <w:b/>
          <w:sz w:val="22"/>
          <w:szCs w:val="22"/>
          <w:u w:val="single"/>
        </w:rPr>
        <w:t>ized</w:t>
      </w:r>
      <w:r w:rsidRPr="003F350E">
        <w:rPr>
          <w:b/>
          <w:sz w:val="22"/>
          <w:szCs w:val="22"/>
          <w:u w:val="single"/>
        </w:rPr>
        <w:t xml:space="preserve"> Cost Burden to Respondents</w:t>
      </w:r>
    </w:p>
    <w:p w:rsidRPr="003F350E" w:rsidR="00D11CA3" w:rsidP="00B50A61" w:rsidRDefault="00301E7F" w14:paraId="1D779F9B" w14:textId="20CC2EE3">
      <w:pPr>
        <w:spacing w:before="240"/>
        <w:rPr>
          <w:sz w:val="22"/>
          <w:szCs w:val="22"/>
        </w:rPr>
      </w:pPr>
      <w:r w:rsidRPr="003F350E">
        <w:rPr>
          <w:sz w:val="22"/>
          <w:szCs w:val="22"/>
        </w:rPr>
        <w:t xml:space="preserve">Grant recipients are responsible for maintaining their own data system and already have access to the EHBs. </w:t>
      </w:r>
      <w:r w:rsidR="003A50D3">
        <w:rPr>
          <w:sz w:val="22"/>
          <w:szCs w:val="22"/>
        </w:rPr>
        <w:t xml:space="preserve">Only one of the four grant recipients contacted could provide an estimate of the upfront costs for training staff and making necessary IT changes to the data system and estimated the cost would be $1,000. </w:t>
      </w:r>
      <w:r w:rsidRPr="003F350E" w:rsidR="0012347F">
        <w:rPr>
          <w:sz w:val="22"/>
          <w:szCs w:val="22"/>
        </w:rPr>
        <w:br/>
      </w:r>
    </w:p>
    <w:p w:rsidRPr="003F350E" w:rsidR="00B50A61" w:rsidP="00C0107A" w:rsidRDefault="00E63714" w14:paraId="62304F9E" w14:textId="156936ED">
      <w:pPr>
        <w:numPr>
          <w:ilvl w:val="0"/>
          <w:numId w:val="1"/>
        </w:numPr>
        <w:spacing w:before="240"/>
        <w:rPr>
          <w:b/>
          <w:sz w:val="22"/>
          <w:szCs w:val="22"/>
        </w:rPr>
      </w:pPr>
      <w:r w:rsidRPr="003F350E">
        <w:rPr>
          <w:b/>
          <w:sz w:val="22"/>
          <w:szCs w:val="22"/>
          <w:u w:val="single"/>
        </w:rPr>
        <w:t xml:space="preserve">Estimates of </w:t>
      </w:r>
      <w:r w:rsidRPr="003F350E" w:rsidR="009B3794">
        <w:rPr>
          <w:b/>
          <w:sz w:val="22"/>
          <w:szCs w:val="22"/>
          <w:u w:val="single"/>
        </w:rPr>
        <w:t>Annualized Cost to</w:t>
      </w:r>
      <w:r w:rsidRPr="003F350E">
        <w:rPr>
          <w:b/>
          <w:sz w:val="22"/>
          <w:szCs w:val="22"/>
          <w:u w:val="single"/>
        </w:rPr>
        <w:t xml:space="preserve"> the</w:t>
      </w:r>
      <w:r w:rsidRPr="003F350E" w:rsidR="009B3794">
        <w:rPr>
          <w:b/>
          <w:sz w:val="22"/>
          <w:szCs w:val="22"/>
          <w:u w:val="single"/>
        </w:rPr>
        <w:t xml:space="preserve"> Government</w:t>
      </w:r>
      <w:r w:rsidRPr="003F350E" w:rsidR="00BA3E25">
        <w:rPr>
          <w:b/>
          <w:sz w:val="22"/>
          <w:szCs w:val="22"/>
          <w:u w:val="single"/>
        </w:rPr>
        <w:br/>
      </w:r>
    </w:p>
    <w:p w:rsidRPr="003F350E" w:rsidR="00BA3E25" w:rsidP="00BA3E25" w:rsidRDefault="00BA3E25" w14:paraId="726B5941" w14:textId="1EDF2993">
      <w:pPr>
        <w:rPr>
          <w:sz w:val="22"/>
          <w:szCs w:val="22"/>
        </w:rPr>
      </w:pPr>
      <w:r w:rsidRPr="0046221A">
        <w:rPr>
          <w:sz w:val="22"/>
          <w:szCs w:val="22"/>
        </w:rPr>
        <w:t xml:space="preserve">The contract task that </w:t>
      </w:r>
      <w:r w:rsidRPr="0046221A" w:rsidR="002576CB">
        <w:rPr>
          <w:sz w:val="22"/>
          <w:szCs w:val="22"/>
        </w:rPr>
        <w:t xml:space="preserve">supported the initial system setup and </w:t>
      </w:r>
      <w:r w:rsidRPr="0046221A">
        <w:rPr>
          <w:sz w:val="22"/>
          <w:szCs w:val="22"/>
        </w:rPr>
        <w:t xml:space="preserve">supports </w:t>
      </w:r>
      <w:r w:rsidRPr="0046221A" w:rsidR="002576CB">
        <w:rPr>
          <w:sz w:val="22"/>
          <w:szCs w:val="22"/>
        </w:rPr>
        <w:t xml:space="preserve">system maintenance and </w:t>
      </w:r>
      <w:r w:rsidRPr="0046221A">
        <w:rPr>
          <w:sz w:val="22"/>
          <w:szCs w:val="22"/>
        </w:rPr>
        <w:t xml:space="preserve">data collection efforts each year is $120,000. In addition, there will be the cost for a GS 13 (Step 5) at 12% (approximately $12,500) and a GS 14 (Step 5) at 6% (approximately $7,400) time to monitor the project. The estimated total cost is $139,900.  </w:t>
      </w:r>
    </w:p>
    <w:p w:rsidRPr="003F350E" w:rsidR="007609F8" w:rsidP="007609F8" w:rsidRDefault="007609F8" w14:paraId="1B4C124B" w14:textId="77777777">
      <w:pPr>
        <w:widowControl/>
        <w:autoSpaceDE/>
        <w:autoSpaceDN/>
        <w:adjustRightInd/>
        <w:spacing w:after="160" w:line="259" w:lineRule="auto"/>
        <w:contextualSpacing/>
        <w:rPr>
          <w:sz w:val="22"/>
          <w:szCs w:val="22"/>
        </w:rPr>
      </w:pPr>
    </w:p>
    <w:p w:rsidRPr="003F350E" w:rsidR="00B50A61" w:rsidP="00C0107A" w:rsidRDefault="00350DC2" w14:paraId="50668E81" w14:textId="766C6958">
      <w:pPr>
        <w:numPr>
          <w:ilvl w:val="0"/>
          <w:numId w:val="1"/>
        </w:numPr>
        <w:spacing w:before="240"/>
        <w:rPr>
          <w:b/>
          <w:sz w:val="22"/>
          <w:szCs w:val="22"/>
        </w:rPr>
      </w:pPr>
      <w:r w:rsidRPr="003F350E">
        <w:rPr>
          <w:b/>
          <w:sz w:val="22"/>
          <w:szCs w:val="22"/>
          <w:u w:val="single"/>
        </w:rPr>
        <w:t>Explanation for Program Changes or Adjustments</w:t>
      </w:r>
    </w:p>
    <w:p w:rsidRPr="003F350E" w:rsidR="00E070DB" w:rsidP="00E070DB" w:rsidRDefault="00E070DB" w14:paraId="76C881EB" w14:textId="77777777">
      <w:pPr>
        <w:pStyle w:val="ColorfulList-Accent11"/>
        <w:ind w:left="0"/>
        <w:rPr>
          <w:rFonts w:ascii="Times New Roman" w:hAnsi="Times New Roman"/>
          <w:sz w:val="22"/>
          <w:szCs w:val="22"/>
        </w:rPr>
      </w:pPr>
    </w:p>
    <w:p w:rsidR="00390BC6" w:rsidP="004F2035" w:rsidRDefault="00E915C6" w14:paraId="4A4477D5" w14:textId="16C6C210">
      <w:pPr>
        <w:pStyle w:val="ColorfulList-Accent11"/>
        <w:ind w:left="0"/>
        <w:rPr>
          <w:rFonts w:ascii="Times New Roman" w:hAnsi="Times New Roman"/>
          <w:sz w:val="22"/>
          <w:szCs w:val="22"/>
        </w:rPr>
      </w:pPr>
      <w:r w:rsidRPr="003F350E">
        <w:rPr>
          <w:rFonts w:ascii="Times New Roman" w:hAnsi="Times New Roman"/>
          <w:sz w:val="22"/>
          <w:szCs w:val="22"/>
        </w:rPr>
        <w:t>The</w:t>
      </w:r>
      <w:r w:rsidR="000D19AE">
        <w:rPr>
          <w:rFonts w:ascii="Times New Roman" w:hAnsi="Times New Roman"/>
          <w:sz w:val="22"/>
          <w:szCs w:val="22"/>
        </w:rPr>
        <w:t xml:space="preserve"> </w:t>
      </w:r>
      <w:r w:rsidR="00390BC6">
        <w:rPr>
          <w:rFonts w:ascii="Times New Roman" w:hAnsi="Times New Roman"/>
          <w:sz w:val="22"/>
          <w:szCs w:val="22"/>
        </w:rPr>
        <w:t>4,698</w:t>
      </w:r>
      <w:r w:rsidR="000D19AE">
        <w:rPr>
          <w:rFonts w:ascii="Times New Roman" w:hAnsi="Times New Roman"/>
          <w:sz w:val="22"/>
          <w:szCs w:val="22"/>
        </w:rPr>
        <w:t xml:space="preserve"> </w:t>
      </w:r>
      <w:r w:rsidRPr="003F350E">
        <w:rPr>
          <w:rFonts w:ascii="Times New Roman" w:hAnsi="Times New Roman"/>
          <w:sz w:val="22"/>
          <w:szCs w:val="22"/>
        </w:rPr>
        <w:t xml:space="preserve">burden </w:t>
      </w:r>
      <w:r w:rsidR="00390BC6">
        <w:rPr>
          <w:rFonts w:ascii="Times New Roman" w:hAnsi="Times New Roman"/>
          <w:sz w:val="22"/>
          <w:szCs w:val="22"/>
        </w:rPr>
        <w:t xml:space="preserve">estimate of this information collection request is the same as the currently approved burden inventory. </w:t>
      </w:r>
    </w:p>
    <w:p w:rsidR="00390BC6" w:rsidP="004F2035" w:rsidRDefault="00390BC6" w14:paraId="17736647" w14:textId="77777777">
      <w:pPr>
        <w:pStyle w:val="ColorfulList-Accent11"/>
        <w:ind w:left="0"/>
        <w:rPr>
          <w:rFonts w:ascii="Times New Roman" w:hAnsi="Times New Roman"/>
          <w:sz w:val="22"/>
          <w:szCs w:val="22"/>
        </w:rPr>
      </w:pPr>
    </w:p>
    <w:p w:rsidR="00083F28" w:rsidP="004F2035" w:rsidRDefault="00856A67" w14:paraId="7C4FF6D4" w14:textId="4FC0185C">
      <w:pPr>
        <w:pStyle w:val="ColorfulList-Accent11"/>
        <w:ind w:left="0"/>
        <w:rPr>
          <w:rFonts w:ascii="Times New Roman" w:hAnsi="Times New Roman"/>
          <w:sz w:val="22"/>
          <w:szCs w:val="22"/>
        </w:rPr>
      </w:pPr>
      <w:r w:rsidRPr="003F350E">
        <w:rPr>
          <w:rFonts w:ascii="Times New Roman" w:hAnsi="Times New Roman"/>
          <w:sz w:val="22"/>
          <w:szCs w:val="22"/>
        </w:rPr>
        <w:t>The Recipient Report does include a few changes. Specifically, there were revisions made to</w:t>
      </w:r>
      <w:r w:rsidR="004A114B">
        <w:rPr>
          <w:rFonts w:ascii="Times New Roman" w:hAnsi="Times New Roman"/>
          <w:sz w:val="22"/>
          <w:szCs w:val="22"/>
        </w:rPr>
        <w:t xml:space="preserve"> reporting</w:t>
      </w:r>
      <w:r w:rsidRPr="003F350E">
        <w:rPr>
          <w:rFonts w:ascii="Times New Roman" w:hAnsi="Times New Roman"/>
          <w:sz w:val="22"/>
          <w:szCs w:val="22"/>
        </w:rPr>
        <w:t xml:space="preserve"> </w:t>
      </w:r>
      <w:r w:rsidR="004A114B">
        <w:rPr>
          <w:rFonts w:ascii="Times New Roman" w:hAnsi="Times New Roman"/>
          <w:sz w:val="22"/>
          <w:szCs w:val="22"/>
        </w:rPr>
        <w:t xml:space="preserve">medications, medications services and </w:t>
      </w:r>
      <w:r w:rsidRPr="003F350E">
        <w:rPr>
          <w:rFonts w:ascii="Times New Roman" w:hAnsi="Times New Roman"/>
          <w:sz w:val="22"/>
          <w:szCs w:val="22"/>
        </w:rPr>
        <w:t>clinical data</w:t>
      </w:r>
      <w:r w:rsidR="004A114B">
        <w:rPr>
          <w:rFonts w:ascii="Times New Roman" w:hAnsi="Times New Roman"/>
          <w:sz w:val="22"/>
          <w:szCs w:val="22"/>
        </w:rPr>
        <w:t>.</w:t>
      </w:r>
      <w:r w:rsidRPr="003F350E" w:rsidR="00B65DE1">
        <w:rPr>
          <w:rFonts w:ascii="Times New Roman" w:hAnsi="Times New Roman"/>
          <w:sz w:val="22"/>
          <w:szCs w:val="22"/>
        </w:rPr>
        <w:t xml:space="preserve"> </w:t>
      </w:r>
      <w:r w:rsidR="00083F28">
        <w:rPr>
          <w:rFonts w:ascii="Times New Roman" w:hAnsi="Times New Roman"/>
          <w:sz w:val="22"/>
          <w:szCs w:val="22"/>
        </w:rPr>
        <w:t>To monitor the use of funds provided to ADAPs for the EHE initiative, one question on funding was also added to the Recipient Report. Recipients already collect this data element.</w:t>
      </w:r>
    </w:p>
    <w:p w:rsidR="00083F28" w:rsidP="004F2035" w:rsidRDefault="00083F28" w14:paraId="4FF83812" w14:textId="77777777">
      <w:pPr>
        <w:pStyle w:val="ColorfulList-Accent11"/>
        <w:ind w:left="0"/>
        <w:rPr>
          <w:rFonts w:ascii="Times New Roman" w:hAnsi="Times New Roman"/>
          <w:sz w:val="22"/>
          <w:szCs w:val="22"/>
        </w:rPr>
      </w:pPr>
    </w:p>
    <w:p w:rsidRPr="003F350E" w:rsidR="00B50A61" w:rsidP="004F2035" w:rsidRDefault="00B65DE1" w14:paraId="0489B044" w14:textId="77E0356F">
      <w:pPr>
        <w:pStyle w:val="ColorfulList-Accent11"/>
        <w:ind w:left="0"/>
        <w:rPr>
          <w:b/>
          <w:sz w:val="22"/>
          <w:szCs w:val="22"/>
        </w:rPr>
      </w:pPr>
      <w:r w:rsidRPr="003F350E">
        <w:rPr>
          <w:rFonts w:ascii="Times New Roman" w:hAnsi="Times New Roman"/>
          <w:sz w:val="22"/>
          <w:szCs w:val="22"/>
        </w:rPr>
        <w:t>In the Client-level Report</w:t>
      </w:r>
      <w:r w:rsidRPr="003F350E" w:rsidR="0055275E">
        <w:rPr>
          <w:rFonts w:ascii="Times New Roman" w:hAnsi="Times New Roman"/>
          <w:sz w:val="22"/>
          <w:szCs w:val="22"/>
        </w:rPr>
        <w:t>, three data elements that were combined with other data elements</w:t>
      </w:r>
      <w:r w:rsidRPr="003F350E" w:rsidR="007E570A">
        <w:rPr>
          <w:rFonts w:ascii="Times New Roman" w:hAnsi="Times New Roman"/>
          <w:sz w:val="22"/>
          <w:szCs w:val="22"/>
        </w:rPr>
        <w:t xml:space="preserve"> </w:t>
      </w:r>
      <w:r w:rsidRPr="003F350E" w:rsidR="0055275E">
        <w:rPr>
          <w:rFonts w:ascii="Times New Roman" w:hAnsi="Times New Roman"/>
          <w:sz w:val="22"/>
          <w:szCs w:val="22"/>
        </w:rPr>
        <w:t xml:space="preserve">were deleted. Furthermore, revisions were made to twelve data elements so that </w:t>
      </w:r>
      <w:r w:rsidRPr="003F350E" w:rsidR="007E570A">
        <w:rPr>
          <w:rFonts w:ascii="Times New Roman" w:hAnsi="Times New Roman"/>
          <w:sz w:val="22"/>
          <w:szCs w:val="22"/>
        </w:rPr>
        <w:t>they</w:t>
      </w:r>
      <w:r w:rsidRPr="003F350E" w:rsidR="0055275E">
        <w:rPr>
          <w:rFonts w:ascii="Times New Roman" w:hAnsi="Times New Roman"/>
          <w:sz w:val="22"/>
          <w:szCs w:val="22"/>
        </w:rPr>
        <w:t xml:space="preserve"> can align with the RSR report. </w:t>
      </w:r>
      <w:r w:rsidR="004A114B">
        <w:rPr>
          <w:rFonts w:ascii="Times New Roman" w:hAnsi="Times New Roman"/>
          <w:sz w:val="22"/>
          <w:szCs w:val="22"/>
        </w:rPr>
        <w:t>Specifically,</w:t>
      </w:r>
      <w:r w:rsidRPr="003F350E" w:rsidR="0055275E">
        <w:rPr>
          <w:rFonts w:ascii="Times New Roman" w:hAnsi="Times New Roman"/>
          <w:sz w:val="22"/>
          <w:szCs w:val="22"/>
        </w:rPr>
        <w:t xml:space="preserve"> clinical data will now be collected for all clients rather than only those who received medication assistance. This revision will not be an added burden since most ADAPs already collected </w:t>
      </w:r>
      <w:r w:rsidRPr="003F350E" w:rsidR="000A599B">
        <w:rPr>
          <w:rFonts w:ascii="Times New Roman" w:hAnsi="Times New Roman"/>
          <w:sz w:val="22"/>
          <w:szCs w:val="22"/>
        </w:rPr>
        <w:t xml:space="preserve">clinical data for all of their clients. In fact, this change will decrease </w:t>
      </w:r>
      <w:r w:rsidRPr="003F350E" w:rsidR="007E570A">
        <w:rPr>
          <w:rFonts w:ascii="Times New Roman" w:hAnsi="Times New Roman"/>
          <w:sz w:val="22"/>
          <w:szCs w:val="22"/>
        </w:rPr>
        <w:t xml:space="preserve">the </w:t>
      </w:r>
      <w:r w:rsidRPr="003F350E" w:rsidR="000A599B">
        <w:rPr>
          <w:rFonts w:ascii="Times New Roman" w:hAnsi="Times New Roman"/>
          <w:sz w:val="22"/>
          <w:szCs w:val="22"/>
        </w:rPr>
        <w:t>level of effort, since ADAPs will no longer need to filter out clients who only received healthcare coverage assistance.</w:t>
      </w:r>
      <w:r w:rsidR="00A022A0">
        <w:rPr>
          <w:rFonts w:ascii="Times New Roman" w:hAnsi="Times New Roman"/>
          <w:sz w:val="22"/>
          <w:szCs w:val="22"/>
        </w:rPr>
        <w:t xml:space="preserve"> Also, the change in reporting v</w:t>
      </w:r>
      <w:r w:rsidRPr="003F350E" w:rsidR="000A599B">
        <w:rPr>
          <w:rFonts w:ascii="Times New Roman" w:hAnsi="Times New Roman"/>
          <w:sz w:val="22"/>
          <w:szCs w:val="22"/>
        </w:rPr>
        <w:t xml:space="preserve">alid National Drug </w:t>
      </w:r>
      <w:r w:rsidR="004F2E49">
        <w:rPr>
          <w:rFonts w:ascii="Times New Roman" w:hAnsi="Times New Roman"/>
          <w:sz w:val="22"/>
          <w:szCs w:val="22"/>
        </w:rPr>
        <w:t>C</w:t>
      </w:r>
      <w:r w:rsidRPr="003F350E" w:rsidR="000A599B">
        <w:rPr>
          <w:rFonts w:ascii="Times New Roman" w:hAnsi="Times New Roman"/>
          <w:sz w:val="22"/>
          <w:szCs w:val="22"/>
        </w:rPr>
        <w:t>odes</w:t>
      </w:r>
      <w:r w:rsidR="004F2E49">
        <w:rPr>
          <w:rFonts w:ascii="Times New Roman" w:hAnsi="Times New Roman"/>
          <w:sz w:val="22"/>
          <w:szCs w:val="22"/>
        </w:rPr>
        <w:t xml:space="preserve"> </w:t>
      </w:r>
      <w:r w:rsidRPr="003F350E" w:rsidR="004F2E49">
        <w:rPr>
          <w:rFonts w:ascii="Times New Roman" w:hAnsi="Times New Roman"/>
          <w:sz w:val="22"/>
          <w:szCs w:val="22"/>
        </w:rPr>
        <w:t xml:space="preserve">(NDC) </w:t>
      </w:r>
      <w:r w:rsidRPr="003F350E" w:rsidR="000A599B">
        <w:rPr>
          <w:rFonts w:ascii="Times New Roman" w:hAnsi="Times New Roman"/>
          <w:sz w:val="22"/>
          <w:szCs w:val="22"/>
        </w:rPr>
        <w:t xml:space="preserve">rather than </w:t>
      </w:r>
      <w:r w:rsidRPr="003F350E" w:rsidR="007E570A">
        <w:rPr>
          <w:rFonts w:ascii="Times New Roman" w:hAnsi="Times New Roman"/>
          <w:sz w:val="22"/>
          <w:szCs w:val="22"/>
        </w:rPr>
        <w:t xml:space="preserve">the </w:t>
      </w:r>
      <w:r w:rsidRPr="003F350E" w:rsidR="00CE14B2">
        <w:rPr>
          <w:rFonts w:ascii="Times New Roman" w:hAnsi="Times New Roman"/>
          <w:sz w:val="22"/>
          <w:szCs w:val="22"/>
        </w:rPr>
        <w:t>Drug Identification Code (d</w:t>
      </w:r>
      <w:r w:rsidRPr="003F350E" w:rsidR="000A599B">
        <w:rPr>
          <w:rFonts w:ascii="Times New Roman" w:hAnsi="Times New Roman"/>
          <w:sz w:val="22"/>
          <w:szCs w:val="22"/>
        </w:rPr>
        <w:t>-</w:t>
      </w:r>
      <w:r w:rsidRPr="003F350E" w:rsidR="00CE14B2">
        <w:rPr>
          <w:rFonts w:ascii="Times New Roman" w:hAnsi="Times New Roman"/>
          <w:sz w:val="22"/>
          <w:szCs w:val="22"/>
        </w:rPr>
        <w:t>c</w:t>
      </w:r>
      <w:r w:rsidRPr="003F350E" w:rsidR="000A599B">
        <w:rPr>
          <w:rFonts w:ascii="Times New Roman" w:hAnsi="Times New Roman"/>
          <w:sz w:val="22"/>
          <w:szCs w:val="22"/>
        </w:rPr>
        <w:t>odes</w:t>
      </w:r>
      <w:r w:rsidRPr="003F350E" w:rsidR="00CE14B2">
        <w:rPr>
          <w:rFonts w:ascii="Times New Roman" w:hAnsi="Times New Roman"/>
          <w:sz w:val="22"/>
          <w:szCs w:val="22"/>
        </w:rPr>
        <w:t>)</w:t>
      </w:r>
      <w:r w:rsidRPr="003F350E" w:rsidR="000A599B">
        <w:rPr>
          <w:rFonts w:ascii="Times New Roman" w:hAnsi="Times New Roman"/>
          <w:sz w:val="22"/>
          <w:szCs w:val="22"/>
        </w:rPr>
        <w:t xml:space="preserve"> for medication will save time as ADAPs initially collect NDC codes and then convert them to D-Codes. The Recipient Report</w:t>
      </w:r>
      <w:r w:rsidRPr="003F350E" w:rsidR="00CE14B2">
        <w:rPr>
          <w:rFonts w:ascii="Times New Roman" w:hAnsi="Times New Roman"/>
          <w:sz w:val="22"/>
          <w:szCs w:val="22"/>
        </w:rPr>
        <w:t xml:space="preserve"> includes two new data elements regarding client enrollment. Also, there was a revision</w:t>
      </w:r>
      <w:r w:rsidRPr="003F350E" w:rsidR="00A66DE6">
        <w:rPr>
          <w:rFonts w:ascii="Times New Roman" w:hAnsi="Times New Roman"/>
          <w:sz w:val="22"/>
          <w:szCs w:val="22"/>
        </w:rPr>
        <w:t xml:space="preserve"> made</w:t>
      </w:r>
      <w:r w:rsidRPr="003F350E" w:rsidR="00CE14B2">
        <w:rPr>
          <w:rFonts w:ascii="Times New Roman" w:hAnsi="Times New Roman"/>
          <w:sz w:val="22"/>
          <w:szCs w:val="22"/>
        </w:rPr>
        <w:t xml:space="preserve"> to an existing question that requests program income and manufacturer rebated reinvested in ADAP. Furthermore, six obsolete data elements were deleted from the Recipient Report.</w:t>
      </w:r>
    </w:p>
    <w:p w:rsidRPr="003F350E" w:rsidR="00B50A61" w:rsidP="00C0107A" w:rsidRDefault="009B3794" w14:paraId="313BDEBF" w14:textId="04AC8D06">
      <w:pPr>
        <w:numPr>
          <w:ilvl w:val="0"/>
          <w:numId w:val="1"/>
        </w:numPr>
        <w:spacing w:before="240"/>
        <w:rPr>
          <w:b/>
          <w:sz w:val="22"/>
          <w:szCs w:val="22"/>
        </w:rPr>
      </w:pPr>
      <w:r w:rsidRPr="003F350E">
        <w:rPr>
          <w:b/>
          <w:sz w:val="22"/>
          <w:szCs w:val="22"/>
          <w:u w:val="single"/>
        </w:rPr>
        <w:t xml:space="preserve">Plans for </w:t>
      </w:r>
      <w:r w:rsidRPr="003F350E" w:rsidR="0013248D">
        <w:rPr>
          <w:b/>
          <w:sz w:val="22"/>
          <w:szCs w:val="22"/>
          <w:u w:val="single"/>
        </w:rPr>
        <w:t>Tabulation, Publication, and Project Time Schedule</w:t>
      </w:r>
    </w:p>
    <w:p w:rsidRPr="003F350E" w:rsidR="000B13A0" w:rsidP="00EF3723" w:rsidRDefault="00B65DE1" w14:paraId="2DC8FC25" w14:textId="7477FF58">
      <w:pPr>
        <w:spacing w:before="120"/>
        <w:rPr>
          <w:sz w:val="22"/>
          <w:szCs w:val="22"/>
        </w:rPr>
      </w:pPr>
      <w:r w:rsidRPr="003F350E">
        <w:rPr>
          <w:rStyle w:val="BodyTextFi"/>
          <w:sz w:val="22"/>
          <w:szCs w:val="22"/>
        </w:rPr>
        <w:t xml:space="preserve">There are two different reporting periods for the ADR. The </w:t>
      </w:r>
      <w:r w:rsidRPr="003F350E" w:rsidR="00CE14B2">
        <w:rPr>
          <w:rStyle w:val="BodyTextFi"/>
          <w:sz w:val="22"/>
          <w:szCs w:val="22"/>
        </w:rPr>
        <w:t>Recipient</w:t>
      </w:r>
      <w:r w:rsidRPr="003F350E">
        <w:rPr>
          <w:rStyle w:val="BodyTextFi"/>
          <w:sz w:val="22"/>
          <w:szCs w:val="22"/>
        </w:rPr>
        <w:t xml:space="preserve"> Report is based on the grant year reporting period and the Client Report is based on the calendar year reporting period. The ADR is submitted in June. </w:t>
      </w:r>
      <w:r w:rsidRPr="003F350E">
        <w:rPr>
          <w:sz w:val="22"/>
          <w:szCs w:val="22"/>
          <w:lang w:eastAsia="ja-JP"/>
        </w:rPr>
        <w:t xml:space="preserve">HRSA compiles the data received from the ADAPs and produces an annual report for the Secretary of HHS and Congress. In addition, </w:t>
      </w:r>
      <w:r w:rsidR="00373F4C">
        <w:rPr>
          <w:sz w:val="22"/>
          <w:szCs w:val="22"/>
          <w:lang w:eastAsia="ja-JP"/>
        </w:rPr>
        <w:t xml:space="preserve">beginning in June 2019, HRSA staff produced its inaugural </w:t>
      </w:r>
      <w:r w:rsidR="00C94F1F">
        <w:rPr>
          <w:sz w:val="22"/>
          <w:szCs w:val="22"/>
          <w:lang w:eastAsia="ja-JP"/>
        </w:rPr>
        <w:t xml:space="preserve">ADAP </w:t>
      </w:r>
      <w:r w:rsidRPr="00373F4C" w:rsidR="00373F4C">
        <w:rPr>
          <w:sz w:val="22"/>
          <w:szCs w:val="22"/>
          <w:lang w:eastAsia="ja-JP"/>
        </w:rPr>
        <w:t>Annual Client-Level Data Report</w:t>
      </w:r>
      <w:r w:rsidR="00373F4C">
        <w:rPr>
          <w:sz w:val="22"/>
          <w:szCs w:val="22"/>
          <w:lang w:eastAsia="ja-JP"/>
        </w:rPr>
        <w:t>.  This report includes</w:t>
      </w:r>
      <w:r w:rsidRPr="00373F4C" w:rsidR="00373F4C">
        <w:rPr>
          <w:sz w:val="22"/>
          <w:szCs w:val="22"/>
          <w:lang w:eastAsia="ja-JP"/>
        </w:rPr>
        <w:t xml:space="preserve"> </w:t>
      </w:r>
      <w:r w:rsidRPr="003F350E">
        <w:rPr>
          <w:sz w:val="22"/>
          <w:szCs w:val="22"/>
          <w:lang w:eastAsia="ja-JP"/>
        </w:rPr>
        <w:t xml:space="preserve">national summaries </w:t>
      </w:r>
      <w:r w:rsidR="00373F4C">
        <w:rPr>
          <w:sz w:val="22"/>
          <w:szCs w:val="22"/>
          <w:lang w:eastAsia="ja-JP"/>
        </w:rPr>
        <w:t>for all clients receiving ADAP services during the calendar years 2014 through 2017. These summaries are d</w:t>
      </w:r>
      <w:r w:rsidRPr="003F350E">
        <w:rPr>
          <w:sz w:val="22"/>
          <w:szCs w:val="22"/>
          <w:lang w:eastAsia="ja-JP"/>
        </w:rPr>
        <w:t>istributed to constituency and advocacy groups and are uploaded to the HRSA H</w:t>
      </w:r>
      <w:r w:rsidR="001B6D8D">
        <w:rPr>
          <w:sz w:val="22"/>
          <w:szCs w:val="22"/>
          <w:lang w:eastAsia="ja-JP"/>
        </w:rPr>
        <w:t>AB</w:t>
      </w:r>
      <w:r w:rsidRPr="003F350E">
        <w:rPr>
          <w:sz w:val="22"/>
          <w:szCs w:val="22"/>
          <w:lang w:eastAsia="ja-JP"/>
        </w:rPr>
        <w:t xml:space="preserve"> Web site. </w:t>
      </w:r>
      <w:r w:rsidRPr="00373F4C" w:rsidR="00373F4C">
        <w:rPr>
          <w:sz w:val="22"/>
          <w:szCs w:val="22"/>
          <w:lang w:eastAsia="ja-JP"/>
        </w:rPr>
        <w:t>The next report will be released in June 2020</w:t>
      </w:r>
      <w:r w:rsidR="00373F4C">
        <w:rPr>
          <w:sz w:val="22"/>
          <w:szCs w:val="22"/>
          <w:lang w:eastAsia="ja-JP"/>
        </w:rPr>
        <w:t>.</w:t>
      </w:r>
      <w:r w:rsidR="002606B5">
        <w:rPr>
          <w:sz w:val="22"/>
          <w:szCs w:val="22"/>
          <w:lang w:eastAsia="ja-JP"/>
        </w:rPr>
        <w:t xml:space="preserve"> The next report that would reflect the revisions proposed in this collection of information</w:t>
      </w:r>
      <w:r w:rsidR="001E1E25">
        <w:rPr>
          <w:sz w:val="22"/>
          <w:szCs w:val="22"/>
          <w:lang w:eastAsia="ja-JP"/>
        </w:rPr>
        <w:t xml:space="preserve"> request would be released </w:t>
      </w:r>
      <w:r w:rsidR="00BD495E">
        <w:rPr>
          <w:sz w:val="22"/>
          <w:szCs w:val="22"/>
          <w:lang w:eastAsia="ja-JP"/>
        </w:rPr>
        <w:t>in</w:t>
      </w:r>
      <w:r w:rsidR="001E1E25">
        <w:rPr>
          <w:sz w:val="22"/>
          <w:szCs w:val="22"/>
          <w:lang w:eastAsia="ja-JP"/>
        </w:rPr>
        <w:t xml:space="preserve"> 2021</w:t>
      </w:r>
      <w:r w:rsidR="00BD495E">
        <w:rPr>
          <w:sz w:val="22"/>
          <w:szCs w:val="22"/>
          <w:lang w:eastAsia="ja-JP"/>
        </w:rPr>
        <w:t>.</w:t>
      </w:r>
      <w:r w:rsidR="002606B5">
        <w:rPr>
          <w:sz w:val="22"/>
          <w:szCs w:val="22"/>
          <w:lang w:eastAsia="ja-JP"/>
        </w:rPr>
        <w:t xml:space="preserve">  </w:t>
      </w:r>
    </w:p>
    <w:p w:rsidRPr="003F350E" w:rsidR="00B50A61" w:rsidP="00C0107A" w:rsidRDefault="0013248D" w14:paraId="4E7322F0" w14:textId="1C7A215E">
      <w:pPr>
        <w:numPr>
          <w:ilvl w:val="0"/>
          <w:numId w:val="1"/>
        </w:numPr>
        <w:spacing w:before="240"/>
        <w:rPr>
          <w:b/>
          <w:sz w:val="22"/>
          <w:szCs w:val="22"/>
        </w:rPr>
      </w:pPr>
      <w:bookmarkStart w:name="_Ryan_White_HIV/AIDS" w:id="3"/>
      <w:bookmarkEnd w:id="3"/>
      <w:r w:rsidRPr="003F350E">
        <w:rPr>
          <w:b/>
          <w:sz w:val="22"/>
          <w:szCs w:val="22"/>
          <w:u w:val="single"/>
        </w:rPr>
        <w:t>Reason(s) Display of OMB Expiration Date is Inappropriate</w:t>
      </w:r>
    </w:p>
    <w:p w:rsidRPr="003F350E" w:rsidR="00B50A61" w:rsidP="00B50A61" w:rsidRDefault="004F2035" w14:paraId="329CEE37" w14:textId="1BA0A1B0">
      <w:pPr>
        <w:spacing w:before="240"/>
        <w:rPr>
          <w:sz w:val="22"/>
          <w:szCs w:val="22"/>
        </w:rPr>
      </w:pPr>
      <w:r w:rsidRPr="003F350E">
        <w:rPr>
          <w:sz w:val="22"/>
          <w:szCs w:val="22"/>
        </w:rPr>
        <w:t>No exemption is being requested.  The expiration date will be displayed</w:t>
      </w:r>
      <w:r w:rsidRPr="003F350E" w:rsidR="00EF3723">
        <w:rPr>
          <w:sz w:val="22"/>
          <w:szCs w:val="22"/>
        </w:rPr>
        <w:t xml:space="preserve"> appropriately.</w:t>
      </w:r>
      <w:r w:rsidRPr="003F350E" w:rsidR="0012347F">
        <w:rPr>
          <w:sz w:val="22"/>
          <w:szCs w:val="22"/>
        </w:rPr>
        <w:br/>
      </w:r>
    </w:p>
    <w:p w:rsidRPr="003F350E" w:rsidR="00B50A61" w:rsidP="00C0107A" w:rsidRDefault="0013248D" w14:paraId="496B7BB0" w14:textId="386F07ED">
      <w:pPr>
        <w:numPr>
          <w:ilvl w:val="0"/>
          <w:numId w:val="1"/>
        </w:numPr>
        <w:spacing w:before="240"/>
        <w:rPr>
          <w:b/>
          <w:sz w:val="22"/>
          <w:szCs w:val="22"/>
        </w:rPr>
      </w:pPr>
      <w:r w:rsidRPr="003F350E">
        <w:rPr>
          <w:b/>
          <w:sz w:val="22"/>
          <w:szCs w:val="22"/>
          <w:u w:val="single"/>
        </w:rPr>
        <w:t>Exceptions to Certifications for Paperwork Reduction Act Submissions</w:t>
      </w:r>
    </w:p>
    <w:p w:rsidRPr="003F350E" w:rsidR="004F2035" w:rsidP="004F2035" w:rsidRDefault="004F2035" w14:paraId="01100CA1" w14:textId="77777777">
      <w:pPr>
        <w:tabs>
          <w:tab w:val="left" w:pos="-720"/>
        </w:tabs>
        <w:rPr>
          <w:b/>
          <w:sz w:val="22"/>
          <w:szCs w:val="22"/>
        </w:rPr>
      </w:pPr>
    </w:p>
    <w:p w:rsidRPr="003F350E" w:rsidR="004F2035" w:rsidP="004F2035" w:rsidRDefault="004F2035" w14:paraId="5060E377" w14:textId="3474D4AF">
      <w:pPr>
        <w:tabs>
          <w:tab w:val="left" w:pos="-720"/>
        </w:tabs>
        <w:rPr>
          <w:sz w:val="22"/>
          <w:szCs w:val="22"/>
        </w:rPr>
      </w:pPr>
      <w:r w:rsidRPr="003F350E">
        <w:rPr>
          <w:sz w:val="22"/>
          <w:szCs w:val="22"/>
        </w:rPr>
        <w:t xml:space="preserve">This information collection activity will comply with the requirements in 5 CFR 1320.9. </w:t>
      </w:r>
    </w:p>
    <w:p w:rsidRPr="003F350E" w:rsidR="00090374" w:rsidRDefault="00090374" w14:paraId="0E18D738" w14:textId="58C70DD4">
      <w:pPr>
        <w:pStyle w:val="BodyTextIndent"/>
        <w:spacing w:before="120"/>
        <w:ind w:left="360"/>
        <w:rPr>
          <w:rFonts w:ascii="Times New Roman" w:hAnsi="Times New Roman"/>
          <w:sz w:val="22"/>
          <w:szCs w:val="22"/>
        </w:rPr>
      </w:pPr>
    </w:p>
    <w:p w:rsidRPr="003F350E" w:rsidR="009E7063" w:rsidRDefault="009E7063" w14:paraId="676A52FB" w14:textId="74FE66A2">
      <w:pPr>
        <w:pStyle w:val="BodyTextIndent"/>
        <w:spacing w:before="120"/>
        <w:ind w:left="360"/>
        <w:rPr>
          <w:rFonts w:ascii="Times New Roman" w:hAnsi="Times New Roman"/>
          <w:sz w:val="22"/>
          <w:szCs w:val="22"/>
        </w:rPr>
      </w:pPr>
    </w:p>
    <w:p w:rsidRPr="003F350E" w:rsidR="009E7063" w:rsidRDefault="009E7063" w14:paraId="19887682" w14:textId="77777777">
      <w:pPr>
        <w:pStyle w:val="BodyTextIndent"/>
        <w:spacing w:before="120"/>
        <w:ind w:left="360"/>
        <w:rPr>
          <w:rFonts w:ascii="Times New Roman" w:hAnsi="Times New Roman"/>
          <w:sz w:val="22"/>
          <w:szCs w:val="22"/>
        </w:rPr>
      </w:pPr>
    </w:p>
    <w:sectPr w:rsidRPr="003F350E" w:rsidR="009E7063" w:rsidSect="001D4856">
      <w:footerReference w:type="default" r:id="rId12"/>
      <w:endnotePr>
        <w:numFmt w:val="decimal"/>
      </w:endnotePr>
      <w:type w:val="continuous"/>
      <w:pgSz w:w="12240" w:h="15840"/>
      <w:pgMar w:top="1440" w:right="1440" w:bottom="1440" w:left="1440" w:header="1440" w:footer="144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8247FF" w16cid:durableId="21C85623"/>
  <w16cid:commentId w16cid:paraId="025843CE" w16cid:durableId="209BA7CB"/>
  <w16cid:commentId w16cid:paraId="31222248" w16cid:durableId="21C969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4D17F" w14:textId="77777777" w:rsidR="00DA274C" w:rsidRDefault="00DA274C">
      <w:r>
        <w:separator/>
      </w:r>
    </w:p>
  </w:endnote>
  <w:endnote w:type="continuationSeparator" w:id="0">
    <w:p w14:paraId="511B7CB2" w14:textId="77777777" w:rsidR="00DA274C" w:rsidRDefault="00DA2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60D5A" w14:textId="77777777" w:rsidR="00D92E1D" w:rsidRDefault="00D92E1D">
    <w:pPr>
      <w:spacing w:line="240" w:lineRule="exact"/>
    </w:pPr>
  </w:p>
  <w:p w14:paraId="554B28A2" w14:textId="267F6AAA"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A96CA2">
      <w:rPr>
        <w:noProof/>
        <w:sz w:val="24"/>
      </w:rPr>
      <w:t>8</w:t>
    </w:r>
    <w:r>
      <w:rPr>
        <w:sz w:val="24"/>
      </w:rPr>
      <w:fldChar w:fldCharType="end"/>
    </w:r>
  </w:p>
  <w:p w14:paraId="3F62C11E" w14:textId="77777777" w:rsidR="00D92E1D" w:rsidRDefault="00D92E1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B8939" w14:textId="77777777" w:rsidR="00DA274C" w:rsidRDefault="00DA274C">
      <w:r>
        <w:separator/>
      </w:r>
    </w:p>
  </w:footnote>
  <w:footnote w:type="continuationSeparator" w:id="0">
    <w:p w14:paraId="7F88EDA6" w14:textId="77777777" w:rsidR="00DA274C" w:rsidRDefault="00DA274C">
      <w:r>
        <w:continuationSeparator/>
      </w:r>
    </w:p>
  </w:footnote>
  <w:footnote w:id="1">
    <w:p w14:paraId="0B801CE0" w14:textId="784808A1" w:rsidR="007662FB" w:rsidRDefault="007662FB">
      <w:pPr>
        <w:pStyle w:val="FootnoteText"/>
      </w:pPr>
      <w:r w:rsidRPr="0046221A">
        <w:rPr>
          <w:rStyle w:val="FootnoteReference"/>
          <w:vertAlign w:val="superscript"/>
        </w:rPr>
        <w:footnoteRef/>
      </w:r>
      <w:r>
        <w:t xml:space="preserve"> </w:t>
      </w:r>
      <w:r>
        <w:rPr>
          <w:szCs w:val="22"/>
        </w:rPr>
        <w:t>The Ryan White Services Report ICR (</w:t>
      </w:r>
      <w:r w:rsidRPr="0046221A">
        <w:rPr>
          <w:szCs w:val="22"/>
        </w:rPr>
        <w:t xml:space="preserve">OMB No. 0915-0323, revised in </w:t>
      </w:r>
      <w:r>
        <w:rPr>
          <w:szCs w:val="22"/>
        </w:rPr>
        <w:t>CY</w:t>
      </w:r>
      <w:r w:rsidRPr="0046221A">
        <w:rPr>
          <w:szCs w:val="22"/>
        </w:rPr>
        <w:t>2018 under OMB No. 0922-0039)</w:t>
      </w:r>
    </w:p>
  </w:footnote>
  <w:footnote w:id="2">
    <w:p w14:paraId="2BC122C1" w14:textId="1BBF37B1" w:rsidR="008415EC" w:rsidRPr="008415EC" w:rsidRDefault="008415EC">
      <w:pPr>
        <w:pStyle w:val="FootnoteText"/>
      </w:pPr>
      <w:r w:rsidRPr="0046221A">
        <w:rPr>
          <w:rStyle w:val="FootnoteReference"/>
          <w:vertAlign w:val="superscript"/>
        </w:rPr>
        <w:footnoteRef/>
      </w:r>
      <w:r w:rsidR="00F2623F">
        <w:t xml:space="preserve"> </w:t>
      </w:r>
      <w:r w:rsidR="004F2E49">
        <w:t>See attachment:</w:t>
      </w:r>
      <w:r w:rsidR="0046221A">
        <w:t xml:space="preserve"> </w:t>
      </w:r>
      <w:r w:rsidR="0046221A" w:rsidRPr="004F2E49">
        <w:rPr>
          <w:i/>
        </w:rPr>
        <w:t>The Health Resources and Services Administration’s HIV/AIDS Bureau Grant Recipients and Subrecipients Data Reporting Overview</w:t>
      </w:r>
      <w:r w:rsidR="0046221A">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77CFE"/>
    <w:multiLevelType w:val="hybridMultilevel"/>
    <w:tmpl w:val="C99C1A04"/>
    <w:lvl w:ilvl="0" w:tplc="67D03016">
      <w:start w:val="1"/>
      <w:numFmt w:val="decimal"/>
      <w:lvlText w:val="(%1)"/>
      <w:lvlJc w:val="left"/>
      <w:pPr>
        <w:ind w:left="1512" w:hanging="360"/>
      </w:pPr>
      <w:rPr>
        <w:rFonts w:hint="default"/>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 w15:restartNumberingAfterBreak="0">
    <w:nsid w:val="40DD2E70"/>
    <w:multiLevelType w:val="hybridMultilevel"/>
    <w:tmpl w:val="9B188F18"/>
    <w:lvl w:ilvl="0" w:tplc="67D03016">
      <w:start w:val="1"/>
      <w:numFmt w:val="decimal"/>
      <w:lvlText w:val="(%1)"/>
      <w:lvlJc w:val="left"/>
      <w:pPr>
        <w:ind w:left="1512" w:hanging="360"/>
      </w:pPr>
      <w:rPr>
        <w:rFonts w:hint="default"/>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2" w15:restartNumberingAfterBreak="0">
    <w:nsid w:val="4A1D7109"/>
    <w:multiLevelType w:val="hybridMultilevel"/>
    <w:tmpl w:val="2D3A5FC6"/>
    <w:lvl w:ilvl="0" w:tplc="5964AF28">
      <w:start w:val="1"/>
      <w:numFmt w:val="decimal"/>
      <w:lvlText w:val="%1."/>
      <w:lvlJc w:val="left"/>
      <w:pPr>
        <w:tabs>
          <w:tab w:val="num" w:pos="360"/>
        </w:tabs>
        <w:ind w:left="360" w:hanging="360"/>
      </w:pPr>
      <w:rPr>
        <w:b w:val="0"/>
        <w:bCs w:val="0"/>
      </w:rPr>
    </w:lvl>
    <w:lvl w:ilvl="1" w:tplc="04090019">
      <w:start w:val="1"/>
      <w:numFmt w:val="lowerLetter"/>
      <w:lvlText w:val="%2."/>
      <w:lvlJc w:val="left"/>
      <w:pPr>
        <w:tabs>
          <w:tab w:val="num" w:pos="-4140"/>
        </w:tabs>
        <w:ind w:left="-4140" w:hanging="360"/>
      </w:pPr>
    </w:lvl>
    <w:lvl w:ilvl="2" w:tplc="0409001B">
      <w:start w:val="1"/>
      <w:numFmt w:val="lowerRoman"/>
      <w:lvlText w:val="%3."/>
      <w:lvlJc w:val="right"/>
      <w:pPr>
        <w:tabs>
          <w:tab w:val="num" w:pos="-3420"/>
        </w:tabs>
        <w:ind w:left="-3420" w:hanging="180"/>
      </w:pPr>
    </w:lvl>
    <w:lvl w:ilvl="3" w:tplc="04090001">
      <w:start w:val="1"/>
      <w:numFmt w:val="bullet"/>
      <w:lvlText w:val=""/>
      <w:lvlJc w:val="left"/>
      <w:pPr>
        <w:tabs>
          <w:tab w:val="num" w:pos="-2700"/>
        </w:tabs>
        <w:ind w:left="-2700" w:hanging="360"/>
      </w:pPr>
      <w:rPr>
        <w:rFonts w:ascii="Symbol" w:hAnsi="Symbol" w:hint="default"/>
      </w:rPr>
    </w:lvl>
    <w:lvl w:ilvl="4" w:tplc="9AF416FC">
      <w:start w:val="2"/>
      <w:numFmt w:val="upperLetter"/>
      <w:lvlText w:val="%5."/>
      <w:lvlJc w:val="left"/>
      <w:pPr>
        <w:tabs>
          <w:tab w:val="num" w:pos="-1980"/>
        </w:tabs>
        <w:ind w:left="-1980" w:hanging="360"/>
      </w:pPr>
      <w:rPr>
        <w:rFonts w:hint="default"/>
      </w:rPr>
    </w:lvl>
    <w:lvl w:ilvl="5" w:tplc="0409001B">
      <w:start w:val="1"/>
      <w:numFmt w:val="lowerRoman"/>
      <w:lvlText w:val="%6."/>
      <w:lvlJc w:val="right"/>
      <w:pPr>
        <w:tabs>
          <w:tab w:val="num" w:pos="-1260"/>
        </w:tabs>
        <w:ind w:left="-1260" w:hanging="180"/>
      </w:pPr>
    </w:lvl>
    <w:lvl w:ilvl="6" w:tplc="0409000F" w:tentative="1">
      <w:start w:val="1"/>
      <w:numFmt w:val="decimal"/>
      <w:lvlText w:val="%7."/>
      <w:lvlJc w:val="left"/>
      <w:pPr>
        <w:tabs>
          <w:tab w:val="num" w:pos="-540"/>
        </w:tabs>
        <w:ind w:left="-540" w:hanging="360"/>
      </w:pPr>
    </w:lvl>
    <w:lvl w:ilvl="7" w:tplc="04090019" w:tentative="1">
      <w:start w:val="1"/>
      <w:numFmt w:val="lowerLetter"/>
      <w:lvlText w:val="%8."/>
      <w:lvlJc w:val="left"/>
      <w:pPr>
        <w:tabs>
          <w:tab w:val="num" w:pos="180"/>
        </w:tabs>
        <w:ind w:left="180" w:hanging="360"/>
      </w:pPr>
    </w:lvl>
    <w:lvl w:ilvl="8" w:tplc="0409001B" w:tentative="1">
      <w:start w:val="1"/>
      <w:numFmt w:val="lowerRoman"/>
      <w:lvlText w:val="%9."/>
      <w:lvlJc w:val="right"/>
      <w:pPr>
        <w:tabs>
          <w:tab w:val="num" w:pos="900"/>
        </w:tabs>
        <w:ind w:left="900" w:hanging="180"/>
      </w:pPr>
    </w:lvl>
  </w:abstractNum>
  <w:abstractNum w:abstractNumId="3" w15:restartNumberingAfterBreak="0">
    <w:nsid w:val="4BC92DC7"/>
    <w:multiLevelType w:val="hybridMultilevel"/>
    <w:tmpl w:val="98A0A7B8"/>
    <w:lvl w:ilvl="0" w:tplc="04090001">
      <w:start w:val="1"/>
      <w:numFmt w:val="bullet"/>
      <w:lvlText w:val=""/>
      <w:lvlJc w:val="left"/>
      <w:pPr>
        <w:ind w:left="1080" w:hanging="360"/>
      </w:pPr>
      <w:rPr>
        <w:rFonts w:ascii="Symbol" w:hAnsi="Symbol" w:cs="Cambria" w:hint="default"/>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Cambria" w:hint="default"/>
      </w:rPr>
    </w:lvl>
    <w:lvl w:ilvl="4" w:tplc="04090003">
      <w:start w:val="1"/>
      <w:numFmt w:val="bullet"/>
      <w:lvlText w:val="o"/>
      <w:lvlJc w:val="left"/>
      <w:pPr>
        <w:ind w:left="3960" w:hanging="360"/>
      </w:pPr>
      <w:rPr>
        <w:rFonts w:ascii="Courier New" w:hAnsi="Courier New" w:cs="Symbol"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Cambria" w:hint="default"/>
      </w:rPr>
    </w:lvl>
    <w:lvl w:ilvl="7" w:tplc="04090003">
      <w:start w:val="1"/>
      <w:numFmt w:val="bullet"/>
      <w:lvlText w:val="o"/>
      <w:lvlJc w:val="left"/>
      <w:pPr>
        <w:ind w:left="6120" w:hanging="360"/>
      </w:pPr>
      <w:rPr>
        <w:rFonts w:ascii="Courier New" w:hAnsi="Courier New" w:cs="Symbol" w:hint="default"/>
      </w:rPr>
    </w:lvl>
    <w:lvl w:ilvl="8" w:tplc="04090005">
      <w:start w:val="1"/>
      <w:numFmt w:val="bullet"/>
      <w:lvlText w:val=""/>
      <w:lvlJc w:val="left"/>
      <w:pPr>
        <w:ind w:left="6840" w:hanging="360"/>
      </w:pPr>
      <w:rPr>
        <w:rFonts w:ascii="Wingdings" w:hAnsi="Wingdings" w:cs="Wingdings" w:hint="default"/>
      </w:rPr>
    </w:lvl>
  </w:abstractNum>
  <w:abstractNum w:abstractNumId="4" w15:restartNumberingAfterBreak="0">
    <w:nsid w:val="7E6F45B4"/>
    <w:multiLevelType w:val="hybridMultilevel"/>
    <w:tmpl w:val="7D9C55E4"/>
    <w:styleLink w:val="StyleBulleted33"/>
    <w:lvl w:ilvl="0" w:tplc="842626D8">
      <w:start w:val="1"/>
      <w:numFmt w:val="bullet"/>
      <w:pStyle w:val="Answerbulleted"/>
      <w:lvlText w:val=""/>
      <w:lvlJc w:val="left"/>
      <w:pPr>
        <w:ind w:left="990" w:hanging="360"/>
      </w:pPr>
      <w:rPr>
        <w:rFonts w:ascii="Symbol" w:hAnsi="Symbol" w:hint="default"/>
        <w:b w:val="0"/>
        <w:i w:val="0"/>
        <w:color w:val="5C85BC"/>
        <w:position w:val="2"/>
        <w:sz w:val="20"/>
      </w:rPr>
    </w:lvl>
    <w:lvl w:ilvl="1" w:tplc="04090003">
      <w:start w:val="1"/>
      <w:numFmt w:val="bullet"/>
      <w:lvlText w:val="o"/>
      <w:lvlJc w:val="left"/>
      <w:pPr>
        <w:ind w:left="1714" w:hanging="360"/>
      </w:pPr>
      <w:rPr>
        <w:rFonts w:ascii="Courier New" w:hAnsi="Courier New" w:hint="default"/>
      </w:rPr>
    </w:lvl>
    <w:lvl w:ilvl="2" w:tplc="04090005">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hint="default"/>
      </w:rPr>
    </w:lvl>
    <w:lvl w:ilvl="8" w:tplc="04090005" w:tentative="1">
      <w:start w:val="1"/>
      <w:numFmt w:val="bullet"/>
      <w:lvlText w:val=""/>
      <w:lvlJc w:val="left"/>
      <w:pPr>
        <w:ind w:left="6754" w:hanging="360"/>
      </w:pPr>
      <w:rPr>
        <w:rFonts w:ascii="Wingdings" w:hAnsi="Wingdings" w:hint="default"/>
      </w:rPr>
    </w:lvl>
  </w:abstractNum>
  <w:num w:numId="1">
    <w:abstractNumId w:val="2"/>
  </w:num>
  <w:num w:numId="2">
    <w:abstractNumId w:val="4"/>
    <w:lvlOverride w:ilvl="0">
      <w:lvl w:ilvl="0" w:tplc="842626D8">
        <w:start w:val="1"/>
        <w:numFmt w:val="bullet"/>
        <w:pStyle w:val="Answerbulleted"/>
        <w:lvlText w:val=""/>
        <w:lvlJc w:val="left"/>
        <w:pPr>
          <w:ind w:left="1080" w:hanging="360"/>
        </w:pPr>
        <w:rPr>
          <w:rFonts w:ascii="Symbol" w:hAnsi="Symbol" w:hint="default"/>
          <w:b w:val="0"/>
          <w:i w:val="0"/>
          <w:color w:val="auto"/>
          <w:position w:val="2"/>
          <w:sz w:val="20"/>
        </w:rPr>
      </w:lvl>
    </w:lvlOverride>
  </w:num>
  <w:num w:numId="3">
    <w:abstractNumId w:val="4"/>
  </w:num>
  <w:num w:numId="4">
    <w:abstractNumId w:val="1"/>
  </w:num>
  <w:num w:numId="5">
    <w:abstractNumId w:val="0"/>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15505"/>
    <w:rsid w:val="00016680"/>
    <w:rsid w:val="000238F6"/>
    <w:rsid w:val="000240A6"/>
    <w:rsid w:val="00027642"/>
    <w:rsid w:val="0003279E"/>
    <w:rsid w:val="00033FCA"/>
    <w:rsid w:val="000608A4"/>
    <w:rsid w:val="00070B44"/>
    <w:rsid w:val="00071111"/>
    <w:rsid w:val="00071249"/>
    <w:rsid w:val="00083F28"/>
    <w:rsid w:val="00090374"/>
    <w:rsid w:val="000919E9"/>
    <w:rsid w:val="000A599B"/>
    <w:rsid w:val="000B13A0"/>
    <w:rsid w:val="000B45BA"/>
    <w:rsid w:val="000D19AE"/>
    <w:rsid w:val="000E4A4D"/>
    <w:rsid w:val="000E6886"/>
    <w:rsid w:val="00101CF2"/>
    <w:rsid w:val="00112CCF"/>
    <w:rsid w:val="00117672"/>
    <w:rsid w:val="0012347F"/>
    <w:rsid w:val="00125655"/>
    <w:rsid w:val="0012593B"/>
    <w:rsid w:val="00131520"/>
    <w:rsid w:val="0013248D"/>
    <w:rsid w:val="001325B2"/>
    <w:rsid w:val="001342F4"/>
    <w:rsid w:val="00135524"/>
    <w:rsid w:val="00146B01"/>
    <w:rsid w:val="0016236A"/>
    <w:rsid w:val="001626D0"/>
    <w:rsid w:val="0018037C"/>
    <w:rsid w:val="00181CDC"/>
    <w:rsid w:val="001920C3"/>
    <w:rsid w:val="001B3699"/>
    <w:rsid w:val="001B6D8D"/>
    <w:rsid w:val="001C0BDC"/>
    <w:rsid w:val="001C1338"/>
    <w:rsid w:val="001D3113"/>
    <w:rsid w:val="001D4856"/>
    <w:rsid w:val="001E1E25"/>
    <w:rsid w:val="00204ADB"/>
    <w:rsid w:val="002118B4"/>
    <w:rsid w:val="0022334B"/>
    <w:rsid w:val="00231B15"/>
    <w:rsid w:val="00242F15"/>
    <w:rsid w:val="0025025B"/>
    <w:rsid w:val="00251A3F"/>
    <w:rsid w:val="002531C8"/>
    <w:rsid w:val="0025663C"/>
    <w:rsid w:val="002576CB"/>
    <w:rsid w:val="002606B5"/>
    <w:rsid w:val="002640E7"/>
    <w:rsid w:val="00265DCE"/>
    <w:rsid w:val="002765A9"/>
    <w:rsid w:val="0028667D"/>
    <w:rsid w:val="00287962"/>
    <w:rsid w:val="00296419"/>
    <w:rsid w:val="002A136D"/>
    <w:rsid w:val="002B5121"/>
    <w:rsid w:val="002C1719"/>
    <w:rsid w:val="002D6C09"/>
    <w:rsid w:val="00301E7F"/>
    <w:rsid w:val="003036AF"/>
    <w:rsid w:val="003119BC"/>
    <w:rsid w:val="00315CBC"/>
    <w:rsid w:val="00322313"/>
    <w:rsid w:val="0034366C"/>
    <w:rsid w:val="00350DC2"/>
    <w:rsid w:val="00363700"/>
    <w:rsid w:val="00363AB5"/>
    <w:rsid w:val="00373F4C"/>
    <w:rsid w:val="00390BC6"/>
    <w:rsid w:val="00391E16"/>
    <w:rsid w:val="003A184C"/>
    <w:rsid w:val="003A1EE6"/>
    <w:rsid w:val="003A301B"/>
    <w:rsid w:val="003A50D3"/>
    <w:rsid w:val="003B09BB"/>
    <w:rsid w:val="003D0684"/>
    <w:rsid w:val="003D0B28"/>
    <w:rsid w:val="003D23B1"/>
    <w:rsid w:val="003E187D"/>
    <w:rsid w:val="003F350E"/>
    <w:rsid w:val="00410B21"/>
    <w:rsid w:val="0042392C"/>
    <w:rsid w:val="00430A5B"/>
    <w:rsid w:val="004369D3"/>
    <w:rsid w:val="00444B57"/>
    <w:rsid w:val="00457273"/>
    <w:rsid w:val="0046221A"/>
    <w:rsid w:val="00472847"/>
    <w:rsid w:val="004746CA"/>
    <w:rsid w:val="00490720"/>
    <w:rsid w:val="004A114B"/>
    <w:rsid w:val="004A69B8"/>
    <w:rsid w:val="004C1127"/>
    <w:rsid w:val="004D4514"/>
    <w:rsid w:val="004E12C9"/>
    <w:rsid w:val="004E66AD"/>
    <w:rsid w:val="004E687D"/>
    <w:rsid w:val="004F042B"/>
    <w:rsid w:val="004F2035"/>
    <w:rsid w:val="004F2955"/>
    <w:rsid w:val="004F2E49"/>
    <w:rsid w:val="004F5E1E"/>
    <w:rsid w:val="00502ABD"/>
    <w:rsid w:val="00503BAB"/>
    <w:rsid w:val="00503C21"/>
    <w:rsid w:val="00517CB6"/>
    <w:rsid w:val="00545990"/>
    <w:rsid w:val="00546644"/>
    <w:rsid w:val="0055275E"/>
    <w:rsid w:val="0057440A"/>
    <w:rsid w:val="00575CBB"/>
    <w:rsid w:val="005778B9"/>
    <w:rsid w:val="005909CC"/>
    <w:rsid w:val="00592B4E"/>
    <w:rsid w:val="005B46C1"/>
    <w:rsid w:val="005C1E0C"/>
    <w:rsid w:val="005D7625"/>
    <w:rsid w:val="005E1765"/>
    <w:rsid w:val="005F0537"/>
    <w:rsid w:val="005F20BC"/>
    <w:rsid w:val="005F5342"/>
    <w:rsid w:val="00602080"/>
    <w:rsid w:val="006022AD"/>
    <w:rsid w:val="00610704"/>
    <w:rsid w:val="00624019"/>
    <w:rsid w:val="00627FFD"/>
    <w:rsid w:val="00630736"/>
    <w:rsid w:val="00635D43"/>
    <w:rsid w:val="00636A01"/>
    <w:rsid w:val="00656CBD"/>
    <w:rsid w:val="00666244"/>
    <w:rsid w:val="0067753E"/>
    <w:rsid w:val="00680D76"/>
    <w:rsid w:val="006A46CD"/>
    <w:rsid w:val="006A70E1"/>
    <w:rsid w:val="006B7477"/>
    <w:rsid w:val="006C76F7"/>
    <w:rsid w:val="006D2080"/>
    <w:rsid w:val="006D3332"/>
    <w:rsid w:val="006D403E"/>
    <w:rsid w:val="0070633B"/>
    <w:rsid w:val="00711958"/>
    <w:rsid w:val="00711E45"/>
    <w:rsid w:val="00711E5D"/>
    <w:rsid w:val="00713422"/>
    <w:rsid w:val="00726141"/>
    <w:rsid w:val="00726F0F"/>
    <w:rsid w:val="00731033"/>
    <w:rsid w:val="0073114C"/>
    <w:rsid w:val="0074188F"/>
    <w:rsid w:val="00742E1D"/>
    <w:rsid w:val="007601AF"/>
    <w:rsid w:val="00760675"/>
    <w:rsid w:val="007609F8"/>
    <w:rsid w:val="007662FB"/>
    <w:rsid w:val="0078165A"/>
    <w:rsid w:val="00787F43"/>
    <w:rsid w:val="00792722"/>
    <w:rsid w:val="00793440"/>
    <w:rsid w:val="007B2649"/>
    <w:rsid w:val="007D2138"/>
    <w:rsid w:val="007E32C1"/>
    <w:rsid w:val="007E570A"/>
    <w:rsid w:val="007F047A"/>
    <w:rsid w:val="007F50AE"/>
    <w:rsid w:val="008002AB"/>
    <w:rsid w:val="00822A7D"/>
    <w:rsid w:val="008415EC"/>
    <w:rsid w:val="00843689"/>
    <w:rsid w:val="0085547F"/>
    <w:rsid w:val="00856A67"/>
    <w:rsid w:val="008576F1"/>
    <w:rsid w:val="00863B69"/>
    <w:rsid w:val="008670D2"/>
    <w:rsid w:val="00870152"/>
    <w:rsid w:val="008841EE"/>
    <w:rsid w:val="008A6CC5"/>
    <w:rsid w:val="008B04CA"/>
    <w:rsid w:val="008B20DC"/>
    <w:rsid w:val="008C2269"/>
    <w:rsid w:val="008C2FD2"/>
    <w:rsid w:val="008D0995"/>
    <w:rsid w:val="008D2D67"/>
    <w:rsid w:val="008E5E75"/>
    <w:rsid w:val="008F27BA"/>
    <w:rsid w:val="008F3881"/>
    <w:rsid w:val="008F6ABC"/>
    <w:rsid w:val="00901386"/>
    <w:rsid w:val="00905E2F"/>
    <w:rsid w:val="00917A06"/>
    <w:rsid w:val="00922453"/>
    <w:rsid w:val="00926D9E"/>
    <w:rsid w:val="00932F8A"/>
    <w:rsid w:val="00935E77"/>
    <w:rsid w:val="009424C3"/>
    <w:rsid w:val="00942532"/>
    <w:rsid w:val="00947EB3"/>
    <w:rsid w:val="009515FD"/>
    <w:rsid w:val="00970090"/>
    <w:rsid w:val="00983221"/>
    <w:rsid w:val="00992F66"/>
    <w:rsid w:val="009A1BCF"/>
    <w:rsid w:val="009B3794"/>
    <w:rsid w:val="009B7E4D"/>
    <w:rsid w:val="009C429A"/>
    <w:rsid w:val="009D0491"/>
    <w:rsid w:val="009E2540"/>
    <w:rsid w:val="009E7063"/>
    <w:rsid w:val="00A022A0"/>
    <w:rsid w:val="00A02E68"/>
    <w:rsid w:val="00A030F3"/>
    <w:rsid w:val="00A110CF"/>
    <w:rsid w:val="00A15956"/>
    <w:rsid w:val="00A1688A"/>
    <w:rsid w:val="00A16E52"/>
    <w:rsid w:val="00A24530"/>
    <w:rsid w:val="00A27D7E"/>
    <w:rsid w:val="00A5782C"/>
    <w:rsid w:val="00A57FAC"/>
    <w:rsid w:val="00A66DE6"/>
    <w:rsid w:val="00A743FA"/>
    <w:rsid w:val="00A744DD"/>
    <w:rsid w:val="00A8118A"/>
    <w:rsid w:val="00A925ED"/>
    <w:rsid w:val="00A92CAB"/>
    <w:rsid w:val="00A96CA2"/>
    <w:rsid w:val="00AA4BB2"/>
    <w:rsid w:val="00AC7B84"/>
    <w:rsid w:val="00AE20B9"/>
    <w:rsid w:val="00AE2856"/>
    <w:rsid w:val="00AE7154"/>
    <w:rsid w:val="00AF11DF"/>
    <w:rsid w:val="00B15462"/>
    <w:rsid w:val="00B201D1"/>
    <w:rsid w:val="00B21328"/>
    <w:rsid w:val="00B309BE"/>
    <w:rsid w:val="00B47E67"/>
    <w:rsid w:val="00B50A61"/>
    <w:rsid w:val="00B50F23"/>
    <w:rsid w:val="00B655C6"/>
    <w:rsid w:val="00B65DE1"/>
    <w:rsid w:val="00B733F9"/>
    <w:rsid w:val="00B7575B"/>
    <w:rsid w:val="00B84F63"/>
    <w:rsid w:val="00BA1A0C"/>
    <w:rsid w:val="00BA3E25"/>
    <w:rsid w:val="00BC6596"/>
    <w:rsid w:val="00BD1534"/>
    <w:rsid w:val="00BD495E"/>
    <w:rsid w:val="00BF360A"/>
    <w:rsid w:val="00C0107A"/>
    <w:rsid w:val="00C11D28"/>
    <w:rsid w:val="00C15985"/>
    <w:rsid w:val="00C25A62"/>
    <w:rsid w:val="00C2606E"/>
    <w:rsid w:val="00C45431"/>
    <w:rsid w:val="00C455BC"/>
    <w:rsid w:val="00C60EC8"/>
    <w:rsid w:val="00C74B86"/>
    <w:rsid w:val="00C77046"/>
    <w:rsid w:val="00C772AE"/>
    <w:rsid w:val="00C86ADE"/>
    <w:rsid w:val="00C9409B"/>
    <w:rsid w:val="00C94F1F"/>
    <w:rsid w:val="00CA0190"/>
    <w:rsid w:val="00CA3DA6"/>
    <w:rsid w:val="00CB1FAF"/>
    <w:rsid w:val="00CC026E"/>
    <w:rsid w:val="00CD36E7"/>
    <w:rsid w:val="00CE0085"/>
    <w:rsid w:val="00CE14B2"/>
    <w:rsid w:val="00CE44C9"/>
    <w:rsid w:val="00CE5AA9"/>
    <w:rsid w:val="00CF196A"/>
    <w:rsid w:val="00D01C19"/>
    <w:rsid w:val="00D10B10"/>
    <w:rsid w:val="00D11CA3"/>
    <w:rsid w:val="00D12B23"/>
    <w:rsid w:val="00D15144"/>
    <w:rsid w:val="00D40B45"/>
    <w:rsid w:val="00D45383"/>
    <w:rsid w:val="00D46313"/>
    <w:rsid w:val="00D5169C"/>
    <w:rsid w:val="00D52997"/>
    <w:rsid w:val="00D56CC2"/>
    <w:rsid w:val="00D600D8"/>
    <w:rsid w:val="00D74B86"/>
    <w:rsid w:val="00D77DD7"/>
    <w:rsid w:val="00D92E1D"/>
    <w:rsid w:val="00D97684"/>
    <w:rsid w:val="00DA274C"/>
    <w:rsid w:val="00DB46D6"/>
    <w:rsid w:val="00DC7EF3"/>
    <w:rsid w:val="00DD56A5"/>
    <w:rsid w:val="00DE162D"/>
    <w:rsid w:val="00DE3A45"/>
    <w:rsid w:val="00E00CEE"/>
    <w:rsid w:val="00E02159"/>
    <w:rsid w:val="00E070DB"/>
    <w:rsid w:val="00E10B01"/>
    <w:rsid w:val="00E203FA"/>
    <w:rsid w:val="00E310E4"/>
    <w:rsid w:val="00E33F4F"/>
    <w:rsid w:val="00E3460D"/>
    <w:rsid w:val="00E34A1F"/>
    <w:rsid w:val="00E36A9F"/>
    <w:rsid w:val="00E5473F"/>
    <w:rsid w:val="00E63714"/>
    <w:rsid w:val="00E77AF4"/>
    <w:rsid w:val="00E87554"/>
    <w:rsid w:val="00E915C6"/>
    <w:rsid w:val="00E922B9"/>
    <w:rsid w:val="00E939A1"/>
    <w:rsid w:val="00E962DB"/>
    <w:rsid w:val="00EA01D9"/>
    <w:rsid w:val="00EA47CB"/>
    <w:rsid w:val="00EB7B24"/>
    <w:rsid w:val="00EC38CD"/>
    <w:rsid w:val="00EC4ABF"/>
    <w:rsid w:val="00ED18EA"/>
    <w:rsid w:val="00EE10AE"/>
    <w:rsid w:val="00EE529C"/>
    <w:rsid w:val="00EF16A2"/>
    <w:rsid w:val="00EF3723"/>
    <w:rsid w:val="00F00977"/>
    <w:rsid w:val="00F070BA"/>
    <w:rsid w:val="00F10C15"/>
    <w:rsid w:val="00F2623F"/>
    <w:rsid w:val="00F4221E"/>
    <w:rsid w:val="00F43269"/>
    <w:rsid w:val="00F43CA7"/>
    <w:rsid w:val="00F7196E"/>
    <w:rsid w:val="00F77DBD"/>
    <w:rsid w:val="00F96010"/>
    <w:rsid w:val="00FA31CF"/>
    <w:rsid w:val="00FC7F32"/>
    <w:rsid w:val="00FD7046"/>
    <w:rsid w:val="00FE6C30"/>
    <w:rsid w:val="00FE7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54B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6A5"/>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BodyText">
    <w:name w:val="Body Text"/>
    <w:basedOn w:val="Normal"/>
    <w:link w:val="BodyTextChar"/>
    <w:semiHidden/>
    <w:unhideWhenUsed/>
    <w:rsid w:val="00A27D7E"/>
    <w:pPr>
      <w:spacing w:after="120"/>
    </w:pPr>
  </w:style>
  <w:style w:type="character" w:customStyle="1" w:styleId="BodyTextChar">
    <w:name w:val="Body Text Char"/>
    <w:basedOn w:val="DefaultParagraphFont"/>
    <w:link w:val="BodyText"/>
    <w:semiHidden/>
    <w:rsid w:val="00A27D7E"/>
    <w:rPr>
      <w:szCs w:val="24"/>
    </w:rPr>
  </w:style>
  <w:style w:type="character" w:styleId="CommentReference">
    <w:name w:val="annotation reference"/>
    <w:basedOn w:val="DefaultParagraphFont"/>
    <w:semiHidden/>
    <w:unhideWhenUsed/>
    <w:rsid w:val="006022AD"/>
    <w:rPr>
      <w:sz w:val="16"/>
      <w:szCs w:val="16"/>
    </w:rPr>
  </w:style>
  <w:style w:type="paragraph" w:styleId="CommentText">
    <w:name w:val="annotation text"/>
    <w:basedOn w:val="Normal"/>
    <w:link w:val="CommentTextChar"/>
    <w:semiHidden/>
    <w:unhideWhenUsed/>
    <w:rsid w:val="006022AD"/>
    <w:rPr>
      <w:szCs w:val="20"/>
    </w:rPr>
  </w:style>
  <w:style w:type="character" w:customStyle="1" w:styleId="CommentTextChar">
    <w:name w:val="Comment Text Char"/>
    <w:basedOn w:val="DefaultParagraphFont"/>
    <w:link w:val="CommentText"/>
    <w:semiHidden/>
    <w:rsid w:val="006022AD"/>
  </w:style>
  <w:style w:type="paragraph" w:styleId="CommentSubject">
    <w:name w:val="annotation subject"/>
    <w:basedOn w:val="CommentText"/>
    <w:next w:val="CommentText"/>
    <w:link w:val="CommentSubjectChar"/>
    <w:semiHidden/>
    <w:unhideWhenUsed/>
    <w:rsid w:val="006022AD"/>
    <w:rPr>
      <w:b/>
      <w:bCs/>
    </w:rPr>
  </w:style>
  <w:style w:type="character" w:customStyle="1" w:styleId="CommentSubjectChar">
    <w:name w:val="Comment Subject Char"/>
    <w:basedOn w:val="CommentTextChar"/>
    <w:link w:val="CommentSubject"/>
    <w:semiHidden/>
    <w:rsid w:val="006022AD"/>
    <w:rPr>
      <w:b/>
      <w:bCs/>
    </w:rPr>
  </w:style>
  <w:style w:type="paragraph" w:styleId="FootnoteText">
    <w:name w:val="footnote text"/>
    <w:basedOn w:val="Normal"/>
    <w:link w:val="FootnoteTextChar"/>
    <w:semiHidden/>
    <w:unhideWhenUsed/>
    <w:rsid w:val="002A136D"/>
    <w:rPr>
      <w:szCs w:val="20"/>
    </w:rPr>
  </w:style>
  <w:style w:type="character" w:customStyle="1" w:styleId="FootnoteTextChar">
    <w:name w:val="Footnote Text Char"/>
    <w:basedOn w:val="DefaultParagraphFont"/>
    <w:link w:val="FootnoteText"/>
    <w:semiHidden/>
    <w:rsid w:val="002A136D"/>
  </w:style>
  <w:style w:type="character" w:styleId="FollowedHyperlink">
    <w:name w:val="FollowedHyperlink"/>
    <w:basedOn w:val="DefaultParagraphFont"/>
    <w:semiHidden/>
    <w:unhideWhenUsed/>
    <w:rsid w:val="007609F8"/>
    <w:rPr>
      <w:color w:val="800080" w:themeColor="followedHyperlink"/>
      <w:u w:val="single"/>
    </w:rPr>
  </w:style>
  <w:style w:type="paragraph" w:customStyle="1" w:styleId="Answerbulleted">
    <w:name w:val="Answer bulleted"/>
    <w:basedOn w:val="Normal"/>
    <w:rsid w:val="000238F6"/>
    <w:pPr>
      <w:numPr>
        <w:numId w:val="2"/>
      </w:numPr>
      <w:autoSpaceDE/>
      <w:autoSpaceDN/>
      <w:adjustRightInd/>
      <w:spacing w:before="120" w:after="120"/>
      <w:ind w:right="446"/>
    </w:pPr>
    <w:rPr>
      <w:rFonts w:ascii="Cambria" w:hAnsi="Cambria"/>
      <w:spacing w:val="-1"/>
      <w:sz w:val="22"/>
      <w:szCs w:val="22"/>
    </w:rPr>
  </w:style>
  <w:style w:type="numbering" w:customStyle="1" w:styleId="StyleBulleted33">
    <w:name w:val="Style Bulleted 33"/>
    <w:rsid w:val="000238F6"/>
    <w:pPr>
      <w:numPr>
        <w:numId w:val="3"/>
      </w:numPr>
    </w:pPr>
  </w:style>
  <w:style w:type="paragraph" w:customStyle="1" w:styleId="ColorfulList-Accent11">
    <w:name w:val="Colorful List - Accent 11"/>
    <w:basedOn w:val="Normal"/>
    <w:link w:val="ColorfulList-Accent1Char"/>
    <w:uiPriority w:val="99"/>
    <w:qFormat/>
    <w:rsid w:val="000238F6"/>
    <w:pPr>
      <w:autoSpaceDE/>
      <w:autoSpaceDN/>
      <w:adjustRightInd/>
      <w:ind w:left="720"/>
    </w:pPr>
    <w:rPr>
      <w:rFonts w:ascii="Calibri" w:hAnsi="Calibri"/>
      <w:spacing w:val="-1"/>
      <w:szCs w:val="20"/>
    </w:rPr>
  </w:style>
  <w:style w:type="character" w:customStyle="1" w:styleId="ColorfulList-Accent1Char">
    <w:name w:val="Colorful List - Accent 1 Char"/>
    <w:link w:val="ColorfulList-Accent11"/>
    <w:uiPriority w:val="99"/>
    <w:locked/>
    <w:rsid w:val="000238F6"/>
    <w:rPr>
      <w:rFonts w:ascii="Calibri" w:hAnsi="Calibri"/>
      <w:spacing w:val="-1"/>
    </w:rPr>
  </w:style>
  <w:style w:type="character" w:customStyle="1" w:styleId="BodyTextFi">
    <w:name w:val="Body Text Fi"/>
    <w:rsid w:val="006D2080"/>
  </w:style>
  <w:style w:type="paragraph" w:styleId="BodyText2">
    <w:name w:val="Body Text 2"/>
    <w:basedOn w:val="Normal"/>
    <w:link w:val="BodyText2Char"/>
    <w:semiHidden/>
    <w:unhideWhenUsed/>
    <w:rsid w:val="00A110CF"/>
    <w:pPr>
      <w:spacing w:after="120" w:line="480" w:lineRule="auto"/>
    </w:pPr>
  </w:style>
  <w:style w:type="character" w:customStyle="1" w:styleId="BodyText2Char">
    <w:name w:val="Body Text 2 Char"/>
    <w:basedOn w:val="DefaultParagraphFont"/>
    <w:link w:val="BodyText2"/>
    <w:semiHidden/>
    <w:rsid w:val="00A110CF"/>
    <w:rPr>
      <w:szCs w:val="24"/>
    </w:rPr>
  </w:style>
  <w:style w:type="paragraph" w:styleId="TOC1">
    <w:name w:val="toc 1"/>
    <w:basedOn w:val="Normal"/>
    <w:next w:val="Normal"/>
    <w:autoRedefine/>
    <w:uiPriority w:val="39"/>
    <w:semiHidden/>
    <w:rsid w:val="00726141"/>
    <w:pPr>
      <w:widowControl/>
      <w:tabs>
        <w:tab w:val="left" w:pos="432"/>
      </w:tabs>
      <w:autoSpaceDE/>
      <w:autoSpaceDN/>
      <w:adjustRightInd/>
    </w:pPr>
    <w:rPr>
      <w:sz w:val="24"/>
      <w:szCs w:val="20"/>
    </w:rPr>
  </w:style>
  <w:style w:type="paragraph" w:customStyle="1" w:styleId="Center">
    <w:name w:val="Center"/>
    <w:basedOn w:val="Normal"/>
    <w:rsid w:val="00726141"/>
    <w:pPr>
      <w:widowControl/>
      <w:tabs>
        <w:tab w:val="left" w:pos="432"/>
      </w:tabs>
      <w:autoSpaceDE/>
      <w:autoSpaceDN/>
      <w:adjustRightInd/>
      <w:spacing w:line="480" w:lineRule="auto"/>
      <w:jc w:val="center"/>
    </w:pPr>
    <w:rPr>
      <w:sz w:val="24"/>
      <w:szCs w:val="20"/>
    </w:rPr>
  </w:style>
  <w:style w:type="character" w:customStyle="1" w:styleId="BalloonTextChar">
    <w:name w:val="Balloon Text Char"/>
    <w:basedOn w:val="DefaultParagraphFont"/>
    <w:link w:val="BalloonText"/>
    <w:uiPriority w:val="99"/>
    <w:semiHidden/>
    <w:rsid w:val="003E187D"/>
    <w:rPr>
      <w:rFonts w:ascii="Tahoma" w:hAnsi="Tahoma" w:cs="Tahoma"/>
      <w:sz w:val="16"/>
      <w:szCs w:val="16"/>
    </w:rPr>
  </w:style>
  <w:style w:type="character" w:customStyle="1" w:styleId="UnresolvedMention">
    <w:name w:val="Unresolved Mention"/>
    <w:basedOn w:val="DefaultParagraphFont"/>
    <w:uiPriority w:val="99"/>
    <w:semiHidden/>
    <w:unhideWhenUsed/>
    <w:rsid w:val="00DD56A5"/>
    <w:rPr>
      <w:color w:val="605E5C"/>
      <w:shd w:val="clear" w:color="auto" w:fill="E1DFDD"/>
    </w:rPr>
  </w:style>
  <w:style w:type="paragraph" w:styleId="Header">
    <w:name w:val="header"/>
    <w:basedOn w:val="Normal"/>
    <w:link w:val="HeaderChar"/>
    <w:unhideWhenUsed/>
    <w:rsid w:val="00E10B01"/>
    <w:pPr>
      <w:tabs>
        <w:tab w:val="center" w:pos="4680"/>
        <w:tab w:val="right" w:pos="9360"/>
      </w:tabs>
    </w:pPr>
  </w:style>
  <w:style w:type="character" w:customStyle="1" w:styleId="HeaderChar">
    <w:name w:val="Header Char"/>
    <w:basedOn w:val="DefaultParagraphFont"/>
    <w:link w:val="Header"/>
    <w:rsid w:val="00E10B01"/>
    <w:rPr>
      <w:szCs w:val="24"/>
    </w:rPr>
  </w:style>
  <w:style w:type="paragraph" w:styleId="Footer">
    <w:name w:val="footer"/>
    <w:basedOn w:val="Normal"/>
    <w:link w:val="FooterChar"/>
    <w:unhideWhenUsed/>
    <w:rsid w:val="00E10B01"/>
    <w:pPr>
      <w:tabs>
        <w:tab w:val="center" w:pos="4680"/>
        <w:tab w:val="right" w:pos="9360"/>
      </w:tabs>
    </w:pPr>
  </w:style>
  <w:style w:type="character" w:customStyle="1" w:styleId="FooterChar">
    <w:name w:val="Footer Char"/>
    <w:basedOn w:val="DefaultParagraphFont"/>
    <w:link w:val="Footer"/>
    <w:rsid w:val="00E10B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87356">
      <w:bodyDiv w:val="1"/>
      <w:marLeft w:val="0"/>
      <w:marRight w:val="0"/>
      <w:marTop w:val="0"/>
      <w:marBottom w:val="0"/>
      <w:divBdr>
        <w:top w:val="none" w:sz="0" w:space="0" w:color="auto"/>
        <w:left w:val="none" w:sz="0" w:space="0" w:color="auto"/>
        <w:bottom w:val="none" w:sz="0" w:space="0" w:color="auto"/>
        <w:right w:val="none" w:sz="0" w:space="0" w:color="auto"/>
      </w:divBdr>
    </w:div>
    <w:div w:id="882793415">
      <w:bodyDiv w:val="1"/>
      <w:marLeft w:val="0"/>
      <w:marRight w:val="0"/>
      <w:marTop w:val="0"/>
      <w:marBottom w:val="0"/>
      <w:divBdr>
        <w:top w:val="none" w:sz="0" w:space="0" w:color="auto"/>
        <w:left w:val="none" w:sz="0" w:space="0" w:color="auto"/>
        <w:bottom w:val="none" w:sz="0" w:space="0" w:color="auto"/>
        <w:right w:val="none" w:sz="0" w:space="0" w:color="auto"/>
      </w:divBdr>
    </w:div>
    <w:div w:id="905724669">
      <w:bodyDiv w:val="1"/>
      <w:marLeft w:val="0"/>
      <w:marRight w:val="0"/>
      <w:marTop w:val="0"/>
      <w:marBottom w:val="0"/>
      <w:divBdr>
        <w:top w:val="none" w:sz="0" w:space="0" w:color="auto"/>
        <w:left w:val="none" w:sz="0" w:space="0" w:color="auto"/>
        <w:bottom w:val="none" w:sz="0" w:space="0" w:color="auto"/>
        <w:right w:val="none" w:sz="0" w:space="0" w:color="auto"/>
      </w:divBdr>
    </w:div>
    <w:div w:id="1516074504">
      <w:bodyDiv w:val="1"/>
      <w:marLeft w:val="0"/>
      <w:marRight w:val="0"/>
      <w:marTop w:val="0"/>
      <w:marBottom w:val="0"/>
      <w:divBdr>
        <w:top w:val="none" w:sz="0" w:space="0" w:color="auto"/>
        <w:left w:val="none" w:sz="0" w:space="0" w:color="auto"/>
        <w:bottom w:val="none" w:sz="0" w:space="0" w:color="auto"/>
        <w:right w:val="none" w:sz="0" w:space="0" w:color="auto"/>
      </w:divBdr>
    </w:div>
    <w:div w:id="1675181455">
      <w:bodyDiv w:val="1"/>
      <w:marLeft w:val="0"/>
      <w:marRight w:val="0"/>
      <w:marTop w:val="0"/>
      <w:marBottom w:val="0"/>
      <w:divBdr>
        <w:top w:val="none" w:sz="0" w:space="0" w:color="auto"/>
        <w:left w:val="none" w:sz="0" w:space="0" w:color="auto"/>
        <w:bottom w:val="none" w:sz="0" w:space="0" w:color="auto"/>
        <w:right w:val="none" w:sz="0" w:space="0" w:color="auto"/>
      </w:divBdr>
    </w:div>
    <w:div w:id="169477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ndy.ly@cdph.c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ra.thomas@maine.gov" TargetMode="External"/><Relationship Id="rId5" Type="http://schemas.openxmlformats.org/officeDocument/2006/relationships/webSettings" Target="webSettings.xml"/><Relationship Id="rId10" Type="http://schemas.openxmlformats.org/officeDocument/2006/relationships/hyperlink" Target="mailto:Jeremy.martinez@state.co.us" TargetMode="External"/><Relationship Id="rId4" Type="http://schemas.openxmlformats.org/officeDocument/2006/relationships/settings" Target="settings.xml"/><Relationship Id="rId9" Type="http://schemas.openxmlformats.org/officeDocument/2006/relationships/hyperlink" Target="mailto:Eleana.sessoms@dhhs.nc.gov" TargetMode="External"/><Relationship Id="rId14" Type="http://schemas.openxmlformats.org/officeDocument/2006/relationships/theme" Target="theme/theme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C6A76-7C7C-466A-B354-60B1B025F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2903</Words>
  <Characters>16216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19081</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2020-05-22T18:25:00Z</dcterms:created>
  <dcterms:modified xsi:type="dcterms:W3CDTF">2020-05-22T18:26:00Z</dcterms:modified>
</cp:coreProperties>
</file>