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3FE" w:rsidP="007553FE" w:rsidRDefault="007553FE" w14:paraId="3FC65E05" w14:textId="77777777">
      <w:pPr>
        <w:jc w:val="center"/>
        <w:rPr>
          <w:b/>
        </w:rPr>
      </w:pPr>
      <w:bookmarkStart w:name="_GoBack" w:id="0"/>
      <w:bookmarkEnd w:id="0"/>
      <w:r w:rsidRPr="007C7580">
        <w:rPr>
          <w:b/>
        </w:rPr>
        <w:t xml:space="preserve">Airline and Traveler Information Collection: Domestic Manifests and the Passenger Locator Form </w:t>
      </w:r>
    </w:p>
    <w:p w:rsidRPr="00C61FA5" w:rsidR="007553FE" w:rsidP="007553FE" w:rsidRDefault="007553FE" w14:paraId="3811B803" w14:textId="77777777">
      <w:pPr>
        <w:jc w:val="center"/>
        <w:rPr>
          <w:b/>
        </w:rPr>
      </w:pPr>
      <w:r w:rsidRPr="00C61FA5">
        <w:rPr>
          <w:b/>
        </w:rPr>
        <w:t>(42 CFR Part 70 and 71)</w:t>
      </w:r>
    </w:p>
    <w:p w:rsidR="00CD1F6F" w:rsidP="007553FE" w:rsidRDefault="007553FE" w14:paraId="1ACD2EE6" w14:textId="77777777">
      <w:pPr>
        <w:jc w:val="center"/>
        <w:rPr>
          <w:b/>
        </w:rPr>
      </w:pPr>
      <w:r>
        <w:rPr>
          <w:b/>
        </w:rPr>
        <w:t xml:space="preserve"> </w:t>
      </w:r>
      <w:r w:rsidR="00CD1F6F">
        <w:rPr>
          <w:b/>
        </w:rPr>
        <w:t>(OMB Control No. 0920-</w:t>
      </w:r>
      <w:r w:rsidR="00564046">
        <w:rPr>
          <w:b/>
        </w:rPr>
        <w:t>1181</w:t>
      </w:r>
      <w:r w:rsidR="00CD1F6F">
        <w:rPr>
          <w:b/>
        </w:rPr>
        <w:t>)</w:t>
      </w:r>
    </w:p>
    <w:p w:rsidRPr="00C61FA5" w:rsidR="00EC6D80" w:rsidP="00EC6D80" w:rsidRDefault="00EC6D80" w14:paraId="4C8CDEEF" w14:textId="77777777">
      <w:pPr>
        <w:jc w:val="center"/>
        <w:rPr>
          <w:b/>
        </w:rPr>
      </w:pPr>
      <w:r>
        <w:rPr>
          <w:b/>
        </w:rPr>
        <w:t>Information collection ongoing without the use of a control number</w:t>
      </w:r>
    </w:p>
    <w:p w:rsidR="0000664A" w:rsidP="00CD1F6F" w:rsidRDefault="0000664A" w14:paraId="53514533" w14:textId="77777777">
      <w:pPr>
        <w:jc w:val="center"/>
        <w:rPr>
          <w:b/>
          <w:u w:val="single"/>
        </w:rPr>
      </w:pPr>
      <w:r>
        <w:rPr>
          <w:b/>
        </w:rPr>
        <w:t xml:space="preserve">Submitted </w:t>
      </w:r>
      <w:r w:rsidR="002A2A16">
        <w:rPr>
          <w:b/>
        </w:rPr>
        <w:fldChar w:fldCharType="begin"/>
      </w:r>
      <w:r w:rsidR="002A2A16">
        <w:rPr>
          <w:b/>
        </w:rPr>
        <w:instrText xml:space="preserve"> DATE \@ "MMMM d, yyyy" </w:instrText>
      </w:r>
      <w:r w:rsidR="002A2A16">
        <w:rPr>
          <w:b/>
        </w:rPr>
        <w:fldChar w:fldCharType="separate"/>
      </w:r>
      <w:r w:rsidR="004A3549">
        <w:rPr>
          <w:b/>
          <w:noProof/>
        </w:rPr>
        <w:t>April 14, 2020</w:t>
      </w:r>
      <w:r w:rsidR="002A2A16">
        <w:rPr>
          <w:b/>
        </w:rPr>
        <w:fldChar w:fldCharType="end"/>
      </w:r>
    </w:p>
    <w:p w:rsidR="00DC08FC" w:rsidP="00DC08FC" w:rsidRDefault="00DC08FC" w14:paraId="6FD88F37" w14:textId="77777777">
      <w:pPr>
        <w:rPr>
          <w:b/>
          <w:u w:val="single"/>
        </w:rPr>
      </w:pPr>
    </w:p>
    <w:p w:rsidR="00DC08FC" w:rsidP="00DC08FC" w:rsidRDefault="00DC08FC" w14:paraId="61FB1B14" w14:textId="77777777">
      <w:pPr>
        <w:rPr>
          <w:b/>
          <w:u w:val="single"/>
        </w:rPr>
      </w:pPr>
    </w:p>
    <w:p w:rsidR="00DC08FC" w:rsidP="00DC08FC" w:rsidRDefault="00DC08FC" w14:paraId="794AAFE5" w14:textId="77777777">
      <w:pPr>
        <w:jc w:val="center"/>
        <w:rPr>
          <w:b/>
        </w:rPr>
      </w:pPr>
      <w:r>
        <w:rPr>
          <w:b/>
          <w:u w:val="single"/>
        </w:rPr>
        <w:t>B. Collections of Information Employing Statistical Methods</w:t>
      </w:r>
      <w:r>
        <w:rPr>
          <w:b/>
        </w:rPr>
        <w:t xml:space="preserve"> </w:t>
      </w:r>
    </w:p>
    <w:p w:rsidR="00DC08FC" w:rsidP="00DC08FC" w:rsidRDefault="00DC08FC" w14:paraId="414AD808" w14:textId="77777777">
      <w:pPr>
        <w:jc w:val="center"/>
        <w:rPr>
          <w:b/>
        </w:rPr>
      </w:pPr>
    </w:p>
    <w:p w:rsidR="00DC08FC" w:rsidP="00DC08FC" w:rsidRDefault="00DC08FC" w14:paraId="6F4E7DD9" w14:textId="77777777">
      <w:pPr>
        <w:jc w:val="center"/>
        <w:rPr>
          <w:b/>
        </w:rPr>
      </w:pPr>
    </w:p>
    <w:p w:rsidR="00DF7118" w:rsidRDefault="00DF7118" w14:paraId="313EF0F5" w14:textId="77777777">
      <w:pPr>
        <w:pStyle w:val="TOCHeading"/>
      </w:pPr>
      <w:r>
        <w:t>Contents</w:t>
      </w:r>
    </w:p>
    <w:p w:rsidR="00AF3B47" w:rsidRDefault="00AF3B47" w14:paraId="56AEBC0C" w14:textId="77777777">
      <w:pPr>
        <w:pStyle w:val="TOC1"/>
        <w:tabs>
          <w:tab w:val="right" w:leader="dot" w:pos="8630"/>
        </w:tabs>
      </w:pPr>
    </w:p>
    <w:p w:rsidRPr="00D77D19" w:rsidR="00AF3B47" w:rsidRDefault="00DF7118" w14:paraId="0870F86C" w14:textId="77777777">
      <w:pPr>
        <w:pStyle w:val="TOC1"/>
        <w:tabs>
          <w:tab w:val="right" w:leader="dot" w:pos="8630"/>
        </w:tabs>
        <w:rPr>
          <w:rFonts w:ascii="Calibri" w:hAnsi="Calibri"/>
          <w:noProof/>
          <w:sz w:val="22"/>
          <w:szCs w:val="22"/>
        </w:rPr>
      </w:pPr>
      <w:r>
        <w:fldChar w:fldCharType="begin"/>
      </w:r>
      <w:r>
        <w:instrText xml:space="preserve"> TOC \o "1-3" \h \z \u </w:instrText>
      </w:r>
      <w:r>
        <w:fldChar w:fldCharType="separate"/>
      </w:r>
      <w:hyperlink w:history="1" w:anchor="_Toc431279243">
        <w:r w:rsidRPr="0064358A" w:rsidR="00AF3B47">
          <w:rPr>
            <w:rStyle w:val="Hyperlink"/>
            <w:noProof/>
          </w:rPr>
          <w:t>B. Collections of Information Employing Statistical Methods</w:t>
        </w:r>
        <w:r w:rsidR="00AF3B47">
          <w:rPr>
            <w:noProof/>
            <w:webHidden/>
          </w:rPr>
          <w:tab/>
        </w:r>
        <w:r w:rsidR="00AF3B47">
          <w:rPr>
            <w:noProof/>
            <w:webHidden/>
          </w:rPr>
          <w:fldChar w:fldCharType="begin"/>
        </w:r>
        <w:r w:rsidR="00AF3B47">
          <w:rPr>
            <w:noProof/>
            <w:webHidden/>
          </w:rPr>
          <w:instrText xml:space="preserve"> PAGEREF _Toc431279243 \h </w:instrText>
        </w:r>
        <w:r w:rsidR="00AF3B47">
          <w:rPr>
            <w:noProof/>
            <w:webHidden/>
          </w:rPr>
        </w:r>
        <w:r w:rsidR="00AF3B47">
          <w:rPr>
            <w:noProof/>
            <w:webHidden/>
          </w:rPr>
          <w:fldChar w:fldCharType="separate"/>
        </w:r>
        <w:r w:rsidR="008C3CE4">
          <w:rPr>
            <w:noProof/>
            <w:webHidden/>
          </w:rPr>
          <w:t>2</w:t>
        </w:r>
        <w:r w:rsidR="00AF3B47">
          <w:rPr>
            <w:noProof/>
            <w:webHidden/>
          </w:rPr>
          <w:fldChar w:fldCharType="end"/>
        </w:r>
      </w:hyperlink>
    </w:p>
    <w:p w:rsidR="00AF3B47" w:rsidRDefault="00AF3B47" w14:paraId="70F6F576" w14:textId="77777777">
      <w:pPr>
        <w:pStyle w:val="TOC2"/>
        <w:tabs>
          <w:tab w:val="right" w:leader="dot" w:pos="8630"/>
        </w:tabs>
        <w:rPr>
          <w:noProof/>
        </w:rPr>
      </w:pPr>
      <w:hyperlink w:history="1" w:anchor="_Toc431279244">
        <w:r w:rsidRPr="0064358A">
          <w:rPr>
            <w:rStyle w:val="Hyperlink"/>
            <w:noProof/>
          </w:rPr>
          <w:t>1. Respondent Universe and Sampling Methods</w:t>
        </w:r>
        <w:r>
          <w:rPr>
            <w:noProof/>
            <w:webHidden/>
          </w:rPr>
          <w:tab/>
        </w:r>
        <w:r>
          <w:rPr>
            <w:noProof/>
            <w:webHidden/>
          </w:rPr>
          <w:fldChar w:fldCharType="begin"/>
        </w:r>
        <w:r>
          <w:rPr>
            <w:noProof/>
            <w:webHidden/>
          </w:rPr>
          <w:instrText xml:space="preserve"> PAGEREF _Toc431279244 \h </w:instrText>
        </w:r>
        <w:r>
          <w:rPr>
            <w:noProof/>
            <w:webHidden/>
          </w:rPr>
        </w:r>
        <w:r>
          <w:rPr>
            <w:noProof/>
            <w:webHidden/>
          </w:rPr>
          <w:fldChar w:fldCharType="separate"/>
        </w:r>
        <w:r w:rsidR="008C3CE4">
          <w:rPr>
            <w:noProof/>
            <w:webHidden/>
          </w:rPr>
          <w:t>2</w:t>
        </w:r>
        <w:r>
          <w:rPr>
            <w:noProof/>
            <w:webHidden/>
          </w:rPr>
          <w:fldChar w:fldCharType="end"/>
        </w:r>
      </w:hyperlink>
    </w:p>
    <w:p w:rsidR="00AF3B47" w:rsidRDefault="00AF3B47" w14:paraId="4D33B2D7" w14:textId="77777777">
      <w:pPr>
        <w:pStyle w:val="TOC2"/>
        <w:tabs>
          <w:tab w:val="right" w:leader="dot" w:pos="8630"/>
        </w:tabs>
        <w:rPr>
          <w:noProof/>
        </w:rPr>
      </w:pPr>
      <w:hyperlink w:history="1" w:anchor="_Toc431279245">
        <w:r w:rsidRPr="0064358A">
          <w:rPr>
            <w:rStyle w:val="Hyperlink"/>
            <w:noProof/>
          </w:rPr>
          <w:t>2. Procedures for the Collection of Information</w:t>
        </w:r>
        <w:r>
          <w:rPr>
            <w:noProof/>
            <w:webHidden/>
          </w:rPr>
          <w:tab/>
        </w:r>
        <w:r>
          <w:rPr>
            <w:noProof/>
            <w:webHidden/>
          </w:rPr>
          <w:fldChar w:fldCharType="begin"/>
        </w:r>
        <w:r>
          <w:rPr>
            <w:noProof/>
            <w:webHidden/>
          </w:rPr>
          <w:instrText xml:space="preserve"> PAGEREF _Toc431279245 \h </w:instrText>
        </w:r>
        <w:r>
          <w:rPr>
            <w:noProof/>
            <w:webHidden/>
          </w:rPr>
        </w:r>
        <w:r>
          <w:rPr>
            <w:noProof/>
            <w:webHidden/>
          </w:rPr>
          <w:fldChar w:fldCharType="separate"/>
        </w:r>
        <w:r w:rsidR="008C3CE4">
          <w:rPr>
            <w:noProof/>
            <w:webHidden/>
          </w:rPr>
          <w:t>2</w:t>
        </w:r>
        <w:r>
          <w:rPr>
            <w:noProof/>
            <w:webHidden/>
          </w:rPr>
          <w:fldChar w:fldCharType="end"/>
        </w:r>
      </w:hyperlink>
    </w:p>
    <w:p w:rsidR="00AF3B47" w:rsidRDefault="00AF3B47" w14:paraId="5360CF6D" w14:textId="77777777">
      <w:pPr>
        <w:pStyle w:val="TOC2"/>
        <w:tabs>
          <w:tab w:val="right" w:leader="dot" w:pos="8630"/>
        </w:tabs>
        <w:rPr>
          <w:noProof/>
        </w:rPr>
      </w:pPr>
      <w:hyperlink w:history="1" w:anchor="_Toc431279246">
        <w:r w:rsidRPr="0064358A">
          <w:rPr>
            <w:rStyle w:val="Hyperlink"/>
            <w:noProof/>
          </w:rPr>
          <w:t>3. Methods to Maximize Response Rates and Deal with No Response</w:t>
        </w:r>
        <w:r>
          <w:rPr>
            <w:noProof/>
            <w:webHidden/>
          </w:rPr>
          <w:tab/>
        </w:r>
        <w:r>
          <w:rPr>
            <w:noProof/>
            <w:webHidden/>
          </w:rPr>
          <w:fldChar w:fldCharType="begin"/>
        </w:r>
        <w:r>
          <w:rPr>
            <w:noProof/>
            <w:webHidden/>
          </w:rPr>
          <w:instrText xml:space="preserve"> PAGEREF _Toc431279246 \h </w:instrText>
        </w:r>
        <w:r>
          <w:rPr>
            <w:noProof/>
            <w:webHidden/>
          </w:rPr>
        </w:r>
        <w:r>
          <w:rPr>
            <w:noProof/>
            <w:webHidden/>
          </w:rPr>
          <w:fldChar w:fldCharType="separate"/>
        </w:r>
        <w:r w:rsidR="008C3CE4">
          <w:rPr>
            <w:noProof/>
            <w:webHidden/>
          </w:rPr>
          <w:t>3</w:t>
        </w:r>
        <w:r>
          <w:rPr>
            <w:noProof/>
            <w:webHidden/>
          </w:rPr>
          <w:fldChar w:fldCharType="end"/>
        </w:r>
      </w:hyperlink>
    </w:p>
    <w:p w:rsidR="00AF3B47" w:rsidRDefault="00AF3B47" w14:paraId="440262F6" w14:textId="77777777">
      <w:pPr>
        <w:pStyle w:val="TOC2"/>
        <w:tabs>
          <w:tab w:val="right" w:leader="dot" w:pos="8630"/>
        </w:tabs>
        <w:rPr>
          <w:noProof/>
        </w:rPr>
      </w:pPr>
      <w:hyperlink w:history="1" w:anchor="_Toc431279247">
        <w:r w:rsidRPr="0064358A">
          <w:rPr>
            <w:rStyle w:val="Hyperlink"/>
            <w:noProof/>
          </w:rPr>
          <w:t>4. Tests of Procedures or Methods to be Undertaken</w:t>
        </w:r>
        <w:r>
          <w:rPr>
            <w:noProof/>
            <w:webHidden/>
          </w:rPr>
          <w:tab/>
        </w:r>
        <w:r>
          <w:rPr>
            <w:noProof/>
            <w:webHidden/>
          </w:rPr>
          <w:fldChar w:fldCharType="begin"/>
        </w:r>
        <w:r>
          <w:rPr>
            <w:noProof/>
            <w:webHidden/>
          </w:rPr>
          <w:instrText xml:space="preserve"> PAGEREF _Toc431279247 \h </w:instrText>
        </w:r>
        <w:r>
          <w:rPr>
            <w:noProof/>
            <w:webHidden/>
          </w:rPr>
        </w:r>
        <w:r>
          <w:rPr>
            <w:noProof/>
            <w:webHidden/>
          </w:rPr>
          <w:fldChar w:fldCharType="separate"/>
        </w:r>
        <w:r w:rsidR="008C3CE4">
          <w:rPr>
            <w:noProof/>
            <w:webHidden/>
          </w:rPr>
          <w:t>4</w:t>
        </w:r>
        <w:r>
          <w:rPr>
            <w:noProof/>
            <w:webHidden/>
          </w:rPr>
          <w:fldChar w:fldCharType="end"/>
        </w:r>
      </w:hyperlink>
    </w:p>
    <w:p w:rsidR="00AF3B47" w:rsidRDefault="00AF3B47" w14:paraId="2A9B5375" w14:textId="77777777">
      <w:pPr>
        <w:pStyle w:val="TOC2"/>
        <w:tabs>
          <w:tab w:val="right" w:leader="dot" w:pos="8630"/>
        </w:tabs>
        <w:rPr>
          <w:noProof/>
        </w:rPr>
      </w:pPr>
      <w:hyperlink w:history="1" w:anchor="_Toc431279248">
        <w:r w:rsidRPr="0064358A">
          <w:rPr>
            <w:rStyle w:val="Hyperlink"/>
            <w:noProof/>
            <w:kern w:val="32"/>
          </w:rPr>
          <w:t>5. Individuals Consulted on Statistical Aspects and Individuals Collecting and/or</w:t>
        </w:r>
        <w:r w:rsidRPr="0064358A">
          <w:rPr>
            <w:rStyle w:val="Hyperlink"/>
            <w:noProof/>
          </w:rPr>
          <w:t xml:space="preserve"> Analyzing Data</w:t>
        </w:r>
        <w:r>
          <w:rPr>
            <w:noProof/>
            <w:webHidden/>
          </w:rPr>
          <w:tab/>
        </w:r>
        <w:r>
          <w:rPr>
            <w:noProof/>
            <w:webHidden/>
          </w:rPr>
          <w:fldChar w:fldCharType="begin"/>
        </w:r>
        <w:r>
          <w:rPr>
            <w:noProof/>
            <w:webHidden/>
          </w:rPr>
          <w:instrText xml:space="preserve"> PAGEREF _Toc431279248 \h </w:instrText>
        </w:r>
        <w:r>
          <w:rPr>
            <w:noProof/>
            <w:webHidden/>
          </w:rPr>
        </w:r>
        <w:r>
          <w:rPr>
            <w:noProof/>
            <w:webHidden/>
          </w:rPr>
          <w:fldChar w:fldCharType="separate"/>
        </w:r>
        <w:r w:rsidR="008C3CE4">
          <w:rPr>
            <w:noProof/>
            <w:webHidden/>
          </w:rPr>
          <w:t>4</w:t>
        </w:r>
        <w:r>
          <w:rPr>
            <w:noProof/>
            <w:webHidden/>
          </w:rPr>
          <w:fldChar w:fldCharType="end"/>
        </w:r>
      </w:hyperlink>
    </w:p>
    <w:p w:rsidR="00DF7118" w:rsidRDefault="00DF7118" w14:paraId="23DD6C0C" w14:textId="77777777">
      <w:r>
        <w:rPr>
          <w:b/>
          <w:bCs/>
          <w:noProof/>
        </w:rPr>
        <w:fldChar w:fldCharType="end"/>
      </w:r>
    </w:p>
    <w:p w:rsidR="006D3D45" w:rsidP="00C31CA7" w:rsidRDefault="00DC08FC" w14:paraId="0086D936" w14:textId="77777777">
      <w:pPr>
        <w:jc w:val="center"/>
        <w:rPr>
          <w:b/>
          <w:u w:val="single"/>
        </w:rPr>
      </w:pPr>
      <w:r>
        <w:rPr>
          <w:b/>
        </w:rPr>
        <w:br w:type="page"/>
      </w:r>
    </w:p>
    <w:p w:rsidRPr="00C06C3E" w:rsidR="00792C45" w:rsidP="00C06C3E" w:rsidRDefault="00792C45" w14:paraId="50479FB8" w14:textId="77777777">
      <w:pPr>
        <w:pStyle w:val="Heading1"/>
        <w:rPr>
          <w:rFonts w:ascii="Times New Roman" w:hAnsi="Times New Roman"/>
          <w:sz w:val="24"/>
          <w:szCs w:val="24"/>
          <w:u w:val="single"/>
        </w:rPr>
      </w:pPr>
      <w:bookmarkStart w:name="_Toc431279243" w:id="1"/>
      <w:r w:rsidRPr="00C06C3E">
        <w:rPr>
          <w:rFonts w:ascii="Times New Roman" w:hAnsi="Times New Roman"/>
          <w:sz w:val="24"/>
          <w:szCs w:val="24"/>
          <w:u w:val="single"/>
        </w:rPr>
        <w:lastRenderedPageBreak/>
        <w:t>B. Collections of Information Employing Statistical Methods</w:t>
      </w:r>
      <w:bookmarkEnd w:id="1"/>
    </w:p>
    <w:p w:rsidR="00792C45" w:rsidP="00792C45" w:rsidRDefault="00792C45" w14:paraId="66C72B09" w14:textId="77777777"/>
    <w:p w:rsidRPr="00C06C3E" w:rsidR="00792C45" w:rsidP="00C06C3E" w:rsidRDefault="00792C45" w14:paraId="01CAF1BB" w14:textId="77777777">
      <w:pPr>
        <w:rPr>
          <w:b/>
        </w:rPr>
      </w:pPr>
      <w:r w:rsidRPr="00C06C3E">
        <w:rPr>
          <w:b/>
        </w:rPr>
        <w:t>No statistical methods are used in this data collection.</w:t>
      </w:r>
    </w:p>
    <w:p w:rsidRPr="00034430" w:rsidR="00792C45" w:rsidP="00792C45" w:rsidRDefault="00792C45" w14:paraId="61A85744" w14:textId="77777777">
      <w:pPr>
        <w:widowControl w:val="0"/>
      </w:pPr>
    </w:p>
    <w:p w:rsidRPr="00C06C3E" w:rsidR="00792C45" w:rsidP="00C06C3E" w:rsidRDefault="00792C45" w14:paraId="1228BEB9" w14:textId="77777777">
      <w:pPr>
        <w:pStyle w:val="Heading2"/>
        <w:rPr>
          <w:rFonts w:ascii="Times New Roman" w:hAnsi="Times New Roman"/>
          <w:i w:val="0"/>
          <w:sz w:val="24"/>
          <w:szCs w:val="24"/>
        </w:rPr>
      </w:pPr>
      <w:bookmarkStart w:name="_Toc431279244" w:id="2"/>
      <w:r w:rsidRPr="00C06C3E">
        <w:rPr>
          <w:rFonts w:ascii="Times New Roman" w:hAnsi="Times New Roman"/>
          <w:i w:val="0"/>
          <w:sz w:val="24"/>
          <w:szCs w:val="24"/>
        </w:rPr>
        <w:t>1. Respondent Universe and Sampling Methods</w:t>
      </w:r>
      <w:bookmarkEnd w:id="2"/>
    </w:p>
    <w:p w:rsidR="00792C45" w:rsidP="00792C45" w:rsidRDefault="00792C45" w14:paraId="402982B8" w14:textId="77777777">
      <w:pPr>
        <w:widowControl w:val="0"/>
      </w:pPr>
    </w:p>
    <w:p w:rsidR="001650EB" w:rsidP="001650EB" w:rsidRDefault="001650EB" w14:paraId="13889993" w14:textId="77777777">
      <w:pPr>
        <w:autoSpaceDE w:val="0"/>
        <w:autoSpaceDN w:val="0"/>
        <w:adjustRightInd w:val="0"/>
        <w:rPr>
          <w:rFonts w:cs="Shruti"/>
        </w:rPr>
      </w:pPr>
      <w:r>
        <w:rPr>
          <w:rFonts w:cs="Shruti"/>
        </w:rPr>
        <w:t xml:space="preserve">The collection of </w:t>
      </w:r>
      <w:r w:rsidR="0015635D">
        <w:rPr>
          <w:rFonts w:cs="Shruti"/>
        </w:rPr>
        <w:t>accurate, timely, and complete</w:t>
      </w:r>
      <w:r>
        <w:rPr>
          <w:rFonts w:cs="Shruti"/>
        </w:rPr>
        <w:t xml:space="preserve"> contact information from airline</w:t>
      </w:r>
      <w:r w:rsidR="00910205">
        <w:rPr>
          <w:rFonts w:cs="Shruti"/>
        </w:rPr>
        <w:t>s</w:t>
      </w:r>
      <w:r>
        <w:rPr>
          <w:rFonts w:cs="Shruti"/>
        </w:rPr>
        <w:t xml:space="preserve"> </w:t>
      </w:r>
      <w:r w:rsidR="00910205">
        <w:rPr>
          <w:rFonts w:cs="Shruti"/>
        </w:rPr>
        <w:t>and travelers</w:t>
      </w:r>
      <w:r w:rsidR="00156AC8">
        <w:rPr>
          <w:rFonts w:cs="Shruti"/>
        </w:rPr>
        <w:t>, via manifest orders and Passenger Locator Forms (PLF)</w:t>
      </w:r>
      <w:r w:rsidR="00910205">
        <w:rPr>
          <w:rFonts w:cs="Shruti"/>
        </w:rPr>
        <w:t xml:space="preserve"> </w:t>
      </w:r>
      <w:r>
        <w:rPr>
          <w:rFonts w:cs="Shruti"/>
        </w:rPr>
        <w:t xml:space="preserve">enables Quarantine Officers in CDC’s Division of Global Migration and Quarantine (DGMQ) to </w:t>
      </w:r>
      <w:r w:rsidR="00AF3B47">
        <w:rPr>
          <w:rFonts w:cs="Shruti"/>
        </w:rPr>
        <w:t xml:space="preserve">notify state and local health departments in order for them to </w:t>
      </w:r>
      <w:r>
        <w:rPr>
          <w:rFonts w:cs="Shruti"/>
        </w:rPr>
        <w:t>make contact with individuals who may have been exposed to a</w:t>
      </w:r>
      <w:r w:rsidR="00CE3C31">
        <w:rPr>
          <w:rFonts w:cs="Shruti"/>
        </w:rPr>
        <w:t xml:space="preserve"> communicable disease</w:t>
      </w:r>
      <w:r>
        <w:rPr>
          <w:rFonts w:cs="Shruti"/>
        </w:rPr>
        <w:t xml:space="preserve"> during travel and identify appropriate next steps.   </w:t>
      </w:r>
    </w:p>
    <w:p w:rsidR="001650EB" w:rsidP="001650EB" w:rsidRDefault="001650EB" w14:paraId="7A784FE0" w14:textId="77777777"/>
    <w:p w:rsidR="00601E36" w:rsidP="00601E36" w:rsidRDefault="00601E36" w14:paraId="749D3C68" w14:textId="77777777">
      <w:bookmarkStart w:name="_Toc431279245" w:id="3"/>
      <w:r w:rsidRPr="00532224">
        <w:t>CDC is seeking approval for domestic airline manifest orders under 42 CFR 70.2.</w:t>
      </w:r>
      <w:r>
        <w:t xml:space="preserve">  </w:t>
      </w:r>
    </w:p>
    <w:p w:rsidR="00601E36" w:rsidP="00601E36" w:rsidRDefault="00601E36" w14:paraId="4F2361AF" w14:textId="77777777"/>
    <w:p w:rsidR="00156AC8" w:rsidP="00601E36" w:rsidRDefault="00156AC8" w14:paraId="1B6752D0" w14:textId="77777777">
      <w:r>
        <w:t xml:space="preserve">CDC </w:t>
      </w:r>
      <w:r w:rsidR="001A1990">
        <w:t xml:space="preserve">maintaining the use of the </w:t>
      </w:r>
      <w:r>
        <w:t>PLF</w:t>
      </w:r>
      <w:r w:rsidR="001A1990">
        <w:t xml:space="preserve"> </w:t>
      </w:r>
      <w:r>
        <w:t xml:space="preserve">for travelers arriving to the United States from foreign countries.  As </w:t>
      </w:r>
      <w:r w:rsidR="001A1990">
        <w:t>under the previous approval</w:t>
      </w:r>
      <w:r>
        <w:t xml:space="preserve">, CDC is requesting </w:t>
      </w:r>
      <w:r w:rsidR="00FC2D2C">
        <w:t>a separate accounting for</w:t>
      </w:r>
      <w:r>
        <w:t xml:space="preserve"> respondents and burden associated with the use of the PLF for travelers on domestic flights within the United States.</w:t>
      </w:r>
      <w:r w:rsidR="00FC2D2C">
        <w:t xml:space="preserve"> The potential respondent universe is therefore any individual (passenger or crewmember) who is traveling to or within the United States. In practice, the respondents are individuals at risk for an exposure to a communicable disease during air travel.</w:t>
      </w:r>
    </w:p>
    <w:p w:rsidR="00156AC8" w:rsidP="00601E36" w:rsidRDefault="00156AC8" w14:paraId="65E0C00A" w14:textId="77777777"/>
    <w:p w:rsidR="00601E36" w:rsidP="00601E36" w:rsidRDefault="00601E36" w14:paraId="7A342E99" w14:textId="77777777">
      <w:r>
        <w:t>The description of the information collection following below is aligned with current practices.</w:t>
      </w:r>
    </w:p>
    <w:p w:rsidRPr="00C06C3E" w:rsidR="00792C45" w:rsidP="00C06C3E" w:rsidRDefault="00792C45" w14:paraId="3EECA429" w14:textId="77777777">
      <w:pPr>
        <w:pStyle w:val="Heading2"/>
        <w:rPr>
          <w:rFonts w:ascii="Times New Roman" w:hAnsi="Times New Roman"/>
          <w:i w:val="0"/>
          <w:sz w:val="24"/>
          <w:szCs w:val="24"/>
        </w:rPr>
      </w:pPr>
      <w:r w:rsidRPr="00C06C3E">
        <w:rPr>
          <w:rFonts w:ascii="Times New Roman" w:hAnsi="Times New Roman"/>
          <w:i w:val="0"/>
          <w:sz w:val="24"/>
          <w:szCs w:val="24"/>
        </w:rPr>
        <w:t>2. Procedures for the Collection of Information</w:t>
      </w:r>
      <w:bookmarkEnd w:id="3"/>
    </w:p>
    <w:p w:rsidRPr="00C06C3E" w:rsidR="003F7380" w:rsidP="001650EB" w:rsidRDefault="00286ADF" w14:paraId="1762870C" w14:textId="77777777">
      <w:r w:rsidRPr="00C06C3E">
        <w:t>In the even</w:t>
      </w:r>
      <w:r w:rsidRPr="00C06C3E" w:rsidR="009E3A10">
        <w:t>t</w:t>
      </w:r>
      <w:r w:rsidRPr="00C06C3E">
        <w:t xml:space="preserve"> that a communicable disease </w:t>
      </w:r>
      <w:r w:rsidRPr="00C06C3E" w:rsidR="00CC026F">
        <w:t xml:space="preserve">is identified </w:t>
      </w:r>
      <w:r w:rsidRPr="00C06C3E">
        <w:t>in a traveler</w:t>
      </w:r>
      <w:r w:rsidRPr="00C06C3E" w:rsidR="00CC026F">
        <w:t xml:space="preserve"> aboard an </w:t>
      </w:r>
      <w:r w:rsidR="00EB3124">
        <w:t>airline</w:t>
      </w:r>
      <w:r w:rsidRPr="00C06C3E" w:rsidR="00CC026F">
        <w:t>, and the disease presents a risk to co-passengers</w:t>
      </w:r>
      <w:r w:rsidR="00CE3C31">
        <w:t xml:space="preserve"> or crew</w:t>
      </w:r>
      <w:r w:rsidRPr="00C06C3E" w:rsidR="00CC026F">
        <w:t>, a</w:t>
      </w:r>
      <w:r w:rsidRPr="00C06C3E" w:rsidR="001650EB">
        <w:t xml:space="preserve"> </w:t>
      </w:r>
      <w:r w:rsidR="00CE3C31">
        <w:t xml:space="preserve">CDC </w:t>
      </w:r>
      <w:r w:rsidRPr="00C06C3E">
        <w:t>Quarantine S</w:t>
      </w:r>
      <w:r w:rsidRPr="00C06C3E" w:rsidR="001650EB">
        <w:t xml:space="preserve">tation </w:t>
      </w:r>
      <w:r w:rsidRPr="00C06C3E">
        <w:t xml:space="preserve">staff member </w:t>
      </w:r>
      <w:r w:rsidRPr="00C06C3E" w:rsidR="001650EB">
        <w:t xml:space="preserve">prepares the manifest order and cover letter </w:t>
      </w:r>
      <w:r w:rsidRPr="00C06C3E">
        <w:t>templates</w:t>
      </w:r>
      <w:r w:rsidRPr="00C06C3E" w:rsidR="001650EB">
        <w:t xml:space="preserve"> </w:t>
      </w:r>
      <w:r w:rsidRPr="00C06C3E" w:rsidR="00CC026F">
        <w:t>and re</w:t>
      </w:r>
      <w:r w:rsidRPr="00C06C3E" w:rsidR="004261F3">
        <w:t>ceives official approval to email or fax</w:t>
      </w:r>
      <w:r w:rsidRPr="00C06C3E" w:rsidR="00CC026F">
        <w:t xml:space="preserve"> the order</w:t>
      </w:r>
      <w:r w:rsidRPr="00C06C3E" w:rsidR="004261F3">
        <w:t xml:space="preserve"> and </w:t>
      </w:r>
      <w:r w:rsidRPr="00C06C3E" w:rsidR="009E3A10">
        <w:t>c</w:t>
      </w:r>
      <w:r w:rsidRPr="00C06C3E" w:rsidR="004261F3">
        <w:t>over letter</w:t>
      </w:r>
      <w:r w:rsidRPr="00C06C3E" w:rsidR="00CC026F">
        <w:t xml:space="preserve"> to the appropriate airline </w:t>
      </w:r>
      <w:r w:rsidR="00945926">
        <w:t>company</w:t>
      </w:r>
      <w:r w:rsidR="00CE3C31">
        <w:t xml:space="preserve"> </w:t>
      </w:r>
      <w:r w:rsidRPr="00C06C3E" w:rsidR="00CC026F">
        <w:t>point of contact.</w:t>
      </w:r>
      <w:r w:rsidRPr="00C06C3E" w:rsidR="007165CA">
        <w:t xml:space="preserve"> </w:t>
      </w:r>
    </w:p>
    <w:p w:rsidRPr="00C06C3E" w:rsidR="003F7380" w:rsidP="001650EB" w:rsidRDefault="003F7380" w14:paraId="39E39C25" w14:textId="77777777"/>
    <w:p w:rsidRPr="00C06C3E" w:rsidR="001650EB" w:rsidP="001650EB" w:rsidRDefault="007165CA" w14:paraId="6BEA078A" w14:textId="77777777">
      <w:proofErr w:type="gramStart"/>
      <w:r w:rsidRPr="00C06C3E">
        <w:t>In the event that</w:t>
      </w:r>
      <w:proofErr w:type="gramEnd"/>
      <w:r w:rsidRPr="00C06C3E">
        <w:t xml:space="preserve"> advanced notice to the airline </w:t>
      </w:r>
      <w:r w:rsidR="00FE6700">
        <w:t xml:space="preserve">operator </w:t>
      </w:r>
      <w:r w:rsidRPr="00C06C3E">
        <w:t xml:space="preserve">is needed in extremely pressing cases of infectious diseases, an informal manifest request template is sent, which is followed as soon as possible </w:t>
      </w:r>
      <w:r w:rsidR="00945926">
        <w:t>by</w:t>
      </w:r>
      <w:r w:rsidRPr="00C06C3E">
        <w:t xml:space="preserve"> the formal order.  </w:t>
      </w:r>
      <w:r w:rsidRPr="00C06C3E" w:rsidR="003F7380">
        <w:t>If the airline</w:t>
      </w:r>
      <w:r w:rsidR="00B90BDB">
        <w:t xml:space="preserve"> operator</w:t>
      </w:r>
      <w:r w:rsidRPr="00C06C3E" w:rsidR="003F7380">
        <w:t xml:space="preserve"> responds to the informal request prior to the formal order, CDC will follow up with a formal receipt of manifest letter for the airline</w:t>
      </w:r>
      <w:r w:rsidR="00AF3B47">
        <w:t>’s</w:t>
      </w:r>
      <w:r w:rsidRPr="00C06C3E" w:rsidR="003F7380">
        <w:t xml:space="preserve"> records.</w:t>
      </w:r>
    </w:p>
    <w:p w:rsidRPr="00C06C3E" w:rsidR="001650EB" w:rsidP="001650EB" w:rsidRDefault="001650EB" w14:paraId="0C3019A5" w14:textId="77777777"/>
    <w:p w:rsidR="001C74F4" w:rsidP="001650EB" w:rsidRDefault="00C612C8" w14:paraId="2C54809F" w14:textId="77777777">
      <w:r w:rsidRPr="00C06C3E">
        <w:t>Each order contains the specific pieces of data CDC requires for each passenger</w:t>
      </w:r>
      <w:r w:rsidR="001A1990">
        <w:t xml:space="preserve"> or crew</w:t>
      </w:r>
      <w:r w:rsidRPr="00C06C3E">
        <w:t xml:space="preserve"> at risk given the risk posed by the communicable disease.</w:t>
      </w:r>
      <w:r>
        <w:t xml:space="preserve">  </w:t>
      </w:r>
      <w:r w:rsidR="00CE3C31">
        <w:t xml:space="preserve">For airlines, </w:t>
      </w:r>
      <w:r w:rsidRPr="00C06C3E" w:rsidR="00C27A8F">
        <w:t xml:space="preserve">CDC has developed </w:t>
      </w:r>
      <w:r w:rsidR="00CE3C31">
        <w:t xml:space="preserve">standard operating procedures (SOPs) </w:t>
      </w:r>
      <w:r w:rsidRPr="00C06C3E" w:rsidR="00C27A8F">
        <w:t>for severa</w:t>
      </w:r>
      <w:r w:rsidRPr="00C06C3E" w:rsidR="00B867C5">
        <w:t xml:space="preserve">l infectious diseases, such as tuberculosis and </w:t>
      </w:r>
      <w:r w:rsidR="00CE3C31">
        <w:t>meningococcal disease</w:t>
      </w:r>
      <w:r w:rsidRPr="00C06C3E" w:rsidR="00B867C5">
        <w:t xml:space="preserve">.  These </w:t>
      </w:r>
      <w:r w:rsidR="00CE3C31">
        <w:t xml:space="preserve">SOPs </w:t>
      </w:r>
      <w:r w:rsidRPr="00C06C3E" w:rsidR="00B867C5">
        <w:t xml:space="preserve">detail </w:t>
      </w:r>
      <w:r w:rsidR="00CE3C31">
        <w:t xml:space="preserve">in </w:t>
      </w:r>
      <w:r w:rsidRPr="00C06C3E" w:rsidR="00B867C5">
        <w:t xml:space="preserve">which seats </w:t>
      </w:r>
      <w:r w:rsidR="00CE3C31">
        <w:t xml:space="preserve">with respect to the ill traveler passengers </w:t>
      </w:r>
      <w:r w:rsidRPr="00C06C3E" w:rsidR="001E6A89">
        <w:t>were at greatest risk for</w:t>
      </w:r>
      <w:r w:rsidR="00CE3C31">
        <w:t xml:space="preserve"> infection</w:t>
      </w:r>
      <w:r w:rsidRPr="00C06C3E" w:rsidR="001E6A89">
        <w:t xml:space="preserve">.  </w:t>
      </w:r>
      <w:r w:rsidR="00CE3C31">
        <w:t xml:space="preserve">Some SOPs for highly communicable or highly concerning diseases specify that </w:t>
      </w:r>
      <w:r w:rsidR="00FE6700">
        <w:t xml:space="preserve">a larger portion of the airplane, or even </w:t>
      </w:r>
      <w:r w:rsidR="00584343">
        <w:t>all</w:t>
      </w:r>
      <w:r w:rsidRPr="00C06C3E" w:rsidR="00584343">
        <w:t xml:space="preserve"> </w:t>
      </w:r>
      <w:r w:rsidRPr="00C06C3E" w:rsidR="001650EB">
        <w:t xml:space="preserve">passengers </w:t>
      </w:r>
      <w:r w:rsidR="00CE3C31">
        <w:t>and crew</w:t>
      </w:r>
      <w:r w:rsidR="00FE6700">
        <w:t>,</w:t>
      </w:r>
      <w:r w:rsidR="00CE3C31">
        <w:t xml:space="preserve"> </w:t>
      </w:r>
      <w:r w:rsidR="00584343">
        <w:t>should be</w:t>
      </w:r>
      <w:r w:rsidRPr="00C06C3E" w:rsidR="001650EB">
        <w:t xml:space="preserve"> inclu</w:t>
      </w:r>
      <w:r w:rsidRPr="00C06C3E" w:rsidR="001E6A89">
        <w:t xml:space="preserve">ded in the manifest submission to CDC. </w:t>
      </w:r>
    </w:p>
    <w:p w:rsidRPr="00C06C3E" w:rsidR="001650EB" w:rsidP="001650EB" w:rsidRDefault="00FE6700" w14:paraId="40D717A6" w14:textId="77777777">
      <w:r>
        <w:lastRenderedPageBreak/>
        <w:t>Ebola for instance, calls for the entire manifest, regardless of airplane size.</w:t>
      </w:r>
      <w:r w:rsidR="00956F57">
        <w:t xml:space="preserve"> In the case of measles and rubella, the entire manifest is requested if the airplane is less than 50 seats.</w:t>
      </w:r>
    </w:p>
    <w:p w:rsidR="001C74F4" w:rsidP="001650EB" w:rsidRDefault="001C74F4" w14:paraId="16B30483" w14:textId="77777777"/>
    <w:p w:rsidR="001C74F4" w:rsidP="001650EB" w:rsidRDefault="001E6A89" w14:paraId="6CC0DAD2" w14:textId="77777777">
      <w:r w:rsidRPr="00C06C3E">
        <w:t xml:space="preserve">Once CDC receives the manifest information, CDC works with the Department of </w:t>
      </w:r>
    </w:p>
    <w:p w:rsidRPr="00C06C3E" w:rsidR="001E6A89" w:rsidP="001650EB" w:rsidRDefault="001E6A89" w14:paraId="3D97A433" w14:textId="77777777">
      <w:r w:rsidRPr="00C06C3E">
        <w:t>Homeland Security to cross check passenge</w:t>
      </w:r>
      <w:r w:rsidRPr="00C06C3E" w:rsidR="0094343C">
        <w:t>r information</w:t>
      </w:r>
      <w:r w:rsidR="00CE3C31">
        <w:t xml:space="preserve"> with federal databases </w:t>
      </w:r>
      <w:r w:rsidRPr="00C06C3E" w:rsidR="0094343C">
        <w:t>in order to ensure</w:t>
      </w:r>
      <w:r w:rsidRPr="00C06C3E">
        <w:t xml:space="preserve"> the most accurate </w:t>
      </w:r>
      <w:r w:rsidRPr="00C06C3E" w:rsidR="0094343C">
        <w:t>contact and locating data is available</w:t>
      </w:r>
      <w:r w:rsidRPr="00C06C3E">
        <w:t xml:space="preserve">.  </w:t>
      </w:r>
      <w:r w:rsidRPr="00C06C3E" w:rsidR="00D3743E">
        <w:t>The information is compiled into a cle</w:t>
      </w:r>
      <w:r w:rsidRPr="00C06C3E" w:rsidR="0094343C">
        <w:t xml:space="preserve">an data set and each state health department receives pertinent </w:t>
      </w:r>
      <w:r w:rsidR="00CE3C31">
        <w:t xml:space="preserve">identifying and contact </w:t>
      </w:r>
      <w:r w:rsidRPr="00C06C3E" w:rsidR="0094343C">
        <w:t>information for those travelers residing in their state.</w:t>
      </w:r>
    </w:p>
    <w:p w:rsidRPr="00C06C3E" w:rsidR="001650EB" w:rsidP="001650EB" w:rsidRDefault="001650EB" w14:paraId="7D830061" w14:textId="77777777"/>
    <w:p w:rsidR="001650EB" w:rsidP="001650EB" w:rsidRDefault="00CA04DE" w14:paraId="25B290DC" w14:textId="77777777">
      <w:r w:rsidRPr="00C06C3E">
        <w:t xml:space="preserve">CDC uses the secure Epi-X system to provide the passenger </w:t>
      </w:r>
      <w:r w:rsidR="00CE3C31">
        <w:t xml:space="preserve">or crew </w:t>
      </w:r>
      <w:r w:rsidRPr="00C06C3E">
        <w:t xml:space="preserve">information to the state health departments.  </w:t>
      </w:r>
      <w:r w:rsidRPr="00C06C3E" w:rsidR="0075784B">
        <w:t xml:space="preserve">After the secure Epi-X message is sent, </w:t>
      </w:r>
      <w:r w:rsidR="0007174C">
        <w:t xml:space="preserve">the CDC </w:t>
      </w:r>
      <w:r w:rsidRPr="00C06C3E" w:rsidR="0075784B">
        <w:t xml:space="preserve">Quarantine Stations with jurisdiction for those states </w:t>
      </w:r>
      <w:r w:rsidR="0007174C">
        <w:t xml:space="preserve">send a second notification to </w:t>
      </w:r>
      <w:r w:rsidRPr="00C06C3E" w:rsidR="0075784B">
        <w:t xml:space="preserve">the state health departments </w:t>
      </w:r>
      <w:r w:rsidR="0007174C">
        <w:t xml:space="preserve">by email to ensure that they are aware of the Epi-X notification and </w:t>
      </w:r>
      <w:r w:rsidRPr="00C06C3E" w:rsidR="0075784B">
        <w:t xml:space="preserve">have the information necessary to perform the contact </w:t>
      </w:r>
      <w:r w:rsidRPr="00C06C3E" w:rsidR="00F42D1D">
        <w:t>investigation</w:t>
      </w:r>
      <w:r w:rsidR="0007174C">
        <w:t xml:space="preserve"> as well as </w:t>
      </w:r>
      <w:r w:rsidR="00AF3B47">
        <w:t>the appropriate optional outcome reporting form to</w:t>
      </w:r>
      <w:r w:rsidR="0007174C">
        <w:t xml:space="preserve"> send the investigation results back to CDC</w:t>
      </w:r>
      <w:r w:rsidRPr="00C06C3E" w:rsidR="0075784B">
        <w:t xml:space="preserve">. </w:t>
      </w:r>
    </w:p>
    <w:p w:rsidR="00DA1265" w:rsidP="00C06C3E" w:rsidRDefault="00DA1265" w14:paraId="4E6C1912" w14:textId="77777777">
      <w:pPr>
        <w:pStyle w:val="Heading2"/>
        <w:rPr>
          <w:rFonts w:ascii="Times New Roman" w:hAnsi="Times New Roman"/>
          <w:b w:val="0"/>
          <w:bCs w:val="0"/>
          <w:i w:val="0"/>
          <w:iCs w:val="0"/>
          <w:sz w:val="24"/>
          <w:szCs w:val="24"/>
        </w:rPr>
      </w:pPr>
      <w:bookmarkStart w:name="_Toc431279246" w:id="4"/>
      <w:r w:rsidRPr="00DA1265">
        <w:rPr>
          <w:rFonts w:ascii="Times New Roman" w:hAnsi="Times New Roman"/>
          <w:b w:val="0"/>
          <w:bCs w:val="0"/>
          <w:i w:val="0"/>
          <w:iCs w:val="0"/>
          <w:sz w:val="24"/>
          <w:szCs w:val="24"/>
        </w:rPr>
        <w:t xml:space="preserve">The PLF is used very rarely and only when there is a confirmation or a strong suspicion that there is an ill person on board an </w:t>
      </w:r>
      <w:r w:rsidR="00EB3124">
        <w:rPr>
          <w:rFonts w:ascii="Times New Roman" w:hAnsi="Times New Roman"/>
          <w:b w:val="0"/>
          <w:bCs w:val="0"/>
          <w:i w:val="0"/>
          <w:iCs w:val="0"/>
          <w:sz w:val="24"/>
          <w:szCs w:val="24"/>
        </w:rPr>
        <w:t>airline</w:t>
      </w:r>
      <w:r w:rsidRPr="00DA1265">
        <w:rPr>
          <w:rFonts w:ascii="Times New Roman" w:hAnsi="Times New Roman"/>
          <w:b w:val="0"/>
          <w:bCs w:val="0"/>
          <w:i w:val="0"/>
          <w:iCs w:val="0"/>
          <w:sz w:val="24"/>
          <w:szCs w:val="24"/>
        </w:rPr>
        <w:t xml:space="preserve"> and that person suspected of being ill with a communicable disease of public health concern, i.e. a significant risk of spread to others onboard during travel.  The ill or exposed individual must be identified prior to the </w:t>
      </w:r>
      <w:r w:rsidR="00EB3124">
        <w:rPr>
          <w:rFonts w:ascii="Times New Roman" w:hAnsi="Times New Roman"/>
          <w:b w:val="0"/>
          <w:bCs w:val="0"/>
          <w:i w:val="0"/>
          <w:iCs w:val="0"/>
          <w:sz w:val="24"/>
          <w:szCs w:val="24"/>
        </w:rPr>
        <w:t>airline</w:t>
      </w:r>
      <w:r w:rsidRPr="00DA1265">
        <w:rPr>
          <w:rFonts w:ascii="Times New Roman" w:hAnsi="Times New Roman"/>
          <w:b w:val="0"/>
          <w:bCs w:val="0"/>
          <w:i w:val="0"/>
          <w:iCs w:val="0"/>
          <w:sz w:val="24"/>
          <w:szCs w:val="24"/>
        </w:rPr>
        <w:t xml:space="preserve"> arriving into the United States or prior to passengers </w:t>
      </w:r>
      <w:r w:rsidR="001A1990">
        <w:rPr>
          <w:rFonts w:ascii="Times New Roman" w:hAnsi="Times New Roman"/>
          <w:b w:val="0"/>
          <w:bCs w:val="0"/>
          <w:i w:val="0"/>
          <w:iCs w:val="0"/>
          <w:sz w:val="24"/>
          <w:szCs w:val="24"/>
        </w:rPr>
        <w:t xml:space="preserve">or crew </w:t>
      </w:r>
      <w:r w:rsidRPr="00DA1265">
        <w:rPr>
          <w:rFonts w:ascii="Times New Roman" w:hAnsi="Times New Roman"/>
          <w:b w:val="0"/>
          <w:bCs w:val="0"/>
          <w:i w:val="0"/>
          <w:iCs w:val="0"/>
          <w:sz w:val="24"/>
          <w:szCs w:val="24"/>
        </w:rPr>
        <w:t xml:space="preserve">disembarking the </w:t>
      </w:r>
      <w:r w:rsidR="00EB3124">
        <w:rPr>
          <w:rFonts w:ascii="Times New Roman" w:hAnsi="Times New Roman"/>
          <w:b w:val="0"/>
          <w:bCs w:val="0"/>
          <w:i w:val="0"/>
          <w:iCs w:val="0"/>
          <w:sz w:val="24"/>
          <w:szCs w:val="24"/>
        </w:rPr>
        <w:t>airline</w:t>
      </w:r>
      <w:r w:rsidRPr="00DA1265">
        <w:rPr>
          <w:rFonts w:ascii="Times New Roman" w:hAnsi="Times New Roman"/>
          <w:b w:val="0"/>
          <w:bCs w:val="0"/>
          <w:i w:val="0"/>
          <w:iCs w:val="0"/>
          <w:sz w:val="24"/>
          <w:szCs w:val="24"/>
        </w:rPr>
        <w:t xml:space="preserve"> or departing the airport for the use of the PLF to be considered.  The PLF requests PII and contact information for potentially exposed travelers and is completed by the travelers and provided to CDC either prior to departure from the </w:t>
      </w:r>
      <w:r w:rsidR="00EB3124">
        <w:rPr>
          <w:rFonts w:ascii="Times New Roman" w:hAnsi="Times New Roman"/>
          <w:b w:val="0"/>
          <w:bCs w:val="0"/>
          <w:i w:val="0"/>
          <w:iCs w:val="0"/>
          <w:sz w:val="24"/>
          <w:szCs w:val="24"/>
        </w:rPr>
        <w:t>airline</w:t>
      </w:r>
      <w:r w:rsidRPr="00DA1265">
        <w:rPr>
          <w:rFonts w:ascii="Times New Roman" w:hAnsi="Times New Roman"/>
          <w:b w:val="0"/>
          <w:bCs w:val="0"/>
          <w:i w:val="0"/>
          <w:iCs w:val="0"/>
          <w:sz w:val="24"/>
          <w:szCs w:val="24"/>
        </w:rPr>
        <w:t xml:space="preserve">, upon departure, or at some other time prior to leaving the airport.  </w:t>
      </w:r>
    </w:p>
    <w:p w:rsidR="00DA1265" w:rsidP="00DA1265" w:rsidRDefault="00DA1265" w14:paraId="240A9684" w14:textId="77777777"/>
    <w:p w:rsidR="00DA1265" w:rsidP="00DA1265" w:rsidRDefault="00DA1265" w14:paraId="453D0AAA" w14:textId="77777777">
      <w:r>
        <w:t xml:space="preserve">As with the data collected via the manifest orders, </w:t>
      </w:r>
      <w:r w:rsidRPr="00C06C3E">
        <w:t xml:space="preserve">CDC uses the secure Epi-X system to provide the passenger </w:t>
      </w:r>
      <w:r>
        <w:t xml:space="preserve">or crew </w:t>
      </w:r>
      <w:r w:rsidRPr="00C06C3E">
        <w:t xml:space="preserve">information to the state health departments.  After the secure Epi-X message is sent, </w:t>
      </w:r>
      <w:r>
        <w:t xml:space="preserve">the CDC </w:t>
      </w:r>
      <w:r w:rsidRPr="00C06C3E">
        <w:t xml:space="preserve">Quarantine Stations with jurisdiction for those states </w:t>
      </w:r>
      <w:r>
        <w:t xml:space="preserve">send a second notification to </w:t>
      </w:r>
      <w:r w:rsidRPr="00C06C3E">
        <w:t xml:space="preserve">the state health departments </w:t>
      </w:r>
      <w:r>
        <w:t xml:space="preserve">by email to ensure that they are aware of the Epi-X notification and </w:t>
      </w:r>
      <w:r w:rsidRPr="00C06C3E">
        <w:t>have the information necessary to perform the contact investigation</w:t>
      </w:r>
      <w:r>
        <w:t xml:space="preserve"> as well as the appropriate optional outcome reporting form to send the investigation results back to CDC</w:t>
      </w:r>
      <w:r w:rsidRPr="00C06C3E">
        <w:t xml:space="preserve">. </w:t>
      </w:r>
    </w:p>
    <w:p w:rsidRPr="00C06C3E" w:rsidR="00792C45" w:rsidP="00C06C3E" w:rsidRDefault="00792C45" w14:paraId="51CEE4E3" w14:textId="77777777">
      <w:pPr>
        <w:pStyle w:val="Heading2"/>
        <w:rPr>
          <w:rFonts w:ascii="Times New Roman" w:hAnsi="Times New Roman"/>
          <w:i w:val="0"/>
          <w:sz w:val="24"/>
          <w:szCs w:val="24"/>
        </w:rPr>
      </w:pPr>
      <w:r w:rsidRPr="00C06C3E">
        <w:rPr>
          <w:rFonts w:ascii="Times New Roman" w:hAnsi="Times New Roman"/>
          <w:i w:val="0"/>
          <w:sz w:val="24"/>
          <w:szCs w:val="24"/>
        </w:rPr>
        <w:t>3. Methods to Maximize Response Rates and Deal with No Response</w:t>
      </w:r>
      <w:bookmarkEnd w:id="4"/>
    </w:p>
    <w:p w:rsidR="00792C45" w:rsidP="00792C45" w:rsidRDefault="00792C45" w14:paraId="092FBD19" w14:textId="77777777">
      <w:pPr>
        <w:widowControl w:val="0"/>
      </w:pPr>
    </w:p>
    <w:p w:rsidR="00792C45" w:rsidP="00792C45" w:rsidRDefault="00792C45" w14:paraId="07761963" w14:textId="77777777">
      <w:pPr>
        <w:widowControl w:val="0"/>
      </w:pPr>
      <w:r>
        <w:t xml:space="preserve">Response to this data collection is required.  However, the information requested has been kept to the absolute minimum in order to minimize the public burden.  CDC has also </w:t>
      </w:r>
      <w:r w:rsidR="009A7E3C">
        <w:t>worked with airline partners to ensure the reporting burden is limited to that necessary to</w:t>
      </w:r>
      <w:r w:rsidR="0007174C">
        <w:t xml:space="preserve"> locate and notify potentially exposed passengers or crew</w:t>
      </w:r>
      <w:r w:rsidR="009A7E3C">
        <w:t>.</w:t>
      </w:r>
    </w:p>
    <w:p w:rsidR="00792C45" w:rsidP="00792C45" w:rsidRDefault="00792C45" w14:paraId="58B8B25F" w14:textId="77777777"/>
    <w:p w:rsidRPr="00C06C3E" w:rsidR="00792C45" w:rsidP="00C06C3E" w:rsidRDefault="00792C45" w14:paraId="409FC452" w14:textId="77777777">
      <w:pPr>
        <w:pStyle w:val="Heading2"/>
        <w:rPr>
          <w:rFonts w:ascii="Times New Roman" w:hAnsi="Times New Roman"/>
          <w:i w:val="0"/>
          <w:sz w:val="24"/>
          <w:szCs w:val="24"/>
        </w:rPr>
      </w:pPr>
      <w:bookmarkStart w:name="_Toc431279247" w:id="5"/>
      <w:r w:rsidRPr="00C06C3E">
        <w:rPr>
          <w:rFonts w:ascii="Times New Roman" w:hAnsi="Times New Roman"/>
          <w:i w:val="0"/>
          <w:sz w:val="24"/>
          <w:szCs w:val="24"/>
        </w:rPr>
        <w:t>4. Tests of Procedures or Methods to be Undertaken</w:t>
      </w:r>
      <w:bookmarkEnd w:id="5"/>
      <w:r w:rsidRPr="00C06C3E">
        <w:rPr>
          <w:rFonts w:ascii="Times New Roman" w:hAnsi="Times New Roman"/>
          <w:i w:val="0"/>
          <w:sz w:val="24"/>
          <w:szCs w:val="24"/>
        </w:rPr>
        <w:t xml:space="preserve"> </w:t>
      </w:r>
    </w:p>
    <w:p w:rsidR="00792C45" w:rsidP="00792C45" w:rsidRDefault="00792C45" w14:paraId="4C3B6783" w14:textId="77777777"/>
    <w:p w:rsidR="00792C45" w:rsidP="00792C45" w:rsidRDefault="00910205" w14:paraId="1DFEF1BF" w14:textId="77777777">
      <w:r>
        <w:t>The manifest order process and the PLF</w:t>
      </w:r>
      <w:r w:rsidR="00101989">
        <w:t xml:space="preserve"> </w:t>
      </w:r>
      <w:r>
        <w:t>are</w:t>
      </w:r>
      <w:r w:rsidR="00101989">
        <w:t xml:space="preserve"> part</w:t>
      </w:r>
      <w:r>
        <w:t>s</w:t>
      </w:r>
      <w:r w:rsidR="00101989">
        <w:t xml:space="preserve"> of the core</w:t>
      </w:r>
      <w:r w:rsidR="008D61B4">
        <w:t xml:space="preserve"> public health activities of the Division of Global Migration and Quarantine</w:t>
      </w:r>
      <w:r w:rsidR="00101989">
        <w:t xml:space="preserve">, and the division works closely with the airlines to ensure that manifest </w:t>
      </w:r>
      <w:proofErr w:type="gramStart"/>
      <w:r w:rsidR="00101989">
        <w:t>are</w:t>
      </w:r>
      <w:proofErr w:type="gramEnd"/>
      <w:r w:rsidR="00101989">
        <w:t xml:space="preserve"> submitted when ordered. </w:t>
      </w:r>
      <w:r w:rsidRPr="004745A7" w:rsidR="00792C45">
        <w:t xml:space="preserve">The </w:t>
      </w:r>
      <w:r w:rsidR="00792C45">
        <w:t xml:space="preserve">protocols and </w:t>
      </w:r>
      <w:r w:rsidRPr="004745A7" w:rsidR="00792C45">
        <w:t xml:space="preserve">electronic systems used for this data collection are continually updated and improved for quality of </w:t>
      </w:r>
      <w:r w:rsidRPr="004745A7" w:rsidR="00792C45">
        <w:lastRenderedPageBreak/>
        <w:t>data collection and ease of use for both the public, industry and CDC program administrators</w:t>
      </w:r>
      <w:r w:rsidR="00792C45">
        <w:t>.</w:t>
      </w:r>
    </w:p>
    <w:p w:rsidR="00792C45" w:rsidP="00792C45" w:rsidRDefault="00792C45" w14:paraId="588CE81A" w14:textId="77777777"/>
    <w:p w:rsidRPr="00C06C3E" w:rsidR="00792C45" w:rsidP="00C06C3E" w:rsidRDefault="00792C45" w14:paraId="30B124BB" w14:textId="77777777">
      <w:pPr>
        <w:pStyle w:val="Heading2"/>
        <w:rPr>
          <w:rFonts w:ascii="Times New Roman" w:hAnsi="Times New Roman"/>
          <w:i w:val="0"/>
          <w:sz w:val="24"/>
          <w:szCs w:val="24"/>
        </w:rPr>
      </w:pPr>
      <w:bookmarkStart w:name="_Toc431279248" w:id="6"/>
      <w:r w:rsidRPr="00C06C3E">
        <w:rPr>
          <w:rStyle w:val="Heading1Char"/>
          <w:rFonts w:ascii="Times New Roman" w:hAnsi="Times New Roman"/>
          <w:b/>
          <w:i w:val="0"/>
          <w:sz w:val="24"/>
          <w:szCs w:val="24"/>
        </w:rPr>
        <w:t>5. Individuals Consulted on Statistical Aspects and Individuals Collecting and/or</w:t>
      </w:r>
      <w:r w:rsidRPr="00C06C3E">
        <w:rPr>
          <w:rFonts w:ascii="Times New Roman" w:hAnsi="Times New Roman"/>
          <w:i w:val="0"/>
          <w:sz w:val="24"/>
          <w:szCs w:val="24"/>
        </w:rPr>
        <w:t xml:space="preserve"> Analyzing Data</w:t>
      </w:r>
      <w:bookmarkEnd w:id="6"/>
    </w:p>
    <w:p w:rsidR="00792C45" w:rsidP="00792C45" w:rsidRDefault="00792C45" w14:paraId="16DAFA5F" w14:textId="77777777"/>
    <w:p w:rsidR="00801946" w:rsidRDefault="00792C45" w14:paraId="69C3B938" w14:textId="77777777">
      <w:r>
        <w:t>Not Applicable</w:t>
      </w:r>
    </w:p>
    <w:sectPr w:rsidR="00801946" w:rsidSect="009205DB">
      <w:footerReference w:type="even" r:id="rId13"/>
      <w:footerReference w:type="default" r:id="rId14"/>
      <w:pgSz w:w="12240" w:h="15840"/>
      <w:pgMar w:top="1440" w:right="1800" w:bottom="9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B7E2" w14:textId="77777777" w:rsidR="00CD161D" w:rsidRDefault="00CD161D">
      <w:r>
        <w:separator/>
      </w:r>
    </w:p>
  </w:endnote>
  <w:endnote w:type="continuationSeparator" w:id="0">
    <w:p w14:paraId="0F553632" w14:textId="77777777" w:rsidR="00CD161D" w:rsidRDefault="00CD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54E4" w14:textId="77777777" w:rsidR="008D61B4" w:rsidRDefault="008D61B4" w:rsidP="00920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269CC" w14:textId="77777777" w:rsidR="008D61B4" w:rsidRDefault="008D61B4" w:rsidP="00920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AF2E" w14:textId="77777777" w:rsidR="008D61B4" w:rsidRDefault="008D61B4" w:rsidP="00920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046">
      <w:rPr>
        <w:rStyle w:val="PageNumber"/>
        <w:noProof/>
      </w:rPr>
      <w:t>3</w:t>
    </w:r>
    <w:r>
      <w:rPr>
        <w:rStyle w:val="PageNumber"/>
      </w:rPr>
      <w:fldChar w:fldCharType="end"/>
    </w:r>
  </w:p>
  <w:p w14:paraId="488F6B66" w14:textId="77777777" w:rsidR="008D61B4" w:rsidRDefault="008D61B4" w:rsidP="00920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44050" w14:textId="77777777" w:rsidR="00CD161D" w:rsidRDefault="00CD161D">
      <w:r>
        <w:separator/>
      </w:r>
    </w:p>
  </w:footnote>
  <w:footnote w:type="continuationSeparator" w:id="0">
    <w:p w14:paraId="2AD00B14" w14:textId="77777777" w:rsidR="00CD161D" w:rsidRDefault="00CD1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C171C"/>
    <w:multiLevelType w:val="hybridMultilevel"/>
    <w:tmpl w:val="AA4A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NTUEAnMDc0tDcyUdpeDU4uLM/DyQAsNaAMqHcoQsAAAA"/>
  </w:docVars>
  <w:rsids>
    <w:rsidRoot w:val="00792C45"/>
    <w:rsid w:val="0000664A"/>
    <w:rsid w:val="00025B53"/>
    <w:rsid w:val="00053711"/>
    <w:rsid w:val="00055619"/>
    <w:rsid w:val="0007174C"/>
    <w:rsid w:val="000857A3"/>
    <w:rsid w:val="00101989"/>
    <w:rsid w:val="0011592F"/>
    <w:rsid w:val="00147CAA"/>
    <w:rsid w:val="0015635D"/>
    <w:rsid w:val="00156AC8"/>
    <w:rsid w:val="001650EB"/>
    <w:rsid w:val="0019438B"/>
    <w:rsid w:val="001A150C"/>
    <w:rsid w:val="001A1990"/>
    <w:rsid w:val="001A1C79"/>
    <w:rsid w:val="001C74F4"/>
    <w:rsid w:val="001E6A89"/>
    <w:rsid w:val="0023338C"/>
    <w:rsid w:val="002453E8"/>
    <w:rsid w:val="00286ADF"/>
    <w:rsid w:val="002A2A16"/>
    <w:rsid w:val="00357278"/>
    <w:rsid w:val="003A176F"/>
    <w:rsid w:val="003A5FE8"/>
    <w:rsid w:val="003D1AC5"/>
    <w:rsid w:val="003E17D1"/>
    <w:rsid w:val="003F7380"/>
    <w:rsid w:val="0041254E"/>
    <w:rsid w:val="004261F3"/>
    <w:rsid w:val="00484A1D"/>
    <w:rsid w:val="004A3549"/>
    <w:rsid w:val="004C091E"/>
    <w:rsid w:val="004C5D08"/>
    <w:rsid w:val="004E741B"/>
    <w:rsid w:val="004F03C3"/>
    <w:rsid w:val="00502E33"/>
    <w:rsid w:val="00532224"/>
    <w:rsid w:val="00537759"/>
    <w:rsid w:val="00550BCE"/>
    <w:rsid w:val="0055346B"/>
    <w:rsid w:val="00564046"/>
    <w:rsid w:val="00584343"/>
    <w:rsid w:val="005A2C64"/>
    <w:rsid w:val="005A6B16"/>
    <w:rsid w:val="005B3751"/>
    <w:rsid w:val="00601E36"/>
    <w:rsid w:val="006120EB"/>
    <w:rsid w:val="00615821"/>
    <w:rsid w:val="00673411"/>
    <w:rsid w:val="006766F7"/>
    <w:rsid w:val="006C2C8E"/>
    <w:rsid w:val="006D3D45"/>
    <w:rsid w:val="007165CA"/>
    <w:rsid w:val="007273E3"/>
    <w:rsid w:val="00750912"/>
    <w:rsid w:val="007553FE"/>
    <w:rsid w:val="0075784B"/>
    <w:rsid w:val="007763F8"/>
    <w:rsid w:val="00792C45"/>
    <w:rsid w:val="007A6F0F"/>
    <w:rsid w:val="00801946"/>
    <w:rsid w:val="00884EC8"/>
    <w:rsid w:val="008C3CE4"/>
    <w:rsid w:val="008D61B4"/>
    <w:rsid w:val="00902180"/>
    <w:rsid w:val="00910205"/>
    <w:rsid w:val="009205DB"/>
    <w:rsid w:val="00922EC8"/>
    <w:rsid w:val="0094343C"/>
    <w:rsid w:val="00945926"/>
    <w:rsid w:val="009501C9"/>
    <w:rsid w:val="00956F57"/>
    <w:rsid w:val="009A7E3C"/>
    <w:rsid w:val="009E3A10"/>
    <w:rsid w:val="00A41E88"/>
    <w:rsid w:val="00AF1D54"/>
    <w:rsid w:val="00AF3B47"/>
    <w:rsid w:val="00B867C5"/>
    <w:rsid w:val="00B90BDB"/>
    <w:rsid w:val="00BB34D3"/>
    <w:rsid w:val="00C06C3E"/>
    <w:rsid w:val="00C27A8F"/>
    <w:rsid w:val="00C31CA7"/>
    <w:rsid w:val="00C5548A"/>
    <w:rsid w:val="00C612C8"/>
    <w:rsid w:val="00C87E17"/>
    <w:rsid w:val="00CA032D"/>
    <w:rsid w:val="00CA04DE"/>
    <w:rsid w:val="00CC026F"/>
    <w:rsid w:val="00CD161D"/>
    <w:rsid w:val="00CD1F6F"/>
    <w:rsid w:val="00CE3C31"/>
    <w:rsid w:val="00CF270A"/>
    <w:rsid w:val="00D30E7D"/>
    <w:rsid w:val="00D3743E"/>
    <w:rsid w:val="00D77D19"/>
    <w:rsid w:val="00DA1265"/>
    <w:rsid w:val="00DA72C3"/>
    <w:rsid w:val="00DC08FC"/>
    <w:rsid w:val="00DD71BD"/>
    <w:rsid w:val="00DF7118"/>
    <w:rsid w:val="00E62FBC"/>
    <w:rsid w:val="00EB01CC"/>
    <w:rsid w:val="00EB3124"/>
    <w:rsid w:val="00EC6D80"/>
    <w:rsid w:val="00ED358B"/>
    <w:rsid w:val="00EE6E7D"/>
    <w:rsid w:val="00F30FB6"/>
    <w:rsid w:val="00F42D1D"/>
    <w:rsid w:val="00FB1EE8"/>
    <w:rsid w:val="00FC2D2C"/>
    <w:rsid w:val="00FE009C"/>
    <w:rsid w:val="00FE6700"/>
    <w:rsid w:val="00FF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07DC1E"/>
  <w15:chartTrackingRefBased/>
  <w15:docId w15:val="{734BB2E7-A257-4F27-8485-3DB567D4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2C45"/>
    <w:rPr>
      <w:rFonts w:ascii="Times New Roman" w:eastAsia="Times New Roman" w:hAnsi="Times New Roman"/>
      <w:sz w:val="24"/>
      <w:szCs w:val="24"/>
    </w:rPr>
  </w:style>
  <w:style w:type="paragraph" w:styleId="Heading1">
    <w:name w:val="heading 1"/>
    <w:basedOn w:val="Normal"/>
    <w:next w:val="Normal"/>
    <w:link w:val="Heading1Char"/>
    <w:uiPriority w:val="9"/>
    <w:qFormat/>
    <w:rsid w:val="00DF711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F3B4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7763F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2C45"/>
    <w:pPr>
      <w:tabs>
        <w:tab w:val="center" w:pos="4320"/>
        <w:tab w:val="right" w:pos="8640"/>
      </w:tabs>
    </w:pPr>
  </w:style>
  <w:style w:type="character" w:customStyle="1" w:styleId="FooterChar">
    <w:name w:val="Footer Char"/>
    <w:link w:val="Footer"/>
    <w:rsid w:val="00792C45"/>
    <w:rPr>
      <w:rFonts w:ascii="Times New Roman" w:eastAsia="Times New Roman" w:hAnsi="Times New Roman" w:cs="Times New Roman"/>
      <w:sz w:val="24"/>
      <w:szCs w:val="24"/>
    </w:rPr>
  </w:style>
  <w:style w:type="character" w:styleId="PageNumber">
    <w:name w:val="page number"/>
    <w:rsid w:val="00792C45"/>
  </w:style>
  <w:style w:type="character" w:customStyle="1" w:styleId="Heading1Char">
    <w:name w:val="Heading 1 Char"/>
    <w:link w:val="Heading1"/>
    <w:uiPriority w:val="9"/>
    <w:rsid w:val="00DF711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DF7118"/>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DF7118"/>
  </w:style>
  <w:style w:type="character" w:styleId="Hyperlink">
    <w:name w:val="Hyperlink"/>
    <w:uiPriority w:val="99"/>
    <w:unhideWhenUsed/>
    <w:rsid w:val="00DF7118"/>
    <w:rPr>
      <w:color w:val="0000FF"/>
      <w:u w:val="single"/>
    </w:rPr>
  </w:style>
  <w:style w:type="character" w:customStyle="1" w:styleId="Heading3Char">
    <w:name w:val="Heading 3 Char"/>
    <w:link w:val="Heading3"/>
    <w:rsid w:val="007763F8"/>
    <w:rPr>
      <w:rFonts w:ascii="Calibri Light" w:eastAsia="Times New Roman" w:hAnsi="Calibri Light"/>
      <w:b/>
      <w:bCs/>
      <w:sz w:val="26"/>
      <w:szCs w:val="26"/>
    </w:rPr>
  </w:style>
  <w:style w:type="character" w:styleId="Emphasis">
    <w:name w:val="Emphasis"/>
    <w:uiPriority w:val="20"/>
    <w:qFormat/>
    <w:rsid w:val="007763F8"/>
    <w:rPr>
      <w:i/>
      <w:iCs/>
    </w:rPr>
  </w:style>
  <w:style w:type="character" w:styleId="Strong">
    <w:name w:val="Strong"/>
    <w:uiPriority w:val="22"/>
    <w:qFormat/>
    <w:rsid w:val="007763F8"/>
    <w:rPr>
      <w:b/>
      <w:bCs/>
    </w:rPr>
  </w:style>
  <w:style w:type="paragraph" w:styleId="BalloonText">
    <w:name w:val="Balloon Text"/>
    <w:basedOn w:val="Normal"/>
    <w:link w:val="BalloonTextChar"/>
    <w:uiPriority w:val="99"/>
    <w:semiHidden/>
    <w:unhideWhenUsed/>
    <w:rsid w:val="00AF3B47"/>
    <w:rPr>
      <w:rFonts w:ascii="Segoe UI" w:hAnsi="Segoe UI" w:cs="Segoe UI"/>
      <w:sz w:val="18"/>
      <w:szCs w:val="18"/>
    </w:rPr>
  </w:style>
  <w:style w:type="character" w:customStyle="1" w:styleId="BalloonTextChar">
    <w:name w:val="Balloon Text Char"/>
    <w:link w:val="BalloonText"/>
    <w:uiPriority w:val="99"/>
    <w:semiHidden/>
    <w:rsid w:val="00AF3B47"/>
    <w:rPr>
      <w:rFonts w:ascii="Segoe UI" w:eastAsia="Times New Roman" w:hAnsi="Segoe UI" w:cs="Segoe UI"/>
      <w:sz w:val="18"/>
      <w:szCs w:val="18"/>
    </w:rPr>
  </w:style>
  <w:style w:type="character" w:customStyle="1" w:styleId="Heading2Char">
    <w:name w:val="Heading 2 Char"/>
    <w:link w:val="Heading2"/>
    <w:uiPriority w:val="9"/>
    <w:rsid w:val="00AF3B47"/>
    <w:rPr>
      <w:rFonts w:ascii="Calibri Light" w:eastAsia="Times New Roman" w:hAnsi="Calibri Light" w:cs="Times New Roman"/>
      <w:b/>
      <w:bCs/>
      <w:i/>
      <w:iCs/>
      <w:sz w:val="28"/>
      <w:szCs w:val="28"/>
    </w:rPr>
  </w:style>
  <w:style w:type="paragraph" w:styleId="TOC2">
    <w:name w:val="toc 2"/>
    <w:basedOn w:val="Normal"/>
    <w:next w:val="Normal"/>
    <w:autoRedefine/>
    <w:uiPriority w:val="39"/>
    <w:unhideWhenUsed/>
    <w:rsid w:val="00AF3B47"/>
    <w:pPr>
      <w:ind w:left="240"/>
    </w:pPr>
  </w:style>
  <w:style w:type="character" w:styleId="CommentReference">
    <w:name w:val="annotation reference"/>
    <w:uiPriority w:val="99"/>
    <w:semiHidden/>
    <w:unhideWhenUsed/>
    <w:rsid w:val="00CE3C31"/>
    <w:rPr>
      <w:sz w:val="16"/>
      <w:szCs w:val="16"/>
    </w:rPr>
  </w:style>
  <w:style w:type="paragraph" w:styleId="CommentText">
    <w:name w:val="annotation text"/>
    <w:basedOn w:val="Normal"/>
    <w:link w:val="CommentTextChar"/>
    <w:uiPriority w:val="99"/>
    <w:semiHidden/>
    <w:unhideWhenUsed/>
    <w:rsid w:val="00CE3C31"/>
    <w:rPr>
      <w:sz w:val="20"/>
      <w:szCs w:val="20"/>
    </w:rPr>
  </w:style>
  <w:style w:type="character" w:customStyle="1" w:styleId="CommentTextChar">
    <w:name w:val="Comment Text Char"/>
    <w:link w:val="CommentText"/>
    <w:uiPriority w:val="99"/>
    <w:semiHidden/>
    <w:rsid w:val="00CE3C3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3C31"/>
    <w:rPr>
      <w:b/>
      <w:bCs/>
    </w:rPr>
  </w:style>
  <w:style w:type="character" w:customStyle="1" w:styleId="CommentSubjectChar">
    <w:name w:val="Comment Subject Char"/>
    <w:link w:val="CommentSubject"/>
    <w:uiPriority w:val="99"/>
    <w:semiHidden/>
    <w:rsid w:val="00CE3C3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768C-0628-4020-B86D-1DAA50391EB1}">
  <ds:schemaRefs>
    <ds:schemaRef ds:uri="http://schemas.microsoft.com/office/2006/metadata/longProperties"/>
  </ds:schemaRefs>
</ds:datastoreItem>
</file>

<file path=customXml/itemProps2.xml><?xml version="1.0" encoding="utf-8"?>
<ds:datastoreItem xmlns:ds="http://schemas.openxmlformats.org/officeDocument/2006/customXml" ds:itemID="{D604E3CE-29C6-4F63-8D8B-FB742016E9C5}">
  <ds:schemaRefs>
    <ds:schemaRef ds:uri="http://schemas.microsoft.com/sharepoint/events"/>
  </ds:schemaRefs>
</ds:datastoreItem>
</file>

<file path=customXml/itemProps3.xml><?xml version="1.0" encoding="utf-8"?>
<ds:datastoreItem xmlns:ds="http://schemas.openxmlformats.org/officeDocument/2006/customXml" ds:itemID="{21FF15E3-AD1E-4253-9C0A-0FC1EF336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F66F9-ADBB-4008-A72B-699C25377BA5}">
  <ds:schemaRefs>
    <ds:schemaRef ds:uri="http://schemas.microsoft.com/sharepoint/v3/contenttype/forms"/>
  </ds:schemaRefs>
</ds:datastoreItem>
</file>

<file path=customXml/itemProps5.xml><?xml version="1.0" encoding="utf-8"?>
<ds:datastoreItem xmlns:ds="http://schemas.openxmlformats.org/officeDocument/2006/customXml" ds:itemID="{18A01F18-33AD-4669-99D5-DDF22A69C2BF}">
  <ds:schemaRefs>
    <ds:schemaRef ds:uri="http://purl.org/dc/terms/"/>
    <ds:schemaRef ds:uri="http://www.w3.org/XML/1998/namespace"/>
    <ds:schemaRef ds:uri="d335559b-c20a-4874-978e-77d2be77e01f"/>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1daf041-c113-401c-bf82-107f5d396711"/>
  </ds:schemaRefs>
</ds:datastoreItem>
</file>

<file path=customXml/itemProps6.xml><?xml version="1.0" encoding="utf-8"?>
<ds:datastoreItem xmlns:ds="http://schemas.openxmlformats.org/officeDocument/2006/customXml" ds:itemID="{FBFE94C4-8818-4A76-9D4E-F18CA7F9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7356</CharactersWithSpaces>
  <SharedDoc>false</SharedDoc>
  <HLinks>
    <vt:vector size="36" baseType="variant">
      <vt:variant>
        <vt:i4>1769520</vt:i4>
      </vt:variant>
      <vt:variant>
        <vt:i4>35</vt:i4>
      </vt:variant>
      <vt:variant>
        <vt:i4>0</vt:i4>
      </vt:variant>
      <vt:variant>
        <vt:i4>5</vt:i4>
      </vt:variant>
      <vt:variant>
        <vt:lpwstr/>
      </vt:variant>
      <vt:variant>
        <vt:lpwstr>_Toc431279248</vt:lpwstr>
      </vt:variant>
      <vt:variant>
        <vt:i4>1769520</vt:i4>
      </vt:variant>
      <vt:variant>
        <vt:i4>29</vt:i4>
      </vt:variant>
      <vt:variant>
        <vt:i4>0</vt:i4>
      </vt:variant>
      <vt:variant>
        <vt:i4>5</vt:i4>
      </vt:variant>
      <vt:variant>
        <vt:lpwstr/>
      </vt:variant>
      <vt:variant>
        <vt:lpwstr>_Toc431279247</vt:lpwstr>
      </vt:variant>
      <vt:variant>
        <vt:i4>1769520</vt:i4>
      </vt:variant>
      <vt:variant>
        <vt:i4>23</vt:i4>
      </vt:variant>
      <vt:variant>
        <vt:i4>0</vt:i4>
      </vt:variant>
      <vt:variant>
        <vt:i4>5</vt:i4>
      </vt:variant>
      <vt:variant>
        <vt:lpwstr/>
      </vt:variant>
      <vt:variant>
        <vt:lpwstr>_Toc431279246</vt:lpwstr>
      </vt:variant>
      <vt:variant>
        <vt:i4>1769520</vt:i4>
      </vt:variant>
      <vt:variant>
        <vt:i4>17</vt:i4>
      </vt:variant>
      <vt:variant>
        <vt:i4>0</vt:i4>
      </vt:variant>
      <vt:variant>
        <vt:i4>5</vt:i4>
      </vt:variant>
      <vt:variant>
        <vt:lpwstr/>
      </vt:variant>
      <vt:variant>
        <vt:lpwstr>_Toc431279245</vt:lpwstr>
      </vt:variant>
      <vt:variant>
        <vt:i4>1769520</vt:i4>
      </vt:variant>
      <vt:variant>
        <vt:i4>11</vt:i4>
      </vt:variant>
      <vt:variant>
        <vt:i4>0</vt:i4>
      </vt:variant>
      <vt:variant>
        <vt:i4>5</vt:i4>
      </vt:variant>
      <vt:variant>
        <vt:lpwstr/>
      </vt:variant>
      <vt:variant>
        <vt:lpwstr>_Toc431279244</vt:lpwstr>
      </vt:variant>
      <vt:variant>
        <vt:i4>1769520</vt:i4>
      </vt:variant>
      <vt:variant>
        <vt:i4>5</vt:i4>
      </vt:variant>
      <vt:variant>
        <vt:i4>0</vt:i4>
      </vt:variant>
      <vt:variant>
        <vt:i4>5</vt:i4>
      </vt:variant>
      <vt:variant>
        <vt:lpwstr/>
      </vt:variant>
      <vt:variant>
        <vt:lpwstr>_Toc431279243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IJE7</dc:creator>
  <cp:keywords/>
  <cp:lastModifiedBy>Clunis, Odion (CDC/DDPHSS/OS/OSI)</cp:lastModifiedBy>
  <cp:revision>2</cp:revision>
  <dcterms:created xsi:type="dcterms:W3CDTF">2020-04-14T16:25:00Z</dcterms:created>
  <dcterms:modified xsi:type="dcterms:W3CDTF">2020-04-14T16:25:00Z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PFY6PPX2AYTS-2589-1395</vt:lpwstr>
  </property>
  <property fmtid="{D5CDD505-2E9C-101B-9397-08002B2CF9AE}" pid="3" name="_dlc_DocIdItemGuid">
    <vt:lpwstr>ef8fbe23-6869-4f40-9ef8-9c0d2022647f</vt:lpwstr>
  </property>
  <property fmtid="{D5CDD505-2E9C-101B-9397-08002B2CF9AE}" pid="4" name="_dlc_DocIdUrl">
    <vt:lpwstr>https://esp.cdc.gov/sites/ncezid/OD/policy/PRA/_layouts/15/DocIdRedir.aspx?ID=PFY6PPX2AYTS-2589-1395, PFY6PPX2AYTS-2589-1395</vt:lpwstr>
  </property>
</Properties>
</file>