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B193F" w:rsidR="00595D1E" w:rsidP="002B193F" w:rsidRDefault="00E36F2B" w14:paraId="5D211C86" w14:textId="2FD16711">
      <w:pPr>
        <w:spacing w:after="0"/>
        <w:jc w:val="center"/>
        <w:rPr>
          <w:sz w:val="36"/>
          <w:szCs w:val="36"/>
        </w:rPr>
      </w:pPr>
      <w:bookmarkStart w:name="_GoBack" w:id="0"/>
      <w:bookmarkEnd w:id="0"/>
      <w:r>
        <w:rPr>
          <w:sz w:val="36"/>
          <w:szCs w:val="36"/>
        </w:rPr>
        <w:t xml:space="preserve"> </w:t>
      </w:r>
      <w:r w:rsidRPr="002B193F" w:rsidR="00C0501F">
        <w:rPr>
          <w:sz w:val="36"/>
          <w:szCs w:val="36"/>
        </w:rPr>
        <w:t xml:space="preserve">Mini </w:t>
      </w:r>
      <w:r w:rsidRPr="002B193F" w:rsidR="00595D1E">
        <w:rPr>
          <w:sz w:val="36"/>
          <w:szCs w:val="36"/>
        </w:rPr>
        <w:t>Supporting Statement A</w:t>
      </w:r>
    </w:p>
    <w:p w:rsidRPr="002B193F" w:rsidR="00595D1E" w:rsidRDefault="00595D1E" w14:paraId="5A502E26" w14:textId="77777777">
      <w:pPr>
        <w:jc w:val="center"/>
      </w:pPr>
    </w:p>
    <w:p w:rsidRPr="002B193F" w:rsidR="00FF1D87" w:rsidP="002B193F" w:rsidRDefault="00FF1D87" w14:paraId="5107501B" w14:textId="77777777">
      <w:pPr>
        <w:jc w:val="center"/>
      </w:pPr>
    </w:p>
    <w:p w:rsidRPr="0063454C" w:rsidR="00BE14D8" w:rsidP="00BE14D8" w:rsidRDefault="00350A34" w14:paraId="7B60C221" w14:textId="296B138C">
      <w:pPr>
        <w:jc w:val="center"/>
        <w:rPr>
          <w:sz w:val="36"/>
          <w:szCs w:val="36"/>
        </w:rPr>
      </w:pPr>
      <w:r w:rsidRPr="0063454C">
        <w:rPr>
          <w:sz w:val="36"/>
          <w:szCs w:val="36"/>
        </w:rPr>
        <w:t xml:space="preserve">Center for Global Health </w:t>
      </w:r>
    </w:p>
    <w:p w:rsidRPr="0063454C" w:rsidR="0063454C" w:rsidP="0063454C" w:rsidRDefault="00350A34" w14:paraId="26BA98B4" w14:textId="0531A303">
      <w:pPr>
        <w:jc w:val="center"/>
        <w:rPr>
          <w:sz w:val="36"/>
          <w:szCs w:val="36"/>
        </w:rPr>
      </w:pPr>
      <w:r w:rsidRPr="0063454C">
        <w:rPr>
          <w:sz w:val="36"/>
          <w:szCs w:val="36"/>
        </w:rPr>
        <w:t>Post-baccalaureate Fellowship Program</w:t>
      </w:r>
      <w:r w:rsidR="0063454C">
        <w:rPr>
          <w:sz w:val="36"/>
          <w:szCs w:val="36"/>
        </w:rPr>
        <w:t xml:space="preserve"> </w:t>
      </w:r>
      <w:r w:rsidR="0063454C">
        <w:rPr>
          <w:sz w:val="32"/>
          <w:szCs w:val="32"/>
        </w:rPr>
        <w:t>(NCI)</w:t>
      </w:r>
    </w:p>
    <w:p w:rsidR="0063454C" w:rsidP="002B193F" w:rsidRDefault="0063454C" w14:paraId="38B244F2" w14:textId="77777777">
      <w:pPr>
        <w:jc w:val="center"/>
        <w:rPr>
          <w:sz w:val="28"/>
          <w:szCs w:val="28"/>
        </w:rPr>
      </w:pPr>
    </w:p>
    <w:p w:rsidRPr="0063454C" w:rsidR="0063454C" w:rsidP="002B193F" w:rsidRDefault="0063454C" w14:paraId="28F4A02B" w14:textId="5C475C71">
      <w:pPr>
        <w:jc w:val="center"/>
        <w:rPr>
          <w:sz w:val="28"/>
          <w:szCs w:val="28"/>
        </w:rPr>
      </w:pPr>
      <w:proofErr w:type="spellStart"/>
      <w:r w:rsidRPr="0063454C">
        <w:rPr>
          <w:sz w:val="28"/>
          <w:szCs w:val="28"/>
        </w:rPr>
        <w:t>Substudy</w:t>
      </w:r>
      <w:proofErr w:type="spellEnd"/>
      <w:r w:rsidRPr="0063454C">
        <w:rPr>
          <w:sz w:val="28"/>
          <w:szCs w:val="28"/>
        </w:rPr>
        <w:t xml:space="preserve"> under,</w:t>
      </w:r>
    </w:p>
    <w:p w:rsidRPr="0063454C" w:rsidR="0063454C" w:rsidP="0063454C" w:rsidRDefault="0063454C" w14:paraId="68537A74" w14:textId="6225F7F3">
      <w:pPr>
        <w:jc w:val="center"/>
        <w:rPr>
          <w:sz w:val="28"/>
          <w:szCs w:val="28"/>
        </w:rPr>
      </w:pPr>
      <w:r w:rsidRPr="0063454C">
        <w:rPr>
          <w:sz w:val="28"/>
          <w:szCs w:val="28"/>
        </w:rPr>
        <w:t>“Generic Clearance for Application Information for</w:t>
      </w:r>
    </w:p>
    <w:p w:rsidRPr="0063454C" w:rsidR="0063454C" w:rsidP="0063454C" w:rsidRDefault="0063454C" w14:paraId="358C3D79" w14:textId="77777777">
      <w:pPr>
        <w:jc w:val="center"/>
        <w:rPr>
          <w:sz w:val="28"/>
          <w:szCs w:val="28"/>
        </w:rPr>
      </w:pPr>
      <w:r w:rsidRPr="0063454C">
        <w:rPr>
          <w:sz w:val="28"/>
          <w:szCs w:val="28"/>
        </w:rPr>
        <w:t xml:space="preserve">Fellowship, Internships, Training Programs, and Specialty Positions </w:t>
      </w:r>
    </w:p>
    <w:p w:rsidRPr="0063454C" w:rsidR="0063454C" w:rsidP="0063454C" w:rsidRDefault="0063454C" w14:paraId="6D6BB1DA" w14:textId="48EDBCBB">
      <w:pPr>
        <w:jc w:val="center"/>
        <w:rPr>
          <w:sz w:val="28"/>
          <w:szCs w:val="28"/>
        </w:rPr>
      </w:pPr>
      <w:r w:rsidRPr="0063454C">
        <w:rPr>
          <w:sz w:val="28"/>
          <w:szCs w:val="28"/>
        </w:rPr>
        <w:t>(National Cancer Institute)”</w:t>
      </w:r>
    </w:p>
    <w:p w:rsidRPr="0063454C" w:rsidR="0063454C" w:rsidP="002B193F" w:rsidRDefault="0063454C" w14:paraId="16AE844B" w14:textId="77777777">
      <w:pPr>
        <w:jc w:val="center"/>
        <w:rPr>
          <w:sz w:val="28"/>
          <w:szCs w:val="28"/>
        </w:rPr>
      </w:pPr>
    </w:p>
    <w:p w:rsidRPr="0063454C" w:rsidR="00B27DDD" w:rsidP="002B193F" w:rsidRDefault="00003BE1" w14:paraId="79ECA461" w14:textId="636E39DB">
      <w:pPr>
        <w:jc w:val="center"/>
        <w:rPr>
          <w:sz w:val="28"/>
          <w:szCs w:val="28"/>
        </w:rPr>
      </w:pPr>
      <w:r w:rsidRPr="0063454C">
        <w:rPr>
          <w:sz w:val="28"/>
          <w:szCs w:val="28"/>
        </w:rPr>
        <w:t>OMB#</w:t>
      </w:r>
      <w:r w:rsidRPr="0063454C" w:rsidR="00B27DDD">
        <w:rPr>
          <w:sz w:val="28"/>
          <w:szCs w:val="28"/>
        </w:rPr>
        <w:t xml:space="preserve"> 0925-</w:t>
      </w:r>
      <w:r w:rsidRPr="0063454C" w:rsidR="00BE14D8">
        <w:rPr>
          <w:sz w:val="28"/>
          <w:szCs w:val="28"/>
        </w:rPr>
        <w:t>0761</w:t>
      </w:r>
      <w:r w:rsidRPr="0063454C" w:rsidR="00B27DDD">
        <w:rPr>
          <w:sz w:val="28"/>
          <w:szCs w:val="28"/>
        </w:rPr>
        <w:t xml:space="preserve">, </w:t>
      </w:r>
    </w:p>
    <w:p w:rsidRPr="0063454C" w:rsidR="00CB4C39" w:rsidP="002B193F" w:rsidRDefault="00B27DDD" w14:paraId="6A21E2F4" w14:textId="44AB3DC8">
      <w:pPr>
        <w:jc w:val="center"/>
        <w:rPr>
          <w:sz w:val="28"/>
          <w:szCs w:val="28"/>
        </w:rPr>
      </w:pPr>
      <w:r w:rsidRPr="0063454C">
        <w:rPr>
          <w:sz w:val="28"/>
          <w:szCs w:val="28"/>
        </w:rPr>
        <w:t>Expiration Date:  7/31/</w:t>
      </w:r>
      <w:r w:rsidRPr="0063454C" w:rsidR="00BE14D8">
        <w:rPr>
          <w:sz w:val="28"/>
          <w:szCs w:val="28"/>
        </w:rPr>
        <w:t>2022</w:t>
      </w:r>
    </w:p>
    <w:p w:rsidRPr="00DC234F" w:rsidR="00595D1E" w:rsidP="002B193F" w:rsidRDefault="008529CC" w14:paraId="310CA79F" w14:textId="38DD7CED">
      <w:pPr>
        <w:jc w:val="center"/>
        <w:rPr>
          <w:rFonts w:cstheme="minorHAnsi"/>
          <w:sz w:val="28"/>
          <w:szCs w:val="28"/>
        </w:rPr>
      </w:pPr>
      <w:r w:rsidRPr="00DC234F">
        <w:rPr>
          <w:rFonts w:cstheme="minorHAnsi"/>
          <w:sz w:val="28"/>
          <w:szCs w:val="28"/>
        </w:rPr>
        <w:t>Date</w:t>
      </w:r>
      <w:r w:rsidRPr="00DC234F" w:rsidR="007A1807">
        <w:rPr>
          <w:rFonts w:cstheme="minorHAnsi"/>
          <w:sz w:val="28"/>
          <w:szCs w:val="28"/>
        </w:rPr>
        <w:t>:</w:t>
      </w:r>
      <w:r w:rsidRPr="00DC234F" w:rsidR="00944653">
        <w:rPr>
          <w:rFonts w:cstheme="minorHAnsi"/>
          <w:sz w:val="28"/>
          <w:szCs w:val="28"/>
        </w:rPr>
        <w:t xml:space="preserve"> </w:t>
      </w:r>
      <w:r w:rsidR="00BA2FAA">
        <w:rPr>
          <w:rFonts w:cstheme="minorHAnsi"/>
          <w:sz w:val="28"/>
          <w:szCs w:val="28"/>
        </w:rPr>
        <w:t xml:space="preserve">May </w:t>
      </w:r>
      <w:r w:rsidR="006721AB">
        <w:rPr>
          <w:rFonts w:cstheme="minorHAnsi"/>
          <w:sz w:val="28"/>
          <w:szCs w:val="28"/>
        </w:rPr>
        <w:t>2</w:t>
      </w:r>
      <w:r w:rsidR="00BB5354">
        <w:rPr>
          <w:rFonts w:cstheme="minorHAnsi"/>
          <w:sz w:val="28"/>
          <w:szCs w:val="28"/>
        </w:rPr>
        <w:t>6</w:t>
      </w:r>
      <w:r w:rsidR="00BA2FAA">
        <w:rPr>
          <w:rFonts w:cstheme="minorHAnsi"/>
          <w:sz w:val="28"/>
          <w:szCs w:val="28"/>
        </w:rPr>
        <w:t>, 2020</w:t>
      </w:r>
    </w:p>
    <w:p w:rsidRPr="002B193F" w:rsidR="00595D1E" w:rsidRDefault="00595D1E" w14:paraId="4D8757B3" w14:textId="77777777">
      <w:pPr>
        <w:jc w:val="center"/>
      </w:pPr>
    </w:p>
    <w:p w:rsidRPr="002B193F" w:rsidR="00595D1E" w:rsidRDefault="00595D1E" w14:paraId="5C3C5F2B" w14:textId="77777777">
      <w:pPr>
        <w:jc w:val="center"/>
      </w:pPr>
    </w:p>
    <w:p w:rsidRPr="002B193F" w:rsidR="00FF1D87" w:rsidRDefault="00FF1D87" w14:paraId="131BD91A" w14:textId="77777777">
      <w:pPr>
        <w:jc w:val="center"/>
      </w:pPr>
    </w:p>
    <w:p w:rsidR="00FF1D87" w:rsidP="002B193F" w:rsidRDefault="008529CC" w14:paraId="2E64842D" w14:textId="1F55CF00">
      <w:pPr>
        <w:spacing w:after="0"/>
        <w:jc w:val="center"/>
        <w:rPr>
          <w:b/>
        </w:rPr>
      </w:pPr>
      <w:r>
        <w:rPr>
          <w:b/>
        </w:rPr>
        <w:t xml:space="preserve"> </w:t>
      </w:r>
    </w:p>
    <w:p w:rsidR="008F0949" w:rsidP="008F0949" w:rsidRDefault="008F0949" w14:paraId="595D4FB1" w14:textId="64C84EE8">
      <w:pPr>
        <w:tabs>
          <w:tab w:val="left" w:pos="720"/>
          <w:tab w:val="right" w:leader="dot" w:pos="9504"/>
        </w:tabs>
        <w:spacing w:before="120" w:after="0" w:line="240" w:lineRule="auto"/>
        <w:rPr>
          <w:rFonts w:eastAsia="Times New Roman"/>
        </w:rPr>
      </w:pPr>
      <w:r>
        <w:rPr>
          <w:rFonts w:eastAsia="Times New Roman"/>
        </w:rPr>
        <w:t>Name:</w:t>
      </w:r>
      <w:r w:rsidR="00AD69FB">
        <w:rPr>
          <w:rFonts w:eastAsia="Times New Roman"/>
        </w:rPr>
        <w:t xml:space="preserve">  </w:t>
      </w:r>
      <w:r w:rsidR="0063454C">
        <w:rPr>
          <w:rFonts w:eastAsia="Times New Roman"/>
        </w:rPr>
        <w:tab/>
        <w:t xml:space="preserve">         </w:t>
      </w:r>
      <w:r w:rsidR="00FD505F">
        <w:rPr>
          <w:rFonts w:eastAsia="Times New Roman"/>
        </w:rPr>
        <w:t>Balkissa Abdoulaye</w:t>
      </w:r>
    </w:p>
    <w:p w:rsidR="008F0949" w:rsidP="008F0949" w:rsidRDefault="008F0949" w14:paraId="4E72A68B" w14:textId="738806ED">
      <w:pPr>
        <w:tabs>
          <w:tab w:val="left" w:pos="720"/>
          <w:tab w:val="right" w:leader="dot" w:pos="9504"/>
        </w:tabs>
        <w:spacing w:before="120" w:after="0" w:line="240" w:lineRule="auto"/>
        <w:rPr>
          <w:rFonts w:eastAsia="Times New Roman"/>
        </w:rPr>
      </w:pPr>
      <w:r>
        <w:rPr>
          <w:rFonts w:eastAsia="Times New Roman"/>
        </w:rPr>
        <w:t xml:space="preserve">Address: </w:t>
      </w:r>
      <w:r w:rsidR="0063454C">
        <w:rPr>
          <w:rFonts w:eastAsia="Times New Roman"/>
        </w:rPr>
        <w:t xml:space="preserve">      </w:t>
      </w:r>
      <w:r>
        <w:rPr>
          <w:rFonts w:eastAsia="Times New Roman"/>
        </w:rPr>
        <w:t xml:space="preserve"> 9609 Medical Center Drive </w:t>
      </w:r>
    </w:p>
    <w:p w:rsidR="008F0949" w:rsidP="008F0949" w:rsidRDefault="0063454C" w14:paraId="1F6C07BA" w14:textId="165B7C6A">
      <w:pPr>
        <w:tabs>
          <w:tab w:val="left" w:pos="720"/>
          <w:tab w:val="right" w:leader="dot" w:pos="9504"/>
        </w:tabs>
        <w:spacing w:before="120" w:after="0" w:line="240" w:lineRule="auto"/>
        <w:rPr>
          <w:rFonts w:eastAsia="Times New Roman"/>
        </w:rPr>
      </w:pPr>
      <w:r>
        <w:rPr>
          <w:rFonts w:eastAsia="Times New Roman"/>
        </w:rPr>
        <w:t xml:space="preserve">                       </w:t>
      </w:r>
      <w:r w:rsidR="008F0949">
        <w:rPr>
          <w:rFonts w:eastAsia="Times New Roman"/>
        </w:rPr>
        <w:t>Rockville, MD 20892</w:t>
      </w:r>
    </w:p>
    <w:p w:rsidR="008F0949" w:rsidP="008F0949" w:rsidRDefault="008F0949" w14:paraId="0E712D43" w14:textId="1DCA9894">
      <w:pPr>
        <w:tabs>
          <w:tab w:val="left" w:pos="720"/>
          <w:tab w:val="right" w:leader="dot" w:pos="9504"/>
        </w:tabs>
        <w:spacing w:before="120" w:after="0" w:line="240" w:lineRule="auto"/>
        <w:rPr>
          <w:rFonts w:eastAsia="Times New Roman"/>
        </w:rPr>
      </w:pPr>
      <w:r>
        <w:rPr>
          <w:rFonts w:eastAsia="Times New Roman"/>
        </w:rPr>
        <w:t>Telephone:</w:t>
      </w:r>
      <w:r w:rsidR="00301A0F">
        <w:rPr>
          <w:rFonts w:eastAsia="Times New Roman"/>
        </w:rPr>
        <w:t xml:space="preserve"> </w:t>
      </w:r>
      <w:r w:rsidR="0063454C">
        <w:rPr>
          <w:rFonts w:eastAsia="Times New Roman"/>
        </w:rPr>
        <w:t xml:space="preserve">  </w:t>
      </w:r>
      <w:r w:rsidRPr="00D55D32" w:rsidR="00D55D32">
        <w:rPr>
          <w:rFonts w:eastAsia="Times New Roman"/>
        </w:rPr>
        <w:t>240.</w:t>
      </w:r>
      <w:r w:rsidR="00FD505F">
        <w:rPr>
          <w:rFonts w:eastAsia="Times New Roman"/>
        </w:rPr>
        <w:t>276.7151</w:t>
      </w:r>
    </w:p>
    <w:p w:rsidR="008F0949" w:rsidP="008F0949" w:rsidRDefault="008F0949" w14:paraId="26E209C8" w14:textId="19459750">
      <w:pPr>
        <w:tabs>
          <w:tab w:val="left" w:pos="720"/>
          <w:tab w:val="right" w:leader="dot" w:pos="9504"/>
        </w:tabs>
        <w:spacing w:before="120" w:after="0" w:line="240" w:lineRule="auto"/>
        <w:rPr>
          <w:rFonts w:eastAsia="Times New Roman"/>
        </w:rPr>
      </w:pPr>
      <w:r>
        <w:rPr>
          <w:rFonts w:eastAsia="Times New Roman"/>
        </w:rPr>
        <w:t xml:space="preserve">Email: </w:t>
      </w:r>
      <w:r w:rsidR="0063454C">
        <w:rPr>
          <w:rFonts w:eastAsia="Times New Roman"/>
        </w:rPr>
        <w:t xml:space="preserve">           </w:t>
      </w:r>
      <w:r w:rsidR="0002376A">
        <w:rPr>
          <w:rFonts w:eastAsia="Times New Roman"/>
          <w:color w:val="000000"/>
        </w:rPr>
        <w:t>abdoulayeb@mail.nih.gov</w:t>
      </w:r>
    </w:p>
    <w:p w:rsidRPr="00113647" w:rsidR="00595D1E" w:rsidP="002B193F" w:rsidRDefault="00595D1E" w14:paraId="612F81FF" w14:textId="3E7D3A17">
      <w:pPr>
        <w:spacing w:after="0"/>
        <w:jc w:val="center"/>
        <w:rPr>
          <w:b/>
        </w:rPr>
      </w:pPr>
      <w:r w:rsidRPr="00113647">
        <w:rPr>
          <w:b/>
        </w:rPr>
        <w:br w:type="page"/>
      </w:r>
    </w:p>
    <w:p w:rsidR="000F6E1A" w:rsidP="008716F6" w:rsidRDefault="000F6E1A" w14:paraId="769AF0B2" w14:textId="599F38C3">
      <w:pPr>
        <w:spacing w:after="20"/>
        <w:jc w:val="center"/>
        <w:rPr>
          <w:b/>
        </w:rPr>
      </w:pPr>
      <w:r>
        <w:rPr>
          <w:b/>
        </w:rPr>
        <w:lastRenderedPageBreak/>
        <w:t>List of Attachments</w:t>
      </w:r>
    </w:p>
    <w:p w:rsidR="003F0D8B" w:rsidP="008716F6" w:rsidRDefault="003F0D8B" w14:paraId="4C517D43" w14:textId="6D3F46CF">
      <w:pPr>
        <w:spacing w:after="20"/>
        <w:jc w:val="center"/>
        <w:rPr>
          <w:b/>
        </w:rPr>
      </w:pPr>
    </w:p>
    <w:p w:rsidR="005F5E09" w:rsidP="003F0D8B" w:rsidRDefault="003F0D8B" w14:paraId="07BA75A9" w14:textId="1A9BA939">
      <w:pPr>
        <w:spacing w:after="20"/>
      </w:pPr>
      <w:r w:rsidRPr="003F0D8B">
        <w:t xml:space="preserve">Attachment 1: </w:t>
      </w:r>
      <w:r w:rsidR="0063454C">
        <w:t xml:space="preserve"> Center for Global Health (CGH) Post-baccalaureate Fellowship Program </w:t>
      </w:r>
      <w:r w:rsidR="00B57890">
        <w:t>Application</w:t>
      </w:r>
    </w:p>
    <w:p w:rsidR="009319B2" w:rsidRDefault="009319B2" w14:paraId="1E9B6020" w14:textId="39EE5022">
      <w:r>
        <w:br w:type="page"/>
      </w:r>
    </w:p>
    <w:p w:rsidRPr="00113647" w:rsidR="00DB27F3" w:rsidP="008716F6" w:rsidRDefault="00AF01AD" w14:paraId="6CA5DD09" w14:textId="692DD6EE">
      <w:pPr>
        <w:spacing w:after="20"/>
        <w:jc w:val="center"/>
        <w:rPr>
          <w:b/>
        </w:rPr>
      </w:pPr>
      <w:r>
        <w:rPr>
          <w:b/>
        </w:rPr>
        <w:lastRenderedPageBreak/>
        <w:t xml:space="preserve">Mini </w:t>
      </w:r>
      <w:r w:rsidRPr="00113647" w:rsidR="008716F6">
        <w:rPr>
          <w:b/>
        </w:rPr>
        <w:t>Supporting Statement</w:t>
      </w:r>
      <w:r w:rsidR="008529CC">
        <w:rPr>
          <w:b/>
        </w:rPr>
        <w:t xml:space="preserve"> A</w:t>
      </w:r>
    </w:p>
    <w:p w:rsidR="008716F6" w:rsidP="008716F6" w:rsidRDefault="008716F6" w14:paraId="321D8793" w14:textId="77777777">
      <w:pPr>
        <w:spacing w:after="20"/>
      </w:pPr>
    </w:p>
    <w:p w:rsidRPr="0043295F" w:rsidR="008716F6" w:rsidP="008716F6" w:rsidRDefault="008716F6" w14:paraId="31E6DC0F" w14:textId="559E8BC1">
      <w:pPr>
        <w:spacing w:after="20"/>
        <w:rPr>
          <w:rFonts w:cstheme="minorHAnsi"/>
          <w:b/>
        </w:rPr>
      </w:pPr>
      <w:r w:rsidRPr="0043295F">
        <w:rPr>
          <w:rFonts w:cstheme="minorHAnsi"/>
          <w:b/>
        </w:rPr>
        <w:t>A.1 Circumstances Making the Collection of Information Necessary</w:t>
      </w:r>
    </w:p>
    <w:p w:rsidRPr="0043295F" w:rsidR="00464791" w:rsidP="00464791" w:rsidRDefault="00FD505F" w14:paraId="63A450F8" w14:textId="312C4ABC">
      <w:pPr>
        <w:spacing w:after="20"/>
        <w:rPr>
          <w:rFonts w:cstheme="minorHAnsi"/>
        </w:rPr>
      </w:pPr>
      <w:r w:rsidRPr="0043295F">
        <w:rPr>
          <w:rFonts w:cstheme="minorHAnsi"/>
        </w:rPr>
        <w:t>The U.S. National Cancer Institute (NCI) Center for Global Health (CGH) post-baccalaureate fellowship provides recent college graduates who are planning to apply to graduate or professional (public health/research/medical/dental/ nursing/pharmacy, etc.) school an opportunity to learn about supporting the cancer research enterprise at NCI. Fellows work with NCI staff to develop and implement projects that aim to strengthen cancer research globally. The fellowship includes a capstone project. The NCI Center for Global Health is particularly interested in applicants who have either volunteered or worked in a low-or middle-income country or with disadvantaged populations in high-income countries.</w:t>
      </w:r>
    </w:p>
    <w:p w:rsidR="00295E78" w:rsidP="008716F6" w:rsidRDefault="00295E78" w14:paraId="62B38F83" w14:textId="77777777">
      <w:pPr>
        <w:spacing w:after="20"/>
      </w:pPr>
    </w:p>
    <w:p w:rsidRPr="0043295F" w:rsidR="008716F6" w:rsidP="008716F6" w:rsidRDefault="008716F6" w14:paraId="25F27327" w14:textId="77777777">
      <w:pPr>
        <w:spacing w:after="20"/>
        <w:rPr>
          <w:rFonts w:cstheme="minorHAnsi"/>
          <w:b/>
        </w:rPr>
      </w:pPr>
      <w:r w:rsidRPr="0043295F">
        <w:rPr>
          <w:rFonts w:cstheme="minorHAnsi"/>
          <w:b/>
        </w:rPr>
        <w:t>A.2 Purpose and Use of the Information Collection</w:t>
      </w:r>
    </w:p>
    <w:p w:rsidR="0063454C" w:rsidP="008716F6" w:rsidRDefault="0063454C" w14:paraId="137709DE" w14:textId="2EBBDA7F">
      <w:pPr>
        <w:spacing w:after="20"/>
        <w:rPr>
          <w:rFonts w:cstheme="minorHAnsi"/>
        </w:rPr>
      </w:pPr>
      <w:r w:rsidRPr="0063454C">
        <w:rPr>
          <w:rFonts w:cstheme="minorHAnsi"/>
        </w:rPr>
        <w:t xml:space="preserve">The </w:t>
      </w:r>
      <w:r>
        <w:rPr>
          <w:rFonts w:cstheme="minorHAnsi"/>
        </w:rPr>
        <w:t>purpose of the CGH Application is to assure that candidates for the CGH program meet basic eligibility requirements to assess their potential as future f</w:t>
      </w:r>
      <w:r w:rsidRPr="0043295F">
        <w:rPr>
          <w:rFonts w:cstheme="minorHAnsi"/>
        </w:rPr>
        <w:t xml:space="preserve">ellows </w:t>
      </w:r>
      <w:r>
        <w:rPr>
          <w:rFonts w:cstheme="minorHAnsi"/>
        </w:rPr>
        <w:t xml:space="preserve">that </w:t>
      </w:r>
      <w:r w:rsidRPr="0043295F">
        <w:rPr>
          <w:rFonts w:cstheme="minorHAnsi"/>
        </w:rPr>
        <w:t>will support programmatic aspects of CGH’s research funding, training, and network- and partnership-building initiatives.</w:t>
      </w:r>
      <w:r>
        <w:rPr>
          <w:rFonts w:cstheme="minorHAnsi"/>
        </w:rPr>
        <w:t xml:space="preserve"> This</w:t>
      </w:r>
      <w:r w:rsidRPr="0043295F">
        <w:rPr>
          <w:rFonts w:cstheme="minorHAnsi"/>
        </w:rPr>
        <w:t xml:space="preserve"> </w:t>
      </w:r>
      <w:r w:rsidRPr="0063454C">
        <w:rPr>
          <w:rFonts w:cstheme="minorHAnsi"/>
        </w:rPr>
        <w:t>fellowship is open to applicants with a Bachelor’s or Master’s degree or equivalent awarded in the U.S. or abroad. Applicants who have not yet graduated may apply, but will need to have received their degree by the time the fellowship begins. The fellowship is open to U.S. citizens and permanent residents only.</w:t>
      </w:r>
    </w:p>
    <w:p w:rsidR="009C6995" w:rsidP="001F245F" w:rsidRDefault="009C6995" w14:paraId="393E2840" w14:textId="77777777">
      <w:pPr>
        <w:spacing w:after="20"/>
        <w:rPr>
          <w:rFonts w:cstheme="minorHAnsi"/>
        </w:rPr>
      </w:pPr>
    </w:p>
    <w:p w:rsidRPr="0043295F" w:rsidR="00FD505F" w:rsidP="00DC234F" w:rsidRDefault="001F245F" w14:paraId="2FCF916C" w14:textId="1518C6EA">
      <w:pPr>
        <w:rPr>
          <w:rFonts w:cstheme="minorHAnsi"/>
        </w:rPr>
      </w:pPr>
      <w:r w:rsidRPr="001F245F">
        <w:rPr>
          <w:rFonts w:cstheme="minorHAnsi"/>
        </w:rPr>
        <w:t xml:space="preserve">Prospective </w:t>
      </w:r>
      <w:r>
        <w:rPr>
          <w:rFonts w:cstheme="minorHAnsi"/>
        </w:rPr>
        <w:t>CGH</w:t>
      </w:r>
      <w:r w:rsidRPr="001F245F">
        <w:rPr>
          <w:rFonts w:cstheme="minorHAnsi"/>
        </w:rPr>
        <w:t xml:space="preserve"> fellows must apply directly to NCI. The </w:t>
      </w:r>
      <w:r>
        <w:rPr>
          <w:rFonts w:cstheme="minorHAnsi"/>
        </w:rPr>
        <w:t>CG</w:t>
      </w:r>
      <w:r w:rsidR="009C6995">
        <w:rPr>
          <w:rFonts w:cstheme="minorHAnsi"/>
        </w:rPr>
        <w:t>H</w:t>
      </w:r>
      <w:r w:rsidRPr="001F245F">
        <w:rPr>
          <w:rFonts w:cstheme="minorHAnsi"/>
        </w:rPr>
        <w:t xml:space="preserve"> </w:t>
      </w:r>
      <w:proofErr w:type="gramStart"/>
      <w:r w:rsidRPr="001F245F">
        <w:rPr>
          <w:rFonts w:cstheme="minorHAnsi"/>
        </w:rPr>
        <w:t>application</w:t>
      </w:r>
      <w:r w:rsidR="006721AB">
        <w:rPr>
          <w:rFonts w:cstheme="minorHAnsi"/>
        </w:rPr>
        <w:t xml:space="preserve"> </w:t>
      </w:r>
      <w:r w:rsidRPr="001F245F">
        <w:rPr>
          <w:rFonts w:cstheme="minorHAnsi"/>
        </w:rPr>
        <w:t xml:space="preserve"> (</w:t>
      </w:r>
      <w:proofErr w:type="gramEnd"/>
      <w:r w:rsidRPr="001F245F">
        <w:rPr>
          <w:rFonts w:cstheme="minorHAnsi"/>
        </w:rPr>
        <w:t xml:space="preserve">Attachment 1) </w:t>
      </w:r>
      <w:r w:rsidR="006721AB">
        <w:rPr>
          <w:rFonts w:cstheme="minorHAnsi"/>
        </w:rPr>
        <w:t>includes</w:t>
      </w:r>
      <w:r w:rsidRPr="001F245F">
        <w:rPr>
          <w:rFonts w:cstheme="minorHAnsi"/>
        </w:rPr>
        <w:t xml:space="preserve"> </w:t>
      </w:r>
      <w:r w:rsidR="006721AB">
        <w:rPr>
          <w:rFonts w:cstheme="minorHAnsi"/>
        </w:rPr>
        <w:t xml:space="preserve">an application form, </w:t>
      </w:r>
      <w:r w:rsidR="00A61688">
        <w:rPr>
          <w:rFonts w:cstheme="minorHAnsi"/>
        </w:rPr>
        <w:t xml:space="preserve">cover letter, </w:t>
      </w:r>
      <w:r w:rsidRPr="006721AB" w:rsidR="006721AB">
        <w:rPr>
          <w:rFonts w:cstheme="minorHAnsi"/>
        </w:rPr>
        <w:t xml:space="preserve">A </w:t>
      </w:r>
      <w:r w:rsidR="006721AB">
        <w:rPr>
          <w:rFonts w:cstheme="minorHAnsi"/>
        </w:rPr>
        <w:t>Resume or Curriculum Vitae (</w:t>
      </w:r>
      <w:r w:rsidRPr="006721AB" w:rsidR="006721AB">
        <w:rPr>
          <w:rFonts w:cstheme="minorHAnsi"/>
        </w:rPr>
        <w:t>CV</w:t>
      </w:r>
      <w:r w:rsidR="006721AB">
        <w:rPr>
          <w:rFonts w:cstheme="minorHAnsi"/>
        </w:rPr>
        <w:t>)</w:t>
      </w:r>
      <w:r w:rsidRPr="006721AB" w:rsidR="006721AB">
        <w:rPr>
          <w:rFonts w:cstheme="minorHAnsi"/>
        </w:rPr>
        <w:t xml:space="preserve">, </w:t>
      </w:r>
      <w:r w:rsidR="00A61688">
        <w:rPr>
          <w:rFonts w:cstheme="minorHAnsi"/>
        </w:rPr>
        <w:t>transcript, and r</w:t>
      </w:r>
      <w:r w:rsidRPr="00CF1415" w:rsidR="00A61688">
        <w:rPr>
          <w:rFonts w:cstheme="minorHAnsi"/>
        </w:rPr>
        <w:t xml:space="preserve">ecommendation </w:t>
      </w:r>
      <w:r w:rsidRPr="00CF1415" w:rsidR="006248D5">
        <w:rPr>
          <w:rFonts w:cstheme="minorHAnsi"/>
        </w:rPr>
        <w:t xml:space="preserve">letters </w:t>
      </w:r>
      <w:r w:rsidR="006721AB">
        <w:rPr>
          <w:rFonts w:cstheme="minorHAnsi"/>
        </w:rPr>
        <w:t>as</w:t>
      </w:r>
      <w:r w:rsidR="006248D5">
        <w:rPr>
          <w:rFonts w:cstheme="minorHAnsi"/>
        </w:rPr>
        <w:t xml:space="preserve"> </w:t>
      </w:r>
      <w:r w:rsidRPr="00CF1415" w:rsidR="006248D5">
        <w:rPr>
          <w:rFonts w:cstheme="minorHAnsi"/>
        </w:rPr>
        <w:t xml:space="preserve">part of the application package and are submitted via email.  </w:t>
      </w:r>
      <w:r w:rsidRPr="001F245F">
        <w:rPr>
          <w:rFonts w:cstheme="minorHAnsi"/>
        </w:rPr>
        <w:t>T</w:t>
      </w:r>
      <w:r w:rsidR="006248D5">
        <w:rPr>
          <w:rFonts w:cstheme="minorHAnsi"/>
        </w:rPr>
        <w:t>wo</w:t>
      </w:r>
      <w:r w:rsidRPr="001F245F">
        <w:rPr>
          <w:rFonts w:cstheme="minorHAnsi"/>
        </w:rPr>
        <w:t xml:space="preserve"> </w:t>
      </w:r>
      <w:r w:rsidR="00C500E6">
        <w:rPr>
          <w:rFonts w:cstheme="minorHAnsi"/>
        </w:rPr>
        <w:t xml:space="preserve">signed </w:t>
      </w:r>
      <w:r w:rsidR="006248D5">
        <w:rPr>
          <w:rFonts w:cstheme="minorHAnsi"/>
        </w:rPr>
        <w:t>recommendation</w:t>
      </w:r>
      <w:r w:rsidRPr="001F245F">
        <w:rPr>
          <w:rFonts w:cstheme="minorHAnsi"/>
        </w:rPr>
        <w:t xml:space="preserve"> letters are required for each applicant.</w:t>
      </w:r>
    </w:p>
    <w:p w:rsidR="00FD505F" w:rsidP="008716F6" w:rsidRDefault="00FD505F" w14:paraId="7ADC3FF5" w14:textId="29067834">
      <w:pPr>
        <w:spacing w:after="20"/>
        <w:rPr>
          <w:rFonts w:cstheme="minorHAnsi"/>
        </w:rPr>
      </w:pPr>
      <w:r w:rsidRPr="0043295F">
        <w:rPr>
          <w:rFonts w:cstheme="minorHAnsi"/>
        </w:rPr>
        <w:t>This is a one-year, full-time, paid fellowship. A second year may be possible, but is not guaranteed. The stipend is adjusted yearly (</w:t>
      </w:r>
      <w:hyperlink w:history="1" r:id="rId11">
        <w:r w:rsidRPr="006E415F" w:rsidR="00CE24FD">
          <w:rPr>
            <w:rStyle w:val="Hyperlink"/>
            <w:rFonts w:cstheme="minorHAnsi"/>
          </w:rPr>
          <w:t>https://www.cancer.gov/grants-training/training/at-nci/crta</w:t>
        </w:r>
      </w:hyperlink>
      <w:r w:rsidRPr="0043295F">
        <w:rPr>
          <w:rFonts w:cstheme="minorHAnsi"/>
        </w:rPr>
        <w:t>). The position is located at the NCI Shady Grove campus (</w:t>
      </w:r>
      <w:hyperlink w:history="1" r:id="rId12">
        <w:r w:rsidRPr="006E415F" w:rsidR="008101F0">
          <w:rPr>
            <w:rStyle w:val="Hyperlink"/>
            <w:rFonts w:cstheme="minorHAnsi"/>
          </w:rPr>
          <w:t>http://www.cancer.gov/aboutnci/ncishadygrove</w:t>
        </w:r>
      </w:hyperlink>
      <w:r w:rsidR="008101F0">
        <w:rPr>
          <w:rFonts w:cstheme="minorHAnsi"/>
        </w:rPr>
        <w:t xml:space="preserve"> </w:t>
      </w:r>
      <w:r w:rsidRPr="0043295F">
        <w:rPr>
          <w:rFonts w:cstheme="minorHAnsi"/>
        </w:rPr>
        <w:t xml:space="preserve">) in Rockville, Maryland. Relocation assistance is not available and relocation costs will not be reimbursed. </w:t>
      </w:r>
      <w:r w:rsidRPr="001F245F" w:rsidR="001F245F">
        <w:rPr>
          <w:rFonts w:cstheme="minorHAnsi"/>
        </w:rPr>
        <w:t xml:space="preserve">More information about CGH programs can be found at: </w:t>
      </w:r>
      <w:hyperlink w:history="1" r:id="rId13">
        <w:r w:rsidRPr="006E415F" w:rsidR="008101F0">
          <w:rPr>
            <w:rStyle w:val="Hyperlink"/>
          </w:rPr>
          <w:t>https://www.cancer.gov/about-nci/organization/cgh/research</w:t>
        </w:r>
      </w:hyperlink>
      <w:r w:rsidR="008101F0">
        <w:t xml:space="preserve"> </w:t>
      </w:r>
    </w:p>
    <w:p w:rsidRPr="00113647" w:rsidR="00AD69FB" w:rsidP="008716F6" w:rsidRDefault="00AD69FB" w14:paraId="4A357F8E" w14:textId="77777777">
      <w:pPr>
        <w:spacing w:after="20"/>
      </w:pPr>
    </w:p>
    <w:p w:rsidRPr="00F8089F" w:rsidR="00003BE1" w:rsidP="008716F6" w:rsidRDefault="008716F6" w14:paraId="5F8A6A7B" w14:textId="1537674B">
      <w:pPr>
        <w:spacing w:after="20"/>
        <w:rPr>
          <w:rFonts w:cstheme="minorHAnsi"/>
          <w:b/>
        </w:rPr>
      </w:pPr>
      <w:r w:rsidRPr="0043295F">
        <w:rPr>
          <w:rFonts w:cstheme="minorHAnsi"/>
          <w:b/>
        </w:rPr>
        <w:t>A.3 Use of Information Technology to Reduce Burden</w:t>
      </w:r>
    </w:p>
    <w:p w:rsidR="00AA55B6" w:rsidP="008716F6" w:rsidRDefault="00AA55B6" w14:paraId="3FFB5493" w14:textId="6BF6B7FE">
      <w:pPr>
        <w:spacing w:after="20"/>
        <w:rPr>
          <w:rFonts w:cstheme="minorHAnsi"/>
        </w:rPr>
      </w:pPr>
      <w:r w:rsidRPr="0043295F">
        <w:rPr>
          <w:rFonts w:cstheme="minorHAnsi"/>
        </w:rPr>
        <w:t>Prospective fellows apply directly to CGH post-baccalaureate fellowship for admission.  The entire application process from submission to selection is conducted electronically</w:t>
      </w:r>
      <w:r w:rsidR="00F8089F">
        <w:rPr>
          <w:rFonts w:cstheme="minorHAnsi"/>
        </w:rPr>
        <w:t>; webpage for application and email for reference letters</w:t>
      </w:r>
      <w:r w:rsidRPr="0043295F">
        <w:rPr>
          <w:rFonts w:cstheme="minorHAnsi"/>
        </w:rPr>
        <w:t>.</w:t>
      </w:r>
    </w:p>
    <w:p w:rsidRPr="0043295F" w:rsidR="00F8089F" w:rsidP="008716F6" w:rsidRDefault="00F8089F" w14:paraId="72FD857B" w14:textId="77777777">
      <w:pPr>
        <w:spacing w:after="20"/>
        <w:rPr>
          <w:rFonts w:cstheme="minorHAnsi"/>
        </w:rPr>
      </w:pPr>
    </w:p>
    <w:p w:rsidRPr="0043295F" w:rsidR="00AA55B6" w:rsidP="008716F6" w:rsidRDefault="00AA55B6" w14:paraId="4FE5ECCD" w14:textId="11DF505E">
      <w:pPr>
        <w:spacing w:after="20"/>
        <w:rPr>
          <w:rFonts w:cstheme="minorHAnsi"/>
        </w:rPr>
      </w:pPr>
      <w:r w:rsidRPr="0043295F">
        <w:rPr>
          <w:rFonts w:cstheme="minorHAnsi"/>
        </w:rPr>
        <w:t xml:space="preserve">No official Privacy Impact Assessment (PIA) </w:t>
      </w:r>
      <w:r w:rsidR="00F8089F">
        <w:rPr>
          <w:rFonts w:cstheme="minorHAnsi"/>
        </w:rPr>
        <w:t>is needed</w:t>
      </w:r>
      <w:r w:rsidRPr="0043295F">
        <w:rPr>
          <w:rFonts w:cstheme="minorHAnsi"/>
        </w:rPr>
        <w:t xml:space="preserve"> for </w:t>
      </w:r>
      <w:r w:rsidR="00F8089F">
        <w:rPr>
          <w:rFonts w:cstheme="minorHAnsi"/>
        </w:rPr>
        <w:t xml:space="preserve">the </w:t>
      </w:r>
      <w:r w:rsidRPr="0043295F">
        <w:rPr>
          <w:rFonts w:cstheme="minorHAnsi"/>
        </w:rPr>
        <w:t xml:space="preserve">CGH post-baccalaureate fellowship program. Applicants’ information is stored on a secure server with limited access. </w:t>
      </w:r>
    </w:p>
    <w:p w:rsidRPr="00113647" w:rsidR="002F0635" w:rsidP="008716F6" w:rsidRDefault="002F0635" w14:paraId="23B6EAD6" w14:textId="77777777">
      <w:pPr>
        <w:spacing w:after="20"/>
      </w:pPr>
    </w:p>
    <w:p w:rsidRPr="0043295F" w:rsidR="00162AB8" w:rsidP="00162AB8" w:rsidRDefault="00162AB8" w14:paraId="1A1D343B" w14:textId="77777777">
      <w:pPr>
        <w:spacing w:after="20"/>
        <w:rPr>
          <w:rFonts w:cstheme="minorHAnsi"/>
          <w:b/>
        </w:rPr>
      </w:pPr>
      <w:r w:rsidRPr="0043295F">
        <w:rPr>
          <w:rFonts w:cstheme="minorHAnsi"/>
          <w:b/>
        </w:rPr>
        <w:t>A.4 Efforts to Identify Duplication</w:t>
      </w:r>
    </w:p>
    <w:p w:rsidRPr="0043295F" w:rsidR="001371B2" w:rsidP="001371B2" w:rsidRDefault="001371B2" w14:paraId="6B36CD4B" w14:textId="77777777">
      <w:pPr>
        <w:spacing w:after="0" w:line="240" w:lineRule="auto"/>
        <w:rPr>
          <w:rFonts w:cstheme="minorHAnsi"/>
          <w:bCs/>
        </w:rPr>
      </w:pPr>
      <w:r w:rsidRPr="0043295F">
        <w:rPr>
          <w:rFonts w:cstheme="minorHAnsi"/>
          <w:bCs/>
        </w:rPr>
        <w:t>This information will not be collected anywhere else and is unique to the CGH post-baccalaureate fellowship program.</w:t>
      </w:r>
    </w:p>
    <w:p w:rsidRPr="0043295F" w:rsidR="00162AB8" w:rsidP="00162AB8" w:rsidRDefault="00162AB8" w14:paraId="0503C1F4" w14:textId="77777777">
      <w:pPr>
        <w:spacing w:after="20"/>
        <w:rPr>
          <w:rFonts w:cstheme="minorHAnsi"/>
          <w:b/>
        </w:rPr>
      </w:pPr>
    </w:p>
    <w:p w:rsidR="00F94108" w:rsidP="00162AB8" w:rsidRDefault="00F94108" w14:paraId="2099CFBF" w14:textId="77777777">
      <w:pPr>
        <w:spacing w:after="20"/>
        <w:rPr>
          <w:rFonts w:cstheme="minorHAnsi"/>
          <w:b/>
        </w:rPr>
      </w:pPr>
    </w:p>
    <w:p w:rsidRPr="0043295F" w:rsidR="00162AB8" w:rsidP="00162AB8" w:rsidRDefault="00162AB8" w14:paraId="7C3459EB" w14:textId="037E5544">
      <w:pPr>
        <w:spacing w:after="20"/>
        <w:rPr>
          <w:rFonts w:cstheme="minorHAnsi"/>
          <w:b/>
        </w:rPr>
      </w:pPr>
      <w:r w:rsidRPr="0043295F">
        <w:rPr>
          <w:rFonts w:cstheme="minorHAnsi"/>
          <w:b/>
        </w:rPr>
        <w:lastRenderedPageBreak/>
        <w:t>A.5 Impact on Small Businesses or Other Small Entities</w:t>
      </w:r>
    </w:p>
    <w:p w:rsidRPr="0043295F" w:rsidR="00162AB8" w:rsidP="006248D5" w:rsidRDefault="00162AB8" w14:paraId="4D84E497" w14:textId="4F2CE8DE">
      <w:pPr>
        <w:spacing w:after="20"/>
        <w:rPr>
          <w:rFonts w:cstheme="minorHAnsi"/>
          <w:b/>
        </w:rPr>
      </w:pPr>
      <w:r w:rsidRPr="0043295F">
        <w:rPr>
          <w:rFonts w:cstheme="minorHAnsi"/>
        </w:rPr>
        <w:t xml:space="preserve">This information collection will have no impact on small businesses or other small entities. </w:t>
      </w:r>
    </w:p>
    <w:p w:rsidRPr="0043295F" w:rsidR="00162AB8" w:rsidP="00162AB8" w:rsidRDefault="00162AB8" w14:paraId="506A58FE" w14:textId="1AE4DCB8">
      <w:pPr>
        <w:spacing w:after="0" w:line="240" w:lineRule="auto"/>
        <w:rPr>
          <w:rFonts w:cstheme="minorHAnsi"/>
          <w:b/>
        </w:rPr>
      </w:pPr>
    </w:p>
    <w:p w:rsidRPr="0043295F" w:rsidR="00162AB8" w:rsidP="00162AB8" w:rsidRDefault="00162AB8" w14:paraId="66343D89" w14:textId="77777777">
      <w:pPr>
        <w:spacing w:after="20"/>
        <w:rPr>
          <w:rFonts w:cstheme="minorHAnsi"/>
          <w:b/>
        </w:rPr>
      </w:pPr>
      <w:r w:rsidRPr="0043295F">
        <w:rPr>
          <w:rFonts w:cstheme="minorHAnsi"/>
          <w:b/>
        </w:rPr>
        <w:t>A.6 Consequences of Collecting the Information Less Frequently</w:t>
      </w:r>
    </w:p>
    <w:p w:rsidRPr="0043295F" w:rsidR="00162AB8" w:rsidP="00162AB8" w:rsidRDefault="00533AFD" w14:paraId="4015D90E" w14:textId="3DFE0E26">
      <w:pPr>
        <w:spacing w:after="20"/>
        <w:rPr>
          <w:rFonts w:cstheme="minorHAnsi"/>
        </w:rPr>
      </w:pPr>
      <w:r w:rsidRPr="0043295F">
        <w:rPr>
          <w:rFonts w:cstheme="minorHAnsi"/>
        </w:rPr>
        <w:t xml:space="preserve">The CGH post-baccalaureate fellowship is a low-effort and high-impact program advancing NCI’s mission of </w:t>
      </w:r>
      <w:r w:rsidRPr="0043295F" w:rsidR="00745777">
        <w:rPr>
          <w:rFonts w:cstheme="minorHAnsi"/>
        </w:rPr>
        <w:t>strengthening</w:t>
      </w:r>
      <w:r w:rsidRPr="0043295F">
        <w:rPr>
          <w:rFonts w:cstheme="minorHAnsi"/>
        </w:rPr>
        <w:t xml:space="preserve"> cancer research </w:t>
      </w:r>
      <w:r w:rsidRPr="0043295F" w:rsidR="00745777">
        <w:rPr>
          <w:rFonts w:cstheme="minorHAnsi"/>
        </w:rPr>
        <w:t xml:space="preserve">across the nation </w:t>
      </w:r>
      <w:r w:rsidRPr="0043295F">
        <w:rPr>
          <w:rFonts w:cstheme="minorHAnsi"/>
        </w:rPr>
        <w:t>through the cancer research workforce development</w:t>
      </w:r>
      <w:r w:rsidRPr="0043295F" w:rsidR="00745777">
        <w:rPr>
          <w:rFonts w:cstheme="minorHAnsi"/>
        </w:rPr>
        <w:t xml:space="preserve">.  In addition, CGH fellows </w:t>
      </w:r>
      <w:r w:rsidRPr="0043295F" w:rsidR="00091889">
        <w:rPr>
          <w:rFonts w:cstheme="minorHAnsi"/>
        </w:rPr>
        <w:t>contribute to</w:t>
      </w:r>
      <w:r w:rsidRPr="0043295F" w:rsidR="00745777">
        <w:rPr>
          <w:rFonts w:cstheme="minorHAnsi"/>
        </w:rPr>
        <w:t xml:space="preserve"> advancing CGH’s priorities of supporting cancer research</w:t>
      </w:r>
      <w:r w:rsidRPr="0043295F" w:rsidR="00091889">
        <w:rPr>
          <w:rFonts w:cstheme="minorHAnsi"/>
        </w:rPr>
        <w:t xml:space="preserve"> globally. </w:t>
      </w:r>
      <w:r w:rsidRPr="0043295F" w:rsidR="00C712DF">
        <w:rPr>
          <w:rFonts w:cstheme="minorHAnsi"/>
        </w:rPr>
        <w:t>The i</w:t>
      </w:r>
      <w:r w:rsidRPr="0043295F" w:rsidR="00FC3067">
        <w:rPr>
          <w:rFonts w:cstheme="minorHAnsi"/>
        </w:rPr>
        <w:t xml:space="preserve">nability to expose </w:t>
      </w:r>
      <w:r w:rsidRPr="0043295F" w:rsidR="00C712DF">
        <w:rPr>
          <w:rFonts w:cstheme="minorHAnsi"/>
        </w:rPr>
        <w:t xml:space="preserve">fellows </w:t>
      </w:r>
      <w:r w:rsidRPr="0043295F" w:rsidR="00FC3067">
        <w:rPr>
          <w:rFonts w:cstheme="minorHAnsi"/>
        </w:rPr>
        <w:t xml:space="preserve">to </w:t>
      </w:r>
      <w:r w:rsidRPr="0043295F" w:rsidR="00C712DF">
        <w:rPr>
          <w:rFonts w:cstheme="minorHAnsi"/>
        </w:rPr>
        <w:t xml:space="preserve">the </w:t>
      </w:r>
      <w:r w:rsidRPr="0043295F" w:rsidR="00FC3067">
        <w:rPr>
          <w:rFonts w:cstheme="minorHAnsi"/>
        </w:rPr>
        <w:t xml:space="preserve">cancer research </w:t>
      </w:r>
      <w:r w:rsidRPr="0043295F" w:rsidR="003B045C">
        <w:rPr>
          <w:rFonts w:cstheme="minorHAnsi"/>
        </w:rPr>
        <w:t>environment</w:t>
      </w:r>
      <w:r w:rsidRPr="0043295F" w:rsidR="00C712DF">
        <w:rPr>
          <w:rFonts w:cstheme="minorHAnsi"/>
        </w:rPr>
        <w:t xml:space="preserve"> where they can explore the</w:t>
      </w:r>
      <w:r w:rsidRPr="0043295F" w:rsidR="003B045C">
        <w:rPr>
          <w:rFonts w:cstheme="minorHAnsi"/>
        </w:rPr>
        <w:t xml:space="preserve"> </w:t>
      </w:r>
      <w:r w:rsidRPr="0043295F" w:rsidR="00C712DF">
        <w:rPr>
          <w:rFonts w:cstheme="minorHAnsi"/>
        </w:rPr>
        <w:t xml:space="preserve">potential of becoming cancer researchers </w:t>
      </w:r>
      <w:r w:rsidRPr="0043295F" w:rsidR="003B045C">
        <w:rPr>
          <w:rFonts w:cstheme="minorHAnsi"/>
        </w:rPr>
        <w:t>might hinder the NCI’s mission</w:t>
      </w:r>
      <w:r w:rsidRPr="0043295F" w:rsidR="00C712DF">
        <w:rPr>
          <w:rFonts w:cstheme="minorHAnsi"/>
        </w:rPr>
        <w:t>.</w:t>
      </w:r>
      <w:r w:rsidRPr="0043295F" w:rsidR="00FC3067">
        <w:rPr>
          <w:rFonts w:cstheme="minorHAnsi"/>
        </w:rPr>
        <w:t xml:space="preserve"> </w:t>
      </w:r>
    </w:p>
    <w:p w:rsidRPr="0043295F" w:rsidR="00745777" w:rsidP="00162AB8" w:rsidRDefault="00745777" w14:paraId="6BA6D03B" w14:textId="77777777">
      <w:pPr>
        <w:spacing w:after="20"/>
        <w:rPr>
          <w:rFonts w:cstheme="minorHAnsi"/>
        </w:rPr>
      </w:pPr>
    </w:p>
    <w:p w:rsidRPr="0043295F" w:rsidR="00162AB8" w:rsidP="00162AB8" w:rsidRDefault="00162AB8" w14:paraId="2134D45E" w14:textId="77777777">
      <w:pPr>
        <w:spacing w:after="20"/>
        <w:rPr>
          <w:rFonts w:cstheme="minorHAnsi"/>
          <w:b/>
        </w:rPr>
      </w:pPr>
      <w:r w:rsidRPr="0043295F">
        <w:rPr>
          <w:rFonts w:cstheme="minorHAnsi"/>
          <w:b/>
        </w:rPr>
        <w:t>A.7 Special Circumstances Relating to the Guidelines of 5 CFR 1320.5</w:t>
      </w:r>
    </w:p>
    <w:p w:rsidRPr="0043295F" w:rsidR="00162AB8" w:rsidP="00162AB8" w:rsidRDefault="009007CA" w14:paraId="2C5B28CF" w14:textId="74ACBEA9">
      <w:pPr>
        <w:spacing w:after="20"/>
        <w:rPr>
          <w:rFonts w:cstheme="minorHAnsi"/>
        </w:rPr>
      </w:pPr>
      <w:r w:rsidRPr="0043295F">
        <w:rPr>
          <w:rFonts w:cstheme="minorHAnsi"/>
        </w:rPr>
        <w:t>This information collection is consistent with these guidelines.</w:t>
      </w:r>
      <w:r w:rsidR="00D20E8A">
        <w:rPr>
          <w:rFonts w:cstheme="minorHAnsi"/>
        </w:rPr>
        <w:t xml:space="preserve">  There are no special circumstances.</w:t>
      </w:r>
    </w:p>
    <w:p w:rsidRPr="0043295F" w:rsidR="009007CA" w:rsidP="00162AB8" w:rsidRDefault="009007CA" w14:paraId="2EDCAD30" w14:textId="77777777">
      <w:pPr>
        <w:spacing w:after="20"/>
        <w:rPr>
          <w:rFonts w:cstheme="minorHAnsi"/>
        </w:rPr>
      </w:pPr>
    </w:p>
    <w:p w:rsidRPr="0043295F" w:rsidR="00162AB8" w:rsidP="00162AB8" w:rsidRDefault="00162AB8" w14:paraId="40394CE4" w14:textId="77777777">
      <w:pPr>
        <w:spacing w:after="20"/>
        <w:rPr>
          <w:rFonts w:cstheme="minorHAnsi"/>
          <w:b/>
        </w:rPr>
      </w:pPr>
      <w:r w:rsidRPr="0043295F">
        <w:rPr>
          <w:rFonts w:cstheme="minorHAnsi"/>
          <w:b/>
        </w:rPr>
        <w:t>A.8 Comments in Response to the Federal Register Notice and Efforts to Consult Outside Agency</w:t>
      </w:r>
    </w:p>
    <w:p w:rsidRPr="0043295F" w:rsidR="00162AB8" w:rsidP="00162AB8" w:rsidRDefault="00162AB8" w14:paraId="7147A071" w14:textId="77777777">
      <w:pPr>
        <w:spacing w:after="20"/>
        <w:rPr>
          <w:rFonts w:cstheme="minorHAnsi"/>
        </w:rPr>
      </w:pPr>
      <w:r w:rsidRPr="0043295F">
        <w:rPr>
          <w:rFonts w:cstheme="minorHAnsi"/>
        </w:rPr>
        <w:t>N/A</w:t>
      </w:r>
    </w:p>
    <w:p w:rsidRPr="0043295F" w:rsidR="00162AB8" w:rsidP="00162AB8" w:rsidRDefault="00162AB8" w14:paraId="63E2F22E" w14:textId="77777777">
      <w:pPr>
        <w:spacing w:after="20"/>
        <w:rPr>
          <w:rFonts w:cstheme="minorHAnsi"/>
        </w:rPr>
      </w:pPr>
    </w:p>
    <w:p w:rsidRPr="0043295F" w:rsidR="00162AB8" w:rsidP="00162AB8" w:rsidRDefault="00162AB8" w14:paraId="1471B48B" w14:textId="77777777">
      <w:pPr>
        <w:spacing w:after="20"/>
        <w:rPr>
          <w:rFonts w:cstheme="minorHAnsi"/>
          <w:b/>
        </w:rPr>
      </w:pPr>
      <w:r w:rsidRPr="0043295F">
        <w:rPr>
          <w:rFonts w:cstheme="minorHAnsi"/>
          <w:b/>
        </w:rPr>
        <w:t>A.9 Explanation of Any Payment of Gift to Respondents</w:t>
      </w:r>
    </w:p>
    <w:p w:rsidRPr="0043295F" w:rsidR="00162AB8" w:rsidP="00162AB8" w:rsidRDefault="009007CA" w14:paraId="3AB72B16" w14:textId="46320745">
      <w:pPr>
        <w:spacing w:after="20"/>
        <w:rPr>
          <w:rFonts w:cstheme="minorHAnsi"/>
        </w:rPr>
      </w:pPr>
      <w:r w:rsidRPr="0043295F">
        <w:rPr>
          <w:rFonts w:cstheme="minorHAnsi"/>
        </w:rPr>
        <w:t xml:space="preserve">Neither payments nor gifts will be provided to respondents. </w:t>
      </w:r>
    </w:p>
    <w:p w:rsidRPr="0043295F" w:rsidR="009007CA" w:rsidP="00162AB8" w:rsidRDefault="009007CA" w14:paraId="76C9E4CE" w14:textId="77777777">
      <w:pPr>
        <w:spacing w:after="20"/>
        <w:rPr>
          <w:rFonts w:cstheme="minorHAnsi"/>
        </w:rPr>
      </w:pPr>
    </w:p>
    <w:p w:rsidR="00162AB8" w:rsidP="00162AB8" w:rsidRDefault="00162AB8" w14:paraId="5F9297AB" w14:textId="74B5E9F7">
      <w:pPr>
        <w:spacing w:after="20"/>
        <w:rPr>
          <w:rFonts w:asciiTheme="majorHAnsi" w:hAnsiTheme="majorHAnsi"/>
          <w:b/>
        </w:rPr>
      </w:pPr>
      <w:r w:rsidRPr="0043295F">
        <w:rPr>
          <w:rFonts w:cstheme="minorHAnsi"/>
          <w:b/>
        </w:rPr>
        <w:t>A.10 Assurance of Confidentiality Provided to Respondents</w:t>
      </w:r>
    </w:p>
    <w:p w:rsidRPr="00F6624C" w:rsidR="00D20E8A" w:rsidP="006C1577" w:rsidRDefault="00D20E8A" w14:paraId="1B10E98A" w14:textId="0D6911AA">
      <w:pPr>
        <w:pStyle w:val="CommentText"/>
        <w:rPr>
          <w:rFonts w:cstheme="minorHAnsi"/>
          <w:sz w:val="22"/>
          <w:szCs w:val="22"/>
        </w:rPr>
      </w:pPr>
      <w:r w:rsidRPr="00F6624C">
        <w:rPr>
          <w:rFonts w:cstheme="minorHAnsi"/>
          <w:sz w:val="22"/>
          <w:szCs w:val="22"/>
        </w:rPr>
        <w:t xml:space="preserve">All information will be kept private to the extent provided by law. </w:t>
      </w:r>
      <w:r w:rsidRPr="00F6624C" w:rsidR="006C1577">
        <w:rPr>
          <w:sz w:val="22"/>
          <w:szCs w:val="22"/>
        </w:rPr>
        <w:t xml:space="preserve"> All information is stored on the NCI/NIH server. The applicants do not access their files once submitted. </w:t>
      </w:r>
    </w:p>
    <w:p w:rsidRPr="0043295F" w:rsidR="00162AB8" w:rsidP="00162AB8" w:rsidRDefault="00162AB8" w14:paraId="15D15CC1" w14:textId="3AAE17E2">
      <w:pPr>
        <w:spacing w:after="20"/>
        <w:rPr>
          <w:rFonts w:cstheme="minorHAnsi"/>
          <w:b/>
        </w:rPr>
      </w:pPr>
      <w:r w:rsidRPr="0043295F">
        <w:rPr>
          <w:rFonts w:cstheme="minorHAnsi"/>
          <w:b/>
        </w:rPr>
        <w:t>A.11 Justification for Sensitive Questions</w:t>
      </w:r>
    </w:p>
    <w:p w:rsidRPr="0043295F" w:rsidR="00162AB8" w:rsidP="00162AB8" w:rsidRDefault="00BB122B" w14:paraId="010EE4A8" w14:textId="47BCF3DB">
      <w:pPr>
        <w:spacing w:after="20"/>
        <w:rPr>
          <w:rFonts w:cstheme="minorHAnsi"/>
        </w:rPr>
      </w:pPr>
      <w:r w:rsidRPr="0043295F">
        <w:rPr>
          <w:rFonts w:cstheme="minorHAnsi"/>
        </w:rPr>
        <w:t xml:space="preserve">No sensitive questions are contained in this information collection. </w:t>
      </w:r>
      <w:proofErr w:type="gramStart"/>
      <w:r w:rsidRPr="0043295F">
        <w:rPr>
          <w:rFonts w:cstheme="minorHAnsi"/>
        </w:rPr>
        <w:t>Personally</w:t>
      </w:r>
      <w:proofErr w:type="gramEnd"/>
      <w:r w:rsidRPr="0043295F">
        <w:rPr>
          <w:rFonts w:cstheme="minorHAnsi"/>
        </w:rPr>
        <w:t xml:space="preserve"> Identifiable information (PII) is collected including: </w:t>
      </w:r>
      <w:r w:rsidRPr="0043295F" w:rsidR="00ED1657">
        <w:rPr>
          <w:rFonts w:cstheme="minorHAnsi"/>
        </w:rPr>
        <w:t xml:space="preserve">name, contact information, education, US citizenship or permanent residency verification information, and employment history. Federal regulations for the protection of human subjects do not apply to this activity. PII such as passport information and the letter of recommendation are purged at the end of each application cycle. </w:t>
      </w:r>
    </w:p>
    <w:p w:rsidRPr="0043295F" w:rsidR="00BB122B" w:rsidP="00162AB8" w:rsidRDefault="00BB122B" w14:paraId="24A3C2D5" w14:textId="77777777">
      <w:pPr>
        <w:spacing w:after="20"/>
        <w:rPr>
          <w:rFonts w:cstheme="minorHAnsi"/>
        </w:rPr>
      </w:pPr>
    </w:p>
    <w:p w:rsidRPr="0043295F" w:rsidR="00162AB8" w:rsidP="00162AB8" w:rsidRDefault="00162AB8" w14:paraId="3366A97E" w14:textId="77777777">
      <w:pPr>
        <w:spacing w:after="0" w:line="480" w:lineRule="auto"/>
        <w:rPr>
          <w:rFonts w:cstheme="minorHAnsi"/>
          <w:b/>
        </w:rPr>
      </w:pPr>
      <w:r w:rsidRPr="0043295F">
        <w:rPr>
          <w:rFonts w:cstheme="minorHAnsi"/>
          <w:b/>
        </w:rPr>
        <w:t>A.12</w:t>
      </w:r>
      <w:r w:rsidRPr="0043295F">
        <w:rPr>
          <w:rFonts w:cstheme="minorHAnsi"/>
          <w:b/>
        </w:rPr>
        <w:tab/>
        <w:t>Estimates of Hour Burden Including Annualized Hourly Costs</w:t>
      </w:r>
    </w:p>
    <w:p w:rsidRPr="0043295F" w:rsidR="00162AB8" w:rsidP="00162AB8" w:rsidRDefault="00162AB8" w14:paraId="3A4E2D28" w14:textId="5520C9D1">
      <w:pPr>
        <w:spacing w:after="0" w:line="240" w:lineRule="auto"/>
        <w:jc w:val="center"/>
        <w:rPr>
          <w:rFonts w:cstheme="minorHAnsi"/>
          <w:b/>
        </w:rPr>
      </w:pPr>
      <w:r w:rsidRPr="0043295F">
        <w:rPr>
          <w:rFonts w:cstheme="minorHAnsi"/>
          <w:b/>
        </w:rPr>
        <w:t>A.12-1 Estimated Annualized Burden Hours</w:t>
      </w:r>
    </w:p>
    <w:p w:rsidRPr="0043295F" w:rsidR="00162AB8" w:rsidP="00162AB8" w:rsidRDefault="00162AB8" w14:paraId="642728AD" w14:textId="6A1F6735">
      <w:pPr>
        <w:spacing w:after="0" w:line="240" w:lineRule="auto"/>
        <w:jc w:val="center"/>
        <w:rPr>
          <w:rFonts w:cstheme="minorHAnsi"/>
        </w:rPr>
      </w:pPr>
    </w:p>
    <w:tbl>
      <w:tblPr>
        <w:tblW w:w="9352" w:type="dxa"/>
        <w:jc w:val="center"/>
        <w:tblLayout w:type="fixed"/>
        <w:tblCellMar>
          <w:left w:w="100" w:type="dxa"/>
          <w:right w:w="100" w:type="dxa"/>
        </w:tblCellMar>
        <w:tblLook w:val="0000" w:firstRow="0" w:lastRow="0" w:firstColumn="0" w:lastColumn="0" w:noHBand="0" w:noVBand="0"/>
      </w:tblPr>
      <w:tblGrid>
        <w:gridCol w:w="1882"/>
        <w:gridCol w:w="1440"/>
        <w:gridCol w:w="1440"/>
        <w:gridCol w:w="1530"/>
        <w:gridCol w:w="1710"/>
        <w:gridCol w:w="1350"/>
      </w:tblGrid>
      <w:tr w:rsidRPr="0043295F" w:rsidR="00162AB8" w:rsidTr="008570D0" w14:paraId="79D4AC66" w14:textId="77777777">
        <w:trPr>
          <w:cantSplit/>
          <w:trHeight w:val="372"/>
          <w:jc w:val="center"/>
        </w:trPr>
        <w:tc>
          <w:tcPr>
            <w:tcW w:w="1882" w:type="dxa"/>
            <w:tcBorders>
              <w:top w:val="single" w:color="auto" w:sz="6" w:space="0"/>
              <w:left w:val="single" w:color="auto" w:sz="6" w:space="0"/>
            </w:tcBorders>
            <w:vAlign w:val="center"/>
          </w:tcPr>
          <w:p w:rsidRPr="0043295F" w:rsidR="00162AB8" w:rsidP="00BA2FAA" w:rsidRDefault="00162AB8" w14:paraId="4D506A2F" w14:textId="77777777">
            <w:pPr>
              <w:spacing w:after="0" w:line="240" w:lineRule="auto"/>
              <w:jc w:val="center"/>
              <w:rPr>
                <w:rFonts w:cstheme="minorHAnsi"/>
                <w:b/>
              </w:rPr>
            </w:pPr>
            <w:r w:rsidRPr="0043295F">
              <w:rPr>
                <w:rFonts w:cstheme="minorHAnsi"/>
                <w:b/>
              </w:rPr>
              <w:t>Form Name</w:t>
            </w:r>
          </w:p>
        </w:tc>
        <w:tc>
          <w:tcPr>
            <w:tcW w:w="1440" w:type="dxa"/>
            <w:tcBorders>
              <w:top w:val="single" w:color="auto" w:sz="6" w:space="0"/>
              <w:left w:val="single" w:color="auto" w:sz="6" w:space="0"/>
            </w:tcBorders>
            <w:vAlign w:val="center"/>
          </w:tcPr>
          <w:p w:rsidRPr="0043295F" w:rsidR="00162AB8" w:rsidP="00BA2FAA" w:rsidRDefault="00162AB8" w14:paraId="21067826" w14:textId="77777777">
            <w:pPr>
              <w:spacing w:after="0" w:line="240" w:lineRule="auto"/>
              <w:jc w:val="center"/>
              <w:rPr>
                <w:rFonts w:cstheme="minorHAnsi"/>
                <w:b/>
              </w:rPr>
            </w:pPr>
            <w:r w:rsidRPr="0043295F">
              <w:rPr>
                <w:rFonts w:cstheme="minorHAnsi"/>
                <w:b/>
              </w:rPr>
              <w:t>Category of Respondents</w:t>
            </w:r>
          </w:p>
        </w:tc>
        <w:tc>
          <w:tcPr>
            <w:tcW w:w="1440" w:type="dxa"/>
            <w:tcBorders>
              <w:top w:val="single" w:color="auto" w:sz="6" w:space="0"/>
              <w:left w:val="single" w:color="auto" w:sz="6" w:space="0"/>
            </w:tcBorders>
            <w:vAlign w:val="center"/>
          </w:tcPr>
          <w:p w:rsidRPr="0043295F" w:rsidR="00162AB8" w:rsidP="00BA2FAA" w:rsidRDefault="00162AB8" w14:paraId="103C12F0" w14:textId="77777777">
            <w:pPr>
              <w:spacing w:after="0" w:line="240" w:lineRule="auto"/>
              <w:jc w:val="center"/>
              <w:rPr>
                <w:rFonts w:cstheme="minorHAnsi"/>
                <w:b/>
              </w:rPr>
            </w:pPr>
            <w:r w:rsidRPr="0043295F">
              <w:rPr>
                <w:rFonts w:cstheme="minorHAnsi"/>
                <w:b/>
              </w:rPr>
              <w:t>Number of Respondents</w:t>
            </w:r>
          </w:p>
        </w:tc>
        <w:tc>
          <w:tcPr>
            <w:tcW w:w="1530" w:type="dxa"/>
            <w:tcBorders>
              <w:top w:val="single" w:color="auto" w:sz="6" w:space="0"/>
              <w:left w:val="single" w:color="auto" w:sz="6" w:space="0"/>
            </w:tcBorders>
            <w:vAlign w:val="center"/>
          </w:tcPr>
          <w:p w:rsidRPr="0043295F" w:rsidR="00162AB8" w:rsidP="00BA2FAA" w:rsidRDefault="00162AB8" w14:paraId="6BAF3F73" w14:textId="77777777">
            <w:pPr>
              <w:spacing w:after="0" w:line="240" w:lineRule="auto"/>
              <w:jc w:val="center"/>
              <w:rPr>
                <w:rFonts w:cstheme="minorHAnsi"/>
                <w:b/>
              </w:rPr>
            </w:pPr>
            <w:r w:rsidRPr="0043295F">
              <w:rPr>
                <w:rFonts w:cstheme="minorHAnsi"/>
                <w:b/>
              </w:rPr>
              <w:t>Number of Responses per Respondent</w:t>
            </w:r>
          </w:p>
        </w:tc>
        <w:tc>
          <w:tcPr>
            <w:tcW w:w="1710" w:type="dxa"/>
            <w:tcBorders>
              <w:top w:val="single" w:color="auto" w:sz="6" w:space="0"/>
              <w:left w:val="single" w:color="auto" w:sz="6" w:space="0"/>
            </w:tcBorders>
            <w:vAlign w:val="center"/>
          </w:tcPr>
          <w:p w:rsidRPr="0043295F" w:rsidR="00162AB8" w:rsidP="00BA2FAA" w:rsidRDefault="00162AB8" w14:paraId="3D221CCF" w14:textId="77777777">
            <w:pPr>
              <w:spacing w:after="0" w:line="240" w:lineRule="auto"/>
              <w:jc w:val="center"/>
              <w:rPr>
                <w:rFonts w:cstheme="minorHAnsi"/>
                <w:b/>
              </w:rPr>
            </w:pPr>
            <w:r w:rsidRPr="0043295F">
              <w:rPr>
                <w:rFonts w:cstheme="minorHAnsi"/>
                <w:b/>
              </w:rPr>
              <w:t>Average Time Per Response</w:t>
            </w:r>
          </w:p>
          <w:p w:rsidRPr="0043295F" w:rsidR="00162AB8" w:rsidP="00BA2FAA" w:rsidRDefault="00162AB8" w14:paraId="60B7F8C1" w14:textId="77777777">
            <w:pPr>
              <w:spacing w:after="0" w:line="240" w:lineRule="auto"/>
              <w:jc w:val="center"/>
              <w:rPr>
                <w:rFonts w:cstheme="minorHAnsi"/>
                <w:b/>
              </w:rPr>
            </w:pPr>
            <w:r w:rsidRPr="0043295F">
              <w:rPr>
                <w:rFonts w:cstheme="minorHAnsi"/>
                <w:b/>
              </w:rPr>
              <w:t>(in hours)</w:t>
            </w:r>
          </w:p>
        </w:tc>
        <w:tc>
          <w:tcPr>
            <w:tcW w:w="1350" w:type="dxa"/>
            <w:tcBorders>
              <w:top w:val="single" w:color="auto" w:sz="6" w:space="0"/>
              <w:left w:val="single" w:color="auto" w:sz="6" w:space="0"/>
              <w:right w:val="single" w:color="auto" w:sz="6" w:space="0"/>
            </w:tcBorders>
            <w:vAlign w:val="center"/>
          </w:tcPr>
          <w:p w:rsidRPr="0043295F" w:rsidR="00162AB8" w:rsidP="00BA2FAA" w:rsidRDefault="00162AB8" w14:paraId="0CCEEFDD" w14:textId="77777777">
            <w:pPr>
              <w:spacing w:after="0" w:line="240" w:lineRule="auto"/>
              <w:jc w:val="center"/>
              <w:rPr>
                <w:rFonts w:cstheme="minorHAnsi"/>
                <w:b/>
              </w:rPr>
            </w:pPr>
            <w:r w:rsidRPr="0043295F">
              <w:rPr>
                <w:rFonts w:cstheme="minorHAnsi"/>
                <w:b/>
              </w:rPr>
              <w:t>Total Burden Hours</w:t>
            </w:r>
          </w:p>
        </w:tc>
      </w:tr>
      <w:tr w:rsidRPr="0043295F" w:rsidR="00162AB8" w:rsidTr="008570D0" w14:paraId="02999BEE" w14:textId="77777777">
        <w:trPr>
          <w:cantSplit/>
          <w:trHeight w:val="372"/>
          <w:jc w:val="center"/>
        </w:trPr>
        <w:tc>
          <w:tcPr>
            <w:tcW w:w="1882" w:type="dxa"/>
            <w:tcBorders>
              <w:top w:val="single" w:color="auto" w:sz="6" w:space="0"/>
              <w:left w:val="single" w:color="auto" w:sz="6" w:space="0"/>
            </w:tcBorders>
          </w:tcPr>
          <w:p w:rsidRPr="0043295F" w:rsidR="00162AB8" w:rsidP="00BA2FAA" w:rsidRDefault="00162AB8" w14:paraId="6EE6D151" w14:textId="12DD4B49">
            <w:pPr>
              <w:spacing w:after="0" w:line="240" w:lineRule="auto"/>
              <w:rPr>
                <w:rFonts w:cstheme="minorHAnsi"/>
              </w:rPr>
            </w:pPr>
            <w:r w:rsidRPr="0043295F">
              <w:rPr>
                <w:rFonts w:cstheme="minorHAnsi"/>
              </w:rPr>
              <w:t>A</w:t>
            </w:r>
            <w:r w:rsidR="00432D23">
              <w:rPr>
                <w:rFonts w:cstheme="minorHAnsi"/>
              </w:rPr>
              <w:t>pplication</w:t>
            </w:r>
          </w:p>
        </w:tc>
        <w:tc>
          <w:tcPr>
            <w:tcW w:w="1440" w:type="dxa"/>
            <w:tcBorders>
              <w:top w:val="single" w:color="auto" w:sz="6" w:space="0"/>
              <w:left w:val="single" w:color="auto" w:sz="6" w:space="0"/>
            </w:tcBorders>
          </w:tcPr>
          <w:p w:rsidRPr="0043295F" w:rsidR="00162AB8" w:rsidP="00BA2FAA" w:rsidRDefault="00162AB8" w14:paraId="27F911D4" w14:textId="38A7DB33">
            <w:pPr>
              <w:spacing w:after="0" w:line="240" w:lineRule="auto"/>
              <w:rPr>
                <w:rFonts w:cstheme="minorHAnsi"/>
              </w:rPr>
            </w:pPr>
            <w:r w:rsidRPr="0043295F">
              <w:rPr>
                <w:rFonts w:cstheme="minorHAnsi"/>
              </w:rPr>
              <w:t>Individual</w:t>
            </w:r>
            <w:r w:rsidR="00D1058A">
              <w:rPr>
                <w:rFonts w:cstheme="minorHAnsi"/>
              </w:rPr>
              <w:t>s</w:t>
            </w:r>
          </w:p>
        </w:tc>
        <w:tc>
          <w:tcPr>
            <w:tcW w:w="1440" w:type="dxa"/>
            <w:tcBorders>
              <w:top w:val="single" w:color="auto" w:sz="6" w:space="0"/>
              <w:left w:val="single" w:color="auto" w:sz="6" w:space="0"/>
            </w:tcBorders>
          </w:tcPr>
          <w:p w:rsidRPr="0043295F" w:rsidR="00162AB8" w:rsidP="00BA2FAA" w:rsidRDefault="00C500E6" w14:paraId="192DC02B" w14:textId="20251B1F">
            <w:pPr>
              <w:spacing w:after="0" w:line="240" w:lineRule="auto"/>
              <w:jc w:val="center"/>
              <w:rPr>
                <w:rFonts w:cstheme="minorHAnsi"/>
                <w:highlight w:val="yellow"/>
              </w:rPr>
            </w:pPr>
            <w:r>
              <w:rPr>
                <w:rFonts w:cstheme="minorHAnsi"/>
              </w:rPr>
              <w:t>10</w:t>
            </w:r>
          </w:p>
        </w:tc>
        <w:tc>
          <w:tcPr>
            <w:tcW w:w="1530" w:type="dxa"/>
            <w:tcBorders>
              <w:top w:val="single" w:color="auto" w:sz="6" w:space="0"/>
              <w:left w:val="single" w:color="auto" w:sz="6" w:space="0"/>
            </w:tcBorders>
          </w:tcPr>
          <w:p w:rsidRPr="0043295F" w:rsidR="00162AB8" w:rsidP="00BA2FAA" w:rsidRDefault="00F20AD9" w14:paraId="0B31F669" w14:textId="42A10574">
            <w:pPr>
              <w:spacing w:after="0" w:line="240" w:lineRule="auto"/>
              <w:jc w:val="center"/>
              <w:rPr>
                <w:rFonts w:cstheme="minorHAnsi"/>
                <w:highlight w:val="yellow"/>
              </w:rPr>
            </w:pPr>
            <w:r w:rsidRPr="0043295F">
              <w:rPr>
                <w:rFonts w:cstheme="minorHAnsi"/>
              </w:rPr>
              <w:t>1</w:t>
            </w:r>
          </w:p>
        </w:tc>
        <w:tc>
          <w:tcPr>
            <w:tcW w:w="1710" w:type="dxa"/>
            <w:tcBorders>
              <w:top w:val="single" w:color="auto" w:sz="6" w:space="0"/>
              <w:left w:val="single" w:color="auto" w:sz="6" w:space="0"/>
            </w:tcBorders>
          </w:tcPr>
          <w:p w:rsidRPr="0043295F" w:rsidR="00162AB8" w:rsidP="00BA2FAA" w:rsidRDefault="00BB5354" w14:paraId="16C6C3E2" w14:textId="4A95ED52">
            <w:pPr>
              <w:spacing w:after="0" w:line="240" w:lineRule="auto"/>
              <w:jc w:val="center"/>
              <w:rPr>
                <w:rFonts w:cstheme="minorHAnsi"/>
                <w:highlight w:val="yellow"/>
              </w:rPr>
            </w:pPr>
            <w:r>
              <w:rPr>
                <w:rFonts w:cstheme="minorHAnsi"/>
              </w:rPr>
              <w:t>1</w:t>
            </w:r>
          </w:p>
        </w:tc>
        <w:tc>
          <w:tcPr>
            <w:tcW w:w="1350" w:type="dxa"/>
            <w:tcBorders>
              <w:top w:val="single" w:color="auto" w:sz="6" w:space="0"/>
              <w:left w:val="single" w:color="auto" w:sz="6" w:space="0"/>
              <w:right w:val="single" w:color="auto" w:sz="6" w:space="0"/>
            </w:tcBorders>
          </w:tcPr>
          <w:p w:rsidRPr="0043295F" w:rsidR="00162AB8" w:rsidP="00BA2FAA" w:rsidRDefault="00BB5354" w14:paraId="62556F3F" w14:textId="58A99371">
            <w:pPr>
              <w:spacing w:after="0" w:line="240" w:lineRule="auto"/>
              <w:jc w:val="center"/>
              <w:rPr>
                <w:rFonts w:cstheme="minorHAnsi"/>
                <w:highlight w:val="yellow"/>
              </w:rPr>
            </w:pPr>
            <w:r>
              <w:rPr>
                <w:rFonts w:cstheme="minorHAnsi"/>
              </w:rPr>
              <w:t>10</w:t>
            </w:r>
          </w:p>
        </w:tc>
      </w:tr>
      <w:tr w:rsidRPr="0043295F" w:rsidR="00162AB8" w:rsidTr="008570D0" w14:paraId="69542FCF" w14:textId="77777777">
        <w:trPr>
          <w:cantSplit/>
          <w:trHeight w:val="372"/>
          <w:jc w:val="center"/>
        </w:trPr>
        <w:tc>
          <w:tcPr>
            <w:tcW w:w="1882" w:type="dxa"/>
            <w:tcBorders>
              <w:top w:val="single" w:color="auto" w:sz="6" w:space="0"/>
              <w:left w:val="single" w:color="auto" w:sz="6" w:space="0"/>
              <w:bottom w:val="single" w:color="auto" w:sz="4" w:space="0"/>
            </w:tcBorders>
          </w:tcPr>
          <w:p w:rsidRPr="0043295F" w:rsidR="00162AB8" w:rsidP="00BA2FAA" w:rsidRDefault="00162AB8" w14:paraId="121F3A0D" w14:textId="77777777">
            <w:pPr>
              <w:spacing w:after="0" w:line="240" w:lineRule="auto"/>
              <w:rPr>
                <w:rFonts w:cstheme="minorHAnsi"/>
                <w:b/>
              </w:rPr>
            </w:pPr>
            <w:r w:rsidRPr="0043295F">
              <w:rPr>
                <w:rFonts w:cstheme="minorHAnsi"/>
                <w:b/>
              </w:rPr>
              <w:t>Totals</w:t>
            </w:r>
          </w:p>
        </w:tc>
        <w:tc>
          <w:tcPr>
            <w:tcW w:w="1440" w:type="dxa"/>
            <w:tcBorders>
              <w:top w:val="single" w:color="auto" w:sz="6" w:space="0"/>
              <w:left w:val="single" w:color="auto" w:sz="6" w:space="0"/>
              <w:bottom w:val="single" w:color="auto" w:sz="4" w:space="0"/>
            </w:tcBorders>
          </w:tcPr>
          <w:p w:rsidRPr="0043295F" w:rsidR="00162AB8" w:rsidP="00BA2FAA" w:rsidRDefault="00162AB8" w14:paraId="5302C3BD" w14:textId="77777777">
            <w:pPr>
              <w:spacing w:after="0" w:line="240" w:lineRule="auto"/>
              <w:rPr>
                <w:rFonts w:cstheme="minorHAnsi"/>
                <w:b/>
              </w:rPr>
            </w:pPr>
          </w:p>
        </w:tc>
        <w:tc>
          <w:tcPr>
            <w:tcW w:w="1440" w:type="dxa"/>
            <w:tcBorders>
              <w:top w:val="single" w:color="auto" w:sz="6" w:space="0"/>
              <w:left w:val="single" w:color="auto" w:sz="6" w:space="0"/>
              <w:bottom w:val="single" w:color="auto" w:sz="4" w:space="0"/>
            </w:tcBorders>
          </w:tcPr>
          <w:p w:rsidRPr="0043295F" w:rsidR="00162AB8" w:rsidP="00BA2FAA" w:rsidRDefault="00162AB8" w14:paraId="2C1BFA49" w14:textId="216FC446">
            <w:pPr>
              <w:spacing w:after="0" w:line="240" w:lineRule="auto"/>
              <w:jc w:val="center"/>
              <w:rPr>
                <w:rFonts w:cstheme="minorHAnsi"/>
                <w:b/>
              </w:rPr>
            </w:pPr>
          </w:p>
        </w:tc>
        <w:tc>
          <w:tcPr>
            <w:tcW w:w="1530" w:type="dxa"/>
            <w:tcBorders>
              <w:top w:val="single" w:color="auto" w:sz="6" w:space="0"/>
              <w:left w:val="single" w:color="auto" w:sz="6" w:space="0"/>
              <w:bottom w:val="single" w:color="auto" w:sz="4" w:space="0"/>
            </w:tcBorders>
          </w:tcPr>
          <w:p w:rsidRPr="0043295F" w:rsidR="00162AB8" w:rsidP="00BA2FAA" w:rsidRDefault="00BB5354" w14:paraId="485D8714" w14:textId="2CD5D926">
            <w:pPr>
              <w:spacing w:after="0" w:line="240" w:lineRule="auto"/>
              <w:jc w:val="center"/>
              <w:rPr>
                <w:rFonts w:cstheme="minorHAnsi"/>
                <w:b/>
              </w:rPr>
            </w:pPr>
            <w:r>
              <w:rPr>
                <w:rFonts w:cstheme="minorHAnsi"/>
                <w:b/>
              </w:rPr>
              <w:t>10</w:t>
            </w:r>
          </w:p>
        </w:tc>
        <w:tc>
          <w:tcPr>
            <w:tcW w:w="1710" w:type="dxa"/>
            <w:tcBorders>
              <w:top w:val="single" w:color="auto" w:sz="6" w:space="0"/>
              <w:left w:val="single" w:color="auto" w:sz="6" w:space="0"/>
              <w:bottom w:val="single" w:color="auto" w:sz="4" w:space="0"/>
            </w:tcBorders>
          </w:tcPr>
          <w:p w:rsidRPr="0043295F" w:rsidR="00162AB8" w:rsidP="00BA2FAA" w:rsidRDefault="00162AB8" w14:paraId="4713EBD2" w14:textId="67FAF401">
            <w:pPr>
              <w:spacing w:after="0" w:line="240" w:lineRule="auto"/>
              <w:jc w:val="center"/>
              <w:rPr>
                <w:rFonts w:cstheme="minorHAnsi"/>
                <w:b/>
              </w:rPr>
            </w:pPr>
          </w:p>
        </w:tc>
        <w:tc>
          <w:tcPr>
            <w:tcW w:w="1350" w:type="dxa"/>
            <w:tcBorders>
              <w:top w:val="single" w:color="auto" w:sz="6" w:space="0"/>
              <w:left w:val="single" w:color="auto" w:sz="6" w:space="0"/>
              <w:bottom w:val="single" w:color="auto" w:sz="4" w:space="0"/>
              <w:right w:val="single" w:color="auto" w:sz="6" w:space="0"/>
            </w:tcBorders>
          </w:tcPr>
          <w:p w:rsidRPr="0043295F" w:rsidR="00162AB8" w:rsidP="00BA2FAA" w:rsidRDefault="00BB5354" w14:paraId="624AC428" w14:textId="64F8190F">
            <w:pPr>
              <w:spacing w:after="0" w:line="240" w:lineRule="auto"/>
              <w:jc w:val="center"/>
              <w:rPr>
                <w:rFonts w:cstheme="minorHAnsi"/>
                <w:b/>
              </w:rPr>
            </w:pPr>
            <w:r>
              <w:rPr>
                <w:rFonts w:cstheme="minorHAnsi"/>
                <w:b/>
              </w:rPr>
              <w:t>10</w:t>
            </w:r>
          </w:p>
        </w:tc>
      </w:tr>
    </w:tbl>
    <w:p w:rsidR="00BB5354" w:rsidP="00162AB8" w:rsidRDefault="00BB5354" w14:paraId="55794B16" w14:textId="77777777">
      <w:pPr>
        <w:spacing w:after="0" w:line="240" w:lineRule="auto"/>
        <w:jc w:val="center"/>
        <w:rPr>
          <w:rFonts w:cstheme="minorHAnsi"/>
          <w:b/>
        </w:rPr>
      </w:pPr>
    </w:p>
    <w:p w:rsidR="00BB5354" w:rsidP="00162AB8" w:rsidRDefault="00BB5354" w14:paraId="74A9FF76" w14:textId="77777777">
      <w:pPr>
        <w:spacing w:after="0" w:line="240" w:lineRule="auto"/>
        <w:jc w:val="center"/>
        <w:rPr>
          <w:rFonts w:cstheme="minorHAnsi"/>
          <w:b/>
        </w:rPr>
      </w:pPr>
    </w:p>
    <w:p w:rsidR="00BB5354" w:rsidP="00162AB8" w:rsidRDefault="00BB5354" w14:paraId="5B593769" w14:textId="77777777">
      <w:pPr>
        <w:spacing w:after="0" w:line="240" w:lineRule="auto"/>
        <w:jc w:val="center"/>
        <w:rPr>
          <w:rFonts w:cstheme="minorHAnsi"/>
          <w:b/>
        </w:rPr>
      </w:pPr>
    </w:p>
    <w:p w:rsidR="00BB5354" w:rsidP="00162AB8" w:rsidRDefault="00BB5354" w14:paraId="543FAF5D" w14:textId="77777777">
      <w:pPr>
        <w:spacing w:after="0" w:line="240" w:lineRule="auto"/>
        <w:jc w:val="center"/>
        <w:rPr>
          <w:rFonts w:cstheme="minorHAnsi"/>
          <w:b/>
        </w:rPr>
      </w:pPr>
    </w:p>
    <w:p w:rsidR="00BB5354" w:rsidP="00162AB8" w:rsidRDefault="00BB5354" w14:paraId="27F4E2CB" w14:textId="77777777">
      <w:pPr>
        <w:spacing w:after="0" w:line="240" w:lineRule="auto"/>
        <w:jc w:val="center"/>
        <w:rPr>
          <w:rFonts w:cstheme="minorHAnsi"/>
          <w:b/>
        </w:rPr>
      </w:pPr>
    </w:p>
    <w:p w:rsidRPr="00610DC0" w:rsidR="00162AB8" w:rsidP="00162AB8" w:rsidRDefault="00162AB8" w14:paraId="380DE079" w14:textId="2A375642">
      <w:pPr>
        <w:spacing w:after="0" w:line="240" w:lineRule="auto"/>
        <w:jc w:val="center"/>
        <w:rPr>
          <w:rFonts w:cstheme="minorHAnsi"/>
          <w:b/>
        </w:rPr>
      </w:pPr>
      <w:r w:rsidRPr="00610DC0">
        <w:rPr>
          <w:rFonts w:cstheme="minorHAnsi"/>
          <w:b/>
        </w:rPr>
        <w:lastRenderedPageBreak/>
        <w:t>A.12-2 Annualized Cost to the Respondents</w:t>
      </w:r>
    </w:p>
    <w:p w:rsidRPr="00610DC0" w:rsidR="00162AB8" w:rsidP="00162AB8" w:rsidRDefault="00162AB8" w14:paraId="07695309" w14:textId="77777777">
      <w:pPr>
        <w:spacing w:after="0" w:line="240" w:lineRule="auto"/>
        <w:jc w:val="center"/>
        <w:rPr>
          <w:rFonts w:cstheme="minorHAnsi"/>
        </w:rPr>
      </w:pPr>
    </w:p>
    <w:tbl>
      <w:tblPr>
        <w:tblW w:w="10162" w:type="dxa"/>
        <w:tblInd w:w="-8" w:type="dxa"/>
        <w:tblLayout w:type="fixed"/>
        <w:tblCellMar>
          <w:left w:w="100" w:type="dxa"/>
          <w:right w:w="100" w:type="dxa"/>
        </w:tblCellMar>
        <w:tblLook w:val="0000" w:firstRow="0" w:lastRow="0" w:firstColumn="0" w:lastColumn="0" w:noHBand="0" w:noVBand="0"/>
      </w:tblPr>
      <w:tblGrid>
        <w:gridCol w:w="3968"/>
        <w:gridCol w:w="1980"/>
        <w:gridCol w:w="2660"/>
        <w:gridCol w:w="1554"/>
      </w:tblGrid>
      <w:tr w:rsidRPr="00610DC0" w:rsidR="00162AB8" w:rsidTr="00BA2FAA" w14:paraId="333B2CD0" w14:textId="77777777">
        <w:trPr>
          <w:cantSplit/>
          <w:trHeight w:val="372"/>
        </w:trPr>
        <w:tc>
          <w:tcPr>
            <w:tcW w:w="3968" w:type="dxa"/>
            <w:tcBorders>
              <w:top w:val="single" w:color="auto" w:sz="6" w:space="0"/>
              <w:left w:val="single" w:color="auto" w:sz="6" w:space="0"/>
            </w:tcBorders>
          </w:tcPr>
          <w:p w:rsidRPr="00610DC0" w:rsidR="00162AB8" w:rsidP="00BA2FAA" w:rsidRDefault="00162AB8" w14:paraId="6EA321E9" w14:textId="77777777">
            <w:pPr>
              <w:spacing w:after="0" w:line="240" w:lineRule="auto"/>
              <w:jc w:val="center"/>
              <w:rPr>
                <w:rFonts w:cstheme="minorHAnsi"/>
                <w:b/>
              </w:rPr>
            </w:pPr>
            <w:r w:rsidRPr="00610DC0">
              <w:rPr>
                <w:rFonts w:cstheme="minorHAnsi"/>
                <w:b/>
              </w:rPr>
              <w:t>Category of Respondents</w:t>
            </w:r>
          </w:p>
        </w:tc>
        <w:tc>
          <w:tcPr>
            <w:tcW w:w="1980" w:type="dxa"/>
            <w:tcBorders>
              <w:top w:val="single" w:color="auto" w:sz="6" w:space="0"/>
              <w:left w:val="single" w:color="auto" w:sz="6" w:space="0"/>
            </w:tcBorders>
          </w:tcPr>
          <w:p w:rsidRPr="00610DC0" w:rsidR="00162AB8" w:rsidP="00BA2FAA" w:rsidRDefault="00162AB8" w14:paraId="0358D6D8" w14:textId="77777777">
            <w:pPr>
              <w:spacing w:after="0" w:line="240" w:lineRule="auto"/>
              <w:jc w:val="center"/>
              <w:rPr>
                <w:rFonts w:cstheme="minorHAnsi"/>
                <w:b/>
              </w:rPr>
            </w:pPr>
            <w:r w:rsidRPr="00610DC0">
              <w:rPr>
                <w:rFonts w:cstheme="minorHAnsi"/>
                <w:b/>
              </w:rPr>
              <w:t>Total Burden Hours</w:t>
            </w:r>
          </w:p>
        </w:tc>
        <w:tc>
          <w:tcPr>
            <w:tcW w:w="2660" w:type="dxa"/>
            <w:tcBorders>
              <w:top w:val="single" w:color="auto" w:sz="6" w:space="0"/>
              <w:left w:val="single" w:color="auto" w:sz="6" w:space="0"/>
            </w:tcBorders>
          </w:tcPr>
          <w:p w:rsidRPr="00610DC0" w:rsidR="00162AB8" w:rsidP="00BA2FAA" w:rsidRDefault="00162AB8" w14:paraId="0236BEDD" w14:textId="77777777">
            <w:pPr>
              <w:spacing w:after="0" w:line="240" w:lineRule="auto"/>
              <w:jc w:val="center"/>
              <w:rPr>
                <w:rFonts w:cstheme="minorHAnsi"/>
                <w:b/>
              </w:rPr>
            </w:pPr>
            <w:r w:rsidRPr="00610DC0">
              <w:rPr>
                <w:rFonts w:cstheme="minorHAnsi"/>
                <w:b/>
              </w:rPr>
              <w:t>Hourly Wage Rate*</w:t>
            </w:r>
          </w:p>
        </w:tc>
        <w:tc>
          <w:tcPr>
            <w:tcW w:w="1554" w:type="dxa"/>
            <w:tcBorders>
              <w:top w:val="single" w:color="auto" w:sz="6" w:space="0"/>
              <w:left w:val="single" w:color="auto" w:sz="6" w:space="0"/>
              <w:right w:val="single" w:color="auto" w:sz="6" w:space="0"/>
            </w:tcBorders>
          </w:tcPr>
          <w:p w:rsidRPr="00610DC0" w:rsidR="00162AB8" w:rsidP="00BA2FAA" w:rsidRDefault="00162AB8" w14:paraId="0944E613" w14:textId="77777777">
            <w:pPr>
              <w:spacing w:after="0" w:line="240" w:lineRule="auto"/>
              <w:jc w:val="center"/>
              <w:rPr>
                <w:rFonts w:cstheme="minorHAnsi"/>
                <w:b/>
              </w:rPr>
            </w:pPr>
            <w:r w:rsidRPr="00610DC0">
              <w:rPr>
                <w:rFonts w:cstheme="minorHAnsi"/>
                <w:b/>
              </w:rPr>
              <w:t>Respondent Cost</w:t>
            </w:r>
          </w:p>
        </w:tc>
      </w:tr>
      <w:tr w:rsidRPr="00610DC0" w:rsidR="00162AB8" w:rsidTr="00BA2FAA" w14:paraId="38431469" w14:textId="77777777">
        <w:trPr>
          <w:cantSplit/>
          <w:trHeight w:val="372"/>
        </w:trPr>
        <w:tc>
          <w:tcPr>
            <w:tcW w:w="3968" w:type="dxa"/>
            <w:tcBorders>
              <w:top w:val="single" w:color="auto" w:sz="6" w:space="0"/>
              <w:left w:val="single" w:color="auto" w:sz="6" w:space="0"/>
            </w:tcBorders>
          </w:tcPr>
          <w:p w:rsidRPr="00610DC0" w:rsidR="00162AB8" w:rsidP="00BA2FAA" w:rsidRDefault="00162AB8" w14:paraId="00330418" w14:textId="77777777">
            <w:pPr>
              <w:spacing w:after="0" w:line="240" w:lineRule="auto"/>
              <w:rPr>
                <w:rFonts w:cstheme="minorHAnsi"/>
              </w:rPr>
            </w:pPr>
            <w:r w:rsidRPr="00610DC0">
              <w:rPr>
                <w:rFonts w:cstheme="minorHAnsi"/>
              </w:rPr>
              <w:t>Individual</w:t>
            </w:r>
          </w:p>
        </w:tc>
        <w:tc>
          <w:tcPr>
            <w:tcW w:w="1980" w:type="dxa"/>
            <w:tcBorders>
              <w:top w:val="single" w:color="auto" w:sz="6" w:space="0"/>
              <w:left w:val="single" w:color="auto" w:sz="6" w:space="0"/>
            </w:tcBorders>
          </w:tcPr>
          <w:p w:rsidRPr="00610DC0" w:rsidR="00162AB8" w:rsidP="00BA2FAA" w:rsidRDefault="00BB5354" w14:paraId="4030BD76" w14:textId="484D3A23">
            <w:pPr>
              <w:spacing w:after="0" w:line="240" w:lineRule="auto"/>
              <w:jc w:val="center"/>
              <w:rPr>
                <w:rFonts w:cstheme="minorHAnsi"/>
                <w:highlight w:val="yellow"/>
              </w:rPr>
            </w:pPr>
            <w:r>
              <w:rPr>
                <w:rFonts w:cstheme="minorHAnsi"/>
              </w:rPr>
              <w:t>10</w:t>
            </w:r>
          </w:p>
        </w:tc>
        <w:tc>
          <w:tcPr>
            <w:tcW w:w="2660" w:type="dxa"/>
            <w:tcBorders>
              <w:top w:val="single" w:color="auto" w:sz="6" w:space="0"/>
              <w:left w:val="single" w:color="auto" w:sz="6" w:space="0"/>
            </w:tcBorders>
          </w:tcPr>
          <w:p w:rsidRPr="00610DC0" w:rsidR="00162AB8" w:rsidP="00BA2FAA" w:rsidRDefault="00EF254F" w14:paraId="28E1248F" w14:textId="29A97ED1">
            <w:pPr>
              <w:spacing w:after="0" w:line="240" w:lineRule="auto"/>
              <w:jc w:val="center"/>
              <w:rPr>
                <w:rFonts w:cstheme="minorHAnsi"/>
                <w:highlight w:val="yellow"/>
              </w:rPr>
            </w:pPr>
            <w:r w:rsidRPr="00610DC0">
              <w:rPr>
                <w:rFonts w:cstheme="minorHAnsi"/>
              </w:rPr>
              <w:t>$25.72</w:t>
            </w:r>
          </w:p>
        </w:tc>
        <w:tc>
          <w:tcPr>
            <w:tcW w:w="1554" w:type="dxa"/>
            <w:tcBorders>
              <w:top w:val="single" w:color="auto" w:sz="6" w:space="0"/>
              <w:left w:val="single" w:color="auto" w:sz="6" w:space="0"/>
              <w:right w:val="single" w:color="auto" w:sz="6" w:space="0"/>
            </w:tcBorders>
          </w:tcPr>
          <w:p w:rsidRPr="00610DC0" w:rsidR="00162AB8" w:rsidP="00BA2FAA" w:rsidRDefault="00EF254F" w14:paraId="60445378" w14:textId="252C49EA">
            <w:pPr>
              <w:spacing w:after="0" w:line="240" w:lineRule="auto"/>
              <w:jc w:val="center"/>
              <w:rPr>
                <w:rFonts w:cstheme="minorHAnsi"/>
                <w:highlight w:val="yellow"/>
              </w:rPr>
            </w:pPr>
            <w:r w:rsidRPr="00610DC0">
              <w:rPr>
                <w:rFonts w:cstheme="minorHAnsi"/>
              </w:rPr>
              <w:t>$</w:t>
            </w:r>
            <w:r w:rsidR="00BB5354">
              <w:rPr>
                <w:rFonts w:cstheme="minorHAnsi"/>
              </w:rPr>
              <w:t>257.20</w:t>
            </w:r>
          </w:p>
        </w:tc>
      </w:tr>
      <w:tr w:rsidRPr="00610DC0" w:rsidR="00162AB8" w:rsidTr="00BA2FAA" w14:paraId="22DD2AC7" w14:textId="77777777">
        <w:trPr>
          <w:cantSplit/>
          <w:trHeight w:val="372"/>
        </w:trPr>
        <w:tc>
          <w:tcPr>
            <w:tcW w:w="3968" w:type="dxa"/>
            <w:tcBorders>
              <w:top w:val="single" w:color="auto" w:sz="6" w:space="0"/>
              <w:left w:val="single" w:color="auto" w:sz="6" w:space="0"/>
              <w:bottom w:val="single" w:color="auto" w:sz="4" w:space="0"/>
            </w:tcBorders>
          </w:tcPr>
          <w:p w:rsidRPr="00610DC0" w:rsidR="00162AB8" w:rsidP="00BA2FAA" w:rsidRDefault="00162AB8" w14:paraId="57E5E881" w14:textId="1740A35F">
            <w:pPr>
              <w:spacing w:after="0" w:line="240" w:lineRule="auto"/>
              <w:rPr>
                <w:rFonts w:cstheme="minorHAnsi"/>
                <w:b/>
              </w:rPr>
            </w:pPr>
            <w:r w:rsidRPr="00610DC0">
              <w:rPr>
                <w:rFonts w:cstheme="minorHAnsi"/>
                <w:b/>
              </w:rPr>
              <w:t>Total</w:t>
            </w:r>
          </w:p>
        </w:tc>
        <w:tc>
          <w:tcPr>
            <w:tcW w:w="1980" w:type="dxa"/>
            <w:tcBorders>
              <w:top w:val="single" w:color="auto" w:sz="6" w:space="0"/>
              <w:left w:val="single" w:color="auto" w:sz="6" w:space="0"/>
              <w:bottom w:val="single" w:color="auto" w:sz="4" w:space="0"/>
            </w:tcBorders>
          </w:tcPr>
          <w:p w:rsidRPr="00610DC0" w:rsidR="00162AB8" w:rsidP="00BA2FAA" w:rsidRDefault="00176880" w14:paraId="2A159367" w14:textId="72C1FE2B">
            <w:pPr>
              <w:spacing w:after="0" w:line="240" w:lineRule="auto"/>
              <w:jc w:val="center"/>
              <w:rPr>
                <w:rFonts w:cstheme="minorHAnsi"/>
                <w:b/>
              </w:rPr>
            </w:pPr>
            <w:r>
              <w:rPr>
                <w:rFonts w:cstheme="minorHAnsi"/>
                <w:b/>
              </w:rPr>
              <w:t xml:space="preserve"> </w:t>
            </w:r>
          </w:p>
        </w:tc>
        <w:tc>
          <w:tcPr>
            <w:tcW w:w="2660" w:type="dxa"/>
            <w:tcBorders>
              <w:top w:val="single" w:color="auto" w:sz="6" w:space="0"/>
              <w:left w:val="single" w:color="auto" w:sz="6" w:space="0"/>
              <w:bottom w:val="single" w:color="auto" w:sz="4" w:space="0"/>
            </w:tcBorders>
          </w:tcPr>
          <w:p w:rsidRPr="00610DC0" w:rsidR="00162AB8" w:rsidP="00BA2FAA" w:rsidRDefault="00162AB8" w14:paraId="18C49789" w14:textId="77777777">
            <w:pPr>
              <w:spacing w:after="0" w:line="240" w:lineRule="auto"/>
              <w:rPr>
                <w:rFonts w:cstheme="minorHAnsi"/>
                <w:b/>
              </w:rPr>
            </w:pPr>
          </w:p>
        </w:tc>
        <w:tc>
          <w:tcPr>
            <w:tcW w:w="1554" w:type="dxa"/>
            <w:tcBorders>
              <w:top w:val="single" w:color="auto" w:sz="6" w:space="0"/>
              <w:left w:val="single" w:color="auto" w:sz="6" w:space="0"/>
              <w:bottom w:val="single" w:color="auto" w:sz="4" w:space="0"/>
              <w:right w:val="single" w:color="auto" w:sz="6" w:space="0"/>
            </w:tcBorders>
          </w:tcPr>
          <w:p w:rsidRPr="00610DC0" w:rsidR="00162AB8" w:rsidP="00BA2FAA" w:rsidRDefault="00EF254F" w14:paraId="48F61053" w14:textId="690884F1">
            <w:pPr>
              <w:spacing w:after="0" w:line="240" w:lineRule="auto"/>
              <w:jc w:val="center"/>
              <w:rPr>
                <w:rFonts w:cstheme="minorHAnsi"/>
                <w:b/>
              </w:rPr>
            </w:pPr>
            <w:r w:rsidRPr="00610DC0">
              <w:rPr>
                <w:rFonts w:cstheme="minorHAnsi"/>
                <w:b/>
              </w:rPr>
              <w:t>$</w:t>
            </w:r>
            <w:r w:rsidR="00BB5354">
              <w:rPr>
                <w:rFonts w:cstheme="minorHAnsi"/>
                <w:b/>
              </w:rPr>
              <w:t>257.20</w:t>
            </w:r>
          </w:p>
        </w:tc>
      </w:tr>
    </w:tbl>
    <w:p w:rsidRPr="00F977E1" w:rsidR="00162AB8" w:rsidP="00BA2FAA" w:rsidRDefault="00162AB8" w14:paraId="4B79FB65" w14:textId="56B7A819">
      <w:pPr>
        <w:rPr>
          <w:rFonts w:asciiTheme="majorHAnsi" w:hAnsiTheme="majorHAnsi"/>
          <w:bCs/>
          <w:sz w:val="18"/>
          <w:szCs w:val="18"/>
          <w:lang w:eastAsia="zh-CN"/>
        </w:rPr>
      </w:pPr>
      <w:r w:rsidRPr="00066CA9">
        <w:rPr>
          <w:rFonts w:asciiTheme="majorHAnsi" w:hAnsiTheme="majorHAnsi"/>
          <w:bCs/>
          <w:sz w:val="18"/>
          <w:szCs w:val="18"/>
          <w:lang w:eastAsia="zh-CN"/>
        </w:rPr>
        <w:t>*Source of the Hourly Wage Rate is provided by the Bureau of Labor Statistics, Occupation title “</w:t>
      </w:r>
      <w:r w:rsidR="00004925">
        <w:rPr>
          <w:rFonts w:asciiTheme="majorHAnsi" w:hAnsiTheme="majorHAnsi"/>
          <w:bCs/>
          <w:sz w:val="18"/>
          <w:szCs w:val="18"/>
          <w:lang w:eastAsia="zh-CN"/>
        </w:rPr>
        <w:t>All Occupations</w:t>
      </w:r>
      <w:r w:rsidRPr="00066CA9">
        <w:rPr>
          <w:rFonts w:asciiTheme="majorHAnsi" w:hAnsiTheme="majorHAnsi"/>
          <w:bCs/>
          <w:sz w:val="18"/>
          <w:szCs w:val="18"/>
          <w:lang w:eastAsia="zh-CN"/>
        </w:rPr>
        <w:t xml:space="preserve">” </w:t>
      </w:r>
      <w:r w:rsidR="00004925">
        <w:rPr>
          <w:rFonts w:asciiTheme="majorHAnsi" w:hAnsiTheme="majorHAnsi"/>
          <w:bCs/>
          <w:sz w:val="18"/>
          <w:szCs w:val="18"/>
          <w:lang w:eastAsia="zh-CN"/>
        </w:rPr>
        <w:t>00</w:t>
      </w:r>
      <w:r w:rsidRPr="00066CA9">
        <w:rPr>
          <w:rFonts w:asciiTheme="majorHAnsi" w:hAnsiTheme="majorHAnsi"/>
          <w:bCs/>
          <w:sz w:val="18"/>
          <w:szCs w:val="18"/>
          <w:lang w:eastAsia="zh-CN"/>
        </w:rPr>
        <w:t>-</w:t>
      </w:r>
      <w:r w:rsidR="00004925">
        <w:rPr>
          <w:rFonts w:asciiTheme="majorHAnsi" w:hAnsiTheme="majorHAnsi"/>
          <w:bCs/>
          <w:sz w:val="18"/>
          <w:szCs w:val="18"/>
          <w:lang w:eastAsia="zh-CN"/>
        </w:rPr>
        <w:t>0000</w:t>
      </w:r>
      <w:r w:rsidRPr="00066CA9">
        <w:rPr>
          <w:rFonts w:asciiTheme="majorHAnsi" w:hAnsiTheme="majorHAnsi"/>
          <w:bCs/>
          <w:sz w:val="18"/>
          <w:szCs w:val="18"/>
          <w:lang w:eastAsia="zh-CN"/>
        </w:rPr>
        <w:t xml:space="preserve"> </w:t>
      </w:r>
      <w:r w:rsidRPr="00066CA9">
        <w:rPr>
          <w:rFonts w:asciiTheme="majorHAnsi" w:hAnsiTheme="majorHAnsi"/>
          <w:sz w:val="18"/>
          <w:szCs w:val="18"/>
        </w:rPr>
        <w:t xml:space="preserve">(or </w:t>
      </w:r>
      <w:r w:rsidR="00BA2FAA">
        <w:rPr>
          <w:rFonts w:asciiTheme="majorHAnsi" w:hAnsiTheme="majorHAnsi"/>
          <w:sz w:val="18"/>
          <w:szCs w:val="18"/>
        </w:rPr>
        <w:t xml:space="preserve">  </w:t>
      </w:r>
      <w:r w:rsidRPr="00066CA9">
        <w:rPr>
          <w:rFonts w:asciiTheme="majorHAnsi" w:hAnsiTheme="majorHAnsi"/>
          <w:sz w:val="18"/>
          <w:szCs w:val="18"/>
        </w:rPr>
        <w:t>substitute another occupation title that is more appropriate)</w:t>
      </w:r>
      <w:r w:rsidRPr="00066CA9">
        <w:rPr>
          <w:rFonts w:asciiTheme="majorHAnsi" w:hAnsiTheme="majorHAnsi"/>
          <w:bCs/>
          <w:sz w:val="18"/>
          <w:szCs w:val="18"/>
          <w:lang w:eastAsia="zh-CN"/>
        </w:rPr>
        <w:t xml:space="preserve">, </w:t>
      </w:r>
      <w:hyperlink w:history="1" w:anchor="00-0000" r:id="rId14">
        <w:r w:rsidRPr="00D20E8A" w:rsidR="00D20E8A">
          <w:rPr>
            <w:rStyle w:val="Hyperlink"/>
            <w:rFonts w:asciiTheme="majorHAnsi" w:hAnsiTheme="majorHAnsi"/>
            <w:bCs/>
            <w:sz w:val="18"/>
            <w:szCs w:val="18"/>
            <w:lang w:eastAsia="zh-CN"/>
          </w:rPr>
          <w:t>https://www.bls.gov/oes/2019/May/oes_nat.htm#00-0000</w:t>
        </w:r>
      </w:hyperlink>
      <w:r w:rsidRPr="00066CA9">
        <w:rPr>
          <w:rFonts w:asciiTheme="majorHAnsi" w:hAnsiTheme="majorHAnsi"/>
          <w:bCs/>
          <w:sz w:val="18"/>
          <w:szCs w:val="18"/>
          <w:lang w:eastAsia="zh-CN"/>
        </w:rPr>
        <w:t>.</w:t>
      </w:r>
    </w:p>
    <w:p w:rsidRPr="00610DC0" w:rsidR="00162AB8" w:rsidP="00162AB8" w:rsidRDefault="00162AB8" w14:paraId="05421846" w14:textId="56C12A20">
      <w:pPr>
        <w:spacing w:after="20"/>
        <w:rPr>
          <w:rFonts w:cstheme="minorHAnsi"/>
          <w:b/>
        </w:rPr>
      </w:pPr>
      <w:r w:rsidRPr="00610DC0">
        <w:rPr>
          <w:rFonts w:cstheme="minorHAnsi"/>
          <w:b/>
        </w:rPr>
        <w:t>A.13 Estimate of Other Total Annual Cost Burden to Respondents or Record Keepers</w:t>
      </w:r>
      <w:r w:rsidRPr="00610DC0">
        <w:rPr>
          <w:rFonts w:cstheme="minorHAnsi"/>
          <w:b/>
        </w:rPr>
        <w:tab/>
      </w:r>
    </w:p>
    <w:p w:rsidRPr="00610DC0" w:rsidR="00162AB8" w:rsidP="00162AB8" w:rsidRDefault="006C3093" w14:paraId="3A1669E9" w14:textId="468DD44F">
      <w:pPr>
        <w:spacing w:after="20"/>
        <w:rPr>
          <w:rFonts w:cstheme="minorHAnsi"/>
          <w:bCs/>
        </w:rPr>
      </w:pPr>
      <w:r w:rsidRPr="00610DC0">
        <w:rPr>
          <w:rFonts w:cstheme="minorHAnsi"/>
          <w:bCs/>
        </w:rPr>
        <w:t xml:space="preserve">There are no </w:t>
      </w:r>
      <w:r w:rsidR="00D20E8A">
        <w:rPr>
          <w:rFonts w:cstheme="minorHAnsi"/>
          <w:bCs/>
        </w:rPr>
        <w:t>capital costs, operating costs, or maintenance costs to</w:t>
      </w:r>
      <w:r w:rsidRPr="00610DC0">
        <w:rPr>
          <w:rFonts w:cstheme="minorHAnsi"/>
          <w:bCs/>
        </w:rPr>
        <w:t xml:space="preserve"> report.</w:t>
      </w:r>
    </w:p>
    <w:p w:rsidRPr="00610DC0" w:rsidR="00D20E8A" w:rsidP="00162AB8" w:rsidRDefault="00D20E8A" w14:paraId="7169B549" w14:textId="77777777">
      <w:pPr>
        <w:spacing w:after="20"/>
        <w:rPr>
          <w:rFonts w:cstheme="minorHAnsi"/>
          <w:b/>
        </w:rPr>
      </w:pPr>
    </w:p>
    <w:p w:rsidRPr="00610DC0" w:rsidR="00162AB8" w:rsidP="00162AB8" w:rsidRDefault="00162AB8" w14:paraId="08E9D016" w14:textId="77777777">
      <w:pPr>
        <w:spacing w:after="20"/>
        <w:rPr>
          <w:rFonts w:cstheme="minorHAnsi"/>
          <w:b/>
        </w:rPr>
      </w:pPr>
      <w:r w:rsidRPr="00610DC0">
        <w:rPr>
          <w:rFonts w:cstheme="minorHAnsi"/>
          <w:b/>
        </w:rPr>
        <w:t>A.14 Annualized Cost to the Federal Government</w:t>
      </w:r>
    </w:p>
    <w:p w:rsidRPr="00610DC0" w:rsidR="00162AB8" w:rsidP="00162AB8" w:rsidRDefault="009A15DD" w14:paraId="1F23324D" w14:textId="71310915">
      <w:pPr>
        <w:spacing w:after="20"/>
        <w:rPr>
          <w:rFonts w:cstheme="minorHAnsi"/>
        </w:rPr>
      </w:pPr>
      <w:r w:rsidRPr="00610DC0">
        <w:rPr>
          <w:rFonts w:cstheme="minorHAnsi"/>
        </w:rPr>
        <w:t xml:space="preserve">The </w:t>
      </w:r>
      <w:r w:rsidR="00F8089F">
        <w:rPr>
          <w:rFonts w:cstheme="minorHAnsi"/>
        </w:rPr>
        <w:t xml:space="preserve">estimated </w:t>
      </w:r>
      <w:r w:rsidRPr="00610DC0">
        <w:rPr>
          <w:rFonts w:cstheme="minorHAnsi"/>
        </w:rPr>
        <w:t xml:space="preserve">annual cost to the Federal Government is </w:t>
      </w:r>
      <w:r w:rsidR="00F8089F">
        <w:rPr>
          <w:rFonts w:cstheme="minorHAnsi"/>
        </w:rPr>
        <w:t>expected</w:t>
      </w:r>
      <w:r w:rsidRPr="00610DC0">
        <w:rPr>
          <w:rFonts w:cstheme="minorHAnsi"/>
        </w:rPr>
        <w:t xml:space="preserve"> to be</w:t>
      </w:r>
      <w:r w:rsidRPr="00610DC0" w:rsidR="0036358C">
        <w:rPr>
          <w:rFonts w:cstheme="minorHAnsi"/>
        </w:rPr>
        <w:t xml:space="preserve"> $12,</w:t>
      </w:r>
      <w:r w:rsidR="00D1058A">
        <w:rPr>
          <w:rFonts w:cstheme="minorHAnsi"/>
        </w:rPr>
        <w:t>940.40</w:t>
      </w:r>
      <w:r w:rsidR="00F8089F">
        <w:rPr>
          <w:rFonts w:cstheme="minorHAnsi"/>
        </w:rPr>
        <w:t xml:space="preserve"> </w:t>
      </w:r>
      <w:r w:rsidRPr="00610DC0">
        <w:rPr>
          <w:rFonts w:cstheme="minorHAnsi"/>
        </w:rPr>
        <w:t xml:space="preserve">(Table 14-1).  The federal </w:t>
      </w:r>
      <w:r w:rsidRPr="00610DC0" w:rsidR="000A10D5">
        <w:rPr>
          <w:rFonts w:cstheme="minorHAnsi"/>
        </w:rPr>
        <w:t>personnel</w:t>
      </w:r>
      <w:r w:rsidRPr="00610DC0">
        <w:rPr>
          <w:rFonts w:cstheme="minorHAnsi"/>
        </w:rPr>
        <w:t xml:space="preserve"> are responsible for the review of data collected via the application mechanisms.  </w:t>
      </w:r>
    </w:p>
    <w:p w:rsidRPr="00F46D8F" w:rsidR="009A15DD" w:rsidP="00162AB8" w:rsidRDefault="009A15DD" w14:paraId="352E94B2" w14:textId="77777777">
      <w:pPr>
        <w:spacing w:after="20"/>
        <w:rPr>
          <w:rFonts w:asciiTheme="majorHAnsi" w:hAnsiTheme="majorHAnsi"/>
        </w:rPr>
      </w:pPr>
    </w:p>
    <w:p w:rsidRPr="00610DC0" w:rsidR="00162AB8" w:rsidP="00162AB8" w:rsidRDefault="00162AB8" w14:paraId="244D7649" w14:textId="77777777">
      <w:pPr>
        <w:spacing w:after="20"/>
        <w:jc w:val="center"/>
        <w:rPr>
          <w:rFonts w:cstheme="minorHAnsi"/>
          <w:b/>
        </w:rPr>
      </w:pPr>
      <w:r w:rsidRPr="00610DC0">
        <w:rPr>
          <w:rFonts w:cstheme="minorHAnsi"/>
          <w:b/>
        </w:rPr>
        <w:t>A.14-1 Annualized Cost to the Federal Government</w:t>
      </w:r>
    </w:p>
    <w:tbl>
      <w:tblPr>
        <w:tblW w:w="99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28"/>
        <w:gridCol w:w="1350"/>
        <w:gridCol w:w="1530"/>
        <w:gridCol w:w="1350"/>
        <w:gridCol w:w="1622"/>
        <w:gridCol w:w="1710"/>
      </w:tblGrid>
      <w:tr w:rsidRPr="00610DC0" w:rsidR="00162AB8" w:rsidTr="00BA2FAA" w14:paraId="69D5E59D" w14:textId="77777777">
        <w:trPr>
          <w:trHeight w:val="547"/>
          <w:jc w:val="center"/>
        </w:trPr>
        <w:tc>
          <w:tcPr>
            <w:tcW w:w="2428" w:type="dxa"/>
            <w:shd w:val="clear" w:color="auto" w:fill="auto"/>
            <w:noWrap/>
            <w:tcMar>
              <w:top w:w="0" w:type="dxa"/>
              <w:left w:w="108" w:type="dxa"/>
              <w:bottom w:w="0" w:type="dxa"/>
              <w:right w:w="108" w:type="dxa"/>
            </w:tcMar>
            <w:vAlign w:val="center"/>
            <w:hideMark/>
          </w:tcPr>
          <w:p w:rsidRPr="00610DC0" w:rsidR="00162AB8" w:rsidP="00A54807" w:rsidRDefault="00162AB8" w14:paraId="4ABF9ED8" w14:textId="77777777">
            <w:pPr>
              <w:spacing w:after="0" w:line="240" w:lineRule="auto"/>
              <w:jc w:val="center"/>
              <w:rPr>
                <w:rFonts w:cstheme="minorHAnsi"/>
                <w:b/>
              </w:rPr>
            </w:pPr>
            <w:r w:rsidRPr="00610DC0">
              <w:rPr>
                <w:rFonts w:cstheme="minorHAnsi"/>
                <w:b/>
              </w:rPr>
              <w:t>Staff</w:t>
            </w:r>
          </w:p>
        </w:tc>
        <w:tc>
          <w:tcPr>
            <w:tcW w:w="1350" w:type="dxa"/>
            <w:shd w:val="clear" w:color="auto" w:fill="auto"/>
            <w:vAlign w:val="center"/>
          </w:tcPr>
          <w:p w:rsidRPr="00610DC0" w:rsidR="00162AB8" w:rsidP="00A54807" w:rsidRDefault="00162AB8" w14:paraId="343D9385" w14:textId="77777777">
            <w:pPr>
              <w:spacing w:after="0" w:line="240" w:lineRule="auto"/>
              <w:jc w:val="center"/>
              <w:rPr>
                <w:rFonts w:cstheme="minorHAnsi"/>
                <w:b/>
              </w:rPr>
            </w:pPr>
            <w:r w:rsidRPr="00610DC0">
              <w:rPr>
                <w:rFonts w:cstheme="minorHAnsi"/>
                <w:b/>
              </w:rPr>
              <w:t>Grade/Step</w:t>
            </w:r>
          </w:p>
        </w:tc>
        <w:tc>
          <w:tcPr>
            <w:tcW w:w="1530" w:type="dxa"/>
            <w:shd w:val="clear" w:color="auto" w:fill="auto"/>
            <w:tcMar>
              <w:top w:w="0" w:type="dxa"/>
              <w:left w:w="108" w:type="dxa"/>
              <w:bottom w:w="0" w:type="dxa"/>
              <w:right w:w="108" w:type="dxa"/>
            </w:tcMar>
            <w:vAlign w:val="center"/>
            <w:hideMark/>
          </w:tcPr>
          <w:p w:rsidRPr="00610DC0" w:rsidR="00162AB8" w:rsidP="00A54807" w:rsidRDefault="00162AB8" w14:paraId="395120FF" w14:textId="77777777">
            <w:pPr>
              <w:spacing w:after="0" w:line="240" w:lineRule="auto"/>
              <w:jc w:val="center"/>
              <w:rPr>
                <w:rFonts w:cstheme="minorHAnsi"/>
                <w:b/>
              </w:rPr>
            </w:pPr>
            <w:r w:rsidRPr="00610DC0">
              <w:rPr>
                <w:rFonts w:cstheme="minorHAnsi"/>
                <w:b/>
              </w:rPr>
              <w:t>Salary**</w:t>
            </w:r>
          </w:p>
        </w:tc>
        <w:tc>
          <w:tcPr>
            <w:tcW w:w="1350" w:type="dxa"/>
            <w:shd w:val="clear" w:color="auto" w:fill="auto"/>
            <w:tcMar>
              <w:top w:w="0" w:type="dxa"/>
              <w:left w:w="108" w:type="dxa"/>
              <w:bottom w:w="0" w:type="dxa"/>
              <w:right w:w="108" w:type="dxa"/>
            </w:tcMar>
            <w:vAlign w:val="center"/>
            <w:hideMark/>
          </w:tcPr>
          <w:p w:rsidRPr="00610DC0" w:rsidR="00162AB8" w:rsidP="00A54807" w:rsidRDefault="00162AB8" w14:paraId="786B9BA4" w14:textId="77777777">
            <w:pPr>
              <w:spacing w:after="0" w:line="240" w:lineRule="auto"/>
              <w:jc w:val="center"/>
              <w:rPr>
                <w:rFonts w:cstheme="minorHAnsi"/>
                <w:b/>
              </w:rPr>
            </w:pPr>
            <w:r w:rsidRPr="00610DC0">
              <w:rPr>
                <w:rFonts w:cstheme="minorHAnsi"/>
                <w:b/>
              </w:rPr>
              <w:t>% of Effort</w:t>
            </w:r>
          </w:p>
        </w:tc>
        <w:tc>
          <w:tcPr>
            <w:tcW w:w="1622" w:type="dxa"/>
            <w:shd w:val="clear" w:color="auto" w:fill="auto"/>
            <w:vAlign w:val="center"/>
          </w:tcPr>
          <w:p w:rsidRPr="00610DC0" w:rsidR="00162AB8" w:rsidP="00A54807" w:rsidRDefault="00162AB8" w14:paraId="533EEDF2" w14:textId="77777777">
            <w:pPr>
              <w:spacing w:after="0" w:line="240" w:lineRule="auto"/>
              <w:jc w:val="center"/>
              <w:rPr>
                <w:rFonts w:cstheme="minorHAnsi"/>
                <w:b/>
              </w:rPr>
            </w:pPr>
            <w:r w:rsidRPr="00610DC0">
              <w:rPr>
                <w:rFonts w:cstheme="minorHAnsi"/>
                <w:b/>
              </w:rPr>
              <w:t>Fringe (if applicable)</w:t>
            </w:r>
          </w:p>
        </w:tc>
        <w:tc>
          <w:tcPr>
            <w:tcW w:w="1710" w:type="dxa"/>
            <w:shd w:val="clear" w:color="auto" w:fill="auto"/>
            <w:vAlign w:val="center"/>
          </w:tcPr>
          <w:p w:rsidRPr="00610DC0" w:rsidR="00162AB8" w:rsidP="00A54807" w:rsidRDefault="00162AB8" w14:paraId="303B310F" w14:textId="77777777">
            <w:pPr>
              <w:spacing w:after="0" w:line="240" w:lineRule="auto"/>
              <w:jc w:val="center"/>
              <w:rPr>
                <w:rFonts w:cstheme="minorHAnsi"/>
                <w:b/>
              </w:rPr>
            </w:pPr>
            <w:r w:rsidRPr="00610DC0">
              <w:rPr>
                <w:rFonts w:cstheme="minorHAnsi"/>
                <w:b/>
              </w:rPr>
              <w:t>Total Cost to Gov’t</w:t>
            </w:r>
          </w:p>
        </w:tc>
      </w:tr>
      <w:tr w:rsidRPr="00610DC0" w:rsidR="00162AB8" w:rsidTr="00BA2FAA" w14:paraId="65FFD32B" w14:textId="77777777">
        <w:trPr>
          <w:trHeight w:val="300"/>
          <w:jc w:val="center"/>
        </w:trPr>
        <w:tc>
          <w:tcPr>
            <w:tcW w:w="2428" w:type="dxa"/>
            <w:noWrap/>
            <w:tcMar>
              <w:top w:w="0" w:type="dxa"/>
              <w:left w:w="108" w:type="dxa"/>
              <w:bottom w:w="0" w:type="dxa"/>
              <w:right w:w="108" w:type="dxa"/>
            </w:tcMar>
            <w:vAlign w:val="bottom"/>
          </w:tcPr>
          <w:p w:rsidRPr="00610DC0" w:rsidR="00162AB8" w:rsidP="00A54807" w:rsidRDefault="00162AB8" w14:paraId="4DD697B8" w14:textId="77777777">
            <w:pPr>
              <w:spacing w:after="0" w:line="240" w:lineRule="auto"/>
              <w:rPr>
                <w:rFonts w:cstheme="minorHAnsi"/>
                <w:b/>
              </w:rPr>
            </w:pPr>
            <w:r w:rsidRPr="00610DC0">
              <w:rPr>
                <w:rFonts w:cstheme="minorHAnsi"/>
                <w:b/>
              </w:rPr>
              <w:t>Federal Oversight</w:t>
            </w:r>
          </w:p>
        </w:tc>
        <w:tc>
          <w:tcPr>
            <w:tcW w:w="1350" w:type="dxa"/>
          </w:tcPr>
          <w:p w:rsidRPr="00610DC0" w:rsidR="00162AB8" w:rsidP="00A54807" w:rsidRDefault="00162AB8" w14:paraId="3C8745F6" w14:textId="77777777">
            <w:pPr>
              <w:spacing w:after="0" w:line="240" w:lineRule="auto"/>
              <w:jc w:val="right"/>
              <w:rPr>
                <w:rFonts w:cstheme="minorHAnsi"/>
              </w:rPr>
            </w:pPr>
          </w:p>
        </w:tc>
        <w:tc>
          <w:tcPr>
            <w:tcW w:w="1530" w:type="dxa"/>
            <w:noWrap/>
            <w:tcMar>
              <w:top w:w="0" w:type="dxa"/>
              <w:left w:w="108" w:type="dxa"/>
              <w:bottom w:w="0" w:type="dxa"/>
              <w:right w:w="108" w:type="dxa"/>
            </w:tcMar>
            <w:vAlign w:val="bottom"/>
          </w:tcPr>
          <w:p w:rsidRPr="00610DC0" w:rsidR="00162AB8" w:rsidP="00A54807" w:rsidRDefault="00162AB8" w14:paraId="2C93B939" w14:textId="77777777">
            <w:pPr>
              <w:spacing w:after="0" w:line="240" w:lineRule="auto"/>
              <w:rPr>
                <w:rFonts w:cstheme="minorHAnsi"/>
              </w:rPr>
            </w:pPr>
          </w:p>
        </w:tc>
        <w:tc>
          <w:tcPr>
            <w:tcW w:w="1350" w:type="dxa"/>
            <w:noWrap/>
            <w:tcMar>
              <w:top w:w="0" w:type="dxa"/>
              <w:left w:w="108" w:type="dxa"/>
              <w:bottom w:w="0" w:type="dxa"/>
              <w:right w:w="108" w:type="dxa"/>
            </w:tcMar>
            <w:vAlign w:val="bottom"/>
          </w:tcPr>
          <w:p w:rsidRPr="00610DC0" w:rsidR="00162AB8" w:rsidP="00A54807" w:rsidRDefault="00162AB8" w14:paraId="3A3584CB" w14:textId="77777777">
            <w:pPr>
              <w:spacing w:after="0" w:line="240" w:lineRule="auto"/>
              <w:rPr>
                <w:rFonts w:cstheme="minorHAnsi"/>
              </w:rPr>
            </w:pPr>
          </w:p>
        </w:tc>
        <w:tc>
          <w:tcPr>
            <w:tcW w:w="1622" w:type="dxa"/>
            <w:shd w:val="clear" w:color="auto" w:fill="BFBFBF"/>
          </w:tcPr>
          <w:p w:rsidRPr="00610DC0" w:rsidR="00162AB8" w:rsidP="00A54807" w:rsidRDefault="00162AB8" w14:paraId="3234255B" w14:textId="77777777">
            <w:pPr>
              <w:spacing w:after="0" w:line="240" w:lineRule="auto"/>
              <w:rPr>
                <w:rFonts w:cstheme="minorHAnsi"/>
              </w:rPr>
            </w:pPr>
          </w:p>
        </w:tc>
        <w:tc>
          <w:tcPr>
            <w:tcW w:w="1710" w:type="dxa"/>
          </w:tcPr>
          <w:p w:rsidRPr="00610DC0" w:rsidR="00162AB8" w:rsidP="00A54807" w:rsidRDefault="00162AB8" w14:paraId="1589E416" w14:textId="77777777">
            <w:pPr>
              <w:spacing w:after="0" w:line="240" w:lineRule="auto"/>
              <w:jc w:val="center"/>
              <w:rPr>
                <w:rFonts w:cstheme="minorHAnsi"/>
              </w:rPr>
            </w:pPr>
          </w:p>
        </w:tc>
      </w:tr>
      <w:tr w:rsidRPr="00610DC0" w:rsidR="0036358C" w:rsidTr="00BA2FAA" w14:paraId="328E32D7" w14:textId="77777777">
        <w:trPr>
          <w:trHeight w:val="300"/>
          <w:jc w:val="center"/>
        </w:trPr>
        <w:tc>
          <w:tcPr>
            <w:tcW w:w="2428" w:type="dxa"/>
            <w:noWrap/>
            <w:tcMar>
              <w:top w:w="0" w:type="dxa"/>
              <w:left w:w="108" w:type="dxa"/>
              <w:bottom w:w="0" w:type="dxa"/>
              <w:right w:w="108" w:type="dxa"/>
            </w:tcMar>
            <w:vAlign w:val="bottom"/>
          </w:tcPr>
          <w:p w:rsidRPr="00610DC0" w:rsidR="0036358C" w:rsidP="0036358C" w:rsidRDefault="00B875B3" w14:paraId="19A06BB4" w14:textId="673453A8">
            <w:pPr>
              <w:tabs>
                <w:tab w:val="left" w:pos="244"/>
              </w:tabs>
              <w:spacing w:after="0" w:line="240" w:lineRule="auto"/>
              <w:rPr>
                <w:rFonts w:cstheme="minorHAnsi"/>
              </w:rPr>
            </w:pPr>
            <w:r>
              <w:rPr>
                <w:rFonts w:cstheme="minorHAnsi"/>
              </w:rPr>
              <w:t xml:space="preserve">     </w:t>
            </w:r>
            <w:r w:rsidRPr="00610DC0" w:rsidR="0036358C">
              <w:rPr>
                <w:rFonts w:cstheme="minorHAnsi"/>
              </w:rPr>
              <w:t>Program Lead</w:t>
            </w:r>
          </w:p>
        </w:tc>
        <w:tc>
          <w:tcPr>
            <w:tcW w:w="1350" w:type="dxa"/>
          </w:tcPr>
          <w:p w:rsidRPr="00610DC0" w:rsidR="0036358C" w:rsidP="0036358C" w:rsidRDefault="0036358C" w14:paraId="3A50A472" w14:textId="4F462EBE">
            <w:pPr>
              <w:spacing w:after="0" w:line="240" w:lineRule="auto"/>
              <w:jc w:val="center"/>
              <w:rPr>
                <w:rFonts w:cstheme="minorHAnsi"/>
              </w:rPr>
            </w:pPr>
            <w:r w:rsidRPr="00610DC0">
              <w:rPr>
                <w:rFonts w:cstheme="minorHAnsi"/>
              </w:rPr>
              <w:t>14/3</w:t>
            </w:r>
          </w:p>
        </w:tc>
        <w:tc>
          <w:tcPr>
            <w:tcW w:w="1530" w:type="dxa"/>
            <w:noWrap/>
            <w:tcMar>
              <w:top w:w="0" w:type="dxa"/>
              <w:left w:w="108" w:type="dxa"/>
              <w:bottom w:w="0" w:type="dxa"/>
              <w:right w:w="108" w:type="dxa"/>
            </w:tcMar>
            <w:vAlign w:val="bottom"/>
          </w:tcPr>
          <w:p w:rsidRPr="00610DC0" w:rsidR="0036358C" w:rsidP="0036358C" w:rsidRDefault="0036358C" w14:paraId="42C16AE7" w14:textId="2603D768">
            <w:pPr>
              <w:spacing w:after="0" w:line="240" w:lineRule="auto"/>
              <w:jc w:val="center"/>
              <w:rPr>
                <w:rFonts w:cstheme="minorHAnsi"/>
              </w:rPr>
            </w:pPr>
            <w:r w:rsidRPr="00610DC0">
              <w:rPr>
                <w:rFonts w:cstheme="minorHAnsi"/>
              </w:rPr>
              <w:t>12</w:t>
            </w:r>
            <w:r w:rsidR="00D20E8A">
              <w:rPr>
                <w:rFonts w:cstheme="minorHAnsi"/>
              </w:rPr>
              <w:t>9,404</w:t>
            </w:r>
          </w:p>
        </w:tc>
        <w:tc>
          <w:tcPr>
            <w:tcW w:w="1350" w:type="dxa"/>
            <w:noWrap/>
            <w:tcMar>
              <w:top w:w="0" w:type="dxa"/>
              <w:left w:w="108" w:type="dxa"/>
              <w:bottom w:w="0" w:type="dxa"/>
              <w:right w:w="108" w:type="dxa"/>
            </w:tcMar>
            <w:vAlign w:val="bottom"/>
          </w:tcPr>
          <w:p w:rsidRPr="00610DC0" w:rsidR="0036358C" w:rsidP="0036358C" w:rsidRDefault="0036358C" w14:paraId="112EF052" w14:textId="7C24CFAD">
            <w:pPr>
              <w:spacing w:after="0" w:line="240" w:lineRule="auto"/>
              <w:jc w:val="center"/>
              <w:rPr>
                <w:rFonts w:cstheme="minorHAnsi"/>
              </w:rPr>
            </w:pPr>
            <w:r w:rsidRPr="00610DC0">
              <w:rPr>
                <w:rFonts w:cstheme="minorHAnsi"/>
              </w:rPr>
              <w:t>10%</w:t>
            </w:r>
          </w:p>
        </w:tc>
        <w:tc>
          <w:tcPr>
            <w:tcW w:w="1622" w:type="dxa"/>
            <w:shd w:val="clear" w:color="auto" w:fill="BFBFBF"/>
          </w:tcPr>
          <w:p w:rsidRPr="00610DC0" w:rsidR="0036358C" w:rsidP="0036358C" w:rsidRDefault="00432D23" w14:paraId="50C62971" w14:textId="1887B46B">
            <w:pPr>
              <w:spacing w:after="0" w:line="240" w:lineRule="auto"/>
              <w:jc w:val="center"/>
              <w:rPr>
                <w:rFonts w:cstheme="minorHAnsi"/>
              </w:rPr>
            </w:pPr>
            <w:r>
              <w:rPr>
                <w:rFonts w:cstheme="minorHAnsi"/>
              </w:rPr>
              <w:t xml:space="preserve"> </w:t>
            </w:r>
          </w:p>
        </w:tc>
        <w:tc>
          <w:tcPr>
            <w:tcW w:w="1710" w:type="dxa"/>
          </w:tcPr>
          <w:p w:rsidRPr="00610DC0" w:rsidR="0036358C" w:rsidP="0036358C" w:rsidRDefault="0036358C" w14:paraId="5D30C1F8" w14:textId="6F972F9E">
            <w:pPr>
              <w:spacing w:after="0" w:line="240" w:lineRule="auto"/>
              <w:jc w:val="center"/>
              <w:rPr>
                <w:rFonts w:cstheme="minorHAnsi"/>
              </w:rPr>
            </w:pPr>
            <w:r w:rsidRPr="00610DC0">
              <w:rPr>
                <w:rFonts w:cstheme="minorHAnsi"/>
              </w:rPr>
              <w:t>$12,</w:t>
            </w:r>
            <w:r w:rsidR="00D20E8A">
              <w:rPr>
                <w:rFonts w:cstheme="minorHAnsi"/>
              </w:rPr>
              <w:t>940</w:t>
            </w:r>
            <w:r w:rsidR="00D1058A">
              <w:rPr>
                <w:rFonts w:cstheme="minorHAnsi"/>
              </w:rPr>
              <w:t>.40</w:t>
            </w:r>
          </w:p>
        </w:tc>
      </w:tr>
      <w:tr w:rsidRPr="00610DC0" w:rsidR="00162AB8" w:rsidTr="00BA2FAA" w14:paraId="0BA03F62" w14:textId="77777777">
        <w:trPr>
          <w:trHeight w:val="300"/>
          <w:jc w:val="center"/>
        </w:trPr>
        <w:tc>
          <w:tcPr>
            <w:tcW w:w="2428" w:type="dxa"/>
            <w:noWrap/>
            <w:tcMar>
              <w:top w:w="0" w:type="dxa"/>
              <w:left w:w="108" w:type="dxa"/>
              <w:bottom w:w="0" w:type="dxa"/>
              <w:right w:w="108" w:type="dxa"/>
            </w:tcMar>
            <w:vAlign w:val="bottom"/>
          </w:tcPr>
          <w:p w:rsidRPr="00610DC0" w:rsidR="00162AB8" w:rsidP="00A54807" w:rsidRDefault="00162AB8" w14:paraId="4808AC6A" w14:textId="77777777">
            <w:pPr>
              <w:spacing w:after="0" w:line="240" w:lineRule="auto"/>
              <w:rPr>
                <w:rFonts w:cstheme="minorHAnsi"/>
                <w:b/>
              </w:rPr>
            </w:pPr>
            <w:r w:rsidRPr="00610DC0">
              <w:rPr>
                <w:rFonts w:cstheme="minorHAnsi"/>
                <w:b/>
              </w:rPr>
              <w:t>Contractor Cost</w:t>
            </w:r>
          </w:p>
        </w:tc>
        <w:tc>
          <w:tcPr>
            <w:tcW w:w="1350" w:type="dxa"/>
            <w:shd w:val="clear" w:color="auto" w:fill="BFBFBF"/>
          </w:tcPr>
          <w:p w:rsidRPr="00610DC0" w:rsidR="00162AB8" w:rsidP="00A54807" w:rsidRDefault="00162AB8" w14:paraId="0FCB3700" w14:textId="77777777">
            <w:pPr>
              <w:spacing w:after="0" w:line="240" w:lineRule="auto"/>
              <w:rPr>
                <w:rFonts w:cstheme="minorHAnsi"/>
              </w:rPr>
            </w:pPr>
          </w:p>
        </w:tc>
        <w:tc>
          <w:tcPr>
            <w:tcW w:w="1530" w:type="dxa"/>
            <w:shd w:val="clear" w:color="auto" w:fill="BFBFBF" w:themeFill="background1" w:themeFillShade="BF"/>
            <w:noWrap/>
            <w:tcMar>
              <w:top w:w="0" w:type="dxa"/>
              <w:left w:w="108" w:type="dxa"/>
              <w:bottom w:w="0" w:type="dxa"/>
              <w:right w:w="108" w:type="dxa"/>
            </w:tcMar>
          </w:tcPr>
          <w:p w:rsidRPr="00610DC0" w:rsidR="00162AB8" w:rsidP="00A54807" w:rsidRDefault="00162AB8" w14:paraId="0209C256" w14:textId="77777777">
            <w:pPr>
              <w:spacing w:after="0" w:line="240" w:lineRule="auto"/>
              <w:rPr>
                <w:rFonts w:cstheme="minorHAnsi"/>
              </w:rPr>
            </w:pPr>
          </w:p>
        </w:tc>
        <w:tc>
          <w:tcPr>
            <w:tcW w:w="1350" w:type="dxa"/>
            <w:shd w:val="clear" w:color="auto" w:fill="BFBFBF" w:themeFill="background1" w:themeFillShade="BF"/>
            <w:noWrap/>
            <w:tcMar>
              <w:top w:w="0" w:type="dxa"/>
              <w:left w:w="108" w:type="dxa"/>
              <w:bottom w:w="0" w:type="dxa"/>
              <w:right w:w="108" w:type="dxa"/>
            </w:tcMar>
            <w:vAlign w:val="bottom"/>
          </w:tcPr>
          <w:p w:rsidRPr="00610DC0" w:rsidR="00162AB8" w:rsidP="00A54807" w:rsidRDefault="00162AB8" w14:paraId="4B710DB8" w14:textId="77777777">
            <w:pPr>
              <w:spacing w:after="0" w:line="240" w:lineRule="auto"/>
              <w:rPr>
                <w:rFonts w:cstheme="minorHAnsi"/>
              </w:rPr>
            </w:pPr>
          </w:p>
        </w:tc>
        <w:tc>
          <w:tcPr>
            <w:tcW w:w="1622" w:type="dxa"/>
            <w:shd w:val="clear" w:color="auto" w:fill="BFBFBF" w:themeFill="background1" w:themeFillShade="BF"/>
            <w:vAlign w:val="bottom"/>
          </w:tcPr>
          <w:p w:rsidRPr="00610DC0" w:rsidR="00162AB8" w:rsidP="00A54807" w:rsidRDefault="00162AB8" w14:paraId="4B2839B1" w14:textId="77777777">
            <w:pPr>
              <w:spacing w:after="0" w:line="240" w:lineRule="auto"/>
              <w:rPr>
                <w:rFonts w:cstheme="minorHAnsi"/>
              </w:rPr>
            </w:pPr>
          </w:p>
        </w:tc>
        <w:tc>
          <w:tcPr>
            <w:tcW w:w="1710" w:type="dxa"/>
          </w:tcPr>
          <w:p w:rsidRPr="00610DC0" w:rsidR="00162AB8" w:rsidP="00A54807" w:rsidRDefault="00162AB8" w14:paraId="613A10B8" w14:textId="77777777">
            <w:pPr>
              <w:spacing w:after="0" w:line="240" w:lineRule="auto"/>
              <w:jc w:val="center"/>
              <w:rPr>
                <w:rFonts w:cstheme="minorHAnsi"/>
              </w:rPr>
            </w:pPr>
            <w:r w:rsidRPr="00610DC0">
              <w:rPr>
                <w:rFonts w:cstheme="minorHAnsi"/>
              </w:rPr>
              <w:t>$0</w:t>
            </w:r>
          </w:p>
        </w:tc>
      </w:tr>
      <w:tr w:rsidRPr="00610DC0" w:rsidR="00162AB8" w:rsidTr="00BA2FAA" w14:paraId="1BC9E3E3" w14:textId="77777777">
        <w:trPr>
          <w:trHeight w:val="300"/>
          <w:jc w:val="center"/>
        </w:trPr>
        <w:tc>
          <w:tcPr>
            <w:tcW w:w="2428" w:type="dxa"/>
            <w:noWrap/>
            <w:tcMar>
              <w:top w:w="0" w:type="dxa"/>
              <w:left w:w="108" w:type="dxa"/>
              <w:bottom w:w="0" w:type="dxa"/>
              <w:right w:w="108" w:type="dxa"/>
            </w:tcMar>
            <w:vAlign w:val="bottom"/>
          </w:tcPr>
          <w:p w:rsidRPr="00610DC0" w:rsidR="00162AB8" w:rsidP="00A54807" w:rsidRDefault="00162AB8" w14:paraId="1DAC5298" w14:textId="77777777">
            <w:pPr>
              <w:spacing w:after="0" w:line="240" w:lineRule="auto"/>
              <w:rPr>
                <w:rFonts w:cstheme="minorHAnsi"/>
              </w:rPr>
            </w:pPr>
            <w:r w:rsidRPr="00610DC0">
              <w:rPr>
                <w:rFonts w:cstheme="minorHAnsi"/>
              </w:rPr>
              <w:t>Travel</w:t>
            </w:r>
          </w:p>
        </w:tc>
        <w:tc>
          <w:tcPr>
            <w:tcW w:w="1350" w:type="dxa"/>
            <w:shd w:val="clear" w:color="auto" w:fill="BFBFBF"/>
          </w:tcPr>
          <w:p w:rsidRPr="00610DC0" w:rsidR="00162AB8" w:rsidP="00A54807" w:rsidRDefault="00162AB8" w14:paraId="76E94956" w14:textId="77777777">
            <w:pPr>
              <w:spacing w:after="0" w:line="240" w:lineRule="auto"/>
              <w:rPr>
                <w:rFonts w:cstheme="minorHAnsi"/>
              </w:rPr>
            </w:pPr>
          </w:p>
        </w:tc>
        <w:tc>
          <w:tcPr>
            <w:tcW w:w="1530" w:type="dxa"/>
            <w:shd w:val="clear" w:color="auto" w:fill="BFBFBF"/>
            <w:noWrap/>
            <w:tcMar>
              <w:top w:w="0" w:type="dxa"/>
              <w:left w:w="108" w:type="dxa"/>
              <w:bottom w:w="0" w:type="dxa"/>
              <w:right w:w="108" w:type="dxa"/>
            </w:tcMar>
            <w:vAlign w:val="bottom"/>
          </w:tcPr>
          <w:p w:rsidRPr="00610DC0" w:rsidR="00162AB8" w:rsidP="00A54807" w:rsidRDefault="00162AB8" w14:paraId="6EAF6A51" w14:textId="77777777">
            <w:pPr>
              <w:spacing w:after="0" w:line="240" w:lineRule="auto"/>
              <w:rPr>
                <w:rFonts w:cstheme="minorHAnsi"/>
              </w:rPr>
            </w:pPr>
          </w:p>
        </w:tc>
        <w:tc>
          <w:tcPr>
            <w:tcW w:w="1350" w:type="dxa"/>
            <w:shd w:val="clear" w:color="auto" w:fill="BFBFBF"/>
            <w:noWrap/>
            <w:tcMar>
              <w:top w:w="0" w:type="dxa"/>
              <w:left w:w="108" w:type="dxa"/>
              <w:bottom w:w="0" w:type="dxa"/>
              <w:right w:w="108" w:type="dxa"/>
            </w:tcMar>
            <w:vAlign w:val="bottom"/>
          </w:tcPr>
          <w:p w:rsidRPr="00610DC0" w:rsidR="00162AB8" w:rsidP="00A54807" w:rsidRDefault="00162AB8" w14:paraId="5A8E8BDA" w14:textId="77777777">
            <w:pPr>
              <w:spacing w:after="0" w:line="240" w:lineRule="auto"/>
              <w:rPr>
                <w:rFonts w:cstheme="minorHAnsi"/>
              </w:rPr>
            </w:pPr>
          </w:p>
        </w:tc>
        <w:tc>
          <w:tcPr>
            <w:tcW w:w="1622" w:type="dxa"/>
            <w:shd w:val="clear" w:color="auto" w:fill="BFBFBF"/>
          </w:tcPr>
          <w:p w:rsidRPr="00610DC0" w:rsidR="00162AB8" w:rsidP="00A54807" w:rsidRDefault="00162AB8" w14:paraId="29980FBA" w14:textId="77777777">
            <w:pPr>
              <w:spacing w:after="0" w:line="240" w:lineRule="auto"/>
              <w:rPr>
                <w:rFonts w:cstheme="minorHAnsi"/>
              </w:rPr>
            </w:pPr>
          </w:p>
        </w:tc>
        <w:tc>
          <w:tcPr>
            <w:tcW w:w="1710" w:type="dxa"/>
          </w:tcPr>
          <w:p w:rsidRPr="00610DC0" w:rsidR="00162AB8" w:rsidP="00A54807" w:rsidRDefault="00162AB8" w14:paraId="49A00AC4" w14:textId="77777777">
            <w:pPr>
              <w:spacing w:after="0" w:line="240" w:lineRule="auto"/>
              <w:jc w:val="center"/>
              <w:rPr>
                <w:rFonts w:cstheme="minorHAnsi"/>
              </w:rPr>
            </w:pPr>
            <w:r w:rsidRPr="00610DC0">
              <w:rPr>
                <w:rFonts w:cstheme="minorHAnsi"/>
              </w:rPr>
              <w:t>$0</w:t>
            </w:r>
          </w:p>
        </w:tc>
      </w:tr>
      <w:tr w:rsidRPr="00610DC0" w:rsidR="00162AB8" w:rsidTr="00BA2FAA" w14:paraId="4DD13F3C" w14:textId="77777777">
        <w:trPr>
          <w:trHeight w:val="300"/>
          <w:jc w:val="center"/>
        </w:trPr>
        <w:tc>
          <w:tcPr>
            <w:tcW w:w="2428" w:type="dxa"/>
            <w:noWrap/>
            <w:tcMar>
              <w:top w:w="0" w:type="dxa"/>
              <w:left w:w="108" w:type="dxa"/>
              <w:bottom w:w="0" w:type="dxa"/>
              <w:right w:w="108" w:type="dxa"/>
            </w:tcMar>
            <w:vAlign w:val="bottom"/>
          </w:tcPr>
          <w:p w:rsidRPr="00610DC0" w:rsidR="00162AB8" w:rsidP="00A54807" w:rsidRDefault="00162AB8" w14:paraId="2B383769" w14:textId="77777777">
            <w:pPr>
              <w:spacing w:after="0" w:line="240" w:lineRule="auto"/>
              <w:rPr>
                <w:rFonts w:cstheme="minorHAnsi"/>
              </w:rPr>
            </w:pPr>
            <w:r w:rsidRPr="00610DC0">
              <w:rPr>
                <w:rFonts w:cstheme="minorHAnsi"/>
              </w:rPr>
              <w:t>Other Cost</w:t>
            </w:r>
          </w:p>
        </w:tc>
        <w:tc>
          <w:tcPr>
            <w:tcW w:w="1350" w:type="dxa"/>
            <w:tcBorders>
              <w:bottom w:val="single" w:color="auto" w:sz="6" w:space="0"/>
            </w:tcBorders>
            <w:shd w:val="clear" w:color="auto" w:fill="BFBFBF"/>
          </w:tcPr>
          <w:p w:rsidRPr="00610DC0" w:rsidR="00162AB8" w:rsidP="00A54807" w:rsidRDefault="00162AB8" w14:paraId="26B2769C" w14:textId="77777777">
            <w:pPr>
              <w:spacing w:after="0" w:line="240" w:lineRule="auto"/>
              <w:rPr>
                <w:rFonts w:cstheme="minorHAnsi"/>
              </w:rPr>
            </w:pPr>
          </w:p>
        </w:tc>
        <w:tc>
          <w:tcPr>
            <w:tcW w:w="1530" w:type="dxa"/>
            <w:tcBorders>
              <w:bottom w:val="single" w:color="auto" w:sz="6" w:space="0"/>
            </w:tcBorders>
            <w:shd w:val="clear" w:color="auto" w:fill="BFBFBF"/>
            <w:noWrap/>
            <w:tcMar>
              <w:top w:w="0" w:type="dxa"/>
              <w:left w:w="108" w:type="dxa"/>
              <w:bottom w:w="0" w:type="dxa"/>
              <w:right w:w="108" w:type="dxa"/>
            </w:tcMar>
            <w:vAlign w:val="bottom"/>
          </w:tcPr>
          <w:p w:rsidRPr="00610DC0" w:rsidR="00162AB8" w:rsidP="00A54807" w:rsidRDefault="00162AB8" w14:paraId="277D12BE" w14:textId="77777777">
            <w:pPr>
              <w:spacing w:after="0" w:line="240" w:lineRule="auto"/>
              <w:rPr>
                <w:rFonts w:cstheme="minorHAnsi"/>
              </w:rPr>
            </w:pPr>
          </w:p>
        </w:tc>
        <w:tc>
          <w:tcPr>
            <w:tcW w:w="1350" w:type="dxa"/>
            <w:tcBorders>
              <w:bottom w:val="single" w:color="auto" w:sz="6" w:space="0"/>
            </w:tcBorders>
            <w:shd w:val="clear" w:color="auto" w:fill="BFBFBF"/>
            <w:noWrap/>
            <w:tcMar>
              <w:top w:w="0" w:type="dxa"/>
              <w:left w:w="108" w:type="dxa"/>
              <w:bottom w:w="0" w:type="dxa"/>
              <w:right w:w="108" w:type="dxa"/>
            </w:tcMar>
            <w:vAlign w:val="bottom"/>
          </w:tcPr>
          <w:p w:rsidRPr="00610DC0" w:rsidR="00162AB8" w:rsidP="00A54807" w:rsidRDefault="00162AB8" w14:paraId="0444D539" w14:textId="77777777">
            <w:pPr>
              <w:spacing w:after="0" w:line="240" w:lineRule="auto"/>
              <w:rPr>
                <w:rFonts w:cstheme="minorHAnsi"/>
              </w:rPr>
            </w:pPr>
          </w:p>
        </w:tc>
        <w:tc>
          <w:tcPr>
            <w:tcW w:w="1622" w:type="dxa"/>
            <w:tcBorders>
              <w:bottom w:val="single" w:color="auto" w:sz="6" w:space="0"/>
            </w:tcBorders>
            <w:shd w:val="clear" w:color="auto" w:fill="BFBFBF"/>
          </w:tcPr>
          <w:p w:rsidRPr="00610DC0" w:rsidR="00162AB8" w:rsidP="00A54807" w:rsidRDefault="00162AB8" w14:paraId="5FB4A926" w14:textId="77777777">
            <w:pPr>
              <w:spacing w:after="0" w:line="240" w:lineRule="auto"/>
              <w:rPr>
                <w:rFonts w:cstheme="minorHAnsi"/>
              </w:rPr>
            </w:pPr>
          </w:p>
        </w:tc>
        <w:tc>
          <w:tcPr>
            <w:tcW w:w="1710" w:type="dxa"/>
          </w:tcPr>
          <w:p w:rsidRPr="00610DC0" w:rsidR="00162AB8" w:rsidP="00A54807" w:rsidRDefault="00162AB8" w14:paraId="30C9EE8C" w14:textId="77777777">
            <w:pPr>
              <w:spacing w:after="0" w:line="240" w:lineRule="auto"/>
              <w:jc w:val="center"/>
              <w:rPr>
                <w:rFonts w:cstheme="minorHAnsi"/>
              </w:rPr>
            </w:pPr>
            <w:r w:rsidRPr="00610DC0">
              <w:rPr>
                <w:rFonts w:cstheme="minorHAnsi"/>
              </w:rPr>
              <w:t>$0</w:t>
            </w:r>
          </w:p>
        </w:tc>
      </w:tr>
      <w:tr w:rsidRPr="00610DC0" w:rsidR="00162AB8" w:rsidTr="00BA2FAA" w14:paraId="7A4A31DA" w14:textId="77777777">
        <w:trPr>
          <w:trHeight w:val="300"/>
          <w:jc w:val="center"/>
        </w:trPr>
        <w:tc>
          <w:tcPr>
            <w:tcW w:w="2428" w:type="dxa"/>
            <w:noWrap/>
            <w:tcMar>
              <w:top w:w="0" w:type="dxa"/>
              <w:left w:w="108" w:type="dxa"/>
              <w:bottom w:w="0" w:type="dxa"/>
              <w:right w:w="108" w:type="dxa"/>
            </w:tcMar>
            <w:vAlign w:val="bottom"/>
            <w:hideMark/>
          </w:tcPr>
          <w:p w:rsidRPr="00610DC0" w:rsidR="00162AB8" w:rsidP="00A54807" w:rsidRDefault="00162AB8" w14:paraId="6F73BA7C" w14:textId="77777777">
            <w:pPr>
              <w:spacing w:after="0" w:line="240" w:lineRule="auto"/>
              <w:rPr>
                <w:rFonts w:cstheme="minorHAnsi"/>
                <w:b/>
              </w:rPr>
            </w:pPr>
            <w:r w:rsidRPr="00610DC0">
              <w:rPr>
                <w:rFonts w:cstheme="minorHAnsi"/>
                <w:b/>
              </w:rPr>
              <w:t>Total</w:t>
            </w:r>
          </w:p>
        </w:tc>
        <w:tc>
          <w:tcPr>
            <w:tcW w:w="1350" w:type="dxa"/>
          </w:tcPr>
          <w:p w:rsidRPr="00610DC0" w:rsidR="00162AB8" w:rsidP="00A54807" w:rsidRDefault="00162AB8" w14:paraId="45C61125" w14:textId="77777777">
            <w:pPr>
              <w:spacing w:after="0" w:line="240" w:lineRule="auto"/>
              <w:rPr>
                <w:rFonts w:cstheme="minorHAnsi"/>
              </w:rPr>
            </w:pPr>
          </w:p>
        </w:tc>
        <w:tc>
          <w:tcPr>
            <w:tcW w:w="1530" w:type="dxa"/>
            <w:noWrap/>
            <w:tcMar>
              <w:top w:w="0" w:type="dxa"/>
              <w:left w:w="108" w:type="dxa"/>
              <w:bottom w:w="0" w:type="dxa"/>
              <w:right w:w="108" w:type="dxa"/>
            </w:tcMar>
            <w:vAlign w:val="bottom"/>
            <w:hideMark/>
          </w:tcPr>
          <w:p w:rsidRPr="00610DC0" w:rsidR="00162AB8" w:rsidP="00A54807" w:rsidRDefault="00162AB8" w14:paraId="5A8C9A12" w14:textId="77777777">
            <w:pPr>
              <w:spacing w:after="0" w:line="240" w:lineRule="auto"/>
              <w:rPr>
                <w:rFonts w:cstheme="minorHAnsi"/>
              </w:rPr>
            </w:pPr>
          </w:p>
        </w:tc>
        <w:tc>
          <w:tcPr>
            <w:tcW w:w="1350" w:type="dxa"/>
            <w:noWrap/>
            <w:tcMar>
              <w:top w:w="0" w:type="dxa"/>
              <w:left w:w="108" w:type="dxa"/>
              <w:bottom w:w="0" w:type="dxa"/>
              <w:right w:w="108" w:type="dxa"/>
            </w:tcMar>
            <w:vAlign w:val="bottom"/>
            <w:hideMark/>
          </w:tcPr>
          <w:p w:rsidRPr="00610DC0" w:rsidR="00162AB8" w:rsidP="00A54807" w:rsidRDefault="00162AB8" w14:paraId="5EFF9860" w14:textId="77777777">
            <w:pPr>
              <w:spacing w:after="0" w:line="240" w:lineRule="auto"/>
              <w:rPr>
                <w:rFonts w:cstheme="minorHAnsi"/>
              </w:rPr>
            </w:pPr>
          </w:p>
        </w:tc>
        <w:tc>
          <w:tcPr>
            <w:tcW w:w="1622" w:type="dxa"/>
          </w:tcPr>
          <w:p w:rsidRPr="00610DC0" w:rsidR="00162AB8" w:rsidP="00A54807" w:rsidRDefault="00162AB8" w14:paraId="0E85940A" w14:textId="77777777">
            <w:pPr>
              <w:spacing w:after="0" w:line="240" w:lineRule="auto"/>
              <w:rPr>
                <w:rFonts w:cstheme="minorHAnsi"/>
              </w:rPr>
            </w:pPr>
          </w:p>
        </w:tc>
        <w:tc>
          <w:tcPr>
            <w:tcW w:w="1710" w:type="dxa"/>
          </w:tcPr>
          <w:p w:rsidRPr="00610DC0" w:rsidR="00162AB8" w:rsidP="00A54807" w:rsidRDefault="0036358C" w14:paraId="358CEC18" w14:textId="160AC5EC">
            <w:pPr>
              <w:spacing w:after="0" w:line="240" w:lineRule="auto"/>
              <w:jc w:val="center"/>
              <w:rPr>
                <w:rFonts w:cstheme="minorHAnsi"/>
                <w:b/>
                <w:bCs/>
              </w:rPr>
            </w:pPr>
            <w:r w:rsidRPr="00610DC0">
              <w:rPr>
                <w:rFonts w:cstheme="minorHAnsi"/>
                <w:b/>
                <w:bCs/>
              </w:rPr>
              <w:t>$12,</w:t>
            </w:r>
            <w:r w:rsidR="00D1058A">
              <w:rPr>
                <w:rFonts w:cstheme="minorHAnsi"/>
                <w:b/>
                <w:bCs/>
              </w:rPr>
              <w:t>940.40</w:t>
            </w:r>
          </w:p>
        </w:tc>
      </w:tr>
    </w:tbl>
    <w:p w:rsidRPr="00066CA9" w:rsidR="00162AB8" w:rsidP="00162AB8" w:rsidRDefault="00162AB8" w14:paraId="0B676FEF" w14:textId="7A875138">
      <w:pPr>
        <w:rPr>
          <w:rFonts w:asciiTheme="majorHAnsi" w:hAnsiTheme="majorHAnsi"/>
          <w:bCs/>
          <w:sz w:val="18"/>
          <w:szCs w:val="18"/>
          <w:u w:val="single"/>
          <w:lang w:eastAsia="zh-CN"/>
        </w:rPr>
      </w:pPr>
      <w:r w:rsidRPr="00A8299E">
        <w:rPr>
          <w:rFonts w:asciiTheme="majorHAnsi" w:hAnsiTheme="majorHAnsi"/>
          <w:bCs/>
          <w:sz w:val="18"/>
          <w:szCs w:val="18"/>
          <w:lang w:eastAsia="zh-CN"/>
        </w:rPr>
        <w:t xml:space="preserve">**The salary in the table above is cited from </w:t>
      </w:r>
      <w:hyperlink w:history="1" r:id="rId15">
        <w:r w:rsidRPr="00A8299E">
          <w:rPr>
            <w:rStyle w:val="Hyperlink"/>
            <w:rFonts w:asciiTheme="majorHAnsi" w:hAnsiTheme="majorHAnsi"/>
            <w:bCs/>
            <w:sz w:val="18"/>
            <w:szCs w:val="18"/>
            <w:lang w:eastAsia="zh-CN"/>
          </w:rPr>
          <w:t>https://www.opm.gov/policy-data-oversight/pay-leave/salaries-wages/salary-tables/</w:t>
        </w:r>
        <w:r w:rsidRPr="00066CA9">
          <w:rPr>
            <w:rStyle w:val="Hyperlink"/>
            <w:rFonts w:asciiTheme="majorHAnsi" w:hAnsiTheme="majorHAnsi"/>
            <w:bCs/>
            <w:sz w:val="18"/>
            <w:szCs w:val="18"/>
            <w:lang w:eastAsia="zh-CN"/>
          </w:rPr>
          <w:t>20</w:t>
        </w:r>
        <w:r w:rsidRPr="00A8299E">
          <w:rPr>
            <w:rStyle w:val="Hyperlink"/>
            <w:rFonts w:asciiTheme="majorHAnsi" w:hAnsiTheme="majorHAnsi"/>
            <w:bCs/>
            <w:sz w:val="18"/>
            <w:szCs w:val="18"/>
            <w:lang w:eastAsia="zh-CN"/>
          </w:rPr>
          <w:t>Tables/html/DCB.aspx</w:t>
        </w:r>
      </w:hyperlink>
      <w:r w:rsidRPr="00066CA9">
        <w:rPr>
          <w:rFonts w:asciiTheme="majorHAnsi" w:hAnsiTheme="majorHAnsi"/>
          <w:sz w:val="18"/>
          <w:szCs w:val="18"/>
        </w:rPr>
        <w:t xml:space="preserve">  </w:t>
      </w:r>
    </w:p>
    <w:p w:rsidRPr="00610DC0" w:rsidR="00162AB8" w:rsidP="00162AB8" w:rsidRDefault="00162AB8" w14:paraId="5131B276" w14:textId="51642ABF">
      <w:pPr>
        <w:spacing w:after="20"/>
        <w:rPr>
          <w:rFonts w:cstheme="minorHAnsi"/>
          <w:b/>
        </w:rPr>
      </w:pPr>
      <w:r w:rsidRPr="00610DC0">
        <w:rPr>
          <w:rFonts w:cstheme="minorHAnsi"/>
          <w:b/>
        </w:rPr>
        <w:t>A.15 Explanation for Program Changes or Adjustments</w:t>
      </w:r>
    </w:p>
    <w:p w:rsidRPr="00610DC0" w:rsidR="00162AB8" w:rsidP="00162AB8" w:rsidRDefault="00162AB8" w14:paraId="7A9833AD" w14:textId="38C3F5E3">
      <w:pPr>
        <w:spacing w:after="20"/>
        <w:rPr>
          <w:rFonts w:cstheme="minorHAnsi"/>
        </w:rPr>
      </w:pPr>
      <w:r w:rsidRPr="00610DC0">
        <w:rPr>
          <w:rFonts w:cstheme="minorHAnsi"/>
        </w:rPr>
        <w:t>This is a mini Supporting Statement</w:t>
      </w:r>
      <w:r w:rsidR="00D1058A">
        <w:rPr>
          <w:rFonts w:cstheme="minorHAnsi"/>
        </w:rPr>
        <w:t xml:space="preserve"> for a generic information collection</w:t>
      </w:r>
      <w:r w:rsidRPr="00610DC0">
        <w:rPr>
          <w:rFonts w:cstheme="minorHAnsi"/>
        </w:rPr>
        <w:t xml:space="preserve">. </w:t>
      </w:r>
    </w:p>
    <w:p w:rsidRPr="00610DC0" w:rsidR="00162AB8" w:rsidP="00162AB8" w:rsidRDefault="00162AB8" w14:paraId="3C0379BF" w14:textId="3443C063">
      <w:pPr>
        <w:spacing w:after="20"/>
        <w:rPr>
          <w:rFonts w:cstheme="minorHAnsi"/>
          <w:bCs/>
        </w:rPr>
      </w:pPr>
    </w:p>
    <w:p w:rsidRPr="00610DC0" w:rsidR="00162AB8" w:rsidP="00162AB8" w:rsidRDefault="00162AB8" w14:paraId="6C625EA3" w14:textId="77777777">
      <w:pPr>
        <w:spacing w:after="20"/>
        <w:rPr>
          <w:rFonts w:cstheme="minorHAnsi"/>
          <w:b/>
        </w:rPr>
      </w:pPr>
      <w:r w:rsidRPr="00610DC0">
        <w:rPr>
          <w:rFonts w:cstheme="minorHAnsi"/>
          <w:b/>
        </w:rPr>
        <w:t>A.16 Plans for Tabulation and Publication and Project Time Schedule</w:t>
      </w:r>
    </w:p>
    <w:p w:rsidRPr="00DC234F" w:rsidR="00D1058A" w:rsidP="00D1058A" w:rsidRDefault="00D1058A" w14:paraId="29F14564" w14:textId="0070A138">
      <w:pPr>
        <w:rPr>
          <w:rFonts w:cstheme="minorHAnsi"/>
        </w:rPr>
      </w:pPr>
      <w:r w:rsidRPr="00DC234F">
        <w:rPr>
          <w:rFonts w:cstheme="minorHAnsi"/>
        </w:rPr>
        <w:t>There are no plans for tabulation or publication of the CGH application. The information collected will be used to assess the appropriateness of applicants to the CGH program and to communicate accepted applicant’s qualifications to prospective NCI mentors for fellowship placement.</w:t>
      </w:r>
    </w:p>
    <w:p w:rsidRPr="00610DC0" w:rsidR="00162AB8" w:rsidP="00162AB8" w:rsidRDefault="00162AB8" w14:paraId="3E09484D" w14:textId="77777777">
      <w:pPr>
        <w:spacing w:after="20"/>
        <w:rPr>
          <w:rFonts w:cstheme="minorHAnsi"/>
          <w:b/>
        </w:rPr>
      </w:pPr>
      <w:r w:rsidRPr="00610DC0">
        <w:rPr>
          <w:rFonts w:cstheme="minorHAnsi"/>
          <w:b/>
        </w:rPr>
        <w:t>A.17 Reason(s) Display of OMB Expiration Date is Inappropriate</w:t>
      </w:r>
    </w:p>
    <w:p w:rsidRPr="00610DC0" w:rsidR="00162AB8" w:rsidRDefault="00162AB8" w14:paraId="565CDC91" w14:textId="6AC6A8C2">
      <w:pPr>
        <w:spacing w:after="20"/>
        <w:rPr>
          <w:rFonts w:cstheme="minorHAnsi"/>
        </w:rPr>
      </w:pPr>
      <w:r w:rsidRPr="00610DC0">
        <w:rPr>
          <w:rFonts w:cstheme="minorHAnsi"/>
        </w:rPr>
        <w:t xml:space="preserve">We are not requesting an exemption to the display of the OMB Expiration date. </w:t>
      </w:r>
    </w:p>
    <w:p w:rsidRPr="00610DC0" w:rsidR="009A15DD" w:rsidP="00162AB8" w:rsidRDefault="009A15DD" w14:paraId="6CA88E8B" w14:textId="77777777">
      <w:pPr>
        <w:spacing w:after="20"/>
        <w:rPr>
          <w:rFonts w:cstheme="minorHAnsi"/>
        </w:rPr>
      </w:pPr>
    </w:p>
    <w:p w:rsidRPr="00610DC0" w:rsidR="00162AB8" w:rsidP="00162AB8" w:rsidRDefault="00162AB8" w14:paraId="43867A85" w14:textId="77777777">
      <w:pPr>
        <w:spacing w:after="20"/>
        <w:rPr>
          <w:rFonts w:cstheme="minorHAnsi"/>
          <w:b/>
        </w:rPr>
      </w:pPr>
      <w:r w:rsidRPr="00610DC0">
        <w:rPr>
          <w:rFonts w:cstheme="minorHAnsi"/>
          <w:b/>
        </w:rPr>
        <w:t>A.18 Exceptions to Certification for Paperwork Reduction Act Submissions</w:t>
      </w:r>
    </w:p>
    <w:p w:rsidRPr="00610DC0" w:rsidR="00162AB8" w:rsidP="00162AB8" w:rsidRDefault="00162AB8" w14:paraId="191723F9" w14:textId="66122CAA">
      <w:pPr>
        <w:spacing w:after="20"/>
        <w:rPr>
          <w:rFonts w:cstheme="minorHAnsi"/>
        </w:rPr>
      </w:pPr>
      <w:r w:rsidRPr="00610DC0">
        <w:rPr>
          <w:rFonts w:cstheme="minorHAnsi"/>
        </w:rPr>
        <w:t>This survey will comply with the requirements in 5 CFR 1320.9.</w:t>
      </w:r>
      <w:r w:rsidRPr="00610DC0">
        <w:rPr>
          <w:rFonts w:cstheme="minorHAnsi"/>
        </w:rPr>
        <w:tab/>
      </w:r>
    </w:p>
    <w:p w:rsidRPr="00610DC0" w:rsidR="00162AB8" w:rsidP="00DC234F" w:rsidRDefault="00162AB8" w14:paraId="3402E413" w14:textId="77777777">
      <w:pPr>
        <w:spacing w:after="20"/>
        <w:rPr>
          <w:rFonts w:cstheme="minorHAnsi"/>
          <w:b/>
        </w:rPr>
      </w:pPr>
    </w:p>
    <w:sectPr w:rsidRPr="00610DC0" w:rsidR="00162AB8" w:rsidSect="003F0D8B">
      <w:footerReference w:type="even" r:id="rId16"/>
      <w:footerReference w:type="default" r:id="rId17"/>
      <w:pgSz w:w="12240" w:h="15840"/>
      <w:pgMar w:top="1080" w:right="1080" w:bottom="1080" w:left="108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93865" w14:textId="77777777" w:rsidR="00777341" w:rsidRDefault="00777341" w:rsidP="005676C6">
      <w:pPr>
        <w:spacing w:after="0" w:line="240" w:lineRule="auto"/>
      </w:pPr>
      <w:r>
        <w:separator/>
      </w:r>
    </w:p>
  </w:endnote>
  <w:endnote w:type="continuationSeparator" w:id="0">
    <w:p w14:paraId="198777DB" w14:textId="77777777" w:rsidR="00777341" w:rsidRDefault="00777341"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7658795"/>
      <w:docPartObj>
        <w:docPartGallery w:val="Page Numbers (Bottom of Page)"/>
        <w:docPartUnique/>
      </w:docPartObj>
    </w:sdtPr>
    <w:sdtEndPr>
      <w:rPr>
        <w:rStyle w:val="PageNumber"/>
      </w:rPr>
    </w:sdtEndPr>
    <w:sdtContent>
      <w:p w14:paraId="7A1575DB" w14:textId="4567F0A7" w:rsidR="003F0D8B" w:rsidRDefault="003F0D8B" w:rsidP="003F0D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42647A" w14:textId="77777777" w:rsidR="003F0D8B" w:rsidRDefault="003F0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2975983"/>
      <w:docPartObj>
        <w:docPartGallery w:val="Page Numbers (Bottom of Page)"/>
        <w:docPartUnique/>
      </w:docPartObj>
    </w:sdtPr>
    <w:sdtEndPr>
      <w:rPr>
        <w:rStyle w:val="PageNumber"/>
      </w:rPr>
    </w:sdtEndPr>
    <w:sdtContent>
      <w:p w14:paraId="67904B0A" w14:textId="729BAF41" w:rsidR="003F0D8B" w:rsidRDefault="003F0D8B" w:rsidP="003F0D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02F18EC2" w14:textId="77777777" w:rsidR="00273E4C" w:rsidRDefault="00273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B9B08" w14:textId="77777777" w:rsidR="00777341" w:rsidRDefault="00777341" w:rsidP="005676C6">
      <w:pPr>
        <w:spacing w:after="0" w:line="240" w:lineRule="auto"/>
      </w:pPr>
      <w:r>
        <w:separator/>
      </w:r>
    </w:p>
  </w:footnote>
  <w:footnote w:type="continuationSeparator" w:id="0">
    <w:p w14:paraId="40C703AE" w14:textId="77777777" w:rsidR="00777341" w:rsidRDefault="00777341" w:rsidP="00567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9A0DDF"/>
    <w:multiLevelType w:val="hybridMultilevel"/>
    <w:tmpl w:val="D268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254882"/>
    <w:multiLevelType w:val="hybridMultilevel"/>
    <w:tmpl w:val="DFF0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UwsjQ0NDI3Nzc2MDRS0lEKTi0uzszPAykwrAUA1Ng3FSwAAAA="/>
  </w:docVars>
  <w:rsids>
    <w:rsidRoot w:val="008716F6"/>
    <w:rsid w:val="00003BE1"/>
    <w:rsid w:val="00004925"/>
    <w:rsid w:val="00016D20"/>
    <w:rsid w:val="0002376A"/>
    <w:rsid w:val="00057A71"/>
    <w:rsid w:val="00057C98"/>
    <w:rsid w:val="00063927"/>
    <w:rsid w:val="00063DC1"/>
    <w:rsid w:val="00066370"/>
    <w:rsid w:val="00091889"/>
    <w:rsid w:val="000A10D5"/>
    <w:rsid w:val="000A6005"/>
    <w:rsid w:val="000A796F"/>
    <w:rsid w:val="000B4C09"/>
    <w:rsid w:val="000B5904"/>
    <w:rsid w:val="000B7D0A"/>
    <w:rsid w:val="000C5C9F"/>
    <w:rsid w:val="000D35DA"/>
    <w:rsid w:val="000E147F"/>
    <w:rsid w:val="000E33E0"/>
    <w:rsid w:val="000F1880"/>
    <w:rsid w:val="000F6E1A"/>
    <w:rsid w:val="00104628"/>
    <w:rsid w:val="001048B6"/>
    <w:rsid w:val="0011277B"/>
    <w:rsid w:val="00113647"/>
    <w:rsid w:val="00113D5F"/>
    <w:rsid w:val="00115D6F"/>
    <w:rsid w:val="001243F6"/>
    <w:rsid w:val="00124DAC"/>
    <w:rsid w:val="00132617"/>
    <w:rsid w:val="001371B2"/>
    <w:rsid w:val="001435DE"/>
    <w:rsid w:val="0016069E"/>
    <w:rsid w:val="00161A5A"/>
    <w:rsid w:val="00162AB8"/>
    <w:rsid w:val="001736D9"/>
    <w:rsid w:val="00176880"/>
    <w:rsid w:val="00180B49"/>
    <w:rsid w:val="0018190A"/>
    <w:rsid w:val="00185105"/>
    <w:rsid w:val="001979F5"/>
    <w:rsid w:val="001B5DD0"/>
    <w:rsid w:val="001C1DC2"/>
    <w:rsid w:val="001D2741"/>
    <w:rsid w:val="001E222C"/>
    <w:rsid w:val="001E3759"/>
    <w:rsid w:val="001E6930"/>
    <w:rsid w:val="001F245F"/>
    <w:rsid w:val="002065DB"/>
    <w:rsid w:val="00210FD1"/>
    <w:rsid w:val="0021543C"/>
    <w:rsid w:val="00216FCF"/>
    <w:rsid w:val="00235D7E"/>
    <w:rsid w:val="00236DA8"/>
    <w:rsid w:val="00237838"/>
    <w:rsid w:val="00244336"/>
    <w:rsid w:val="00271138"/>
    <w:rsid w:val="002727A9"/>
    <w:rsid w:val="00273125"/>
    <w:rsid w:val="00273E4C"/>
    <w:rsid w:val="00282EA1"/>
    <w:rsid w:val="0029112F"/>
    <w:rsid w:val="00295E78"/>
    <w:rsid w:val="002A298D"/>
    <w:rsid w:val="002B193F"/>
    <w:rsid w:val="002B253F"/>
    <w:rsid w:val="002C1D97"/>
    <w:rsid w:val="002C4725"/>
    <w:rsid w:val="002D5C92"/>
    <w:rsid w:val="002D72EF"/>
    <w:rsid w:val="002E5FA0"/>
    <w:rsid w:val="002F0635"/>
    <w:rsid w:val="002F3354"/>
    <w:rsid w:val="00301A0F"/>
    <w:rsid w:val="00304A01"/>
    <w:rsid w:val="00316AF5"/>
    <w:rsid w:val="003237CA"/>
    <w:rsid w:val="00330E82"/>
    <w:rsid w:val="00333329"/>
    <w:rsid w:val="00350A34"/>
    <w:rsid w:val="00351BFA"/>
    <w:rsid w:val="0036358C"/>
    <w:rsid w:val="003728A7"/>
    <w:rsid w:val="00382B75"/>
    <w:rsid w:val="00392BE1"/>
    <w:rsid w:val="00394CAF"/>
    <w:rsid w:val="00395820"/>
    <w:rsid w:val="003A14DC"/>
    <w:rsid w:val="003B045C"/>
    <w:rsid w:val="003B4C84"/>
    <w:rsid w:val="003D32E2"/>
    <w:rsid w:val="003D43B1"/>
    <w:rsid w:val="003F0D8B"/>
    <w:rsid w:val="00402122"/>
    <w:rsid w:val="0040282E"/>
    <w:rsid w:val="00403366"/>
    <w:rsid w:val="00410522"/>
    <w:rsid w:val="00413459"/>
    <w:rsid w:val="004154E5"/>
    <w:rsid w:val="004163FB"/>
    <w:rsid w:val="00420CB8"/>
    <w:rsid w:val="0043295F"/>
    <w:rsid w:val="00432D23"/>
    <w:rsid w:val="004409C0"/>
    <w:rsid w:val="00442262"/>
    <w:rsid w:val="00443510"/>
    <w:rsid w:val="00446BA0"/>
    <w:rsid w:val="00447F94"/>
    <w:rsid w:val="004578A0"/>
    <w:rsid w:val="004613C1"/>
    <w:rsid w:val="00464791"/>
    <w:rsid w:val="00464844"/>
    <w:rsid w:val="00465456"/>
    <w:rsid w:val="0046633D"/>
    <w:rsid w:val="00466835"/>
    <w:rsid w:val="004705EF"/>
    <w:rsid w:val="00475AFD"/>
    <w:rsid w:val="00477A8E"/>
    <w:rsid w:val="00491854"/>
    <w:rsid w:val="004B2F39"/>
    <w:rsid w:val="004B3C21"/>
    <w:rsid w:val="004C36E2"/>
    <w:rsid w:val="004D2AD6"/>
    <w:rsid w:val="004E0AE9"/>
    <w:rsid w:val="004F043A"/>
    <w:rsid w:val="004F231B"/>
    <w:rsid w:val="005047C5"/>
    <w:rsid w:val="00506DA7"/>
    <w:rsid w:val="005076B8"/>
    <w:rsid w:val="00514E61"/>
    <w:rsid w:val="005326E8"/>
    <w:rsid w:val="00532FE8"/>
    <w:rsid w:val="00533AFD"/>
    <w:rsid w:val="00534B5A"/>
    <w:rsid w:val="005431C4"/>
    <w:rsid w:val="00543394"/>
    <w:rsid w:val="00551B2D"/>
    <w:rsid w:val="005558F0"/>
    <w:rsid w:val="00561A2B"/>
    <w:rsid w:val="00561A3D"/>
    <w:rsid w:val="005676C6"/>
    <w:rsid w:val="00573BAB"/>
    <w:rsid w:val="005765A7"/>
    <w:rsid w:val="00580C20"/>
    <w:rsid w:val="005858BF"/>
    <w:rsid w:val="005868BD"/>
    <w:rsid w:val="00586D7F"/>
    <w:rsid w:val="005873B5"/>
    <w:rsid w:val="00595D1E"/>
    <w:rsid w:val="005A5BBE"/>
    <w:rsid w:val="005B5E5B"/>
    <w:rsid w:val="005C282D"/>
    <w:rsid w:val="005C43E5"/>
    <w:rsid w:val="005C61A9"/>
    <w:rsid w:val="005E0D9A"/>
    <w:rsid w:val="005E2D23"/>
    <w:rsid w:val="005F5E09"/>
    <w:rsid w:val="00610DC0"/>
    <w:rsid w:val="00622737"/>
    <w:rsid w:val="006248D5"/>
    <w:rsid w:val="00626A3E"/>
    <w:rsid w:val="00633313"/>
    <w:rsid w:val="0063454C"/>
    <w:rsid w:val="006356C5"/>
    <w:rsid w:val="00660CE2"/>
    <w:rsid w:val="006721AB"/>
    <w:rsid w:val="006854FC"/>
    <w:rsid w:val="00687733"/>
    <w:rsid w:val="0069025C"/>
    <w:rsid w:val="00693A83"/>
    <w:rsid w:val="00695204"/>
    <w:rsid w:val="006953C3"/>
    <w:rsid w:val="006962F3"/>
    <w:rsid w:val="006B0419"/>
    <w:rsid w:val="006B2ACE"/>
    <w:rsid w:val="006C1577"/>
    <w:rsid w:val="006C3093"/>
    <w:rsid w:val="006E6FA6"/>
    <w:rsid w:val="006F3226"/>
    <w:rsid w:val="006F7AE6"/>
    <w:rsid w:val="00701E6E"/>
    <w:rsid w:val="00713CF8"/>
    <w:rsid w:val="00740F9D"/>
    <w:rsid w:val="00745777"/>
    <w:rsid w:val="0075048A"/>
    <w:rsid w:val="007518AF"/>
    <w:rsid w:val="00761C9B"/>
    <w:rsid w:val="00762CFB"/>
    <w:rsid w:val="00777341"/>
    <w:rsid w:val="00780D75"/>
    <w:rsid w:val="0079784E"/>
    <w:rsid w:val="007A1807"/>
    <w:rsid w:val="007A5575"/>
    <w:rsid w:val="007B3C94"/>
    <w:rsid w:val="007B4607"/>
    <w:rsid w:val="007B6FBB"/>
    <w:rsid w:val="007B713A"/>
    <w:rsid w:val="007D19AD"/>
    <w:rsid w:val="007D64C3"/>
    <w:rsid w:val="007D66AD"/>
    <w:rsid w:val="007D6825"/>
    <w:rsid w:val="007F4F73"/>
    <w:rsid w:val="007F5A32"/>
    <w:rsid w:val="00805706"/>
    <w:rsid w:val="008101F0"/>
    <w:rsid w:val="00816C32"/>
    <w:rsid w:val="00823160"/>
    <w:rsid w:val="008314BB"/>
    <w:rsid w:val="00833551"/>
    <w:rsid w:val="008478BF"/>
    <w:rsid w:val="008529CC"/>
    <w:rsid w:val="008570D0"/>
    <w:rsid w:val="008716F6"/>
    <w:rsid w:val="0087173D"/>
    <w:rsid w:val="00875AC8"/>
    <w:rsid w:val="00883909"/>
    <w:rsid w:val="00897D34"/>
    <w:rsid w:val="008B0852"/>
    <w:rsid w:val="008B33D3"/>
    <w:rsid w:val="008C0EBE"/>
    <w:rsid w:val="008D12B2"/>
    <w:rsid w:val="008D1A49"/>
    <w:rsid w:val="008D6113"/>
    <w:rsid w:val="008E3E2A"/>
    <w:rsid w:val="008E7EF2"/>
    <w:rsid w:val="008F0949"/>
    <w:rsid w:val="008F794D"/>
    <w:rsid w:val="009007CA"/>
    <w:rsid w:val="009031BA"/>
    <w:rsid w:val="00907CB7"/>
    <w:rsid w:val="00907E64"/>
    <w:rsid w:val="009319B2"/>
    <w:rsid w:val="00942DB8"/>
    <w:rsid w:val="00943267"/>
    <w:rsid w:val="00944653"/>
    <w:rsid w:val="00944ABD"/>
    <w:rsid w:val="00953B2E"/>
    <w:rsid w:val="00974140"/>
    <w:rsid w:val="009748C9"/>
    <w:rsid w:val="009759BF"/>
    <w:rsid w:val="0098201C"/>
    <w:rsid w:val="00990709"/>
    <w:rsid w:val="00990BC2"/>
    <w:rsid w:val="00996B38"/>
    <w:rsid w:val="009A15DD"/>
    <w:rsid w:val="009C0491"/>
    <w:rsid w:val="009C6995"/>
    <w:rsid w:val="009C7F32"/>
    <w:rsid w:val="009D3A6D"/>
    <w:rsid w:val="009D4E85"/>
    <w:rsid w:val="009D722D"/>
    <w:rsid w:val="009F114A"/>
    <w:rsid w:val="009F4546"/>
    <w:rsid w:val="00A01D62"/>
    <w:rsid w:val="00A11F5C"/>
    <w:rsid w:val="00A20A2C"/>
    <w:rsid w:val="00A24DA1"/>
    <w:rsid w:val="00A26B02"/>
    <w:rsid w:val="00A27237"/>
    <w:rsid w:val="00A319B4"/>
    <w:rsid w:val="00A53B0F"/>
    <w:rsid w:val="00A61688"/>
    <w:rsid w:val="00A61F11"/>
    <w:rsid w:val="00A622DA"/>
    <w:rsid w:val="00A624A1"/>
    <w:rsid w:val="00A66967"/>
    <w:rsid w:val="00A70067"/>
    <w:rsid w:val="00A74631"/>
    <w:rsid w:val="00AA355D"/>
    <w:rsid w:val="00AA55B6"/>
    <w:rsid w:val="00AA5B5B"/>
    <w:rsid w:val="00AA6DDF"/>
    <w:rsid w:val="00AB2A36"/>
    <w:rsid w:val="00AB60E0"/>
    <w:rsid w:val="00AC113B"/>
    <w:rsid w:val="00AD4CD8"/>
    <w:rsid w:val="00AD69FB"/>
    <w:rsid w:val="00AD7BAB"/>
    <w:rsid w:val="00AE3015"/>
    <w:rsid w:val="00AF01AD"/>
    <w:rsid w:val="00AF25BD"/>
    <w:rsid w:val="00B20A96"/>
    <w:rsid w:val="00B20D87"/>
    <w:rsid w:val="00B22938"/>
    <w:rsid w:val="00B27DDD"/>
    <w:rsid w:val="00B34EF2"/>
    <w:rsid w:val="00B40072"/>
    <w:rsid w:val="00B44E4B"/>
    <w:rsid w:val="00B575BB"/>
    <w:rsid w:val="00B57890"/>
    <w:rsid w:val="00B6206E"/>
    <w:rsid w:val="00B732AC"/>
    <w:rsid w:val="00B875B3"/>
    <w:rsid w:val="00B93F27"/>
    <w:rsid w:val="00B953FD"/>
    <w:rsid w:val="00B959A8"/>
    <w:rsid w:val="00B97CC8"/>
    <w:rsid w:val="00BA2FAA"/>
    <w:rsid w:val="00BA4BF7"/>
    <w:rsid w:val="00BB122B"/>
    <w:rsid w:val="00BB14C2"/>
    <w:rsid w:val="00BB41D9"/>
    <w:rsid w:val="00BB5354"/>
    <w:rsid w:val="00BB6174"/>
    <w:rsid w:val="00BB7115"/>
    <w:rsid w:val="00BD653C"/>
    <w:rsid w:val="00BE135A"/>
    <w:rsid w:val="00BE14D8"/>
    <w:rsid w:val="00BE197D"/>
    <w:rsid w:val="00BE1CD4"/>
    <w:rsid w:val="00BF00F9"/>
    <w:rsid w:val="00BF0C2D"/>
    <w:rsid w:val="00C0501F"/>
    <w:rsid w:val="00C10297"/>
    <w:rsid w:val="00C1467D"/>
    <w:rsid w:val="00C25924"/>
    <w:rsid w:val="00C465FF"/>
    <w:rsid w:val="00C500E6"/>
    <w:rsid w:val="00C57B8B"/>
    <w:rsid w:val="00C712DF"/>
    <w:rsid w:val="00C9437F"/>
    <w:rsid w:val="00CA1CBB"/>
    <w:rsid w:val="00CA3166"/>
    <w:rsid w:val="00CB4C39"/>
    <w:rsid w:val="00CC1E7A"/>
    <w:rsid w:val="00CC32B1"/>
    <w:rsid w:val="00CE24FD"/>
    <w:rsid w:val="00CE5983"/>
    <w:rsid w:val="00CF1726"/>
    <w:rsid w:val="00CF195B"/>
    <w:rsid w:val="00CF366F"/>
    <w:rsid w:val="00CF4670"/>
    <w:rsid w:val="00CF5EE2"/>
    <w:rsid w:val="00D01272"/>
    <w:rsid w:val="00D04377"/>
    <w:rsid w:val="00D1034C"/>
    <w:rsid w:val="00D1058A"/>
    <w:rsid w:val="00D1072F"/>
    <w:rsid w:val="00D20E8A"/>
    <w:rsid w:val="00D368B1"/>
    <w:rsid w:val="00D45A58"/>
    <w:rsid w:val="00D46849"/>
    <w:rsid w:val="00D55D32"/>
    <w:rsid w:val="00D605CF"/>
    <w:rsid w:val="00D6099F"/>
    <w:rsid w:val="00D62559"/>
    <w:rsid w:val="00D72137"/>
    <w:rsid w:val="00DA7D67"/>
    <w:rsid w:val="00DB0AA2"/>
    <w:rsid w:val="00DB27F3"/>
    <w:rsid w:val="00DC234F"/>
    <w:rsid w:val="00DF0717"/>
    <w:rsid w:val="00DF6124"/>
    <w:rsid w:val="00E13104"/>
    <w:rsid w:val="00E33992"/>
    <w:rsid w:val="00E36F2B"/>
    <w:rsid w:val="00E4103C"/>
    <w:rsid w:val="00E46078"/>
    <w:rsid w:val="00E54B1F"/>
    <w:rsid w:val="00E712FF"/>
    <w:rsid w:val="00E72FF3"/>
    <w:rsid w:val="00E74A65"/>
    <w:rsid w:val="00E83930"/>
    <w:rsid w:val="00E8445E"/>
    <w:rsid w:val="00E85DA0"/>
    <w:rsid w:val="00EA7EF4"/>
    <w:rsid w:val="00EB437A"/>
    <w:rsid w:val="00EB4787"/>
    <w:rsid w:val="00EB77CC"/>
    <w:rsid w:val="00EC499E"/>
    <w:rsid w:val="00ED045B"/>
    <w:rsid w:val="00ED1560"/>
    <w:rsid w:val="00ED1657"/>
    <w:rsid w:val="00ED3F4B"/>
    <w:rsid w:val="00ED4628"/>
    <w:rsid w:val="00ED6F17"/>
    <w:rsid w:val="00EE4611"/>
    <w:rsid w:val="00EF254F"/>
    <w:rsid w:val="00EF41FE"/>
    <w:rsid w:val="00F00D22"/>
    <w:rsid w:val="00F16369"/>
    <w:rsid w:val="00F20AD9"/>
    <w:rsid w:val="00F33DA3"/>
    <w:rsid w:val="00F4290D"/>
    <w:rsid w:val="00F45BD9"/>
    <w:rsid w:val="00F6624C"/>
    <w:rsid w:val="00F8089F"/>
    <w:rsid w:val="00F94108"/>
    <w:rsid w:val="00F977E1"/>
    <w:rsid w:val="00FB481F"/>
    <w:rsid w:val="00FC3067"/>
    <w:rsid w:val="00FC3BAD"/>
    <w:rsid w:val="00FD4864"/>
    <w:rsid w:val="00FD505F"/>
    <w:rsid w:val="00FD5385"/>
    <w:rsid w:val="00FD5A24"/>
    <w:rsid w:val="00FD6F83"/>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5DF5E7"/>
  <w15:docId w15:val="{EB85C404-E2A0-45E7-91BB-74D27A0C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styleId="PageNumber">
    <w:name w:val="page number"/>
    <w:basedOn w:val="DefaultParagraphFont"/>
    <w:uiPriority w:val="99"/>
    <w:semiHidden/>
    <w:unhideWhenUsed/>
    <w:rsid w:val="003F0D8B"/>
  </w:style>
  <w:style w:type="paragraph" w:customStyle="1" w:styleId="P1-StandPara">
    <w:name w:val="P1-Stand Para"/>
    <w:rsid w:val="00E85DA0"/>
    <w:pPr>
      <w:spacing w:after="0" w:line="480" w:lineRule="auto"/>
      <w:ind w:firstLine="720"/>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7D6825"/>
    <w:rPr>
      <w:color w:val="605E5C"/>
      <w:shd w:val="clear" w:color="auto" w:fill="E1DFDD"/>
    </w:rPr>
  </w:style>
  <w:style w:type="paragraph" w:customStyle="1" w:styleId="Default">
    <w:name w:val="Default"/>
    <w:rsid w:val="00EF41FE"/>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4E0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9563">
      <w:bodyDiv w:val="1"/>
      <w:marLeft w:val="0"/>
      <w:marRight w:val="0"/>
      <w:marTop w:val="0"/>
      <w:marBottom w:val="0"/>
      <w:divBdr>
        <w:top w:val="none" w:sz="0" w:space="0" w:color="auto"/>
        <w:left w:val="none" w:sz="0" w:space="0" w:color="auto"/>
        <w:bottom w:val="none" w:sz="0" w:space="0" w:color="auto"/>
        <w:right w:val="none" w:sz="0" w:space="0" w:color="auto"/>
      </w:divBdr>
    </w:div>
    <w:div w:id="107353208">
      <w:bodyDiv w:val="1"/>
      <w:marLeft w:val="0"/>
      <w:marRight w:val="0"/>
      <w:marTop w:val="0"/>
      <w:marBottom w:val="0"/>
      <w:divBdr>
        <w:top w:val="none" w:sz="0" w:space="0" w:color="auto"/>
        <w:left w:val="none" w:sz="0" w:space="0" w:color="auto"/>
        <w:bottom w:val="none" w:sz="0" w:space="0" w:color="auto"/>
        <w:right w:val="none" w:sz="0" w:space="0" w:color="auto"/>
      </w:divBdr>
    </w:div>
    <w:div w:id="276254233">
      <w:bodyDiv w:val="1"/>
      <w:marLeft w:val="0"/>
      <w:marRight w:val="0"/>
      <w:marTop w:val="0"/>
      <w:marBottom w:val="0"/>
      <w:divBdr>
        <w:top w:val="none" w:sz="0" w:space="0" w:color="auto"/>
        <w:left w:val="none" w:sz="0" w:space="0" w:color="auto"/>
        <w:bottom w:val="none" w:sz="0" w:space="0" w:color="auto"/>
        <w:right w:val="none" w:sz="0" w:space="0" w:color="auto"/>
      </w:divBdr>
    </w:div>
    <w:div w:id="365257840">
      <w:bodyDiv w:val="1"/>
      <w:marLeft w:val="0"/>
      <w:marRight w:val="0"/>
      <w:marTop w:val="0"/>
      <w:marBottom w:val="0"/>
      <w:divBdr>
        <w:top w:val="none" w:sz="0" w:space="0" w:color="auto"/>
        <w:left w:val="none" w:sz="0" w:space="0" w:color="auto"/>
        <w:bottom w:val="none" w:sz="0" w:space="0" w:color="auto"/>
        <w:right w:val="none" w:sz="0" w:space="0" w:color="auto"/>
      </w:divBdr>
    </w:div>
    <w:div w:id="428156891">
      <w:bodyDiv w:val="1"/>
      <w:marLeft w:val="0"/>
      <w:marRight w:val="0"/>
      <w:marTop w:val="0"/>
      <w:marBottom w:val="0"/>
      <w:divBdr>
        <w:top w:val="none" w:sz="0" w:space="0" w:color="auto"/>
        <w:left w:val="none" w:sz="0" w:space="0" w:color="auto"/>
        <w:bottom w:val="none" w:sz="0" w:space="0" w:color="auto"/>
        <w:right w:val="none" w:sz="0" w:space="0" w:color="auto"/>
      </w:divBdr>
    </w:div>
    <w:div w:id="537426614">
      <w:bodyDiv w:val="1"/>
      <w:marLeft w:val="0"/>
      <w:marRight w:val="0"/>
      <w:marTop w:val="0"/>
      <w:marBottom w:val="0"/>
      <w:divBdr>
        <w:top w:val="none" w:sz="0" w:space="0" w:color="auto"/>
        <w:left w:val="none" w:sz="0" w:space="0" w:color="auto"/>
        <w:bottom w:val="none" w:sz="0" w:space="0" w:color="auto"/>
        <w:right w:val="none" w:sz="0" w:space="0" w:color="auto"/>
      </w:divBdr>
    </w:div>
    <w:div w:id="844978154">
      <w:bodyDiv w:val="1"/>
      <w:marLeft w:val="0"/>
      <w:marRight w:val="0"/>
      <w:marTop w:val="0"/>
      <w:marBottom w:val="0"/>
      <w:divBdr>
        <w:top w:val="none" w:sz="0" w:space="0" w:color="auto"/>
        <w:left w:val="none" w:sz="0" w:space="0" w:color="auto"/>
        <w:bottom w:val="none" w:sz="0" w:space="0" w:color="auto"/>
        <w:right w:val="none" w:sz="0" w:space="0" w:color="auto"/>
      </w:divBdr>
    </w:div>
    <w:div w:id="1052580797">
      <w:bodyDiv w:val="1"/>
      <w:marLeft w:val="0"/>
      <w:marRight w:val="0"/>
      <w:marTop w:val="0"/>
      <w:marBottom w:val="0"/>
      <w:divBdr>
        <w:top w:val="none" w:sz="0" w:space="0" w:color="auto"/>
        <w:left w:val="none" w:sz="0" w:space="0" w:color="auto"/>
        <w:bottom w:val="none" w:sz="0" w:space="0" w:color="auto"/>
        <w:right w:val="none" w:sz="0" w:space="0" w:color="auto"/>
      </w:divBdr>
    </w:div>
    <w:div w:id="1068965805">
      <w:bodyDiv w:val="1"/>
      <w:marLeft w:val="0"/>
      <w:marRight w:val="0"/>
      <w:marTop w:val="0"/>
      <w:marBottom w:val="0"/>
      <w:divBdr>
        <w:top w:val="none" w:sz="0" w:space="0" w:color="auto"/>
        <w:left w:val="none" w:sz="0" w:space="0" w:color="auto"/>
        <w:bottom w:val="none" w:sz="0" w:space="0" w:color="auto"/>
        <w:right w:val="none" w:sz="0" w:space="0" w:color="auto"/>
      </w:divBdr>
    </w:div>
    <w:div w:id="1191525897">
      <w:bodyDiv w:val="1"/>
      <w:marLeft w:val="0"/>
      <w:marRight w:val="0"/>
      <w:marTop w:val="0"/>
      <w:marBottom w:val="0"/>
      <w:divBdr>
        <w:top w:val="none" w:sz="0" w:space="0" w:color="auto"/>
        <w:left w:val="none" w:sz="0" w:space="0" w:color="auto"/>
        <w:bottom w:val="none" w:sz="0" w:space="0" w:color="auto"/>
        <w:right w:val="none" w:sz="0" w:space="0" w:color="auto"/>
      </w:divBdr>
    </w:div>
    <w:div w:id="1290933528">
      <w:bodyDiv w:val="1"/>
      <w:marLeft w:val="0"/>
      <w:marRight w:val="0"/>
      <w:marTop w:val="0"/>
      <w:marBottom w:val="0"/>
      <w:divBdr>
        <w:top w:val="none" w:sz="0" w:space="0" w:color="auto"/>
        <w:left w:val="none" w:sz="0" w:space="0" w:color="auto"/>
        <w:bottom w:val="none" w:sz="0" w:space="0" w:color="auto"/>
        <w:right w:val="none" w:sz="0" w:space="0" w:color="auto"/>
      </w:divBdr>
    </w:div>
    <w:div w:id="1796220101">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9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cer.gov/about-nci/organization/cgh/resear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ncer.gov/aboutnci/ncishadygrov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cer.gov/grants-training/training/at-nci/crta" TargetMode="External"/><Relationship Id="rId5" Type="http://schemas.openxmlformats.org/officeDocument/2006/relationships/numbering" Target="numbering.xml"/><Relationship Id="rId15" Type="http://schemas.openxmlformats.org/officeDocument/2006/relationships/hyperlink" Target="https://www.opm.gov/policy-data-oversight/pay-leave/salaries-wages/salary-tables/20Tables/html/DCB.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2019/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fb9a3c5a3b5ee543c5cd959340f44e70">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fed31dee5d2d90c7232d7fcb8a727de1"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5DB5C-5E73-4984-87D8-2DA466B26A85}">
  <ds:schemaRefs>
    <ds:schemaRef ds:uri="http://schemas.microsoft.com/sharepoint/v3/contenttype/forms"/>
  </ds:schemaRefs>
</ds:datastoreItem>
</file>

<file path=customXml/itemProps2.xml><?xml version="1.0" encoding="utf-8"?>
<ds:datastoreItem xmlns:ds="http://schemas.openxmlformats.org/officeDocument/2006/customXml" ds:itemID="{7B57832C-70CB-4E93-84CD-76C8563F25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18C495-67E4-4ADF-B8C8-7591B8D56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E3DE5-54F2-45D3-A428-6BA7646E6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Ward</dc:creator>
  <cp:lastModifiedBy>Abdelmouti, Tawanda (NIH/OD) [E]</cp:lastModifiedBy>
  <cp:revision>2</cp:revision>
  <cp:lastPrinted>2016-04-13T13:52:00Z</cp:lastPrinted>
  <dcterms:created xsi:type="dcterms:W3CDTF">2020-05-27T15:57:00Z</dcterms:created>
  <dcterms:modified xsi:type="dcterms:W3CDTF">2020-05-27T15:57:00Z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