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4469" w:rsidR="005453AD" w:rsidP="0065446D" w:rsidRDefault="005453AD">
      <w:pPr>
        <w:jc w:val="center"/>
        <w:rPr>
          <w:b/>
        </w:rPr>
      </w:pPr>
      <w:bookmarkStart w:name="_GoBack" w:id="0"/>
      <w:bookmarkEnd w:id="0"/>
      <w:r w:rsidRPr="00BD4469">
        <w:rPr>
          <w:b/>
        </w:rPr>
        <w:t>SUPPORTING STATEMENT</w:t>
      </w:r>
    </w:p>
    <w:p w:rsidRPr="00BD4469" w:rsidR="005453AD" w:rsidP="0065446D" w:rsidRDefault="005453AD">
      <w:pPr>
        <w:jc w:val="center"/>
        <w:rPr>
          <w:b/>
        </w:rPr>
      </w:pPr>
      <w:r w:rsidRPr="00BD4469">
        <w:rPr>
          <w:b/>
        </w:rPr>
        <w:t>Part B</w:t>
      </w: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Pr="00160C23" w:rsidR="003F4F0C" w:rsidP="003F4F0C" w:rsidRDefault="003F4F0C">
      <w:pPr>
        <w:jc w:val="center"/>
        <w:rPr>
          <w:sz w:val="28"/>
          <w:szCs w:val="28"/>
        </w:rPr>
      </w:pPr>
      <w:r w:rsidRPr="00160C23">
        <w:rPr>
          <w:i/>
          <w:sz w:val="28"/>
          <w:szCs w:val="28"/>
        </w:rPr>
        <w:t>Evaluating the Implementation of PCOR to Increase Referral, Enrollment, and Retention through Automatic Referral to Cardiac Rehabilitation (CR) with Care Coordination</w:t>
      </w: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Pr="00C4006D" w:rsidR="00FC633E" w:rsidP="0065446D" w:rsidRDefault="00D621EE">
      <w:pPr>
        <w:jc w:val="center"/>
      </w:pPr>
      <w:r w:rsidRPr="008649C4">
        <w:t xml:space="preserve">Version: </w:t>
      </w:r>
      <w:r w:rsidR="00CA24CD">
        <w:t>January 7</w:t>
      </w:r>
      <w:r>
        <w:t xml:space="preserve">, </w:t>
      </w:r>
      <w:r w:rsidR="003F4F0C">
        <w:t>2020</w:t>
      </w: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p>
    <w:p w:rsidR="005453AD" w:rsidP="0065446D" w:rsidRDefault="005453AD">
      <w:pPr>
        <w:jc w:val="center"/>
      </w:pPr>
      <w:r w:rsidRPr="00677A0B">
        <w:t>Agency of Healthcare Research and Quality (AHRQ)</w:t>
      </w:r>
    </w:p>
    <w:p w:rsidRPr="00BD4469" w:rsidR="005453AD" w:rsidP="00BD4469" w:rsidRDefault="005453AD">
      <w:pPr>
        <w:jc w:val="center"/>
        <w:rPr>
          <w:b/>
        </w:rPr>
      </w:pPr>
      <w:r>
        <w:br w:type="page"/>
      </w:r>
      <w:r w:rsidRPr="00BD4469">
        <w:rPr>
          <w:b/>
        </w:rPr>
        <w:lastRenderedPageBreak/>
        <w:t>Table of contents</w:t>
      </w:r>
    </w:p>
    <w:p w:rsidR="005453AD" w:rsidP="00FC633E" w:rsidRDefault="005453AD"/>
    <w:bookmarkStart w:name="_Toc151782198" w:id="1"/>
    <w:bookmarkStart w:name="_Toc158526234" w:id="2"/>
    <w:p w:rsidRPr="0022680F" w:rsidR="001E1FE8" w:rsidRDefault="00F41841">
      <w:pPr>
        <w:pStyle w:val="TOC1"/>
        <w:tabs>
          <w:tab w:val="right" w:leader="dot" w:pos="8630"/>
        </w:tabs>
        <w:rPr>
          <w:rFonts w:ascii="Calibri" w:hAnsi="Calibri"/>
          <w:noProof/>
          <w:sz w:val="22"/>
          <w:szCs w:val="22"/>
        </w:rPr>
      </w:pPr>
      <w:r>
        <w:fldChar w:fldCharType="begin"/>
      </w:r>
      <w:r>
        <w:instrText xml:space="preserve"> TOC \o "1-2" \h \z \u </w:instrText>
      </w:r>
      <w:r>
        <w:fldChar w:fldCharType="separate"/>
      </w:r>
      <w:hyperlink w:history="1" w:anchor="_Toc27991072">
        <w:r w:rsidRPr="0092214D" w:rsidR="001E1FE8">
          <w:rPr>
            <w:rStyle w:val="Hyperlink"/>
            <w:noProof/>
          </w:rPr>
          <w:t>B. Collections of Information Employing Statistical Methods</w:t>
        </w:r>
        <w:r w:rsidR="001E1FE8">
          <w:rPr>
            <w:noProof/>
            <w:webHidden/>
          </w:rPr>
          <w:tab/>
        </w:r>
        <w:r w:rsidR="001E1FE8">
          <w:rPr>
            <w:noProof/>
            <w:webHidden/>
          </w:rPr>
          <w:fldChar w:fldCharType="begin"/>
        </w:r>
        <w:r w:rsidR="001E1FE8">
          <w:rPr>
            <w:noProof/>
            <w:webHidden/>
          </w:rPr>
          <w:instrText xml:space="preserve"> PAGEREF _Toc27991072 \h </w:instrText>
        </w:r>
        <w:r w:rsidR="001E1FE8">
          <w:rPr>
            <w:noProof/>
            <w:webHidden/>
          </w:rPr>
        </w:r>
        <w:r w:rsidR="001E1FE8">
          <w:rPr>
            <w:noProof/>
            <w:webHidden/>
          </w:rPr>
          <w:fldChar w:fldCharType="separate"/>
        </w:r>
        <w:r w:rsidR="001E1FE8">
          <w:rPr>
            <w:noProof/>
            <w:webHidden/>
          </w:rPr>
          <w:t>3</w:t>
        </w:r>
        <w:r w:rsidR="001E1FE8">
          <w:rPr>
            <w:noProof/>
            <w:webHidden/>
          </w:rPr>
          <w:fldChar w:fldCharType="end"/>
        </w:r>
      </w:hyperlink>
    </w:p>
    <w:p w:rsidRPr="0022680F" w:rsidR="001E1FE8" w:rsidRDefault="001E1FE8">
      <w:pPr>
        <w:pStyle w:val="TOC2"/>
        <w:tabs>
          <w:tab w:val="right" w:leader="dot" w:pos="8630"/>
        </w:tabs>
        <w:rPr>
          <w:rFonts w:ascii="Calibri" w:hAnsi="Calibri"/>
          <w:noProof/>
          <w:sz w:val="22"/>
          <w:szCs w:val="22"/>
        </w:rPr>
      </w:pPr>
      <w:hyperlink w:history="1" w:anchor="_Toc27991073">
        <w:r w:rsidRPr="0092214D">
          <w:rPr>
            <w:rStyle w:val="Hyperlink"/>
            <w:noProof/>
          </w:rPr>
          <w:t>1. Respondent universe and sampling methods</w:t>
        </w:r>
        <w:r>
          <w:rPr>
            <w:noProof/>
            <w:webHidden/>
          </w:rPr>
          <w:tab/>
        </w:r>
        <w:r>
          <w:rPr>
            <w:noProof/>
            <w:webHidden/>
          </w:rPr>
          <w:fldChar w:fldCharType="begin"/>
        </w:r>
        <w:r>
          <w:rPr>
            <w:noProof/>
            <w:webHidden/>
          </w:rPr>
          <w:instrText xml:space="preserve"> PAGEREF _Toc27991073 \h </w:instrText>
        </w:r>
        <w:r>
          <w:rPr>
            <w:noProof/>
            <w:webHidden/>
          </w:rPr>
        </w:r>
        <w:r>
          <w:rPr>
            <w:noProof/>
            <w:webHidden/>
          </w:rPr>
          <w:fldChar w:fldCharType="separate"/>
        </w:r>
        <w:r>
          <w:rPr>
            <w:noProof/>
            <w:webHidden/>
          </w:rPr>
          <w:t>3</w:t>
        </w:r>
        <w:r>
          <w:rPr>
            <w:noProof/>
            <w:webHidden/>
          </w:rPr>
          <w:fldChar w:fldCharType="end"/>
        </w:r>
      </w:hyperlink>
    </w:p>
    <w:p w:rsidRPr="0022680F" w:rsidR="001E1FE8" w:rsidRDefault="001E1FE8">
      <w:pPr>
        <w:pStyle w:val="TOC2"/>
        <w:tabs>
          <w:tab w:val="right" w:leader="dot" w:pos="8630"/>
        </w:tabs>
        <w:rPr>
          <w:rFonts w:ascii="Calibri" w:hAnsi="Calibri"/>
          <w:noProof/>
          <w:sz w:val="22"/>
          <w:szCs w:val="22"/>
        </w:rPr>
      </w:pPr>
      <w:hyperlink w:history="1" w:anchor="_Toc27991074">
        <w:r w:rsidRPr="0092214D">
          <w:rPr>
            <w:rStyle w:val="Hyperlink"/>
            <w:noProof/>
          </w:rPr>
          <w:t>2. Information Collection Procedures</w:t>
        </w:r>
        <w:r>
          <w:rPr>
            <w:noProof/>
            <w:webHidden/>
          </w:rPr>
          <w:tab/>
        </w:r>
        <w:r>
          <w:rPr>
            <w:noProof/>
            <w:webHidden/>
          </w:rPr>
          <w:fldChar w:fldCharType="begin"/>
        </w:r>
        <w:r>
          <w:rPr>
            <w:noProof/>
            <w:webHidden/>
          </w:rPr>
          <w:instrText xml:space="preserve"> PAGEREF _Toc27991074 \h </w:instrText>
        </w:r>
        <w:r>
          <w:rPr>
            <w:noProof/>
            <w:webHidden/>
          </w:rPr>
        </w:r>
        <w:r>
          <w:rPr>
            <w:noProof/>
            <w:webHidden/>
          </w:rPr>
          <w:fldChar w:fldCharType="separate"/>
        </w:r>
        <w:r>
          <w:rPr>
            <w:noProof/>
            <w:webHidden/>
          </w:rPr>
          <w:t>4</w:t>
        </w:r>
        <w:r>
          <w:rPr>
            <w:noProof/>
            <w:webHidden/>
          </w:rPr>
          <w:fldChar w:fldCharType="end"/>
        </w:r>
      </w:hyperlink>
    </w:p>
    <w:p w:rsidRPr="0022680F" w:rsidR="001E1FE8" w:rsidRDefault="001E1FE8">
      <w:pPr>
        <w:pStyle w:val="TOC2"/>
        <w:tabs>
          <w:tab w:val="right" w:leader="dot" w:pos="8630"/>
        </w:tabs>
        <w:rPr>
          <w:rFonts w:ascii="Calibri" w:hAnsi="Calibri"/>
          <w:noProof/>
          <w:sz w:val="22"/>
          <w:szCs w:val="22"/>
        </w:rPr>
      </w:pPr>
      <w:hyperlink w:history="1" w:anchor="_Toc27991075">
        <w:r w:rsidRPr="0092214D">
          <w:rPr>
            <w:rStyle w:val="Hyperlink"/>
            <w:noProof/>
          </w:rPr>
          <w:t>3. Methods to Maximize Response Rates</w:t>
        </w:r>
        <w:r>
          <w:rPr>
            <w:noProof/>
            <w:webHidden/>
          </w:rPr>
          <w:tab/>
        </w:r>
        <w:r>
          <w:rPr>
            <w:noProof/>
            <w:webHidden/>
          </w:rPr>
          <w:fldChar w:fldCharType="begin"/>
        </w:r>
        <w:r>
          <w:rPr>
            <w:noProof/>
            <w:webHidden/>
          </w:rPr>
          <w:instrText xml:space="preserve"> PAGEREF _Toc27991075 \h </w:instrText>
        </w:r>
        <w:r>
          <w:rPr>
            <w:noProof/>
            <w:webHidden/>
          </w:rPr>
        </w:r>
        <w:r>
          <w:rPr>
            <w:noProof/>
            <w:webHidden/>
          </w:rPr>
          <w:fldChar w:fldCharType="separate"/>
        </w:r>
        <w:r>
          <w:rPr>
            <w:noProof/>
            <w:webHidden/>
          </w:rPr>
          <w:t>5</w:t>
        </w:r>
        <w:r>
          <w:rPr>
            <w:noProof/>
            <w:webHidden/>
          </w:rPr>
          <w:fldChar w:fldCharType="end"/>
        </w:r>
      </w:hyperlink>
    </w:p>
    <w:p w:rsidRPr="0022680F" w:rsidR="001E1FE8" w:rsidRDefault="001E1FE8">
      <w:pPr>
        <w:pStyle w:val="TOC2"/>
        <w:tabs>
          <w:tab w:val="right" w:leader="dot" w:pos="8630"/>
        </w:tabs>
        <w:rPr>
          <w:rFonts w:ascii="Calibri" w:hAnsi="Calibri"/>
          <w:noProof/>
          <w:sz w:val="22"/>
          <w:szCs w:val="22"/>
        </w:rPr>
      </w:pPr>
      <w:hyperlink w:history="1" w:anchor="_Toc27991076">
        <w:r w:rsidRPr="0092214D">
          <w:rPr>
            <w:rStyle w:val="Hyperlink"/>
            <w:noProof/>
          </w:rPr>
          <w:t>4. Tests of Procedures</w:t>
        </w:r>
        <w:r>
          <w:rPr>
            <w:noProof/>
            <w:webHidden/>
          </w:rPr>
          <w:tab/>
        </w:r>
        <w:r>
          <w:rPr>
            <w:noProof/>
            <w:webHidden/>
          </w:rPr>
          <w:fldChar w:fldCharType="begin"/>
        </w:r>
        <w:r>
          <w:rPr>
            <w:noProof/>
            <w:webHidden/>
          </w:rPr>
          <w:instrText xml:space="preserve"> PAGEREF _Toc27991076 \h </w:instrText>
        </w:r>
        <w:r>
          <w:rPr>
            <w:noProof/>
            <w:webHidden/>
          </w:rPr>
        </w:r>
        <w:r>
          <w:rPr>
            <w:noProof/>
            <w:webHidden/>
          </w:rPr>
          <w:fldChar w:fldCharType="separate"/>
        </w:r>
        <w:r>
          <w:rPr>
            <w:noProof/>
            <w:webHidden/>
          </w:rPr>
          <w:t>5</w:t>
        </w:r>
        <w:r>
          <w:rPr>
            <w:noProof/>
            <w:webHidden/>
          </w:rPr>
          <w:fldChar w:fldCharType="end"/>
        </w:r>
      </w:hyperlink>
    </w:p>
    <w:p w:rsidRPr="0022680F" w:rsidR="001E1FE8" w:rsidRDefault="001E1FE8">
      <w:pPr>
        <w:pStyle w:val="TOC2"/>
        <w:tabs>
          <w:tab w:val="right" w:leader="dot" w:pos="8630"/>
        </w:tabs>
        <w:rPr>
          <w:rFonts w:ascii="Calibri" w:hAnsi="Calibri"/>
          <w:noProof/>
          <w:sz w:val="22"/>
          <w:szCs w:val="22"/>
        </w:rPr>
      </w:pPr>
      <w:hyperlink w:history="1" w:anchor="_Toc27991077">
        <w:r w:rsidRPr="0092214D">
          <w:rPr>
            <w:rStyle w:val="Hyperlink"/>
            <w:noProof/>
          </w:rPr>
          <w:t>5. Statistical Consultants</w:t>
        </w:r>
        <w:r>
          <w:rPr>
            <w:noProof/>
            <w:webHidden/>
          </w:rPr>
          <w:tab/>
        </w:r>
        <w:r>
          <w:rPr>
            <w:noProof/>
            <w:webHidden/>
          </w:rPr>
          <w:fldChar w:fldCharType="begin"/>
        </w:r>
        <w:r>
          <w:rPr>
            <w:noProof/>
            <w:webHidden/>
          </w:rPr>
          <w:instrText xml:space="preserve"> PAGEREF _Toc27991077 \h </w:instrText>
        </w:r>
        <w:r>
          <w:rPr>
            <w:noProof/>
            <w:webHidden/>
          </w:rPr>
        </w:r>
        <w:r>
          <w:rPr>
            <w:noProof/>
            <w:webHidden/>
          </w:rPr>
          <w:fldChar w:fldCharType="separate"/>
        </w:r>
        <w:r>
          <w:rPr>
            <w:noProof/>
            <w:webHidden/>
          </w:rPr>
          <w:t>5</w:t>
        </w:r>
        <w:r>
          <w:rPr>
            <w:noProof/>
            <w:webHidden/>
          </w:rPr>
          <w:fldChar w:fldCharType="end"/>
        </w:r>
      </w:hyperlink>
    </w:p>
    <w:p w:rsidR="00874B68" w:rsidP="00874B68" w:rsidRDefault="00F41841">
      <w:r>
        <w:fldChar w:fldCharType="end"/>
      </w:r>
    </w:p>
    <w:p w:rsidR="00874B68" w:rsidP="00874B68" w:rsidRDefault="00874B68"/>
    <w:p w:rsidRPr="009214F6" w:rsidR="005453AD" w:rsidP="009214F6" w:rsidRDefault="00B43766">
      <w:pPr>
        <w:pStyle w:val="Heading1"/>
      </w:pPr>
      <w:r>
        <w:br w:type="page"/>
      </w:r>
      <w:bookmarkStart w:name="_Toc27991072" w:id="3"/>
      <w:r w:rsidRPr="009214F6" w:rsidR="005453AD">
        <w:lastRenderedPageBreak/>
        <w:t>B. Collections of Information Employing Statistical Methods</w:t>
      </w:r>
      <w:bookmarkEnd w:id="1"/>
      <w:bookmarkEnd w:id="2"/>
      <w:bookmarkEnd w:id="3"/>
    </w:p>
    <w:p w:rsidR="00AF30C3" w:rsidP="00874B68" w:rsidRDefault="00B438A9">
      <w:r>
        <w:t xml:space="preserve">The data collection </w:t>
      </w:r>
      <w:r w:rsidR="004C0347">
        <w:t xml:space="preserve">is designed </w:t>
      </w:r>
      <w:r>
        <w:t>to assess the implementation of automatic referral of eligible patients to cardiac rehabilitation</w:t>
      </w:r>
      <w:r w:rsidR="00E74377">
        <w:t xml:space="preserve"> (CR)</w:t>
      </w:r>
      <w:r>
        <w:t>, supported by care coordination, in hospitals</w:t>
      </w:r>
      <w:r w:rsidR="005C0B3E">
        <w:t xml:space="preserve"> </w:t>
      </w:r>
      <w:r w:rsidR="00146E9D">
        <w:t xml:space="preserve">that volunteer to take part in a training program that is offered free of charge by the Agency for Healthcare Research and Quality. This program and the information gathering described here are conducted in fulfillment of AHRQ’s </w:t>
      </w:r>
      <w:r w:rsidR="003F4F0C">
        <w:t>c</w:t>
      </w:r>
      <w:r w:rsidR="00146E9D">
        <w:t xml:space="preserve">ongressionally mandated obligation to disseminate Patient Centered Outcome Research produced by other agencies within the Department of Health and Human Services or by other </w:t>
      </w:r>
      <w:r w:rsidR="002E72ED">
        <w:t>entities</w:t>
      </w:r>
      <w:r w:rsidR="00146E9D">
        <w:t>, such as the Patient Centered Outcomes Research Institute.</w:t>
      </w:r>
      <w:r>
        <w:t xml:space="preserve"> </w:t>
      </w:r>
      <w:r w:rsidR="00F208A7">
        <w:t>Th</w:t>
      </w:r>
      <w:r w:rsidR="005C0B3E">
        <w:t>e</w:t>
      </w:r>
      <w:r w:rsidR="00AF30C3">
        <w:t xml:space="preserve"> project, known as TAKEheart, </w:t>
      </w:r>
      <w:r w:rsidR="00F208A7">
        <w:t xml:space="preserve">will provide </w:t>
      </w:r>
      <w:r w:rsidR="00AF30C3">
        <w:t xml:space="preserve">training and technical assistance to </w:t>
      </w:r>
      <w:r w:rsidR="00146E9D">
        <w:t>self-selected</w:t>
      </w:r>
      <w:r w:rsidR="00B43766">
        <w:t xml:space="preserve"> </w:t>
      </w:r>
      <w:r w:rsidR="00AF30C3">
        <w:t xml:space="preserve">hospitals </w:t>
      </w:r>
      <w:r w:rsidR="00B43766">
        <w:t>(a) </w:t>
      </w:r>
      <w:r w:rsidR="00146E9D">
        <w:t xml:space="preserve">seeking to </w:t>
      </w:r>
      <w:r w:rsidR="00AF30C3">
        <w:t>learn about critical steps to a successful implementation of automatic referral with care coordination, and (</w:t>
      </w:r>
      <w:r w:rsidR="00E74377">
        <w:t>b</w:t>
      </w:r>
      <w:r w:rsidR="00AF30C3">
        <w:t>) participat</w:t>
      </w:r>
      <w:r w:rsidR="00146E9D">
        <w:t>ing</w:t>
      </w:r>
      <w:r w:rsidR="00AF30C3">
        <w:t xml:space="preserve"> in didactic and peer-to-peer training to plan and implement </w:t>
      </w:r>
      <w:r w:rsidR="003F4F0C">
        <w:t>Automatic Referral with Care Coordination</w:t>
      </w:r>
      <w:r w:rsidR="00AF30C3">
        <w:t>.</w:t>
      </w:r>
    </w:p>
    <w:p w:rsidR="00B438A9" w:rsidP="00874B68" w:rsidRDefault="00E74377">
      <w:r>
        <w:t xml:space="preserve">The </w:t>
      </w:r>
      <w:r w:rsidR="00146E9D">
        <w:t xml:space="preserve">resulting </w:t>
      </w:r>
      <w:r>
        <w:t xml:space="preserve">convenience sample of hospitals is </w:t>
      </w:r>
      <w:r w:rsidRPr="00E74377">
        <w:t>not intended to be statistically representative</w:t>
      </w:r>
      <w:r>
        <w:t xml:space="preserve">. </w:t>
      </w:r>
      <w:r w:rsidR="00146E9D">
        <w:t>A limited number of hospitals will volunteer to take part in the training and very few of them</w:t>
      </w:r>
      <w:r w:rsidR="00B43766">
        <w:t xml:space="preserve"> </w:t>
      </w:r>
      <w:r>
        <w:t xml:space="preserve">will be able to provide referral data at the start of the project. Therefore, we do not intend to track, or test, </w:t>
      </w:r>
      <w:r w:rsidRPr="00E74377">
        <w:t>changes in referral rates</w:t>
      </w:r>
      <w:r>
        <w:t xml:space="preserve">. This </w:t>
      </w:r>
      <w:r w:rsidR="00146E9D">
        <w:t>data gathering</w:t>
      </w:r>
      <w:r w:rsidR="00B43766">
        <w:t xml:space="preserve"> </w:t>
      </w:r>
      <w:r>
        <w:t xml:space="preserve">is </w:t>
      </w:r>
      <w:r w:rsidRPr="00E74377">
        <w:t xml:space="preserve">not intended to provide a rigorous design to assess either the impacts of </w:t>
      </w:r>
      <w:r w:rsidR="003F4F0C">
        <w:t>Automatic Referral with Care Coordination</w:t>
      </w:r>
      <w:r>
        <w:t xml:space="preserve"> </w:t>
      </w:r>
      <w:r w:rsidRPr="00E74377">
        <w:t xml:space="preserve">or to prove </w:t>
      </w:r>
      <w:r>
        <w:t>(</w:t>
      </w:r>
      <w:r w:rsidRPr="00E74377">
        <w:t>or disprove</w:t>
      </w:r>
      <w:r>
        <w:t>)</w:t>
      </w:r>
      <w:r w:rsidRPr="00E74377">
        <w:t xml:space="preserve"> the impacts of the training</w:t>
      </w:r>
      <w:r>
        <w:t xml:space="preserve"> and </w:t>
      </w:r>
      <w:r w:rsidRPr="00E74377">
        <w:t>implementation program</w:t>
      </w:r>
      <w:r>
        <w:t xml:space="preserve">. </w:t>
      </w:r>
      <w:r w:rsidR="00B438A9">
        <w:t xml:space="preserve">The evaluation </w:t>
      </w:r>
      <w:r w:rsidR="00146E9D">
        <w:t xml:space="preserve">we are proposing </w:t>
      </w:r>
      <w:r w:rsidR="00B438A9">
        <w:t>will</w:t>
      </w:r>
      <w:r w:rsidR="00146E9D">
        <w:t xml:space="preserve"> examine reported data on implementation of automatic referral to cardiac rehabilitation supported by care coordination</w:t>
      </w:r>
      <w:r w:rsidR="00B438A9">
        <w:t xml:space="preserve"> </w:t>
      </w:r>
      <w:r w:rsidR="00146E9D">
        <w:t xml:space="preserve">and will examine </w:t>
      </w:r>
      <w:r w:rsidR="00B438A9">
        <w:t>which characteristics and sets of characteristics of hospitals and cardiac rehabilitation referral programs are associated with successful implementation</w:t>
      </w:r>
      <w:r w:rsidR="00146E9D">
        <w:t xml:space="preserve"> of </w:t>
      </w:r>
      <w:r w:rsidR="003F4F0C">
        <w:t>Automatic Referral with Care Coordination</w:t>
      </w:r>
      <w:r w:rsidR="00B438A9">
        <w:t xml:space="preserve">. </w:t>
      </w:r>
    </w:p>
    <w:p w:rsidR="005453AD" w:rsidP="009214F6" w:rsidRDefault="00BD4469">
      <w:pPr>
        <w:pStyle w:val="Heading2"/>
      </w:pPr>
      <w:bookmarkStart w:name="_Toc151782199" w:id="4"/>
      <w:bookmarkStart w:name="_Toc158526235" w:id="5"/>
      <w:bookmarkStart w:name="_Toc27991073" w:id="6"/>
      <w:r>
        <w:t xml:space="preserve">1. </w:t>
      </w:r>
      <w:r w:rsidRPr="009214F6" w:rsidR="005453AD">
        <w:t>Respondent universe and sampling methods</w:t>
      </w:r>
      <w:bookmarkEnd w:id="4"/>
      <w:bookmarkEnd w:id="5"/>
      <w:bookmarkEnd w:id="6"/>
    </w:p>
    <w:p w:rsidRPr="008B6020" w:rsidR="008B6020" w:rsidP="008B6020" w:rsidRDefault="008B6020">
      <w:pPr>
        <w:pStyle w:val="Heading3new"/>
      </w:pPr>
      <w:r>
        <w:t>Participants</w:t>
      </w:r>
    </w:p>
    <w:p w:rsidR="00633953" w:rsidP="00633953" w:rsidRDefault="00CA24CD">
      <w:r>
        <w:t xml:space="preserve">A total of 125 </w:t>
      </w:r>
      <w:r w:rsidR="00386582">
        <w:t xml:space="preserve">hospitals </w:t>
      </w:r>
      <w:r w:rsidR="00356AB1">
        <w:t>(“Partner Hospitals”)</w:t>
      </w:r>
      <w:r>
        <w:t>, across two cohorts,</w:t>
      </w:r>
      <w:r w:rsidR="00356AB1">
        <w:t xml:space="preserve"> </w:t>
      </w:r>
      <w:r w:rsidR="00386582">
        <w:t xml:space="preserve">will be recruited to </w:t>
      </w:r>
      <w:r w:rsidRPr="00356AB1" w:rsidR="00356AB1">
        <w:t xml:space="preserve">form interdisciplinary teams to automate referrals </w:t>
      </w:r>
      <w:r w:rsidR="004C0347">
        <w:t xml:space="preserve">to cardiac rehabilitation </w:t>
      </w:r>
      <w:r w:rsidRPr="00356AB1" w:rsidR="00356AB1">
        <w:t>and utilize care coordination</w:t>
      </w:r>
      <w:r w:rsidR="00356AB1">
        <w:t xml:space="preserve"> </w:t>
      </w:r>
      <w:r w:rsidR="00386582">
        <w:t xml:space="preserve">to guide patients through the referral process. We will select Partner Hospitals </w:t>
      </w:r>
      <w:r w:rsidRPr="007B1E4D" w:rsidR="00386582">
        <w:t>t</w:t>
      </w:r>
      <w:r w:rsidR="00386582">
        <w:t xml:space="preserve">o maximize diversity of hospital </w:t>
      </w:r>
      <w:r w:rsidRPr="007B1E4D" w:rsidR="00386582">
        <w:t>characteristics using a targeted, purposive recruitment approach.</w:t>
      </w:r>
      <w:r w:rsidR="00386582">
        <w:t xml:space="preserve"> </w:t>
      </w:r>
      <w:r w:rsidR="00633953">
        <w:t xml:space="preserve">The factors we will use in selection will include rural as well as urban location, cardiac event rate, and </w:t>
      </w:r>
      <w:r w:rsidRPr="007B1E4D" w:rsidR="00633953">
        <w:t>populations served (e.g., racial/ethnic mi</w:t>
      </w:r>
      <w:r w:rsidR="00633953">
        <w:t>norities)</w:t>
      </w:r>
      <w:r w:rsidRPr="007B1E4D" w:rsidR="00633953">
        <w:t xml:space="preserve">. </w:t>
      </w:r>
      <w:r w:rsidR="00633953">
        <w:t xml:space="preserve">We do not have an </w:t>
      </w:r>
      <w:r w:rsidRPr="00144E03" w:rsidR="00633953">
        <w:rPr>
          <w:i/>
        </w:rPr>
        <w:t>a prior</w:t>
      </w:r>
      <w:r w:rsidR="003F4F0C">
        <w:rPr>
          <w:i/>
        </w:rPr>
        <w:t>i</w:t>
      </w:r>
      <w:r w:rsidR="00633953">
        <w:t xml:space="preserve"> expectation about the number of hospitals which will have each characteristic. </w:t>
      </w:r>
    </w:p>
    <w:p w:rsidR="00386582" w:rsidP="009214F6" w:rsidRDefault="00386582">
      <w:r>
        <w:t xml:space="preserve">We will select hospitals with leadership that </w:t>
      </w:r>
      <w:r w:rsidR="00F208A7">
        <w:t xml:space="preserve">commit to supplying </w:t>
      </w:r>
      <w:r>
        <w:t>the technical</w:t>
      </w:r>
      <w:r w:rsidR="00F208A7">
        <w:t xml:space="preserve">, financial, and </w:t>
      </w:r>
      <w:r>
        <w:t xml:space="preserve">human resources required to implement an automatic referral system. </w:t>
      </w:r>
    </w:p>
    <w:p w:rsidR="00356AB1" w:rsidP="009214F6" w:rsidRDefault="00356AB1">
      <w:r w:rsidRPr="00356AB1">
        <w:t>Additionally, up to approximately 2</w:t>
      </w:r>
      <w:r w:rsidR="00CA24CD">
        <w:t>5</w:t>
      </w:r>
      <w:r w:rsidRPr="00356AB1">
        <w:t xml:space="preserve">0 hospitals will be identified to participate </w:t>
      </w:r>
      <w:r w:rsidR="004C0347">
        <w:t xml:space="preserve">in a </w:t>
      </w:r>
      <w:r w:rsidRPr="00356AB1">
        <w:t>Learning Community to share knowledge about their efforts to increase referral</w:t>
      </w:r>
      <w:r w:rsidR="004C0347">
        <w:t xml:space="preserve"> to cardiac rehabilitation</w:t>
      </w:r>
      <w:r w:rsidR="00DA2C43">
        <w:t xml:space="preserve"> more broadly</w:t>
      </w:r>
      <w:r w:rsidRPr="00356AB1">
        <w:t>, with a focus addressing disparities.</w:t>
      </w:r>
      <w:r w:rsidR="00F208A7">
        <w:t xml:space="preserve"> </w:t>
      </w:r>
    </w:p>
    <w:p w:rsidR="00AF3294" w:rsidP="009A5C99" w:rsidRDefault="009A5C99">
      <w:r w:rsidRPr="00CF76C2">
        <w:rPr>
          <w:u w:val="single"/>
        </w:rPr>
        <w:lastRenderedPageBreak/>
        <w:t>We make no claim that the results from this study will be generalizable</w:t>
      </w:r>
      <w:r w:rsidRPr="007B1E4D">
        <w:t xml:space="preserve">. Rather, our </w:t>
      </w:r>
      <w:r w:rsidR="00633953">
        <w:t xml:space="preserve">convenience </w:t>
      </w:r>
      <w:r w:rsidRPr="007B1E4D">
        <w:t xml:space="preserve">sample of information-rich cases will be illustrative of the kinds of barriers, facilitators and results that </w:t>
      </w:r>
      <w:r w:rsidR="001F14F6">
        <w:t xml:space="preserve">hospitals </w:t>
      </w:r>
      <w:r w:rsidRPr="007B1E4D">
        <w:t xml:space="preserve">may experience in implementing </w:t>
      </w:r>
      <w:r w:rsidR="003F4F0C">
        <w:t>Automatic Referral with Care Coordination</w:t>
      </w:r>
      <w:r w:rsidR="00AF3294">
        <w:t xml:space="preserve">. The final product will be a website </w:t>
      </w:r>
      <w:r w:rsidR="00DA2C43">
        <w:t xml:space="preserve">at </w:t>
      </w:r>
      <w:r w:rsidR="00AF3294">
        <w:t xml:space="preserve">which other hospitals can access high-quality materials and specific guidance regarding the experience of hospitals in implementing </w:t>
      </w:r>
      <w:r w:rsidR="003F4F0C">
        <w:t>Automatic Referral with Care Coordination</w:t>
      </w:r>
      <w:r w:rsidR="00AF3294">
        <w:t xml:space="preserve"> to help them in their efforts to do so. </w:t>
      </w:r>
    </w:p>
    <w:p w:rsidRPr="001D0454" w:rsidR="005453AD" w:rsidP="009214F6" w:rsidRDefault="005453AD">
      <w:pPr>
        <w:pStyle w:val="Heading2"/>
      </w:pPr>
      <w:bookmarkStart w:name="_Toc151782200" w:id="7"/>
      <w:bookmarkStart w:name="_Toc158526236" w:id="8"/>
      <w:bookmarkStart w:name="_Toc27991074" w:id="9"/>
      <w:r w:rsidRPr="001D0454">
        <w:t>2. Information Collection Procedures</w:t>
      </w:r>
      <w:bookmarkEnd w:id="7"/>
      <w:bookmarkEnd w:id="8"/>
      <w:bookmarkEnd w:id="9"/>
    </w:p>
    <w:p w:rsidR="00DE3672" w:rsidP="00DE3672" w:rsidRDefault="00DE3672">
      <w:pPr>
        <w:pStyle w:val="Heading3new"/>
      </w:pPr>
      <w:r>
        <w:t>Sample Size</w:t>
      </w:r>
    </w:p>
    <w:p w:rsidR="00DE3672" w:rsidP="00DE3672" w:rsidRDefault="00CA24CD">
      <w:r>
        <w:t xml:space="preserve">The two </w:t>
      </w:r>
      <w:r w:rsidR="00DE3672">
        <w:t>cohort</w:t>
      </w:r>
      <w:r>
        <w:t>s</w:t>
      </w:r>
      <w:r w:rsidR="00DE3672">
        <w:t xml:space="preserve"> will have </w:t>
      </w:r>
      <w:r>
        <w:t xml:space="preserve">a total of 125 </w:t>
      </w:r>
      <w:r w:rsidR="00DE3672">
        <w:t xml:space="preserve">Partner Hospitals. We will survey </w:t>
      </w:r>
      <w:r>
        <w:t>each Partner Hospital</w:t>
      </w:r>
      <w:r w:rsidR="00DE3672">
        <w:t xml:space="preserve"> twice: at month </w:t>
      </w:r>
      <w:r w:rsidR="001F14F6">
        <w:t>seven</w:t>
      </w:r>
      <w:r w:rsidR="00DE3672">
        <w:t xml:space="preserve"> and month 12 of the</w:t>
      </w:r>
      <w:r w:rsidR="00B43766">
        <w:t>ir</w:t>
      </w:r>
      <w:r w:rsidR="00DE3672">
        <w:t xml:space="preserve"> 12-month </w:t>
      </w:r>
      <w:r w:rsidR="00DA2C43">
        <w:t xml:space="preserve">participation in the </w:t>
      </w:r>
      <w:r w:rsidR="00DE3672">
        <w:t>cohort. The surveys will capture experience with the implementation at the point in time.</w:t>
      </w:r>
      <w:r w:rsidR="005B34A7">
        <w:t xml:space="preserve"> The information will provide </w:t>
      </w:r>
      <w:r w:rsidRPr="005B34A7" w:rsidR="005B34A7">
        <w:t xml:space="preserve">AHRQ </w:t>
      </w:r>
      <w:r w:rsidR="005B34A7">
        <w:t xml:space="preserve">with </w:t>
      </w:r>
      <w:r w:rsidRPr="005B34A7" w:rsidR="005B34A7">
        <w:t>information about what happened in the hospitals that took part in the program</w:t>
      </w:r>
      <w:r w:rsidR="00D43BD2">
        <w:t xml:space="preserve">. </w:t>
      </w:r>
    </w:p>
    <w:p w:rsidR="00DE3672" w:rsidP="00DE3672" w:rsidRDefault="00D43BD2">
      <w:r>
        <w:t>To further understand the experience of the Partner Hospitals, w</w:t>
      </w:r>
      <w:r w:rsidR="00DE3672">
        <w:t xml:space="preserve">e will identify </w:t>
      </w:r>
      <w:r w:rsidR="00B43766">
        <w:t xml:space="preserve">a subset of </w:t>
      </w:r>
      <w:r w:rsidR="00DE3672">
        <w:t>Partner Hospitals to participate in qualitative data collection to capture rich detail on their motivation to participate</w:t>
      </w:r>
      <w:r w:rsidR="001F14F6">
        <w:t xml:space="preserve"> in TAKEheart</w:t>
      </w:r>
      <w:r w:rsidR="00DE3672">
        <w:t xml:space="preserve">, the context-specific implementation strategies they used to implement </w:t>
      </w:r>
      <w:r w:rsidR="003F4F0C">
        <w:t>Automatic Referral with Care Coordination</w:t>
      </w:r>
      <w:r w:rsidR="00DE3672">
        <w:t>, and how cardiologists participated in</w:t>
      </w:r>
      <w:r w:rsidR="001F14F6">
        <w:t>,</w:t>
      </w:r>
      <w:r w:rsidR="00DE3672">
        <w:t xml:space="preserve"> and responded to</w:t>
      </w:r>
      <w:r w:rsidR="001F14F6">
        <w:t>,</w:t>
      </w:r>
      <w:r w:rsidR="00DE3672">
        <w:t xml:space="preserve"> the intervention.</w:t>
      </w:r>
    </w:p>
    <w:p w:rsidR="00DE3672" w:rsidP="00DE3672" w:rsidRDefault="00DE3672">
      <w:pPr>
        <w:numPr>
          <w:ilvl w:val="0"/>
          <w:numId w:val="24"/>
        </w:numPr>
      </w:pPr>
      <w:r w:rsidRPr="008B6020">
        <w:rPr>
          <w:b/>
        </w:rPr>
        <w:t>Interviews with Partner Hospital Champions.</w:t>
      </w:r>
      <w:r>
        <w:t xml:space="preserve"> We will choose </w:t>
      </w:r>
      <w:r w:rsidR="00EA1F32">
        <w:t>eight</w:t>
      </w:r>
      <w:r>
        <w:t xml:space="preserve"> hospitals in each cohort </w:t>
      </w:r>
      <w:r w:rsidR="00EA1F32">
        <w:t xml:space="preserve">which demonstrated a strong interest in addressing underserved populations or reducing disparities in participation in cardiac </w:t>
      </w:r>
      <w:r w:rsidR="001E1FE8">
        <w:t>rehabilitation</w:t>
      </w:r>
      <w:r w:rsidDel="00EA1F32" w:rsidR="001E1FE8">
        <w:t xml:space="preserve"> </w:t>
      </w:r>
      <w:r w:rsidR="001E1FE8">
        <w:t>to</w:t>
      </w:r>
      <w:r>
        <w:t xml:space="preserve"> participate in interviews with the Champion. </w:t>
      </w:r>
    </w:p>
    <w:p w:rsidR="00DE3672" w:rsidP="00DE3672" w:rsidRDefault="00DE3672">
      <w:pPr>
        <w:numPr>
          <w:ilvl w:val="0"/>
          <w:numId w:val="24"/>
        </w:numPr>
      </w:pPr>
      <w:r>
        <w:rPr>
          <w:b/>
        </w:rPr>
        <w:t>Interviews with cardiologists.</w:t>
      </w:r>
      <w:r>
        <w:t xml:space="preserve"> We will choose eight hospitals in each cohort (a)</w:t>
      </w:r>
      <w:r w:rsidR="001F14F6">
        <w:t> </w:t>
      </w:r>
      <w:r>
        <w:t xml:space="preserve">with a characteristic of particular interest to AHRQ and (b) which have been engaged in training and technical assistance, to participate in interviews with cardiologists who are not in a leadership </w:t>
      </w:r>
      <w:r w:rsidR="00CF76C2">
        <w:t>role to</w:t>
      </w:r>
      <w:r w:rsidR="004C0347">
        <w:t xml:space="preserve"> understand their experience with the hospital implementing </w:t>
      </w:r>
      <w:r w:rsidR="003F4F0C">
        <w:t>Automatic Referral with Care Coordination</w:t>
      </w:r>
      <w:r>
        <w:t xml:space="preserve">. </w:t>
      </w:r>
    </w:p>
    <w:p w:rsidR="00DE3672" w:rsidP="00D43BD2" w:rsidRDefault="00D43BD2">
      <w:pPr>
        <w:numPr>
          <w:ilvl w:val="0"/>
          <w:numId w:val="24"/>
        </w:numPr>
      </w:pPr>
      <w:r>
        <w:rPr>
          <w:b/>
        </w:rPr>
        <w:t xml:space="preserve">Interviews with Partner Hospitals that withdraw. </w:t>
      </w:r>
      <w:r w:rsidR="00DE3672">
        <w:t xml:space="preserve">We anticipate that a small number of Partner Hospitals will withdraw from the </w:t>
      </w:r>
      <w:r>
        <w:t>project</w:t>
      </w:r>
      <w:r w:rsidR="00DE3672">
        <w:t>. We will request a brief interview</w:t>
      </w:r>
      <w:r>
        <w:t xml:space="preserve"> to understand their motivation for participating and reasons for withdrawing</w:t>
      </w:r>
      <w:r w:rsidR="00DE3672">
        <w:t>.</w:t>
      </w:r>
    </w:p>
    <w:p w:rsidR="00D43BD2" w:rsidP="00D43BD2" w:rsidRDefault="00D43BD2">
      <w:r>
        <w:t xml:space="preserve">We will survey </w:t>
      </w:r>
      <w:r w:rsidR="00CA24CD">
        <w:t>all 2</w:t>
      </w:r>
      <w:r>
        <w:t xml:space="preserve">50 Learning Community hospitals at two points in time: after the first six months of Learning Community </w:t>
      </w:r>
      <w:r w:rsidR="00B43766">
        <w:t xml:space="preserve">activity </w:t>
      </w:r>
      <w:r>
        <w:t xml:space="preserve">and the end of the Learning Community activities. The surveys will capture information about the quality and usefulness of the activities they engaged in. </w:t>
      </w:r>
    </w:p>
    <w:p w:rsidR="00EA1F32" w:rsidP="00EA1F32" w:rsidRDefault="00EA1F32">
      <w:r>
        <w:t xml:space="preserve">We will additionally perform a follow-up survey two months after each of ten peer-to-peer </w:t>
      </w:r>
      <w:r w:rsidR="00833A07">
        <w:t>virtual meetings</w:t>
      </w:r>
      <w:r>
        <w:t xml:space="preserve">, with up to 15 Learning Community </w:t>
      </w:r>
      <w:r w:rsidR="00833A07">
        <w:t xml:space="preserve">participants </w:t>
      </w:r>
      <w:r>
        <w:t xml:space="preserve">in each survey, to </w:t>
      </w:r>
      <w:r>
        <w:lastRenderedPageBreak/>
        <w:t>ascertain whether the hospitals were able to act on what they learned during the session. The total sample will be 150 Learning Community hospitals.</w:t>
      </w:r>
    </w:p>
    <w:p w:rsidRPr="001D0454" w:rsidR="005453AD" w:rsidP="009214F6" w:rsidRDefault="005453AD">
      <w:pPr>
        <w:pStyle w:val="Heading2"/>
      </w:pPr>
      <w:bookmarkStart w:name="_Toc151782201" w:id="10"/>
      <w:bookmarkStart w:name="_Toc158526237" w:id="11"/>
      <w:bookmarkStart w:name="_Toc27991075" w:id="12"/>
      <w:r w:rsidRPr="001D0454">
        <w:t>3. Methods to Maximize Response Rates</w:t>
      </w:r>
      <w:bookmarkEnd w:id="10"/>
      <w:bookmarkEnd w:id="11"/>
      <w:bookmarkEnd w:id="12"/>
    </w:p>
    <w:p w:rsidR="00946150" w:rsidP="00946150" w:rsidRDefault="00946150">
      <w:r>
        <w:t xml:space="preserve">Partner Hospitals will have agreed to participate in the evaluation, and will </w:t>
      </w:r>
      <w:r w:rsidR="001F14F6">
        <w:t>expect to be surveyed</w:t>
      </w:r>
      <w:r>
        <w:t xml:space="preserve"> </w:t>
      </w:r>
      <w:r w:rsidR="001F14F6">
        <w:t xml:space="preserve">twice </w:t>
      </w:r>
      <w:r>
        <w:t xml:space="preserve">during their 12 months of involvement. Additionally, most Partner Hospitals will engage in technical assistance in addition to webinar training, so will have a relationship with </w:t>
      </w:r>
      <w:r w:rsidR="00401A47">
        <w:t>a</w:t>
      </w:r>
      <w:r>
        <w:t xml:space="preserve"> </w:t>
      </w:r>
      <w:r w:rsidR="004D4419">
        <w:t>coach</w:t>
      </w:r>
      <w:r>
        <w:t>, who will promote the survey. Therefore, we anticipate a</w:t>
      </w:r>
      <w:r w:rsidR="00DA2C43">
        <w:t xml:space="preserve"> </w:t>
      </w:r>
      <w:r>
        <w:t xml:space="preserve">90% cooperation rate </w:t>
      </w:r>
      <w:r w:rsidR="001F14F6">
        <w:t xml:space="preserve">for the survey of </w:t>
      </w:r>
      <w:r>
        <w:t>Partner Hospital</w:t>
      </w:r>
      <w:r w:rsidR="001F14F6">
        <w:t xml:space="preserve"> Champion</w:t>
      </w:r>
      <w:r>
        <w:t xml:space="preserve">s. </w:t>
      </w:r>
    </w:p>
    <w:p w:rsidR="00946150" w:rsidP="00946150" w:rsidRDefault="00946150">
      <w:r>
        <w:t>Learning Community hospitals will not have agreed to participate in the evaluation. Therefore, the Learning Community survey</w:t>
      </w:r>
      <w:r w:rsidR="00EA1F32">
        <w:t>s</w:t>
      </w:r>
      <w:r>
        <w:t xml:space="preserve"> will be quite brief, focusing on the most salient information. We anticipate that the TAKEheart initiative will have positive connot</w:t>
      </w:r>
      <w:r w:rsidR="001F14F6">
        <w:t>ations for them, so we expect a</w:t>
      </w:r>
      <w:r w:rsidR="00CA24CD">
        <w:t>n</w:t>
      </w:r>
      <w:r>
        <w:t xml:space="preserve"> 80% response rate. </w:t>
      </w:r>
    </w:p>
    <w:p w:rsidRPr="00A265FD" w:rsidR="005453AD" w:rsidP="009214F6" w:rsidRDefault="005453AD">
      <w:pPr>
        <w:pStyle w:val="Heading2"/>
      </w:pPr>
      <w:bookmarkStart w:name="_Toc151782202" w:id="13"/>
      <w:bookmarkStart w:name="_Toc158526238" w:id="14"/>
      <w:bookmarkStart w:name="_Toc27991076" w:id="15"/>
      <w:r w:rsidRPr="001D0454">
        <w:t>4. Tests of Procedures</w:t>
      </w:r>
      <w:bookmarkStart w:name="_Toc151782203" w:id="16"/>
      <w:bookmarkStart w:name="_Toc158526239" w:id="17"/>
      <w:bookmarkEnd w:id="13"/>
      <w:bookmarkEnd w:id="14"/>
      <w:bookmarkEnd w:id="15"/>
    </w:p>
    <w:p w:rsidRPr="00533730" w:rsidR="001D25AB" w:rsidP="00621BB6" w:rsidRDefault="001D25AB">
      <w:r>
        <w:t xml:space="preserve">The data collection protocols are designed to capture the unique experiences Partner Hospitals will have implementing </w:t>
      </w:r>
      <w:r w:rsidR="003F4F0C">
        <w:t>Automatic Referral with Care Coordination</w:t>
      </w:r>
      <w:r w:rsidR="00D43BD2">
        <w:t xml:space="preserve"> and Learning Community hospitals will have learning techniques to improve referral rates</w:t>
      </w:r>
      <w:r>
        <w:t xml:space="preserve">. In order to establish the face and content validity of the protocols, </w:t>
      </w:r>
      <w:r w:rsidR="00621BB6">
        <w:t xml:space="preserve">the constructs were reviewed by our </w:t>
      </w:r>
      <w:r w:rsidR="00DA2C43">
        <w:t xml:space="preserve">technical expert panel (TEP) </w:t>
      </w:r>
      <w:r w:rsidR="00621BB6">
        <w:t xml:space="preserve">(see listing in Supporting Statement Part A) and the tools </w:t>
      </w:r>
      <w:r>
        <w:t xml:space="preserve">were reviewed </w:t>
      </w:r>
      <w:r w:rsidRPr="00533730">
        <w:t xml:space="preserve">by the </w:t>
      </w:r>
      <w:r>
        <w:t>Training and Technical Assistan</w:t>
      </w:r>
      <w:r w:rsidR="00621BB6">
        <w:t>c</w:t>
      </w:r>
      <w:r>
        <w:t>e lead</w:t>
      </w:r>
      <w:r w:rsidR="00DA2C43">
        <w:t xml:space="preserve"> for the project</w:t>
      </w:r>
      <w:r>
        <w:t>.</w:t>
      </w:r>
    </w:p>
    <w:p w:rsidR="00773AE5" w:rsidP="00F34C93" w:rsidRDefault="00621BB6">
      <w:r>
        <w:t xml:space="preserve">We will work with the recruitment team to identify hospitals </w:t>
      </w:r>
      <w:r w:rsidR="00DA2C43">
        <w:t xml:space="preserve">that </w:t>
      </w:r>
      <w:r>
        <w:t xml:space="preserve">will be willing to pilot test the tools. Pilot testing will identify any areas of confusion where language needs to be clarified. Pilot testing will also determine whether the time required to complete a survey is longer than intended, so surveys must be shortened to limit the burden on respondents. </w:t>
      </w:r>
    </w:p>
    <w:p w:rsidR="005453AD" w:rsidP="00B438A9" w:rsidRDefault="005453AD">
      <w:pPr>
        <w:pStyle w:val="Heading2"/>
      </w:pPr>
      <w:bookmarkStart w:name="_Toc27991077" w:id="18"/>
      <w:r w:rsidRPr="001D0454">
        <w:t>5. Statistical Consultants</w:t>
      </w:r>
      <w:bookmarkEnd w:id="16"/>
      <w:bookmarkEnd w:id="17"/>
      <w:bookmarkEnd w:id="18"/>
    </w:p>
    <w:p w:rsidR="00946150" w:rsidP="00946150" w:rsidRDefault="00946150">
      <w:r w:rsidRPr="00D06F24">
        <w:t>Abt Associates is the contract</w:t>
      </w:r>
      <w:r>
        <w:t xml:space="preserve">or which will develop </w:t>
      </w:r>
      <w:r w:rsidRPr="00D06F24">
        <w:t xml:space="preserve">data collection </w:t>
      </w:r>
      <w:r>
        <w:t xml:space="preserve">tools and perform all </w:t>
      </w:r>
      <w:r w:rsidRPr="00D06F24">
        <w:t>analysis on behalf of AHRQ.</w:t>
      </w:r>
      <w:r>
        <w:t xml:space="preserve"> </w:t>
      </w:r>
      <w:r w:rsidRPr="00D06F24">
        <w:t xml:space="preserve">The professionals from Abt Associates have over 40 years of experience providing high quality, timely and cost effective </w:t>
      </w:r>
      <w:r>
        <w:t xml:space="preserve">data collection </w:t>
      </w:r>
      <w:r w:rsidRPr="00D06F24">
        <w:t>for federal</w:t>
      </w:r>
      <w:r>
        <w:t xml:space="preserve"> agencies. </w:t>
      </w:r>
      <w:r w:rsidRPr="007B566A">
        <w:t>Abt Associates employs many statisticians, economists and experienced research methodologists. Statistician and health economist Lauren Olsho, Ph.D., from Abt Associates, reviewed the proposed statistical analyses. Dr. Olsho has designed several rigorous, practice-based research studies for AHRQ and other federal agencies. She is available should any questions regarding the statistical analyses for this project arise.</w:t>
      </w:r>
      <w:r>
        <w:t xml:space="preserve"> </w:t>
      </w:r>
      <w:r w:rsidRPr="00305FB8">
        <w:t>The key</w:t>
      </w:r>
      <w:r w:rsidRPr="00D06F24">
        <w:t xml:space="preserve"> </w:t>
      </w:r>
      <w:r>
        <w:t xml:space="preserve">project </w:t>
      </w:r>
      <w:r w:rsidRPr="00D06F24">
        <w:t>contact at Abt Associates is</w:t>
      </w:r>
      <w:r>
        <w:t xml:space="preserve"> Cynthia Klein. </w:t>
      </w:r>
    </w:p>
    <w:p w:rsidR="00946150" w:rsidP="00946150" w:rsidRDefault="00946150">
      <w:r>
        <w:t xml:space="preserve">Key contact information for Cynthia Klein is provided below: </w:t>
      </w:r>
    </w:p>
    <w:p w:rsidR="00946150" w:rsidP="00946150" w:rsidRDefault="00946150">
      <w:pPr>
        <w:spacing w:after="0"/>
        <w:ind w:left="720"/>
      </w:pPr>
      <w:r>
        <w:t xml:space="preserve">Cynthia Klein, PhD, Principal Associate </w:t>
      </w:r>
    </w:p>
    <w:p w:rsidR="00946150" w:rsidP="00946150" w:rsidRDefault="001A18EA">
      <w:pPr>
        <w:spacing w:after="0"/>
        <w:ind w:left="720"/>
      </w:pPr>
      <w:r>
        <w:t>2200 Century Parkway, Suite 950</w:t>
      </w:r>
    </w:p>
    <w:p w:rsidR="00946150" w:rsidP="00946150" w:rsidRDefault="001A18EA">
      <w:pPr>
        <w:spacing w:after="0"/>
        <w:ind w:left="720"/>
      </w:pPr>
      <w:r>
        <w:lastRenderedPageBreak/>
        <w:t>Atlanta, GA 30345</w:t>
      </w:r>
    </w:p>
    <w:p w:rsidR="00946150" w:rsidP="00946150" w:rsidRDefault="00946150">
      <w:pPr>
        <w:spacing w:after="0"/>
        <w:ind w:left="720"/>
      </w:pPr>
      <w:r>
        <w:t>Office:</w:t>
      </w:r>
      <w:r w:rsidR="00F208A7">
        <w:t xml:space="preserve"> </w:t>
      </w:r>
      <w:r w:rsidRPr="00946150">
        <w:t>404</w:t>
      </w:r>
      <w:r>
        <w:t>-</w:t>
      </w:r>
      <w:r w:rsidRPr="00946150">
        <w:t xml:space="preserve">946-6310 </w:t>
      </w:r>
    </w:p>
    <w:p w:rsidRPr="00F34C93" w:rsidR="00B438A9" w:rsidP="00946150" w:rsidRDefault="00946150">
      <w:pPr>
        <w:spacing w:after="0"/>
        <w:ind w:left="720"/>
      </w:pPr>
      <w:r>
        <w:t xml:space="preserve">Email: </w:t>
      </w:r>
      <w:r w:rsidR="00B43766">
        <w:t>cynthia_klein</w:t>
      </w:r>
      <w:r w:rsidR="00C44EF3">
        <w:t>@abtassoc.com</w:t>
      </w:r>
      <w:r w:rsidRPr="00F34C93" w:rsidR="00C44EF3">
        <w:t xml:space="preserve"> </w:t>
      </w:r>
    </w:p>
    <w:sectPr w:rsidRPr="00F34C93" w:rsidR="00B438A9" w:rsidSect="00874B68">
      <w:footerReference w:type="even" r:id="rId8"/>
      <w:footerReference w:type="default" r:id="rId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74" w:rsidRDefault="00862974">
      <w:r>
        <w:separator/>
      </w:r>
    </w:p>
  </w:endnote>
  <w:endnote w:type="continuationSeparator" w:id="0">
    <w:p w:rsidR="00862974" w:rsidRDefault="0086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93" w:rsidRDefault="00F34C93"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C93" w:rsidRDefault="00F3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93" w:rsidRDefault="00F34C93" w:rsidP="00874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416">
      <w:rPr>
        <w:rStyle w:val="PageNumber"/>
        <w:noProof/>
      </w:rPr>
      <w:t>2</w:t>
    </w:r>
    <w:r>
      <w:rPr>
        <w:rStyle w:val="PageNumber"/>
      </w:rPr>
      <w:fldChar w:fldCharType="end"/>
    </w:r>
  </w:p>
  <w:p w:rsidR="00F34C93" w:rsidRDefault="00F3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74" w:rsidRDefault="00862974">
      <w:r>
        <w:separator/>
      </w:r>
    </w:p>
  </w:footnote>
  <w:footnote w:type="continuationSeparator" w:id="0">
    <w:p w:rsidR="00862974" w:rsidRDefault="00862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C76"/>
    <w:multiLevelType w:val="hybridMultilevel"/>
    <w:tmpl w:val="F66E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581F"/>
    <w:multiLevelType w:val="hybridMultilevel"/>
    <w:tmpl w:val="9BF6CFB6"/>
    <w:lvl w:ilvl="0" w:tplc="156AFA88">
      <w:start w:val="1"/>
      <w:numFmt w:val="decimal"/>
      <w:pStyle w:val="ExhibitTitle"/>
      <w:lvlText w:val="Exhibit %1."/>
      <w:lvlJc w:val="left"/>
      <w:pPr>
        <w:ind w:left="720" w:hanging="360"/>
      </w:pPr>
      <w:rPr>
        <w:rFonts w:ascii="Times New Roman Bold" w:hAnsi="Times New Roman Bold"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01F1"/>
    <w:multiLevelType w:val="hybridMultilevel"/>
    <w:tmpl w:val="5CE2E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50675"/>
    <w:multiLevelType w:val="hybridMultilevel"/>
    <w:tmpl w:val="E2D0C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C56C2"/>
    <w:multiLevelType w:val="multilevel"/>
    <w:tmpl w:val="38BE31BE"/>
    <w:lvl w:ilvl="0">
      <w:start w:val="1"/>
      <w:numFmt w:val="bullet"/>
      <w:lvlRestart w:val="0"/>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cs="Arial"/>
        <w:color w:val="auto"/>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1C4046"/>
    <w:multiLevelType w:val="hybridMultilevel"/>
    <w:tmpl w:val="58146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63FF"/>
    <w:multiLevelType w:val="hybridMultilevel"/>
    <w:tmpl w:val="9AA64932"/>
    <w:lvl w:ilvl="0" w:tplc="907A3F54">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9651E"/>
    <w:multiLevelType w:val="hybridMultilevel"/>
    <w:tmpl w:val="F9A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F169D"/>
    <w:multiLevelType w:val="hybridMultilevel"/>
    <w:tmpl w:val="7AC4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7429"/>
    <w:multiLevelType w:val="hybridMultilevel"/>
    <w:tmpl w:val="2520A19C"/>
    <w:lvl w:ilvl="0" w:tplc="04090001">
      <w:start w:val="1"/>
      <w:numFmt w:val="bullet"/>
      <w:lvlText w:val=""/>
      <w:lvlJc w:val="left"/>
      <w:pPr>
        <w:tabs>
          <w:tab w:val="num" w:pos="720"/>
        </w:tabs>
        <w:ind w:left="720" w:hanging="360"/>
      </w:pPr>
      <w:rPr>
        <w:rFonts w:ascii="Symbol" w:hAnsi="Symbol" w:hint="default"/>
      </w:rPr>
    </w:lvl>
    <w:lvl w:ilvl="1" w:tplc="9476FDDC">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DC38149C" w:tentative="1">
      <w:start w:val="1"/>
      <w:numFmt w:val="bullet"/>
      <w:lvlText w:val="-"/>
      <w:lvlJc w:val="left"/>
      <w:pPr>
        <w:tabs>
          <w:tab w:val="num" w:pos="2880"/>
        </w:tabs>
        <w:ind w:left="2880" w:hanging="360"/>
      </w:pPr>
      <w:rPr>
        <w:rFonts w:ascii="Calibri" w:hAnsi="Calibri" w:hint="default"/>
      </w:rPr>
    </w:lvl>
    <w:lvl w:ilvl="4" w:tplc="1F44DA8E" w:tentative="1">
      <w:start w:val="1"/>
      <w:numFmt w:val="bullet"/>
      <w:lvlText w:val="-"/>
      <w:lvlJc w:val="left"/>
      <w:pPr>
        <w:tabs>
          <w:tab w:val="num" w:pos="3600"/>
        </w:tabs>
        <w:ind w:left="3600" w:hanging="360"/>
      </w:pPr>
      <w:rPr>
        <w:rFonts w:ascii="Calibri" w:hAnsi="Calibri" w:hint="default"/>
      </w:rPr>
    </w:lvl>
    <w:lvl w:ilvl="5" w:tplc="33443FAC" w:tentative="1">
      <w:start w:val="1"/>
      <w:numFmt w:val="bullet"/>
      <w:lvlText w:val="-"/>
      <w:lvlJc w:val="left"/>
      <w:pPr>
        <w:tabs>
          <w:tab w:val="num" w:pos="4320"/>
        </w:tabs>
        <w:ind w:left="4320" w:hanging="360"/>
      </w:pPr>
      <w:rPr>
        <w:rFonts w:ascii="Calibri" w:hAnsi="Calibri" w:hint="default"/>
      </w:rPr>
    </w:lvl>
    <w:lvl w:ilvl="6" w:tplc="F73C6BA0" w:tentative="1">
      <w:start w:val="1"/>
      <w:numFmt w:val="bullet"/>
      <w:lvlText w:val="-"/>
      <w:lvlJc w:val="left"/>
      <w:pPr>
        <w:tabs>
          <w:tab w:val="num" w:pos="5040"/>
        </w:tabs>
        <w:ind w:left="5040" w:hanging="360"/>
      </w:pPr>
      <w:rPr>
        <w:rFonts w:ascii="Calibri" w:hAnsi="Calibri" w:hint="default"/>
      </w:rPr>
    </w:lvl>
    <w:lvl w:ilvl="7" w:tplc="632AD528" w:tentative="1">
      <w:start w:val="1"/>
      <w:numFmt w:val="bullet"/>
      <w:lvlText w:val="-"/>
      <w:lvlJc w:val="left"/>
      <w:pPr>
        <w:tabs>
          <w:tab w:val="num" w:pos="5760"/>
        </w:tabs>
        <w:ind w:left="5760" w:hanging="360"/>
      </w:pPr>
      <w:rPr>
        <w:rFonts w:ascii="Calibri" w:hAnsi="Calibri" w:hint="default"/>
      </w:rPr>
    </w:lvl>
    <w:lvl w:ilvl="8" w:tplc="DD189E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4902123A"/>
    <w:multiLevelType w:val="hybridMultilevel"/>
    <w:tmpl w:val="F55A3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B3B68"/>
    <w:multiLevelType w:val="hybridMultilevel"/>
    <w:tmpl w:val="721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2179F"/>
    <w:multiLevelType w:val="hybridMultilevel"/>
    <w:tmpl w:val="DAC4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20DC6"/>
    <w:multiLevelType w:val="hybridMultilevel"/>
    <w:tmpl w:val="2E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24729"/>
    <w:multiLevelType w:val="hybridMultilevel"/>
    <w:tmpl w:val="211C7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A66D3"/>
    <w:multiLevelType w:val="hybridMultilevel"/>
    <w:tmpl w:val="EAECE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646E50"/>
    <w:multiLevelType w:val="hybridMultilevel"/>
    <w:tmpl w:val="90D6C660"/>
    <w:lvl w:ilvl="0" w:tplc="3F5AD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F2AE3"/>
    <w:multiLevelType w:val="hybridMultilevel"/>
    <w:tmpl w:val="27507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B738F"/>
    <w:multiLevelType w:val="hybridMultilevel"/>
    <w:tmpl w:val="0160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4498E"/>
    <w:multiLevelType w:val="hybridMultilevel"/>
    <w:tmpl w:val="4DE24B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4"/>
  </w:num>
  <w:num w:numId="6">
    <w:abstractNumId w:val="17"/>
  </w:num>
  <w:num w:numId="7">
    <w:abstractNumId w:val="6"/>
  </w:num>
  <w:num w:numId="8">
    <w:abstractNumId w:val="12"/>
  </w:num>
  <w:num w:numId="9">
    <w:abstractNumId w:val="19"/>
  </w:num>
  <w:num w:numId="10">
    <w:abstractNumId w:val="20"/>
  </w:num>
  <w:num w:numId="11">
    <w:abstractNumId w:val="0"/>
  </w:num>
  <w:num w:numId="12">
    <w:abstractNumId w:val="22"/>
  </w:num>
  <w:num w:numId="13">
    <w:abstractNumId w:val="11"/>
  </w:num>
  <w:num w:numId="14">
    <w:abstractNumId w:val="3"/>
  </w:num>
  <w:num w:numId="15">
    <w:abstractNumId w:val="5"/>
  </w:num>
  <w:num w:numId="16">
    <w:abstractNumId w:val="24"/>
  </w:num>
  <w:num w:numId="17">
    <w:abstractNumId w:val="15"/>
  </w:num>
  <w:num w:numId="18">
    <w:abstractNumId w:val="2"/>
  </w:num>
  <w:num w:numId="19">
    <w:abstractNumId w:val="23"/>
  </w:num>
  <w:num w:numId="20">
    <w:abstractNumId w:val="8"/>
  </w:num>
  <w:num w:numId="21">
    <w:abstractNumId w:val="16"/>
  </w:num>
  <w:num w:numId="22">
    <w:abstractNumId w:val="7"/>
  </w:num>
  <w:num w:numId="23">
    <w:abstractNumId w:val="13"/>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D"/>
    <w:rsid w:val="000028E6"/>
    <w:rsid w:val="00003726"/>
    <w:rsid w:val="00007C23"/>
    <w:rsid w:val="0001418A"/>
    <w:rsid w:val="00022B2F"/>
    <w:rsid w:val="00023905"/>
    <w:rsid w:val="0002688B"/>
    <w:rsid w:val="00027931"/>
    <w:rsid w:val="000375C3"/>
    <w:rsid w:val="00040D98"/>
    <w:rsid w:val="0004144A"/>
    <w:rsid w:val="00042F92"/>
    <w:rsid w:val="00050229"/>
    <w:rsid w:val="0005063A"/>
    <w:rsid w:val="00053B30"/>
    <w:rsid w:val="00064732"/>
    <w:rsid w:val="000733EB"/>
    <w:rsid w:val="000811CC"/>
    <w:rsid w:val="0008338A"/>
    <w:rsid w:val="00084D1F"/>
    <w:rsid w:val="000A3642"/>
    <w:rsid w:val="000B246F"/>
    <w:rsid w:val="000B2925"/>
    <w:rsid w:val="000B51D2"/>
    <w:rsid w:val="000C052D"/>
    <w:rsid w:val="000C26A4"/>
    <w:rsid w:val="000C273C"/>
    <w:rsid w:val="000D68E0"/>
    <w:rsid w:val="000E5B21"/>
    <w:rsid w:val="000F1C4B"/>
    <w:rsid w:val="00117FBF"/>
    <w:rsid w:val="001277A0"/>
    <w:rsid w:val="00133642"/>
    <w:rsid w:val="0013418E"/>
    <w:rsid w:val="0013500F"/>
    <w:rsid w:val="00144014"/>
    <w:rsid w:val="00144E03"/>
    <w:rsid w:val="00146E9D"/>
    <w:rsid w:val="00160B30"/>
    <w:rsid w:val="001623B4"/>
    <w:rsid w:val="00172665"/>
    <w:rsid w:val="001826BD"/>
    <w:rsid w:val="00184281"/>
    <w:rsid w:val="001914B6"/>
    <w:rsid w:val="00193D98"/>
    <w:rsid w:val="001961A5"/>
    <w:rsid w:val="001A18EA"/>
    <w:rsid w:val="001A5FF7"/>
    <w:rsid w:val="001B5D6F"/>
    <w:rsid w:val="001C3D9E"/>
    <w:rsid w:val="001C78FD"/>
    <w:rsid w:val="001D25AB"/>
    <w:rsid w:val="001E1FE8"/>
    <w:rsid w:val="001F14F6"/>
    <w:rsid w:val="001F5E2E"/>
    <w:rsid w:val="00202661"/>
    <w:rsid w:val="0020740B"/>
    <w:rsid w:val="00220C60"/>
    <w:rsid w:val="00222258"/>
    <w:rsid w:val="00224620"/>
    <w:rsid w:val="0022680F"/>
    <w:rsid w:val="00227016"/>
    <w:rsid w:val="002343F0"/>
    <w:rsid w:val="0023595D"/>
    <w:rsid w:val="00240615"/>
    <w:rsid w:val="00243021"/>
    <w:rsid w:val="00250F6D"/>
    <w:rsid w:val="00255367"/>
    <w:rsid w:val="00260A01"/>
    <w:rsid w:val="00262FCA"/>
    <w:rsid w:val="00265C70"/>
    <w:rsid w:val="00266D37"/>
    <w:rsid w:val="00274E60"/>
    <w:rsid w:val="00277CEA"/>
    <w:rsid w:val="002837E3"/>
    <w:rsid w:val="002A5262"/>
    <w:rsid w:val="002B0F78"/>
    <w:rsid w:val="002B51BE"/>
    <w:rsid w:val="002E72ED"/>
    <w:rsid w:val="002F344F"/>
    <w:rsid w:val="003004BA"/>
    <w:rsid w:val="00307CE1"/>
    <w:rsid w:val="00314B99"/>
    <w:rsid w:val="0031502F"/>
    <w:rsid w:val="00325BC9"/>
    <w:rsid w:val="003338AE"/>
    <w:rsid w:val="00353007"/>
    <w:rsid w:val="00356AB1"/>
    <w:rsid w:val="00365067"/>
    <w:rsid w:val="00367D62"/>
    <w:rsid w:val="00381C57"/>
    <w:rsid w:val="00383034"/>
    <w:rsid w:val="00384745"/>
    <w:rsid w:val="00386582"/>
    <w:rsid w:val="00393005"/>
    <w:rsid w:val="00396B62"/>
    <w:rsid w:val="003B376A"/>
    <w:rsid w:val="003B3C70"/>
    <w:rsid w:val="003B7C56"/>
    <w:rsid w:val="003C1C77"/>
    <w:rsid w:val="003C3103"/>
    <w:rsid w:val="003C312C"/>
    <w:rsid w:val="003C6E1D"/>
    <w:rsid w:val="003C73E8"/>
    <w:rsid w:val="003D369A"/>
    <w:rsid w:val="003D3B9C"/>
    <w:rsid w:val="003D6AE8"/>
    <w:rsid w:val="003E5535"/>
    <w:rsid w:val="003F223C"/>
    <w:rsid w:val="003F4F0C"/>
    <w:rsid w:val="003F4F2F"/>
    <w:rsid w:val="00401A47"/>
    <w:rsid w:val="00413710"/>
    <w:rsid w:val="00415138"/>
    <w:rsid w:val="00422B2A"/>
    <w:rsid w:val="004230CE"/>
    <w:rsid w:val="00426BAE"/>
    <w:rsid w:val="00431F3A"/>
    <w:rsid w:val="0043295B"/>
    <w:rsid w:val="00451EBF"/>
    <w:rsid w:val="004543F7"/>
    <w:rsid w:val="00460D1B"/>
    <w:rsid w:val="00461D98"/>
    <w:rsid w:val="00474DB9"/>
    <w:rsid w:val="0049545C"/>
    <w:rsid w:val="00497C66"/>
    <w:rsid w:val="004A0508"/>
    <w:rsid w:val="004A111A"/>
    <w:rsid w:val="004A3A4E"/>
    <w:rsid w:val="004A58E2"/>
    <w:rsid w:val="004B06E4"/>
    <w:rsid w:val="004B5BD6"/>
    <w:rsid w:val="004B64D5"/>
    <w:rsid w:val="004C0347"/>
    <w:rsid w:val="004C7F3B"/>
    <w:rsid w:val="004D4419"/>
    <w:rsid w:val="004D6C5F"/>
    <w:rsid w:val="004F153D"/>
    <w:rsid w:val="004F7C29"/>
    <w:rsid w:val="0050069A"/>
    <w:rsid w:val="0050472C"/>
    <w:rsid w:val="00506B7C"/>
    <w:rsid w:val="00515729"/>
    <w:rsid w:val="00520D8D"/>
    <w:rsid w:val="005245B0"/>
    <w:rsid w:val="00536106"/>
    <w:rsid w:val="00543AF4"/>
    <w:rsid w:val="005453AD"/>
    <w:rsid w:val="00552C85"/>
    <w:rsid w:val="00555B00"/>
    <w:rsid w:val="00555B8A"/>
    <w:rsid w:val="005602F4"/>
    <w:rsid w:val="005772BD"/>
    <w:rsid w:val="005B34A7"/>
    <w:rsid w:val="005B7E1A"/>
    <w:rsid w:val="005C0B3E"/>
    <w:rsid w:val="005C45D0"/>
    <w:rsid w:val="005C5779"/>
    <w:rsid w:val="005E3686"/>
    <w:rsid w:val="005E5170"/>
    <w:rsid w:val="005F08FA"/>
    <w:rsid w:val="005F6627"/>
    <w:rsid w:val="006013DD"/>
    <w:rsid w:val="006051E2"/>
    <w:rsid w:val="00607E4C"/>
    <w:rsid w:val="006106C1"/>
    <w:rsid w:val="00620AC7"/>
    <w:rsid w:val="00621BB6"/>
    <w:rsid w:val="00631667"/>
    <w:rsid w:val="00633953"/>
    <w:rsid w:val="00635512"/>
    <w:rsid w:val="0063714F"/>
    <w:rsid w:val="0065446D"/>
    <w:rsid w:val="00656C4F"/>
    <w:rsid w:val="0065798D"/>
    <w:rsid w:val="0066058A"/>
    <w:rsid w:val="006653E4"/>
    <w:rsid w:val="00666C20"/>
    <w:rsid w:val="006744A5"/>
    <w:rsid w:val="006751F3"/>
    <w:rsid w:val="006804F1"/>
    <w:rsid w:val="0069068A"/>
    <w:rsid w:val="00694254"/>
    <w:rsid w:val="00697067"/>
    <w:rsid w:val="006A09B7"/>
    <w:rsid w:val="006A23A7"/>
    <w:rsid w:val="006B417B"/>
    <w:rsid w:val="006B65D6"/>
    <w:rsid w:val="006C0C47"/>
    <w:rsid w:val="006D2949"/>
    <w:rsid w:val="006D2A3E"/>
    <w:rsid w:val="006D548C"/>
    <w:rsid w:val="007017C8"/>
    <w:rsid w:val="00701B9B"/>
    <w:rsid w:val="007033D7"/>
    <w:rsid w:val="00714C76"/>
    <w:rsid w:val="007257EA"/>
    <w:rsid w:val="00726E4F"/>
    <w:rsid w:val="0072702F"/>
    <w:rsid w:val="007519A8"/>
    <w:rsid w:val="00752720"/>
    <w:rsid w:val="00766ABD"/>
    <w:rsid w:val="00772E70"/>
    <w:rsid w:val="00773AE5"/>
    <w:rsid w:val="00775880"/>
    <w:rsid w:val="00777546"/>
    <w:rsid w:val="007855F5"/>
    <w:rsid w:val="00790A3B"/>
    <w:rsid w:val="00792830"/>
    <w:rsid w:val="00793E46"/>
    <w:rsid w:val="007A011B"/>
    <w:rsid w:val="007A17F0"/>
    <w:rsid w:val="007C0D40"/>
    <w:rsid w:val="007C39E4"/>
    <w:rsid w:val="007C49D3"/>
    <w:rsid w:val="007C5905"/>
    <w:rsid w:val="007D53AA"/>
    <w:rsid w:val="007E4DDE"/>
    <w:rsid w:val="007F2387"/>
    <w:rsid w:val="007F2F72"/>
    <w:rsid w:val="007F72E6"/>
    <w:rsid w:val="00801510"/>
    <w:rsid w:val="00812673"/>
    <w:rsid w:val="00826B80"/>
    <w:rsid w:val="00833A07"/>
    <w:rsid w:val="00834A30"/>
    <w:rsid w:val="008452A3"/>
    <w:rsid w:val="00852C36"/>
    <w:rsid w:val="00854B3A"/>
    <w:rsid w:val="00862974"/>
    <w:rsid w:val="008649C4"/>
    <w:rsid w:val="00864C0A"/>
    <w:rsid w:val="00867416"/>
    <w:rsid w:val="00871DAE"/>
    <w:rsid w:val="00873091"/>
    <w:rsid w:val="008741AB"/>
    <w:rsid w:val="00874B68"/>
    <w:rsid w:val="00890667"/>
    <w:rsid w:val="0089215C"/>
    <w:rsid w:val="00892197"/>
    <w:rsid w:val="008933F8"/>
    <w:rsid w:val="00894559"/>
    <w:rsid w:val="00894CB3"/>
    <w:rsid w:val="00895461"/>
    <w:rsid w:val="008A1887"/>
    <w:rsid w:val="008A5586"/>
    <w:rsid w:val="008B59A2"/>
    <w:rsid w:val="008B5CFB"/>
    <w:rsid w:val="008B6020"/>
    <w:rsid w:val="008C5771"/>
    <w:rsid w:val="008E06B8"/>
    <w:rsid w:val="008E0DFC"/>
    <w:rsid w:val="008E5F75"/>
    <w:rsid w:val="008F18CD"/>
    <w:rsid w:val="008F197F"/>
    <w:rsid w:val="008F23F5"/>
    <w:rsid w:val="008F6C41"/>
    <w:rsid w:val="008F74FC"/>
    <w:rsid w:val="0090111B"/>
    <w:rsid w:val="00905F28"/>
    <w:rsid w:val="00915652"/>
    <w:rsid w:val="00916AA3"/>
    <w:rsid w:val="009201FF"/>
    <w:rsid w:val="009214F6"/>
    <w:rsid w:val="00922AEE"/>
    <w:rsid w:val="0093202A"/>
    <w:rsid w:val="00944F8E"/>
    <w:rsid w:val="00946150"/>
    <w:rsid w:val="009607AD"/>
    <w:rsid w:val="00962495"/>
    <w:rsid w:val="009631D2"/>
    <w:rsid w:val="009659F5"/>
    <w:rsid w:val="00986127"/>
    <w:rsid w:val="00986FB6"/>
    <w:rsid w:val="009A12A8"/>
    <w:rsid w:val="009A13F5"/>
    <w:rsid w:val="009A1506"/>
    <w:rsid w:val="009A5C99"/>
    <w:rsid w:val="009B7B44"/>
    <w:rsid w:val="009C00DB"/>
    <w:rsid w:val="009D5632"/>
    <w:rsid w:val="009D5E90"/>
    <w:rsid w:val="009E070F"/>
    <w:rsid w:val="009E226C"/>
    <w:rsid w:val="009E749B"/>
    <w:rsid w:val="009F0517"/>
    <w:rsid w:val="009F5807"/>
    <w:rsid w:val="00A00D79"/>
    <w:rsid w:val="00A04FB9"/>
    <w:rsid w:val="00A15B3E"/>
    <w:rsid w:val="00A15E19"/>
    <w:rsid w:val="00A175C7"/>
    <w:rsid w:val="00A2570A"/>
    <w:rsid w:val="00A35E11"/>
    <w:rsid w:val="00A400AF"/>
    <w:rsid w:val="00A433E3"/>
    <w:rsid w:val="00A4499C"/>
    <w:rsid w:val="00A51A46"/>
    <w:rsid w:val="00A522E1"/>
    <w:rsid w:val="00A92F98"/>
    <w:rsid w:val="00AB0020"/>
    <w:rsid w:val="00AB5F7C"/>
    <w:rsid w:val="00AB6115"/>
    <w:rsid w:val="00AB72C0"/>
    <w:rsid w:val="00AC6AA6"/>
    <w:rsid w:val="00AC7A69"/>
    <w:rsid w:val="00AD7038"/>
    <w:rsid w:val="00AE5089"/>
    <w:rsid w:val="00AF135C"/>
    <w:rsid w:val="00AF30C3"/>
    <w:rsid w:val="00AF3294"/>
    <w:rsid w:val="00AF4804"/>
    <w:rsid w:val="00B031F6"/>
    <w:rsid w:val="00B03A17"/>
    <w:rsid w:val="00B0771A"/>
    <w:rsid w:val="00B43766"/>
    <w:rsid w:val="00B4384C"/>
    <w:rsid w:val="00B438A9"/>
    <w:rsid w:val="00B47BB0"/>
    <w:rsid w:val="00B50549"/>
    <w:rsid w:val="00B51988"/>
    <w:rsid w:val="00B51FC6"/>
    <w:rsid w:val="00B6413F"/>
    <w:rsid w:val="00B65FE0"/>
    <w:rsid w:val="00B73EBB"/>
    <w:rsid w:val="00B75953"/>
    <w:rsid w:val="00B767FC"/>
    <w:rsid w:val="00B81108"/>
    <w:rsid w:val="00B81128"/>
    <w:rsid w:val="00B83341"/>
    <w:rsid w:val="00B91F14"/>
    <w:rsid w:val="00B9477A"/>
    <w:rsid w:val="00BA2394"/>
    <w:rsid w:val="00BA3FA4"/>
    <w:rsid w:val="00BB24C6"/>
    <w:rsid w:val="00BB46DF"/>
    <w:rsid w:val="00BD4469"/>
    <w:rsid w:val="00BE46D9"/>
    <w:rsid w:val="00BF1A41"/>
    <w:rsid w:val="00C21143"/>
    <w:rsid w:val="00C37D45"/>
    <w:rsid w:val="00C418BD"/>
    <w:rsid w:val="00C44EF3"/>
    <w:rsid w:val="00C663B4"/>
    <w:rsid w:val="00C67B2A"/>
    <w:rsid w:val="00C76DEC"/>
    <w:rsid w:val="00C819BF"/>
    <w:rsid w:val="00C828BE"/>
    <w:rsid w:val="00C84426"/>
    <w:rsid w:val="00C94DE8"/>
    <w:rsid w:val="00CA149B"/>
    <w:rsid w:val="00CA24CD"/>
    <w:rsid w:val="00CA2FB9"/>
    <w:rsid w:val="00CA6A4B"/>
    <w:rsid w:val="00CB2F8B"/>
    <w:rsid w:val="00CB660A"/>
    <w:rsid w:val="00CB7615"/>
    <w:rsid w:val="00CC3A9B"/>
    <w:rsid w:val="00CC42B4"/>
    <w:rsid w:val="00CC72ED"/>
    <w:rsid w:val="00CD03FF"/>
    <w:rsid w:val="00CD269E"/>
    <w:rsid w:val="00CE13BF"/>
    <w:rsid w:val="00CE49C8"/>
    <w:rsid w:val="00CE74B4"/>
    <w:rsid w:val="00CF76C2"/>
    <w:rsid w:val="00D10174"/>
    <w:rsid w:val="00D1193F"/>
    <w:rsid w:val="00D224DD"/>
    <w:rsid w:val="00D2506E"/>
    <w:rsid w:val="00D254A2"/>
    <w:rsid w:val="00D3003B"/>
    <w:rsid w:val="00D360FA"/>
    <w:rsid w:val="00D3751D"/>
    <w:rsid w:val="00D43BD2"/>
    <w:rsid w:val="00D43EDA"/>
    <w:rsid w:val="00D44D56"/>
    <w:rsid w:val="00D459FF"/>
    <w:rsid w:val="00D45ABC"/>
    <w:rsid w:val="00D47F26"/>
    <w:rsid w:val="00D621EE"/>
    <w:rsid w:val="00D67135"/>
    <w:rsid w:val="00D67DD8"/>
    <w:rsid w:val="00D711B3"/>
    <w:rsid w:val="00D77619"/>
    <w:rsid w:val="00D83209"/>
    <w:rsid w:val="00DA2C43"/>
    <w:rsid w:val="00DB042D"/>
    <w:rsid w:val="00DB35F1"/>
    <w:rsid w:val="00DB4DF8"/>
    <w:rsid w:val="00DC3784"/>
    <w:rsid w:val="00DD691C"/>
    <w:rsid w:val="00DE0C8F"/>
    <w:rsid w:val="00DE0C9B"/>
    <w:rsid w:val="00DE3672"/>
    <w:rsid w:val="00DE5C7A"/>
    <w:rsid w:val="00DF2AE2"/>
    <w:rsid w:val="00DF5EB7"/>
    <w:rsid w:val="00E00AFB"/>
    <w:rsid w:val="00E059FC"/>
    <w:rsid w:val="00E1093E"/>
    <w:rsid w:val="00E11A8D"/>
    <w:rsid w:val="00E24AFA"/>
    <w:rsid w:val="00E2602E"/>
    <w:rsid w:val="00E33E06"/>
    <w:rsid w:val="00E35BA9"/>
    <w:rsid w:val="00E466CE"/>
    <w:rsid w:val="00E524A1"/>
    <w:rsid w:val="00E54BE4"/>
    <w:rsid w:val="00E5761E"/>
    <w:rsid w:val="00E61391"/>
    <w:rsid w:val="00E734A9"/>
    <w:rsid w:val="00E74377"/>
    <w:rsid w:val="00E75ADF"/>
    <w:rsid w:val="00E8231E"/>
    <w:rsid w:val="00E87504"/>
    <w:rsid w:val="00E8787A"/>
    <w:rsid w:val="00E92A8D"/>
    <w:rsid w:val="00E95E30"/>
    <w:rsid w:val="00EA1F32"/>
    <w:rsid w:val="00EA20B6"/>
    <w:rsid w:val="00EA5256"/>
    <w:rsid w:val="00EA73B4"/>
    <w:rsid w:val="00EB1431"/>
    <w:rsid w:val="00EB2F7F"/>
    <w:rsid w:val="00ED13F6"/>
    <w:rsid w:val="00EE1A8B"/>
    <w:rsid w:val="00EF15A6"/>
    <w:rsid w:val="00F01D8D"/>
    <w:rsid w:val="00F102B7"/>
    <w:rsid w:val="00F208A7"/>
    <w:rsid w:val="00F2241C"/>
    <w:rsid w:val="00F253F0"/>
    <w:rsid w:val="00F332EC"/>
    <w:rsid w:val="00F34C93"/>
    <w:rsid w:val="00F41841"/>
    <w:rsid w:val="00F429B2"/>
    <w:rsid w:val="00F43735"/>
    <w:rsid w:val="00F45B6F"/>
    <w:rsid w:val="00F47BB1"/>
    <w:rsid w:val="00F61E26"/>
    <w:rsid w:val="00F65272"/>
    <w:rsid w:val="00F72A6E"/>
    <w:rsid w:val="00F760C2"/>
    <w:rsid w:val="00F82E6F"/>
    <w:rsid w:val="00F86C6B"/>
    <w:rsid w:val="00F877D8"/>
    <w:rsid w:val="00F91489"/>
    <w:rsid w:val="00F963FE"/>
    <w:rsid w:val="00FB13AD"/>
    <w:rsid w:val="00FB7518"/>
    <w:rsid w:val="00FC12A3"/>
    <w:rsid w:val="00FC224E"/>
    <w:rsid w:val="00FC633E"/>
    <w:rsid w:val="00FD0071"/>
    <w:rsid w:val="00FD3D7E"/>
    <w:rsid w:val="00FD5A20"/>
    <w:rsid w:val="00FD6FDB"/>
    <w:rsid w:val="00FE299D"/>
    <w:rsid w:val="00FE2ABC"/>
    <w:rsid w:val="00FE2F78"/>
    <w:rsid w:val="00FE3549"/>
    <w:rsid w:val="00FE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B5C034-DF1B-4AF8-B408-95BA1D45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69"/>
    <w:pPr>
      <w:spacing w:after="240"/>
    </w:pPr>
    <w:rPr>
      <w:sz w:val="24"/>
      <w:szCs w:val="24"/>
    </w:rPr>
  </w:style>
  <w:style w:type="paragraph" w:styleId="Heading1">
    <w:name w:val="heading 1"/>
    <w:basedOn w:val="Normal"/>
    <w:next w:val="Normal"/>
    <w:qFormat/>
    <w:rsid w:val="00B438A9"/>
    <w:pPr>
      <w:keepNext/>
      <w:outlineLvl w:val="0"/>
    </w:pPr>
    <w:rPr>
      <w:rFonts w:ascii="Arial" w:hAnsi="Arial" w:cs="Arial"/>
      <w:b/>
      <w:bCs/>
      <w:kern w:val="32"/>
      <w:szCs w:val="32"/>
    </w:rPr>
  </w:style>
  <w:style w:type="paragraph" w:styleId="Heading2">
    <w:name w:val="heading 2"/>
    <w:basedOn w:val="Normal"/>
    <w:next w:val="Normal"/>
    <w:qFormat/>
    <w:rsid w:val="008B6020"/>
    <w:pPr>
      <w:keepNext/>
      <w:outlineLvl w:val="1"/>
    </w:pPr>
    <w:rPr>
      <w:rFonts w:ascii="Arial" w:hAnsi="Arial" w:cs="Arial"/>
      <w:b/>
      <w:bCs/>
      <w:i/>
      <w:iCs/>
      <w:szCs w:val="28"/>
    </w:rPr>
  </w:style>
  <w:style w:type="paragraph" w:styleId="Heading5">
    <w:name w:val="heading 5"/>
    <w:basedOn w:val="Normal"/>
    <w:next w:val="Normal"/>
    <w:link w:val="Heading5Char"/>
    <w:semiHidden/>
    <w:unhideWhenUsed/>
    <w:qFormat/>
    <w:rsid w:val="009214F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214F6"/>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text">
    <w:name w:val="Table text"/>
    <w:basedOn w:val="Normal"/>
    <w:qFormat/>
    <w:rsid w:val="00BD4469"/>
    <w:pPr>
      <w:spacing w:after="0"/>
    </w:pPr>
    <w:rPr>
      <w:rFonts w:ascii="Calibri" w:eastAsia="Calibri" w:hAnsi="Calibri"/>
      <w:bCs/>
      <w:color w:val="000000"/>
      <w:sz w:val="22"/>
      <w:szCs w:val="22"/>
    </w:rPr>
  </w:style>
  <w:style w:type="paragraph" w:styleId="EndnoteText">
    <w:name w:val="endnote text"/>
    <w:basedOn w:val="Normal"/>
    <w:semiHidden/>
    <w:rsid w:val="005453AD"/>
    <w:rPr>
      <w:sz w:val="20"/>
      <w:szCs w:val="20"/>
    </w:rPr>
  </w:style>
  <w:style w:type="paragraph" w:styleId="TOC1">
    <w:name w:val="toc 1"/>
    <w:basedOn w:val="Normal"/>
    <w:next w:val="Normal"/>
    <w:autoRedefine/>
    <w:uiPriority w:val="39"/>
    <w:rsid w:val="005453AD"/>
  </w:style>
  <w:style w:type="paragraph" w:styleId="TOC2">
    <w:name w:val="toc 2"/>
    <w:basedOn w:val="Normal"/>
    <w:next w:val="Normal"/>
    <w:autoRedefine/>
    <w:uiPriority w:val="39"/>
    <w:rsid w:val="005453AD"/>
    <w:pPr>
      <w:ind w:left="240"/>
    </w:pPr>
  </w:style>
  <w:style w:type="character" w:styleId="Hyperlink">
    <w:name w:val="Hyperlink"/>
    <w:uiPriority w:val="99"/>
    <w:rsid w:val="005453AD"/>
    <w:rPr>
      <w:color w:val="0000FF"/>
      <w:u w:val="single"/>
    </w:rPr>
  </w:style>
  <w:style w:type="paragraph" w:styleId="Footer">
    <w:name w:val="footer"/>
    <w:basedOn w:val="Normal"/>
    <w:link w:val="FooterChar"/>
    <w:uiPriority w:val="99"/>
    <w:rsid w:val="00874B68"/>
    <w:pPr>
      <w:tabs>
        <w:tab w:val="center" w:pos="4320"/>
        <w:tab w:val="right" w:pos="8640"/>
      </w:tabs>
    </w:pPr>
  </w:style>
  <w:style w:type="character" w:styleId="PageNumber">
    <w:name w:val="page number"/>
    <w:basedOn w:val="DefaultParagraphFont"/>
    <w:rsid w:val="00874B68"/>
  </w:style>
  <w:style w:type="paragraph" w:customStyle="1" w:styleId="Bullets">
    <w:name w:val="Bullets"/>
    <w:basedOn w:val="Normal"/>
    <w:qFormat/>
    <w:rsid w:val="008649C4"/>
    <w:pPr>
      <w:numPr>
        <w:numId w:val="20"/>
      </w:numPr>
      <w:spacing w:after="0"/>
    </w:pPr>
    <w:rPr>
      <w:rFonts w:eastAsia="Calibri"/>
    </w:rPr>
  </w:style>
  <w:style w:type="paragraph" w:customStyle="1" w:styleId="Heading3new">
    <w:name w:val="Heading 3 new"/>
    <w:basedOn w:val="Normal"/>
    <w:qFormat/>
    <w:rsid w:val="00D67135"/>
    <w:rPr>
      <w:rFonts w:ascii="Arial" w:hAnsi="Arial"/>
      <w:b/>
      <w:i/>
      <w:noProof/>
      <w:sz w:val="22"/>
    </w:rPr>
  </w:style>
  <w:style w:type="table" w:styleId="TableGrid">
    <w:name w:val="Table Grid"/>
    <w:basedOn w:val="TableNormal"/>
    <w:rsid w:val="0014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356AB1"/>
    <w:pPr>
      <w:spacing w:after="200"/>
    </w:pPr>
    <w:rPr>
      <w:i/>
      <w:iCs/>
      <w:color w:val="44546A"/>
      <w:sz w:val="18"/>
      <w:szCs w:val="18"/>
    </w:rPr>
  </w:style>
  <w:style w:type="paragraph" w:styleId="NormalWeb">
    <w:name w:val="Normal (Web)"/>
    <w:basedOn w:val="Normal"/>
    <w:uiPriority w:val="99"/>
    <w:unhideWhenUsed/>
    <w:rsid w:val="00356AB1"/>
    <w:pPr>
      <w:spacing w:before="100" w:beforeAutospacing="1" w:after="100" w:afterAutospacing="1"/>
    </w:pPr>
  </w:style>
  <w:style w:type="character" w:customStyle="1" w:styleId="CaptionChar">
    <w:name w:val="Caption Char"/>
    <w:link w:val="Caption"/>
    <w:locked/>
    <w:rsid w:val="00356AB1"/>
    <w:rPr>
      <w:i/>
      <w:iCs/>
      <w:color w:val="44546A"/>
      <w:sz w:val="18"/>
      <w:szCs w:val="18"/>
    </w:rPr>
  </w:style>
  <w:style w:type="paragraph" w:styleId="Header">
    <w:name w:val="header"/>
    <w:basedOn w:val="Normal"/>
    <w:link w:val="HeaderChar"/>
    <w:uiPriority w:val="99"/>
    <w:rsid w:val="00356AB1"/>
    <w:pPr>
      <w:tabs>
        <w:tab w:val="center" w:pos="4680"/>
        <w:tab w:val="right" w:pos="9360"/>
      </w:tabs>
    </w:pPr>
  </w:style>
  <w:style w:type="character" w:customStyle="1" w:styleId="HeaderChar">
    <w:name w:val="Header Char"/>
    <w:link w:val="Header"/>
    <w:uiPriority w:val="99"/>
    <w:rsid w:val="00356AB1"/>
    <w:rPr>
      <w:sz w:val="24"/>
      <w:szCs w:val="24"/>
    </w:rPr>
  </w:style>
  <w:style w:type="character" w:customStyle="1" w:styleId="st">
    <w:name w:val="st"/>
    <w:rsid w:val="00621BB6"/>
  </w:style>
  <w:style w:type="character" w:customStyle="1" w:styleId="Heading5Char">
    <w:name w:val="Heading 5 Char"/>
    <w:link w:val="Heading5"/>
    <w:semiHidden/>
    <w:rsid w:val="009214F6"/>
    <w:rPr>
      <w:rFonts w:ascii="Calibri" w:eastAsia="Times New Roman" w:hAnsi="Calibri" w:cs="Times New Roman"/>
      <w:b/>
      <w:bCs/>
      <w:i/>
      <w:iCs/>
      <w:sz w:val="26"/>
      <w:szCs w:val="26"/>
    </w:rPr>
  </w:style>
  <w:style w:type="character" w:customStyle="1" w:styleId="Heading6Char">
    <w:name w:val="Heading 6 Char"/>
    <w:link w:val="Heading6"/>
    <w:semiHidden/>
    <w:rsid w:val="009214F6"/>
    <w:rPr>
      <w:rFonts w:ascii="Calibri" w:eastAsia="Times New Roman" w:hAnsi="Calibri" w:cs="Times New Roman"/>
      <w:b/>
      <w:bCs/>
      <w:sz w:val="22"/>
      <w:szCs w:val="22"/>
    </w:rPr>
  </w:style>
  <w:style w:type="paragraph" w:styleId="ListParagraph">
    <w:name w:val="List Paragraph"/>
    <w:basedOn w:val="Normal"/>
    <w:uiPriority w:val="34"/>
    <w:qFormat/>
    <w:rsid w:val="009214F6"/>
    <w:pPr>
      <w:spacing w:after="120"/>
      <w:ind w:left="720"/>
      <w:contextualSpacing/>
    </w:pPr>
    <w:rPr>
      <w:sz w:val="22"/>
      <w:szCs w:val="20"/>
    </w:rPr>
  </w:style>
  <w:style w:type="character" w:customStyle="1" w:styleId="FooterChar">
    <w:name w:val="Footer Char"/>
    <w:link w:val="Footer"/>
    <w:uiPriority w:val="99"/>
    <w:rsid w:val="009214F6"/>
    <w:rPr>
      <w:sz w:val="24"/>
      <w:szCs w:val="24"/>
    </w:rPr>
  </w:style>
  <w:style w:type="character" w:styleId="CommentReference">
    <w:name w:val="annotation reference"/>
    <w:rsid w:val="00F208A7"/>
    <w:rPr>
      <w:sz w:val="16"/>
      <w:szCs w:val="16"/>
    </w:rPr>
  </w:style>
  <w:style w:type="table" w:styleId="GridTable4-Accent3">
    <w:name w:val="Grid Table 4 Accent 3"/>
    <w:basedOn w:val="TableNormal"/>
    <w:uiPriority w:val="49"/>
    <w:rsid w:val="009214F6"/>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ExhibitTitle">
    <w:name w:val="Exhibit Title"/>
    <w:basedOn w:val="Caption"/>
    <w:next w:val="Normal"/>
    <w:link w:val="ExhibitTitleChar"/>
    <w:qFormat/>
    <w:rsid w:val="009214F6"/>
    <w:pPr>
      <w:keepNext/>
      <w:keepLines/>
      <w:widowControl w:val="0"/>
      <w:numPr>
        <w:numId w:val="18"/>
      </w:numPr>
      <w:spacing w:after="40"/>
      <w:ind w:left="0" w:firstLine="0"/>
    </w:pPr>
    <w:rPr>
      <w:rFonts w:ascii="Times New Roman Bold" w:hAnsi="Times New Roman Bold"/>
      <w:b/>
      <w:bCs/>
      <w:i w:val="0"/>
      <w:iCs w:val="0"/>
      <w:color w:val="auto"/>
      <w:sz w:val="24"/>
      <w:szCs w:val="20"/>
    </w:rPr>
  </w:style>
  <w:style w:type="character" w:customStyle="1" w:styleId="ExhibitTitleChar">
    <w:name w:val="Exhibit Title Char"/>
    <w:link w:val="ExhibitTitle"/>
    <w:rsid w:val="009214F6"/>
    <w:rPr>
      <w:rFonts w:ascii="Times New Roman Bold" w:hAnsi="Times New Roman Bold"/>
      <w:b/>
      <w:bCs/>
      <w:sz w:val="24"/>
    </w:rPr>
  </w:style>
  <w:style w:type="paragraph" w:customStyle="1" w:styleId="StyleHeading212pt">
    <w:name w:val="Style Heading 2 + 12 pt"/>
    <w:basedOn w:val="Heading2"/>
    <w:rsid w:val="009214F6"/>
  </w:style>
  <w:style w:type="paragraph" w:styleId="CommentText">
    <w:name w:val="annotation text"/>
    <w:basedOn w:val="Normal"/>
    <w:link w:val="CommentTextChar"/>
    <w:rsid w:val="00F208A7"/>
    <w:rPr>
      <w:sz w:val="20"/>
      <w:szCs w:val="20"/>
    </w:rPr>
  </w:style>
  <w:style w:type="character" w:customStyle="1" w:styleId="CommentTextChar">
    <w:name w:val="Comment Text Char"/>
    <w:basedOn w:val="DefaultParagraphFont"/>
    <w:link w:val="CommentText"/>
    <w:rsid w:val="00F208A7"/>
  </w:style>
  <w:style w:type="paragraph" w:styleId="CommentSubject">
    <w:name w:val="annotation subject"/>
    <w:basedOn w:val="CommentText"/>
    <w:next w:val="CommentText"/>
    <w:link w:val="CommentSubjectChar"/>
    <w:rsid w:val="00F208A7"/>
    <w:rPr>
      <w:b/>
      <w:bCs/>
    </w:rPr>
  </w:style>
  <w:style w:type="character" w:customStyle="1" w:styleId="CommentSubjectChar">
    <w:name w:val="Comment Subject Char"/>
    <w:link w:val="CommentSubject"/>
    <w:rsid w:val="00F208A7"/>
    <w:rPr>
      <w:b/>
      <w:bCs/>
    </w:rPr>
  </w:style>
  <w:style w:type="paragraph" w:styleId="BalloonText">
    <w:name w:val="Balloon Text"/>
    <w:basedOn w:val="Normal"/>
    <w:link w:val="BalloonTextChar"/>
    <w:rsid w:val="00F208A7"/>
    <w:pPr>
      <w:spacing w:after="0"/>
    </w:pPr>
    <w:rPr>
      <w:rFonts w:ascii="Segoe UI" w:hAnsi="Segoe UI" w:cs="Segoe UI"/>
      <w:sz w:val="18"/>
      <w:szCs w:val="18"/>
    </w:rPr>
  </w:style>
  <w:style w:type="character" w:customStyle="1" w:styleId="BalloonTextChar">
    <w:name w:val="Balloon Text Char"/>
    <w:link w:val="BalloonText"/>
    <w:rsid w:val="00F20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1744-9B0E-41D1-B5D2-195E38F0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9629</CharactersWithSpaces>
  <SharedDoc>false</SharedDoc>
  <HLinks>
    <vt:vector size="36" baseType="variant">
      <vt:variant>
        <vt:i4>1966141</vt:i4>
      </vt:variant>
      <vt:variant>
        <vt:i4>32</vt:i4>
      </vt:variant>
      <vt:variant>
        <vt:i4>0</vt:i4>
      </vt:variant>
      <vt:variant>
        <vt:i4>5</vt:i4>
      </vt:variant>
      <vt:variant>
        <vt:lpwstr/>
      </vt:variant>
      <vt:variant>
        <vt:lpwstr>_Toc27991077</vt:lpwstr>
      </vt:variant>
      <vt:variant>
        <vt:i4>2031677</vt:i4>
      </vt:variant>
      <vt:variant>
        <vt:i4>26</vt:i4>
      </vt:variant>
      <vt:variant>
        <vt:i4>0</vt:i4>
      </vt:variant>
      <vt:variant>
        <vt:i4>5</vt:i4>
      </vt:variant>
      <vt:variant>
        <vt:lpwstr/>
      </vt:variant>
      <vt:variant>
        <vt:lpwstr>_Toc27991076</vt:lpwstr>
      </vt:variant>
      <vt:variant>
        <vt:i4>1835069</vt:i4>
      </vt:variant>
      <vt:variant>
        <vt:i4>20</vt:i4>
      </vt:variant>
      <vt:variant>
        <vt:i4>0</vt:i4>
      </vt:variant>
      <vt:variant>
        <vt:i4>5</vt:i4>
      </vt:variant>
      <vt:variant>
        <vt:lpwstr/>
      </vt:variant>
      <vt:variant>
        <vt:lpwstr>_Toc27991075</vt:lpwstr>
      </vt:variant>
      <vt:variant>
        <vt:i4>1900605</vt:i4>
      </vt:variant>
      <vt:variant>
        <vt:i4>14</vt:i4>
      </vt:variant>
      <vt:variant>
        <vt:i4>0</vt:i4>
      </vt:variant>
      <vt:variant>
        <vt:i4>5</vt:i4>
      </vt:variant>
      <vt:variant>
        <vt:lpwstr/>
      </vt:variant>
      <vt:variant>
        <vt:lpwstr>_Toc27991074</vt:lpwstr>
      </vt:variant>
      <vt:variant>
        <vt:i4>1703997</vt:i4>
      </vt:variant>
      <vt:variant>
        <vt:i4>8</vt:i4>
      </vt:variant>
      <vt:variant>
        <vt:i4>0</vt:i4>
      </vt:variant>
      <vt:variant>
        <vt:i4>5</vt:i4>
      </vt:variant>
      <vt:variant>
        <vt:lpwstr/>
      </vt:variant>
      <vt:variant>
        <vt:lpwstr>_Toc27991073</vt:lpwstr>
      </vt:variant>
      <vt:variant>
        <vt:i4>1769533</vt:i4>
      </vt:variant>
      <vt:variant>
        <vt:i4>2</vt:i4>
      </vt:variant>
      <vt:variant>
        <vt:i4>0</vt:i4>
      </vt:variant>
      <vt:variant>
        <vt:i4>5</vt:i4>
      </vt:variant>
      <vt:variant>
        <vt:lpwstr/>
      </vt:variant>
      <vt:variant>
        <vt:lpwstr>_Toc27991072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wcarroll</dc:creator>
  <cp:keywords/>
  <dc:description/>
  <cp:lastModifiedBy>Brown, Erwin (AHRQ/CFACT)</cp:lastModifiedBy>
  <cp:revision>2</cp:revision>
  <cp:lastPrinted>2007-07-09T19:45:00Z</cp:lastPrinted>
  <dcterms:created xsi:type="dcterms:W3CDTF">2020-04-14T19:11:00Z</dcterms:created>
  <dcterms:modified xsi:type="dcterms:W3CDTF">2020-04-14T19:11:00Z</dcterms:modified>
</cp:coreProperties>
</file>