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FD9" w:rsidRDefault="00875FD9">
      <w:pPr>
        <w:rPr>
          <w:rFonts w:asciiTheme="minorHAnsi" w:hAnsiTheme="minorHAnsi"/>
          <w:highlight w:val="yellow"/>
        </w:rPr>
      </w:pPr>
      <w:bookmarkStart w:id="0" w:name="_GoBack"/>
      <w:bookmarkEnd w:id="0"/>
    </w:p>
    <w:p w:rsidR="00875FD9" w:rsidRDefault="00875FD9">
      <w:pPr>
        <w:rPr>
          <w:rFonts w:asciiTheme="minorHAnsi" w:hAnsiTheme="minorHAnsi"/>
          <w:highlight w:val="yellow"/>
        </w:rPr>
      </w:pPr>
    </w:p>
    <w:p w:rsidR="00875FD9" w:rsidRDefault="00875FD9">
      <w:pPr>
        <w:rPr>
          <w:rFonts w:asciiTheme="minorHAnsi" w:hAnsiTheme="minorHAnsi"/>
          <w:highlight w:val="yellow"/>
        </w:rPr>
      </w:pPr>
    </w:p>
    <w:p w:rsidR="00875FD9" w:rsidRDefault="00875FD9">
      <w:pPr>
        <w:rPr>
          <w:rFonts w:asciiTheme="minorHAnsi" w:hAnsiTheme="minorHAnsi"/>
          <w:highlight w:val="yellow"/>
        </w:rPr>
      </w:pPr>
    </w:p>
    <w:p w:rsidR="00875FD9" w:rsidRDefault="00875FD9" w:rsidP="00875FD9">
      <w:pPr>
        <w:spacing w:after="0" w:line="240" w:lineRule="auto"/>
        <w:jc w:val="center"/>
        <w:rPr>
          <w:szCs w:val="24"/>
        </w:rPr>
      </w:pPr>
      <w:r w:rsidRPr="00A91470">
        <w:rPr>
          <w:szCs w:val="24"/>
        </w:rPr>
        <w:t>Application to Use Burden/Hours from Generic PRA Clearance:</w:t>
      </w:r>
    </w:p>
    <w:p w:rsidR="00875FD9" w:rsidRDefault="00875FD9" w:rsidP="00875FD9">
      <w:pPr>
        <w:spacing w:after="0" w:line="240" w:lineRule="auto"/>
        <w:jc w:val="center"/>
        <w:rPr>
          <w:szCs w:val="24"/>
        </w:rPr>
      </w:pPr>
      <w:r>
        <w:rPr>
          <w:szCs w:val="24"/>
        </w:rPr>
        <w:t>Generic Clearance for Questionnaire Testing and Methodological Research for the Medicare Current Beneficiary Survey (MCBS) (CMS-10549)</w:t>
      </w:r>
    </w:p>
    <w:p w:rsidR="00875FD9" w:rsidRPr="00A91470" w:rsidRDefault="00875FD9" w:rsidP="00875FD9">
      <w:pPr>
        <w:spacing w:after="0" w:line="240" w:lineRule="auto"/>
        <w:jc w:val="center"/>
        <w:rPr>
          <w:szCs w:val="24"/>
        </w:rPr>
      </w:pPr>
    </w:p>
    <w:p w:rsidR="009A66A3" w:rsidRDefault="00875FD9" w:rsidP="009A66A3">
      <w:pPr>
        <w:spacing w:after="0"/>
        <w:jc w:val="center"/>
        <w:rPr>
          <w:b/>
          <w:szCs w:val="24"/>
        </w:rPr>
      </w:pPr>
      <w:r w:rsidRPr="00A91470">
        <w:rPr>
          <w:b/>
          <w:szCs w:val="24"/>
        </w:rPr>
        <w:t>Generic Information Collection (GenIC</w:t>
      </w:r>
      <w:r w:rsidR="009610D8">
        <w:rPr>
          <w:b/>
          <w:szCs w:val="24"/>
        </w:rPr>
        <w:t xml:space="preserve"> #</w:t>
      </w:r>
      <w:r w:rsidR="00C64192">
        <w:rPr>
          <w:b/>
          <w:szCs w:val="24"/>
        </w:rPr>
        <w:t>4</w:t>
      </w:r>
      <w:r w:rsidRPr="00A91470">
        <w:rPr>
          <w:b/>
          <w:szCs w:val="24"/>
        </w:rPr>
        <w:t xml:space="preserve">): </w:t>
      </w:r>
    </w:p>
    <w:p w:rsidR="00875FD9" w:rsidRPr="00A91470" w:rsidRDefault="00AE4441" w:rsidP="00875FD9">
      <w:pPr>
        <w:jc w:val="center"/>
        <w:rPr>
          <w:szCs w:val="24"/>
        </w:rPr>
      </w:pPr>
      <w:r>
        <w:rPr>
          <w:szCs w:val="24"/>
        </w:rPr>
        <w:t xml:space="preserve">MCBS </w:t>
      </w:r>
      <w:r w:rsidR="00C64192">
        <w:rPr>
          <w:szCs w:val="24"/>
        </w:rPr>
        <w:t xml:space="preserve">Testing of </w:t>
      </w:r>
      <w:r w:rsidR="000E7076">
        <w:rPr>
          <w:szCs w:val="24"/>
        </w:rPr>
        <w:t>Revised</w:t>
      </w:r>
      <w:r w:rsidR="00C64192">
        <w:rPr>
          <w:szCs w:val="24"/>
        </w:rPr>
        <w:t xml:space="preserve"> Advance Letter</w:t>
      </w:r>
    </w:p>
    <w:p w:rsidR="00875FD9" w:rsidRPr="00A91470" w:rsidRDefault="00875FD9" w:rsidP="00875FD9">
      <w:pPr>
        <w:spacing w:after="0" w:line="240" w:lineRule="auto"/>
        <w:jc w:val="center"/>
        <w:rPr>
          <w:b/>
          <w:szCs w:val="24"/>
        </w:rPr>
      </w:pPr>
    </w:p>
    <w:p w:rsidR="00875FD9" w:rsidRPr="00A91470" w:rsidRDefault="00875FD9" w:rsidP="00875FD9">
      <w:pPr>
        <w:spacing w:after="0" w:line="240" w:lineRule="auto"/>
        <w:jc w:val="center"/>
        <w:rPr>
          <w:szCs w:val="24"/>
        </w:rPr>
      </w:pPr>
    </w:p>
    <w:p w:rsidR="00875FD9" w:rsidRPr="00A91470" w:rsidRDefault="00875FD9" w:rsidP="00875FD9">
      <w:pPr>
        <w:spacing w:after="0" w:line="240" w:lineRule="auto"/>
        <w:jc w:val="center"/>
        <w:rPr>
          <w:szCs w:val="24"/>
        </w:rPr>
      </w:pPr>
    </w:p>
    <w:p w:rsidR="00875FD9" w:rsidRPr="00A91470" w:rsidRDefault="00875FD9" w:rsidP="00875FD9">
      <w:pPr>
        <w:spacing w:after="0" w:line="240" w:lineRule="auto"/>
        <w:jc w:val="center"/>
        <w:rPr>
          <w:szCs w:val="24"/>
        </w:rPr>
      </w:pPr>
    </w:p>
    <w:p w:rsidR="00574113" w:rsidRPr="00574113" w:rsidRDefault="00574113" w:rsidP="00875FD9">
      <w:pPr>
        <w:spacing w:after="0" w:line="240" w:lineRule="auto"/>
        <w:jc w:val="center"/>
      </w:pPr>
      <w:r w:rsidRPr="00574113">
        <w:t>Office of Enterprise Data and Analytics</w:t>
      </w:r>
      <w:r>
        <w:t xml:space="preserve"> (OEDA)</w:t>
      </w:r>
    </w:p>
    <w:p w:rsidR="00875FD9" w:rsidRPr="00A91470" w:rsidRDefault="00875FD9" w:rsidP="00875FD9">
      <w:pPr>
        <w:spacing w:after="0" w:line="240" w:lineRule="auto"/>
        <w:jc w:val="center"/>
        <w:rPr>
          <w:szCs w:val="24"/>
        </w:rPr>
      </w:pPr>
      <w:r w:rsidRPr="00A91470">
        <w:rPr>
          <w:szCs w:val="24"/>
        </w:rPr>
        <w:t>Centers for Medicare &amp; Medicaid Services (CMS)</w:t>
      </w:r>
    </w:p>
    <w:p w:rsidR="00875FD9" w:rsidRDefault="00875FD9">
      <w:pPr>
        <w:rPr>
          <w:rFonts w:asciiTheme="minorHAnsi" w:hAnsiTheme="minorHAnsi"/>
          <w:highlight w:val="yellow"/>
        </w:rPr>
      </w:pPr>
    </w:p>
    <w:p w:rsidR="00875FD9" w:rsidRDefault="00875FD9">
      <w:pPr>
        <w:rPr>
          <w:rFonts w:asciiTheme="minorHAnsi" w:hAnsiTheme="minorHAnsi"/>
          <w:highlight w:val="yellow"/>
        </w:rPr>
      </w:pPr>
      <w:r>
        <w:rPr>
          <w:rFonts w:asciiTheme="minorHAnsi" w:hAnsiTheme="minorHAnsi"/>
          <w:highlight w:val="yellow"/>
        </w:rPr>
        <w:br w:type="page"/>
      </w:r>
    </w:p>
    <w:p w:rsidR="001A2736" w:rsidRPr="00B2351F" w:rsidRDefault="00697E4D" w:rsidP="00B2351F">
      <w:pPr>
        <w:pStyle w:val="BodyTextTNR"/>
      </w:pPr>
      <w:r w:rsidRPr="00B2351F">
        <w:lastRenderedPageBreak/>
        <w:t>Under the CMS Generic Clearance (OMB No. 0938-1275, exp.05/31/2021) for t</w:t>
      </w:r>
      <w:r w:rsidR="001A2736" w:rsidRPr="00B2351F">
        <w:t>he Medicare Current Beneficiary Survey (MCBS)</w:t>
      </w:r>
      <w:r w:rsidRPr="00B2351F">
        <w:t>, CMS requests approval to</w:t>
      </w:r>
      <w:r w:rsidR="000E7076" w:rsidRPr="00B2351F">
        <w:t xml:space="preserve"> test</w:t>
      </w:r>
      <w:r w:rsidRPr="00B2351F">
        <w:t xml:space="preserve"> </w:t>
      </w:r>
      <w:r w:rsidR="000E7076" w:rsidRPr="00B2351F">
        <w:t xml:space="preserve">revisions to the text and format of the </w:t>
      </w:r>
      <w:r w:rsidR="00BC26C3">
        <w:t xml:space="preserve">Community </w:t>
      </w:r>
      <w:r w:rsidR="000E7076" w:rsidRPr="00B2351F">
        <w:t>advance letter mailed to sample</w:t>
      </w:r>
      <w:r w:rsidR="00F64458" w:rsidRPr="00B2351F">
        <w:t>d beneficiaries</w:t>
      </w:r>
      <w:r w:rsidR="000E7076" w:rsidRPr="00B2351F">
        <w:t xml:space="preserve"> prior to attempting the first interview.</w:t>
      </w:r>
    </w:p>
    <w:p w:rsidR="001A2736" w:rsidRDefault="001A2736" w:rsidP="00543A9E">
      <w:pPr>
        <w:pStyle w:val="Heading2"/>
      </w:pPr>
      <w:r w:rsidRPr="004C75E4">
        <w:t xml:space="preserve">Background Information </w:t>
      </w:r>
    </w:p>
    <w:p w:rsidR="00BC26C3" w:rsidRDefault="00C15970" w:rsidP="00B2351F">
      <w:pPr>
        <w:pStyle w:val="BodyTextTNR"/>
      </w:pPr>
      <w:r>
        <w:t>Testing</w:t>
      </w:r>
      <w:r w:rsidR="001C2D28">
        <w:t xml:space="preserve"> of</w:t>
      </w:r>
      <w:r>
        <w:t xml:space="preserve"> </w:t>
      </w:r>
      <w:r w:rsidR="0060224C">
        <w:t xml:space="preserve">the </w:t>
      </w:r>
      <w:r w:rsidR="00325206">
        <w:t>revised version of the</w:t>
      </w:r>
      <w:r>
        <w:t xml:space="preserve"> </w:t>
      </w:r>
      <w:r w:rsidR="002C3F88">
        <w:t xml:space="preserve">MCBS </w:t>
      </w:r>
      <w:r>
        <w:t xml:space="preserve">Community advance letter </w:t>
      </w:r>
      <w:r w:rsidR="00BC26C3">
        <w:t xml:space="preserve">will be conducted under the split ballot field testing activity approved under the existing </w:t>
      </w:r>
      <w:r w:rsidR="009B27C6">
        <w:t xml:space="preserve">MCBS </w:t>
      </w:r>
      <w:r w:rsidR="00116FD5">
        <w:t>Generic Clearance</w:t>
      </w:r>
      <w:r w:rsidR="00BC26C3">
        <w:t xml:space="preserve">. As noted in the </w:t>
      </w:r>
      <w:r w:rsidR="00116FD5">
        <w:t xml:space="preserve">Generic Clearance, </w:t>
      </w:r>
      <w:r w:rsidR="00BC26C3">
        <w:t xml:space="preserve">this involves testing of alternate versions of material that have been </w:t>
      </w:r>
      <w:r w:rsidR="009B27C6">
        <w:t>revised</w:t>
      </w:r>
      <w:r w:rsidR="00BC26C3">
        <w:t xml:space="preserve"> to address problems identified from previous survey rounds.</w:t>
      </w:r>
      <w:r w:rsidR="00CF3E7E">
        <w:t xml:space="preserve"> </w:t>
      </w:r>
      <w:r w:rsidR="00325206">
        <w:t xml:space="preserve">CMS seeks to test the impact of implementing </w:t>
      </w:r>
      <w:r w:rsidR="00300DE4">
        <w:t>recommended revisions to the advance letter</w:t>
      </w:r>
      <w:r w:rsidR="00325206">
        <w:t xml:space="preserve"> through a split ballot experiment </w:t>
      </w:r>
      <w:r w:rsidR="00595817">
        <w:t>for cases in the</w:t>
      </w:r>
      <w:r w:rsidR="00325206">
        <w:t xml:space="preserve"> </w:t>
      </w:r>
      <w:r w:rsidR="009B27C6">
        <w:t>2019 I</w:t>
      </w:r>
      <w:r w:rsidR="00325206">
        <w:t xml:space="preserve">ncoming </w:t>
      </w:r>
      <w:r w:rsidR="009B27C6">
        <w:t>P</w:t>
      </w:r>
      <w:r w:rsidR="00325206">
        <w:t xml:space="preserve">anel as part of routine data collection in Fall 2019. </w:t>
      </w:r>
      <w:r w:rsidR="00CF3E7E">
        <w:t xml:space="preserve">The purpose of the split ballot experiment </w:t>
      </w:r>
      <w:r w:rsidR="00C548C3">
        <w:t xml:space="preserve">is </w:t>
      </w:r>
      <w:r w:rsidR="00CF3E7E">
        <w:t xml:space="preserve">to analyze differences in </w:t>
      </w:r>
      <w:r w:rsidR="009B27C6">
        <w:t xml:space="preserve">response rates and other paradata </w:t>
      </w:r>
      <w:r w:rsidR="00CF3E7E">
        <w:t xml:space="preserve">between the </w:t>
      </w:r>
      <w:r w:rsidR="009B27C6">
        <w:t>2019 I</w:t>
      </w:r>
      <w:r w:rsidR="00CF3E7E">
        <w:t xml:space="preserve">ncoming </w:t>
      </w:r>
      <w:r w:rsidR="009B27C6">
        <w:t>P</w:t>
      </w:r>
      <w:r w:rsidR="00CF3E7E">
        <w:t xml:space="preserve">anel </w:t>
      </w:r>
      <w:r w:rsidR="009B27C6">
        <w:t>sample</w:t>
      </w:r>
      <w:r w:rsidR="00325206">
        <w:t xml:space="preserve"> who</w:t>
      </w:r>
      <w:r w:rsidR="00CF3E7E">
        <w:t xml:space="preserve"> receive the revised advance letter and those who receive the </w:t>
      </w:r>
      <w:r w:rsidR="009B27C6">
        <w:t xml:space="preserve">current </w:t>
      </w:r>
      <w:r w:rsidR="00CF3E7E">
        <w:t xml:space="preserve">version of the advance letter. </w:t>
      </w:r>
    </w:p>
    <w:p w:rsidR="001A2736" w:rsidRPr="004C75E4" w:rsidRDefault="00E06751" w:rsidP="00543A9E">
      <w:pPr>
        <w:pStyle w:val="Heading2"/>
      </w:pPr>
      <w:r w:rsidRPr="00E06751">
        <w:t xml:space="preserve">Justification </w:t>
      </w:r>
    </w:p>
    <w:p w:rsidR="00EB445E" w:rsidRDefault="002A2D70" w:rsidP="00B2351F">
      <w:pPr>
        <w:pStyle w:val="BodyTextTNR"/>
      </w:pPr>
      <w:r>
        <w:t xml:space="preserve">As a panel study, </w:t>
      </w:r>
      <w:r w:rsidR="009B27C6">
        <w:t xml:space="preserve">CMS selects a new sample of Medicare beneficiaries each year </w:t>
      </w:r>
      <w:r>
        <w:t>in the fall</w:t>
      </w:r>
      <w:r w:rsidR="009B27C6">
        <w:t xml:space="preserve">. Adding new sample to the survey each year offsets the loss of sample </w:t>
      </w:r>
      <w:r w:rsidR="004B22C9">
        <w:t xml:space="preserve">which consists of </w:t>
      </w:r>
      <w:r w:rsidR="009B27C6">
        <w:t>those beneficiaries who have completed their participation in the MCBS (after 11 i</w:t>
      </w:r>
      <w:r w:rsidR="00B549A1">
        <w:t>nterviews over a 4 year period)</w:t>
      </w:r>
      <w:r w:rsidR="00FB4340">
        <w:t xml:space="preserve"> </w:t>
      </w:r>
      <w:r w:rsidR="004B22C9">
        <w:t>as well as due to natural attrition</w:t>
      </w:r>
      <w:r w:rsidR="00EB445E">
        <w:t>.</w:t>
      </w:r>
      <w:r w:rsidR="00EB445E" w:rsidRPr="00EB445E">
        <w:t xml:space="preserve"> </w:t>
      </w:r>
      <w:r w:rsidR="009B27C6">
        <w:t xml:space="preserve">The data collection period for the Incoming Panel is about </w:t>
      </w:r>
      <w:r w:rsidR="00EB445E">
        <w:t>five month</w:t>
      </w:r>
      <w:r w:rsidR="009B27C6">
        <w:t>s – from the last week of July through December 31 of the calendar year.</w:t>
      </w:r>
      <w:r w:rsidR="000F76D4">
        <w:t xml:space="preserve"> </w:t>
      </w:r>
      <w:r>
        <w:t xml:space="preserve">Sampled beneficiaries receive a letter and </w:t>
      </w:r>
      <w:r w:rsidR="00C548C3">
        <w:t xml:space="preserve">the MCBS Community </w:t>
      </w:r>
      <w:r>
        <w:t xml:space="preserve">brochure in the mail prior to the first visit </w:t>
      </w:r>
      <w:r w:rsidR="00C548C3">
        <w:t xml:space="preserve">from </w:t>
      </w:r>
      <w:r>
        <w:t xml:space="preserve">a field interviewer to ask for their participation in the survey. </w:t>
      </w:r>
    </w:p>
    <w:p w:rsidR="00CF716C" w:rsidRDefault="00AC0A88" w:rsidP="00B2351F">
      <w:pPr>
        <w:pStyle w:val="BodyTextTNR"/>
      </w:pPr>
      <w:r>
        <w:t xml:space="preserve">NORC at the University of Chicago is the contractor for this survey. </w:t>
      </w:r>
      <w:r w:rsidR="00325206">
        <w:t>Dr. Don Dillman, an internationally-recognized subject matter expert on survey design and respondent-facing materials,</w:t>
      </w:r>
      <w:r>
        <w:t xml:space="preserve"> recently</w:t>
      </w:r>
      <w:r w:rsidR="00325206">
        <w:t xml:space="preserve"> provided </w:t>
      </w:r>
      <w:r>
        <w:t xml:space="preserve">NORC general </w:t>
      </w:r>
      <w:r w:rsidR="00325206">
        <w:t xml:space="preserve">guidance regarding best practices on advanced mail materials for in-person </w:t>
      </w:r>
      <w:r>
        <w:t>surveys.</w:t>
      </w:r>
      <w:r w:rsidR="000F76D4">
        <w:t xml:space="preserve"> </w:t>
      </w:r>
      <w:r>
        <w:t xml:space="preserve">NORC and CMS then collaborated on ways to improve the advance letter. </w:t>
      </w:r>
      <w:r w:rsidR="007F28C8">
        <w:t xml:space="preserve">The resulting </w:t>
      </w:r>
      <w:r w:rsidR="00325206">
        <w:t>recommendations include</w:t>
      </w:r>
      <w:r w:rsidR="00C548C3">
        <w:t>d</w:t>
      </w:r>
      <w:r w:rsidR="00325206">
        <w:t xml:space="preserve"> simplifying letter text, highlighting the request for respondent participation, reducing extraneous information and agency references unfamiliar to the target audience, and formatting updates to modernize the letter.</w:t>
      </w:r>
      <w:r w:rsidR="009240F1">
        <w:t xml:space="preserve"> </w:t>
      </w:r>
      <w:r>
        <w:t>Our expectations are that t</w:t>
      </w:r>
      <w:r w:rsidR="00B2351F">
        <w:t>he revisions will bring the letter</w:t>
      </w:r>
      <w:r w:rsidR="007F28C8">
        <w:t>, which has not been revised since 2014,</w:t>
      </w:r>
      <w:r w:rsidR="00B2351F">
        <w:t xml:space="preserve"> in line with best practices in the field of survey research and respondent communication.</w:t>
      </w:r>
      <w:r w:rsidR="00B630D0">
        <w:t xml:space="preserve"> </w:t>
      </w:r>
      <w:r w:rsidR="00CF3E7E">
        <w:t xml:space="preserve">CMS believes </w:t>
      </w:r>
      <w:r w:rsidR="00B630D0">
        <w:t xml:space="preserve">the revised letter text is clearer, more direct, and easier to understand than the </w:t>
      </w:r>
      <w:r>
        <w:t>current</w:t>
      </w:r>
      <w:r w:rsidR="00B630D0">
        <w:t xml:space="preserve"> version, and </w:t>
      </w:r>
      <w:r>
        <w:t xml:space="preserve">may </w:t>
      </w:r>
      <w:r w:rsidR="00B630D0">
        <w:t>yield higher levels of respondent cooperation.</w:t>
      </w:r>
      <w:r w:rsidR="00EB445E">
        <w:t xml:space="preserve"> As</w:t>
      </w:r>
      <w:r w:rsidR="00B2351F">
        <w:t xml:space="preserve"> the text and appearance of the advance letter </w:t>
      </w:r>
      <w:r w:rsidR="00CF3E7E">
        <w:t xml:space="preserve">have </w:t>
      </w:r>
      <w:r w:rsidR="00EB445E">
        <w:t>not been updated in many years,</w:t>
      </w:r>
      <w:r w:rsidR="00B2351F">
        <w:t xml:space="preserve"> this experiment affords the opportunity to do so while also testing the effects of the </w:t>
      </w:r>
      <w:r w:rsidR="00B630D0">
        <w:t>revisions</w:t>
      </w:r>
      <w:r w:rsidR="00EB445E">
        <w:t>.</w:t>
      </w:r>
    </w:p>
    <w:p w:rsidR="00DA705F" w:rsidRDefault="004A3F2C" w:rsidP="00543A9E">
      <w:pPr>
        <w:pStyle w:val="Heading2"/>
      </w:pPr>
      <w:r>
        <w:t>T</w:t>
      </w:r>
      <w:r w:rsidR="00E06751" w:rsidRPr="007A63E7">
        <w:t>esting Plan</w:t>
      </w:r>
    </w:p>
    <w:p w:rsidR="00BC5353" w:rsidRPr="00BC5353" w:rsidRDefault="000E7076" w:rsidP="00543A9E">
      <w:pPr>
        <w:pStyle w:val="Heading3"/>
      </w:pPr>
      <w:r>
        <w:t>Experiment Design</w:t>
      </w:r>
    </w:p>
    <w:p w:rsidR="00B2351F" w:rsidRDefault="000D2C1C" w:rsidP="00B2351F">
      <w:pPr>
        <w:pStyle w:val="BodyTextTNR"/>
      </w:pPr>
      <w:r>
        <w:t xml:space="preserve">The split ballot experiment will be implemented </w:t>
      </w:r>
      <w:r w:rsidR="00AC0A88">
        <w:t xml:space="preserve">using </w:t>
      </w:r>
      <w:r>
        <w:t xml:space="preserve">the </w:t>
      </w:r>
      <w:r w:rsidR="00AC0A88">
        <w:t xml:space="preserve">2019 </w:t>
      </w:r>
      <w:r>
        <w:t>Incoming Panel</w:t>
      </w:r>
      <w:r w:rsidR="00AC0A88">
        <w:t>.</w:t>
      </w:r>
      <w:r>
        <w:t xml:space="preserve"> Consistent with the split ballot recruitment processes approved in the</w:t>
      </w:r>
      <w:r w:rsidR="009240F1">
        <w:t xml:space="preserve"> </w:t>
      </w:r>
      <w:r w:rsidR="00AA5E17">
        <w:t>Generic Clearance</w:t>
      </w:r>
      <w:r>
        <w:t>, c</w:t>
      </w:r>
      <w:r w:rsidR="00BC5353">
        <w:t xml:space="preserve">ases </w:t>
      </w:r>
      <w:r>
        <w:t xml:space="preserve">to be included in the experiment will be </w:t>
      </w:r>
      <w:r w:rsidR="00BC5353">
        <w:t xml:space="preserve">part of the </w:t>
      </w:r>
      <w:r w:rsidR="00AC0A88">
        <w:t xml:space="preserve">routine </w:t>
      </w:r>
      <w:r w:rsidR="008C5CD2">
        <w:t xml:space="preserve">sampling process </w:t>
      </w:r>
      <w:r w:rsidR="00AC0A88">
        <w:t xml:space="preserve">used in production </w:t>
      </w:r>
      <w:r w:rsidR="008C5CD2">
        <w:t xml:space="preserve">for the </w:t>
      </w:r>
      <w:r w:rsidR="00AC0A88">
        <w:t>2019 I</w:t>
      </w:r>
      <w:r w:rsidR="008C5CD2">
        <w:t xml:space="preserve">ncoming </w:t>
      </w:r>
      <w:r w:rsidR="00AC0A88">
        <w:t>Panel. N</w:t>
      </w:r>
      <w:r w:rsidR="00605995">
        <w:t>o separate screening or sampling w</w:t>
      </w:r>
      <w:r>
        <w:t>ill</w:t>
      </w:r>
      <w:r w:rsidR="00605995">
        <w:t xml:space="preserve"> be needed.</w:t>
      </w:r>
      <w:r w:rsidR="00946485">
        <w:t xml:space="preserve"> </w:t>
      </w:r>
    </w:p>
    <w:p w:rsidR="00605995" w:rsidRDefault="00B2351F" w:rsidP="00B2351F">
      <w:pPr>
        <w:pStyle w:val="BodyTextTNR"/>
      </w:pPr>
      <w:r>
        <w:t>To identify the cases in the experimental group, b</w:t>
      </w:r>
      <w:r w:rsidR="00FF562A">
        <w:t xml:space="preserve">eneficiaries that are part of the 2019 </w:t>
      </w:r>
      <w:r w:rsidR="00AC0A88">
        <w:t>I</w:t>
      </w:r>
      <w:r w:rsidR="00E35BFD">
        <w:t xml:space="preserve">ncoming </w:t>
      </w:r>
      <w:r w:rsidR="00AC0A88">
        <w:t>P</w:t>
      </w:r>
      <w:r w:rsidR="00E35BFD">
        <w:t xml:space="preserve">anel </w:t>
      </w:r>
      <w:r w:rsidR="00FF562A">
        <w:t xml:space="preserve">will be randomly </w:t>
      </w:r>
      <w:r w:rsidR="00E35BFD">
        <w:t>assigned to the experimental group or to the control group.</w:t>
      </w:r>
      <w:r w:rsidR="00FF562A">
        <w:t xml:space="preserve"> Beneficiaries in the experimental group will receive the revised letter while those in the control group will receive the </w:t>
      </w:r>
      <w:r w:rsidR="00AC0A88">
        <w:t xml:space="preserve">current </w:t>
      </w:r>
      <w:r w:rsidR="00FF562A">
        <w:t>letter. Letters will be mailed to all sampled beneficiaries approximately</w:t>
      </w:r>
      <w:r w:rsidR="00AC0A88">
        <w:t xml:space="preserve"> two</w:t>
      </w:r>
      <w:r w:rsidR="00FF562A">
        <w:t xml:space="preserve"> business days before the field period begins in late July 2019. All steps will be taken to ensure the letters are mailed at the same time following the standard study protocol. </w:t>
      </w:r>
      <w:r w:rsidR="00543A9E">
        <w:t xml:space="preserve">No other changes to the questionnaire or interviewing protocol are associated with this experiment. </w:t>
      </w:r>
      <w:r w:rsidR="00FF562A">
        <w:t>All interviewing procedures would remain unchanged.</w:t>
      </w:r>
    </w:p>
    <w:p w:rsidR="00325206" w:rsidRDefault="00325206" w:rsidP="00B2351F">
      <w:pPr>
        <w:pStyle w:val="BodyTextTNR"/>
      </w:pPr>
      <w:r w:rsidRPr="00B2351F">
        <w:rPr>
          <w:b/>
        </w:rPr>
        <w:t>Table 1</w:t>
      </w:r>
      <w:r>
        <w:t xml:space="preserve"> below shows the expected number of respondents by group, with the sample size estimated to be similar to the number of beneficiaries sampled for the 2018 </w:t>
      </w:r>
      <w:r w:rsidR="00AC0A88">
        <w:t>I</w:t>
      </w:r>
      <w:r>
        <w:t xml:space="preserve">ncoming </w:t>
      </w:r>
      <w:r w:rsidR="00AC0A88">
        <w:t>P</w:t>
      </w:r>
      <w:r>
        <w:t xml:space="preserve">anel (approximately 11,000). Note that the projected response rates assume </w:t>
      </w:r>
      <w:r w:rsidR="004963F5">
        <w:t xml:space="preserve">no difference between the two groups. </w:t>
      </w:r>
      <w:r>
        <w:t>With these sample sizes, detection of just under 3% difference between these two groups will be possible</w:t>
      </w:r>
      <w:r w:rsidR="002C3F88">
        <w:t>, providing sufficient power to measure the effectiveness of the revised letter.</w:t>
      </w:r>
    </w:p>
    <w:p w:rsidR="00325206" w:rsidRPr="00B2351F" w:rsidRDefault="00325206" w:rsidP="00325206">
      <w:pPr>
        <w:pStyle w:val="BodyTextTNR"/>
        <w:rPr>
          <w:b/>
        </w:rPr>
      </w:pPr>
      <w:r w:rsidRPr="00B2351F">
        <w:rPr>
          <w:b/>
        </w:rPr>
        <w:t xml:space="preserve">Table 1: Projected Sample Sizes upon Case Release </w:t>
      </w:r>
    </w:p>
    <w:tbl>
      <w:tblPr>
        <w:tblStyle w:val="TableGrid"/>
        <w:tblW w:w="0" w:type="auto"/>
        <w:tblLook w:val="04A0" w:firstRow="1" w:lastRow="0" w:firstColumn="1" w:lastColumn="0" w:noHBand="0" w:noVBand="1"/>
      </w:tblPr>
      <w:tblGrid>
        <w:gridCol w:w="2155"/>
        <w:gridCol w:w="1620"/>
        <w:gridCol w:w="2880"/>
      </w:tblGrid>
      <w:tr w:rsidR="00B549A1" w:rsidTr="000F76D4">
        <w:tc>
          <w:tcPr>
            <w:tcW w:w="2155" w:type="dxa"/>
          </w:tcPr>
          <w:p w:rsidR="00B549A1" w:rsidRPr="000F76D4" w:rsidRDefault="00B549A1" w:rsidP="00924F44">
            <w:pPr>
              <w:pStyle w:val="NORCTableBodyL"/>
              <w:rPr>
                <w:b/>
              </w:rPr>
            </w:pPr>
            <w:r w:rsidRPr="000F76D4">
              <w:rPr>
                <w:b/>
              </w:rPr>
              <w:t>Experimental Group</w:t>
            </w:r>
          </w:p>
        </w:tc>
        <w:tc>
          <w:tcPr>
            <w:tcW w:w="1620" w:type="dxa"/>
          </w:tcPr>
          <w:p w:rsidR="00B549A1" w:rsidRPr="000F76D4" w:rsidRDefault="00B549A1" w:rsidP="00924F44">
            <w:pPr>
              <w:pStyle w:val="NORCTableBodyL"/>
              <w:rPr>
                <w:b/>
              </w:rPr>
            </w:pPr>
            <w:r w:rsidRPr="000F76D4">
              <w:rPr>
                <w:b/>
              </w:rPr>
              <w:t>Letter Version</w:t>
            </w:r>
          </w:p>
        </w:tc>
        <w:tc>
          <w:tcPr>
            <w:tcW w:w="2880" w:type="dxa"/>
          </w:tcPr>
          <w:p w:rsidR="00B549A1" w:rsidRPr="000F76D4" w:rsidRDefault="00B549A1" w:rsidP="00924F44">
            <w:pPr>
              <w:pStyle w:val="NORCTableBodyL"/>
              <w:rPr>
                <w:b/>
              </w:rPr>
            </w:pPr>
            <w:r w:rsidRPr="000F76D4">
              <w:rPr>
                <w:b/>
              </w:rPr>
              <w:t>2019 Panel Sample</w:t>
            </w:r>
            <w:r w:rsidR="000F76D4" w:rsidRPr="000F76D4">
              <w:rPr>
                <w:b/>
              </w:rPr>
              <w:t xml:space="preserve"> (estimated)</w:t>
            </w:r>
          </w:p>
        </w:tc>
      </w:tr>
      <w:tr w:rsidR="00B549A1" w:rsidTr="000F76D4">
        <w:tc>
          <w:tcPr>
            <w:tcW w:w="2155" w:type="dxa"/>
          </w:tcPr>
          <w:p w:rsidR="00B549A1" w:rsidRDefault="00B549A1" w:rsidP="00924F44">
            <w:pPr>
              <w:pStyle w:val="NORCTableBodyL"/>
            </w:pPr>
            <w:r>
              <w:t>Control</w:t>
            </w:r>
          </w:p>
        </w:tc>
        <w:tc>
          <w:tcPr>
            <w:tcW w:w="1620" w:type="dxa"/>
          </w:tcPr>
          <w:p w:rsidR="00B549A1" w:rsidRDefault="00B549A1" w:rsidP="00924F44">
            <w:pPr>
              <w:pStyle w:val="NORCTableBodyL"/>
            </w:pPr>
            <w:r>
              <w:t xml:space="preserve">Current </w:t>
            </w:r>
          </w:p>
        </w:tc>
        <w:tc>
          <w:tcPr>
            <w:tcW w:w="2880" w:type="dxa"/>
          </w:tcPr>
          <w:p w:rsidR="00B549A1" w:rsidRDefault="00B549A1" w:rsidP="00924F44">
            <w:pPr>
              <w:pStyle w:val="NORCTableBodyL"/>
            </w:pPr>
            <w:r>
              <w:t>5,500</w:t>
            </w:r>
          </w:p>
        </w:tc>
      </w:tr>
      <w:tr w:rsidR="00B549A1" w:rsidTr="000F76D4">
        <w:tc>
          <w:tcPr>
            <w:tcW w:w="2155" w:type="dxa"/>
          </w:tcPr>
          <w:p w:rsidR="00B549A1" w:rsidRDefault="00B549A1" w:rsidP="00924F44">
            <w:pPr>
              <w:pStyle w:val="NORCTableBodyL"/>
            </w:pPr>
            <w:r>
              <w:t>Experimental</w:t>
            </w:r>
          </w:p>
        </w:tc>
        <w:tc>
          <w:tcPr>
            <w:tcW w:w="1620" w:type="dxa"/>
          </w:tcPr>
          <w:p w:rsidR="00B549A1" w:rsidRDefault="00B549A1" w:rsidP="00924F44">
            <w:pPr>
              <w:pStyle w:val="NORCTableBodyL"/>
            </w:pPr>
            <w:r>
              <w:t>Revised</w:t>
            </w:r>
          </w:p>
        </w:tc>
        <w:tc>
          <w:tcPr>
            <w:tcW w:w="2880" w:type="dxa"/>
          </w:tcPr>
          <w:p w:rsidR="00B549A1" w:rsidRDefault="00B549A1" w:rsidP="00924F44">
            <w:pPr>
              <w:pStyle w:val="NORCTableBodyL"/>
            </w:pPr>
            <w:r>
              <w:t>5,500</w:t>
            </w:r>
          </w:p>
        </w:tc>
      </w:tr>
    </w:tbl>
    <w:p w:rsidR="00325206" w:rsidRDefault="00325206" w:rsidP="00325206">
      <w:pPr>
        <w:pStyle w:val="BodyTextIndent"/>
        <w:spacing w:after="0"/>
        <w:ind w:left="0"/>
        <w:rPr>
          <w:rFonts w:asciiTheme="minorHAnsi" w:hAnsiTheme="minorHAnsi"/>
          <w:sz w:val="22"/>
          <w:szCs w:val="22"/>
        </w:rPr>
      </w:pPr>
    </w:p>
    <w:p w:rsidR="00313E26" w:rsidRDefault="00CF3E7E" w:rsidP="00313E26">
      <w:pPr>
        <w:pStyle w:val="BodyTextTNR"/>
      </w:pPr>
      <w:r>
        <w:t>This</w:t>
      </w:r>
      <w:r w:rsidR="008C5CD2">
        <w:t xml:space="preserve"> split ballot experiment </w:t>
      </w:r>
      <w:r w:rsidR="002C3F88">
        <w:t>will be</w:t>
      </w:r>
      <w:r w:rsidR="008C5CD2">
        <w:t xml:space="preserve"> conducted with existing respondents as part of the regular MCBS production. </w:t>
      </w:r>
      <w:r>
        <w:t xml:space="preserve">As noted in the </w:t>
      </w:r>
      <w:r w:rsidR="00F4099E">
        <w:t xml:space="preserve">Generic Clearance, </w:t>
      </w:r>
      <w:r w:rsidR="008C5CD2">
        <w:t xml:space="preserve">the burden for respondent time </w:t>
      </w:r>
      <w:r w:rsidR="00C548C3">
        <w:t xml:space="preserve">for </w:t>
      </w:r>
      <w:r w:rsidR="006C48EC">
        <w:t xml:space="preserve">this kind of </w:t>
      </w:r>
      <w:r w:rsidR="00C548C3">
        <w:t xml:space="preserve">split ballot experiments </w:t>
      </w:r>
      <w:r w:rsidR="008C5CD2">
        <w:t>is captured in MCBS clearance 0938-0568.</w:t>
      </w:r>
      <w:r w:rsidR="00313E26" w:rsidRPr="00313E26">
        <w:t xml:space="preserve"> </w:t>
      </w:r>
      <w:r w:rsidR="00313E26">
        <w:t xml:space="preserve">No additional respondent burden is expected. </w:t>
      </w:r>
    </w:p>
    <w:p w:rsidR="000E7076" w:rsidRDefault="001E0E8C" w:rsidP="00543A9E">
      <w:pPr>
        <w:pStyle w:val="Heading3"/>
      </w:pPr>
      <w:r>
        <w:t>Analysis of key outcomes</w:t>
      </w:r>
    </w:p>
    <w:p w:rsidR="002C3F88" w:rsidRDefault="0008510B" w:rsidP="002C3F88">
      <w:pPr>
        <w:pStyle w:val="BodyTextTNR"/>
      </w:pPr>
      <w:r>
        <w:t>T</w:t>
      </w:r>
      <w:r w:rsidR="00543A9E">
        <w:t>o assess the effects of the revised advance letter, we will compare</w:t>
      </w:r>
      <w:r>
        <w:t xml:space="preserve"> </w:t>
      </w:r>
      <w:r w:rsidR="00543A9E">
        <w:t>key indicators</w:t>
      </w:r>
      <w:r>
        <w:t xml:space="preserve"> </w:t>
      </w:r>
      <w:r w:rsidR="00543A9E">
        <w:t>between the experimental and control groups, including, but not limited to</w:t>
      </w:r>
      <w:r w:rsidR="00313E26">
        <w:t>,</w:t>
      </w:r>
      <w:r w:rsidR="00543A9E">
        <w:t xml:space="preserve"> interview completion rate, success at first in-person contact, elapsed time between letter mailing and first successful contact,</w:t>
      </w:r>
      <w:r w:rsidR="006C48EC">
        <w:t xml:space="preserve"> elapsed time between letter mailing and interview completion, and number of total contacts</w:t>
      </w:r>
      <w:r w:rsidR="00543A9E">
        <w:t xml:space="preserve">. </w:t>
      </w:r>
      <w:r w:rsidR="006C48EC">
        <w:t>F</w:t>
      </w:r>
      <w:r w:rsidR="00605995">
        <w:t>actors</w:t>
      </w:r>
      <w:r w:rsidR="00BA3798">
        <w:t xml:space="preserve"> such as respon</w:t>
      </w:r>
      <w:r w:rsidR="000F76D4">
        <w:t>dent age and interview location</w:t>
      </w:r>
      <w:r w:rsidR="00605995">
        <w:t xml:space="preserve"> w</w:t>
      </w:r>
      <w:r>
        <w:t xml:space="preserve">ill </w:t>
      </w:r>
      <w:r w:rsidR="00605995">
        <w:t xml:space="preserve">be considered </w:t>
      </w:r>
      <w:r>
        <w:t xml:space="preserve">and covariates will be controlled for </w:t>
      </w:r>
      <w:r w:rsidR="000F76D4">
        <w:t>in all analyse</w:t>
      </w:r>
      <w:r w:rsidR="00605995">
        <w:t xml:space="preserve">s conducted. </w:t>
      </w:r>
      <w:r w:rsidR="002C3F88">
        <w:t xml:space="preserve">Results from this experiment will be used </w:t>
      </w:r>
      <w:r w:rsidR="00776A6D">
        <w:t xml:space="preserve">by CMS </w:t>
      </w:r>
      <w:r w:rsidR="002C3F88">
        <w:t>to inform and/or decide on revisions to the advance letter in future rounds of data collection.</w:t>
      </w:r>
      <w:r w:rsidR="006C48EC">
        <w:t xml:space="preserve"> If CMS determines that the experimental version is preferred, a request to use that version will be submitted to OMB for use in the 2020 MCBS.</w:t>
      </w:r>
    </w:p>
    <w:p w:rsidR="006C48EC" w:rsidRDefault="006C48EC" w:rsidP="002C3F88">
      <w:pPr>
        <w:pStyle w:val="BodyTextTNR"/>
      </w:pPr>
      <w:r>
        <w:t xml:space="preserve">Please note that the experiment version of the advance letter has been reviewed and approved by NORC’s Institutional Review Board. </w:t>
      </w:r>
    </w:p>
    <w:p w:rsidR="00EE2635" w:rsidRPr="002A2D70" w:rsidRDefault="001A2736" w:rsidP="002A2D70">
      <w:pPr>
        <w:pStyle w:val="BodyTextTNR"/>
      </w:pPr>
      <w:r w:rsidRPr="001F4D1E">
        <w:t xml:space="preserve">If you have any questions or would like to discuss this request, please do not hesitate to contact the CMS </w:t>
      </w:r>
      <w:r w:rsidR="005609E7" w:rsidRPr="001F4D1E">
        <w:t>MCBS Project Director, Debra Reed-Gillette</w:t>
      </w:r>
      <w:r w:rsidR="007A63E7" w:rsidRPr="001F4D1E">
        <w:t>.</w:t>
      </w:r>
      <w:r w:rsidR="005609E7" w:rsidRPr="001F4D1E">
        <w:t xml:space="preserve"> </w:t>
      </w:r>
    </w:p>
    <w:p w:rsidR="00724991" w:rsidRDefault="005A3B49" w:rsidP="00B2351F">
      <w:pPr>
        <w:pStyle w:val="Heading2"/>
      </w:pPr>
      <w:r w:rsidRPr="004C75E4">
        <w:t>Attachment</w:t>
      </w:r>
      <w:r w:rsidR="00934A95">
        <w:t>s</w:t>
      </w:r>
      <w:r w:rsidR="00724991" w:rsidRPr="004C75E4">
        <w:t>:</w:t>
      </w:r>
    </w:p>
    <w:p w:rsidR="000E7076" w:rsidRDefault="000E7076" w:rsidP="00B2351F">
      <w:pPr>
        <w:pStyle w:val="BodyTextTNR"/>
      </w:pPr>
      <w:r>
        <w:t>A – Revised Advance Letter</w:t>
      </w:r>
    </w:p>
    <w:p w:rsidR="00C32F3E" w:rsidRPr="00C32F3E" w:rsidRDefault="000E7076" w:rsidP="001143F9">
      <w:pPr>
        <w:pStyle w:val="BodyTextTNR"/>
      </w:pPr>
      <w:r>
        <w:t xml:space="preserve">B – </w:t>
      </w:r>
      <w:r w:rsidR="00B549A1">
        <w:t>Current</w:t>
      </w:r>
      <w:r>
        <w:t xml:space="preserve"> (Control) Advance Letter</w:t>
      </w:r>
    </w:p>
    <w:sectPr w:rsidR="00C32F3E" w:rsidRPr="00C32F3E" w:rsidSect="001F6BAE">
      <w:headerReference w:type="default" r:id="rId9"/>
      <w:footerReference w:type="default" r:id="rId10"/>
      <w:pgSz w:w="12240" w:h="15840"/>
      <w:pgMar w:top="1296" w:right="1296" w:bottom="1440" w:left="1296"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F0D" w:rsidRDefault="00092F0D" w:rsidP="00BF3274">
      <w:pPr>
        <w:spacing w:after="0" w:line="240" w:lineRule="auto"/>
      </w:pPr>
      <w:r>
        <w:separator/>
      </w:r>
    </w:p>
  </w:endnote>
  <w:endnote w:type="continuationSeparator" w:id="0">
    <w:p w:rsidR="00092F0D" w:rsidRDefault="00092F0D" w:rsidP="00BF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125" w:rsidRPr="001A4091" w:rsidRDefault="001F6BAE" w:rsidP="00154125">
    <w:pPr>
      <w:pStyle w:val="NoSpacing"/>
      <w:rPr>
        <w:color w:val="808080"/>
        <w:sz w:val="16"/>
        <w:szCs w:val="16"/>
      </w:rPr>
    </w:pPr>
    <w:r>
      <w:rPr>
        <w:noProof/>
      </w:rPr>
      <w:drawing>
        <wp:anchor distT="0" distB="0" distL="114300" distR="114300" simplePos="0" relativeHeight="251659264" behindDoc="0" locked="0" layoutInCell="1" allowOverlap="1" wp14:anchorId="669F6C07" wp14:editId="0D00333F">
          <wp:simplePos x="0" y="0"/>
          <wp:positionH relativeFrom="margin">
            <wp:align>right</wp:align>
          </wp:positionH>
          <wp:positionV relativeFrom="paragraph">
            <wp:posOffset>-235585</wp:posOffset>
          </wp:positionV>
          <wp:extent cx="1752600" cy="623570"/>
          <wp:effectExtent l="0" t="0" r="0" b="5080"/>
          <wp:wrapTopAndBottom/>
          <wp:docPr id="31" name="Picture 31" descr="P:\7649\Common\NORC-SM\Material Development\Field Materials and Mailings\Round 76\Field Materials\Miscellaneous\Logos\MCBS-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7649\Common\NORC-SM\Material Development\Field Materials and Mailings\Round 76\Field Materials\Miscellaneous\Logos\MCBS-Fin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23570"/>
                  </a:xfrm>
                  <a:prstGeom prst="rect">
                    <a:avLst/>
                  </a:prstGeom>
                  <a:noFill/>
                  <a:ln>
                    <a:noFill/>
                  </a:ln>
                </pic:spPr>
              </pic:pic>
            </a:graphicData>
          </a:graphic>
          <wp14:sizeRelH relativeFrom="page">
            <wp14:pctWidth>0</wp14:pctWidth>
          </wp14:sizeRelH>
          <wp14:sizeRelV relativeFrom="page">
            <wp14:pctHeight>0</wp14:pctHeight>
          </wp14:sizeRelV>
        </wp:anchor>
      </w:drawing>
    </w:r>
    <w:r w:rsidR="00485D6C" w:rsidRPr="001A4091">
      <w:rPr>
        <w:color w:val="808080"/>
        <w:sz w:val="16"/>
        <w:szCs w:val="16"/>
      </w:rPr>
      <w:t>Enclosure</w:t>
    </w:r>
  </w:p>
  <w:p w:rsidR="00154125" w:rsidRPr="001A4091" w:rsidRDefault="00485D6C" w:rsidP="007F33D2">
    <w:pPr>
      <w:pStyle w:val="NoSpacing"/>
      <w:jc w:val="both"/>
      <w:rPr>
        <w:color w:val="808080"/>
        <w:sz w:val="16"/>
        <w:szCs w:val="16"/>
      </w:rPr>
    </w:pPr>
    <w:r w:rsidRPr="001A4091">
      <w:rPr>
        <w:color w:val="808080"/>
        <w:sz w:val="16"/>
        <w:szCs w:val="16"/>
      </w:rPr>
      <w:t xml:space="preserve">OMB No. 0938-0568 | Expires </w:t>
    </w:r>
    <w:r w:rsidR="001F6BAE">
      <w:rPr>
        <w:color w:val="808080"/>
        <w:sz w:val="16"/>
        <w:szCs w:val="16"/>
      </w:rPr>
      <w:t>9/30/2021</w:t>
    </w:r>
    <w:r w:rsidRPr="001A4091">
      <w:rPr>
        <w:color w:val="808080"/>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F0D" w:rsidRDefault="00092F0D" w:rsidP="00BF3274">
      <w:pPr>
        <w:spacing w:after="0" w:line="240" w:lineRule="auto"/>
      </w:pPr>
      <w:r>
        <w:separator/>
      </w:r>
    </w:p>
  </w:footnote>
  <w:footnote w:type="continuationSeparator" w:id="0">
    <w:p w:rsidR="00092F0D" w:rsidRDefault="00092F0D" w:rsidP="00BF3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274" w:rsidRPr="00BF3274" w:rsidRDefault="00C32F3E" w:rsidP="00BF3274">
    <w:pPr>
      <w:tabs>
        <w:tab w:val="left" w:pos="180"/>
        <w:tab w:val="center" w:pos="4680"/>
        <w:tab w:val="right" w:pos="9720"/>
      </w:tabs>
      <w:spacing w:after="0" w:line="240" w:lineRule="auto"/>
      <w:rPr>
        <w:rFonts w:ascii="Book Antiqua" w:hAnsi="Book Antiqua"/>
        <w:sz w:val="18"/>
      </w:rPr>
    </w:pPr>
    <w:r>
      <w:rPr>
        <w:noProof/>
      </w:rPr>
      <w:drawing>
        <wp:anchor distT="0" distB="0" distL="114300" distR="114300" simplePos="0" relativeHeight="251660288" behindDoc="1" locked="0" layoutInCell="1" allowOverlap="1" wp14:anchorId="550B3818" wp14:editId="2A73D918">
          <wp:simplePos x="0" y="0"/>
          <wp:positionH relativeFrom="page">
            <wp:posOffset>4836795</wp:posOffset>
          </wp:positionH>
          <wp:positionV relativeFrom="paragraph">
            <wp:posOffset>-163195</wp:posOffset>
          </wp:positionV>
          <wp:extent cx="1957070" cy="749935"/>
          <wp:effectExtent l="0" t="0" r="5080" b="0"/>
          <wp:wrapTight wrapText="bothSides">
            <wp:wrapPolygon edited="0">
              <wp:start x="8410" y="0"/>
              <wp:lineTo x="5467" y="1097"/>
              <wp:lineTo x="0" y="6584"/>
              <wp:lineTo x="0" y="15363"/>
              <wp:lineTo x="2733" y="17558"/>
              <wp:lineTo x="1472" y="18107"/>
              <wp:lineTo x="1262" y="19204"/>
              <wp:lineTo x="1472" y="20850"/>
              <wp:lineTo x="21446" y="20850"/>
              <wp:lineTo x="21446" y="18655"/>
              <wp:lineTo x="21236" y="18107"/>
              <wp:lineTo x="20184" y="17558"/>
              <wp:lineTo x="20395" y="14815"/>
              <wp:lineTo x="18923" y="8230"/>
              <wp:lineTo x="18502" y="3292"/>
              <wp:lineTo x="15769" y="0"/>
              <wp:lineTo x="8410" y="0"/>
            </wp:wrapPolygon>
          </wp:wrapTight>
          <wp:docPr id="30" name="Picture 30" descr="P:\7649\Common\NORC-SM\Material Development\Field Materials and Mailings\Round 73\Field Materials\Miscellaneous\Logos\CMSlogoOE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7649\Common\NORC-SM\Material Development\Field Materials and Mailings\Round 73\Field Materials\Miscellaneous\Logos\CMSlogoOED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F3274" w:rsidRPr="00BF3274">
      <w:rPr>
        <w:rFonts w:ascii="Book Antiqua" w:hAnsi="Book Antiqua"/>
        <w:sz w:val="18"/>
      </w:rPr>
      <w:t>DEPARTMENT OF HEALTH &amp; HUMAN SERVICES</w:t>
    </w:r>
  </w:p>
  <w:p w:rsidR="00BF3274" w:rsidRPr="00BF3274" w:rsidRDefault="00BF3274" w:rsidP="00BF3274">
    <w:pPr>
      <w:tabs>
        <w:tab w:val="left" w:pos="180"/>
        <w:tab w:val="left" w:pos="360"/>
        <w:tab w:val="center" w:pos="4680"/>
        <w:tab w:val="right" w:pos="9360"/>
      </w:tabs>
      <w:spacing w:after="0" w:line="240" w:lineRule="auto"/>
      <w:rPr>
        <w:rFonts w:ascii="Book Antiqua" w:hAnsi="Book Antiqua"/>
        <w:sz w:val="18"/>
      </w:rPr>
    </w:pPr>
    <w:r w:rsidRPr="00BF3274">
      <w:rPr>
        <w:rFonts w:ascii="Book Antiqua" w:hAnsi="Book Antiqua"/>
        <w:sz w:val="18"/>
      </w:rPr>
      <w:t>Centers for Medicare &amp; Medicaid Services</w:t>
    </w:r>
    <w:r w:rsidR="00485D6C" w:rsidRPr="00CF5034">
      <w:rPr>
        <w:rFonts w:eastAsia="Times New Roman"/>
        <w:snapToGrid w:val="0"/>
        <w:color w:val="000000"/>
        <w:w w:val="0"/>
        <w:sz w:val="0"/>
        <w:szCs w:val="0"/>
        <w:u w:color="000000"/>
        <w:bdr w:val="none" w:sz="0" w:space="0" w:color="000000"/>
        <w:shd w:val="clear" w:color="000000" w:fill="000000"/>
        <w:lang w:val="x-none" w:eastAsia="x-none" w:bidi="x-none"/>
      </w:rPr>
      <w:t xml:space="preserve"> </w:t>
    </w:r>
  </w:p>
  <w:p w:rsidR="00BF3274" w:rsidRPr="00BF3274" w:rsidRDefault="00BF3274" w:rsidP="00BF3274">
    <w:pPr>
      <w:tabs>
        <w:tab w:val="left" w:pos="180"/>
        <w:tab w:val="left" w:pos="360"/>
        <w:tab w:val="center" w:pos="4680"/>
        <w:tab w:val="right" w:pos="9360"/>
      </w:tabs>
      <w:spacing w:after="0" w:line="240" w:lineRule="auto"/>
      <w:rPr>
        <w:rFonts w:ascii="Book Antiqua" w:hAnsi="Book Antiqua"/>
        <w:sz w:val="18"/>
      </w:rPr>
    </w:pPr>
    <w:r w:rsidRPr="00BF3274">
      <w:rPr>
        <w:rFonts w:ascii="Book Antiqua" w:hAnsi="Book Antiqua"/>
        <w:sz w:val="18"/>
      </w:rPr>
      <w:t>7500 Security Boulevard</w:t>
    </w:r>
  </w:p>
  <w:p w:rsidR="00BF3274" w:rsidRPr="00BF3274" w:rsidRDefault="00BF3274" w:rsidP="00BF3274">
    <w:pPr>
      <w:tabs>
        <w:tab w:val="left" w:pos="180"/>
        <w:tab w:val="left" w:pos="360"/>
        <w:tab w:val="center" w:pos="4680"/>
        <w:tab w:val="right" w:pos="9360"/>
      </w:tabs>
      <w:spacing w:after="0" w:line="240" w:lineRule="auto"/>
      <w:rPr>
        <w:rFonts w:ascii="Book Antiqua" w:hAnsi="Book Antiqua"/>
        <w:sz w:val="18"/>
      </w:rPr>
    </w:pPr>
    <w:r w:rsidRPr="00BF3274">
      <w:rPr>
        <w:rFonts w:ascii="Book Antiqua" w:hAnsi="Book Antiqua"/>
        <w:sz w:val="18"/>
      </w:rPr>
      <w:t>Baltimore, Maryland 21244-1850</w:t>
    </w:r>
  </w:p>
  <w:p w:rsidR="00BF3274" w:rsidRPr="00BF3274" w:rsidRDefault="00BF3274" w:rsidP="00130D1B">
    <w:pPr>
      <w:pBdr>
        <w:bottom w:val="single" w:sz="12" w:space="1" w:color="auto"/>
      </w:pBdr>
      <w:tabs>
        <w:tab w:val="left" w:pos="180"/>
        <w:tab w:val="center" w:pos="4680"/>
        <w:tab w:val="right" w:pos="9360"/>
      </w:tabs>
      <w:spacing w:after="0" w:line="240" w:lineRule="auto"/>
      <w:rPr>
        <w:rFonts w:ascii="Book Antiqua" w:hAnsi="Book Antiqua"/>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21298_"/>
      </v:shape>
    </w:pict>
  </w:numPicBullet>
  <w:abstractNum w:abstractNumId="0">
    <w:nsid w:val="03C4277D"/>
    <w:multiLevelType w:val="hybridMultilevel"/>
    <w:tmpl w:val="30C8F270"/>
    <w:lvl w:ilvl="0" w:tplc="04090003">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A042A"/>
    <w:multiLevelType w:val="hybridMultilevel"/>
    <w:tmpl w:val="DD14D9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AC30B80"/>
    <w:multiLevelType w:val="hybridMultilevel"/>
    <w:tmpl w:val="5AEA5126"/>
    <w:lvl w:ilvl="0" w:tplc="4D4CB3C0">
      <w:start w:val="1"/>
      <w:numFmt w:val="bullet"/>
      <w:pStyle w:val="NORC-Bullet1"/>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B9A3552"/>
    <w:multiLevelType w:val="hybridMultilevel"/>
    <w:tmpl w:val="FA760B96"/>
    <w:lvl w:ilvl="0" w:tplc="95C41A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E1A3A"/>
    <w:multiLevelType w:val="hybridMultilevel"/>
    <w:tmpl w:val="FA760B96"/>
    <w:lvl w:ilvl="0" w:tplc="95C41A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114B83"/>
    <w:multiLevelType w:val="hybridMultilevel"/>
    <w:tmpl w:val="370AE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213EF3"/>
    <w:multiLevelType w:val="hybridMultilevel"/>
    <w:tmpl w:val="6AFA7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126503"/>
    <w:multiLevelType w:val="hybridMultilevel"/>
    <w:tmpl w:val="3C78313E"/>
    <w:lvl w:ilvl="0" w:tplc="238294A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FB628D"/>
    <w:multiLevelType w:val="hybridMultilevel"/>
    <w:tmpl w:val="228E193E"/>
    <w:lvl w:ilvl="0" w:tplc="04090001">
      <w:start w:val="1"/>
      <w:numFmt w:val="bullet"/>
      <w:lvlText w:val=""/>
      <w:lvlJc w:val="left"/>
      <w:pPr>
        <w:ind w:left="720" w:hanging="360"/>
      </w:pPr>
      <w:rPr>
        <w:rFonts w:ascii="Symbol" w:hAnsi="Symbol" w:hint="default"/>
      </w:rPr>
    </w:lvl>
    <w:lvl w:ilvl="1" w:tplc="9E5EFB0C">
      <w:start w:val="1"/>
      <w:numFmt w:val="bullet"/>
      <w:lvlText w:val="□"/>
      <w:lvlJc w:val="left"/>
      <w:pPr>
        <w:ind w:left="1440" w:hanging="360"/>
      </w:pPr>
      <w:rPr>
        <w:rFonts w:ascii="Courier New" w:hAnsi="Courier New" w:cs="Times New Roman" w:hint="default"/>
        <w:sz w:val="2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5154815"/>
    <w:multiLevelType w:val="hybridMultilevel"/>
    <w:tmpl w:val="422034B8"/>
    <w:lvl w:ilvl="0" w:tplc="9E5EFB0C">
      <w:start w:val="1"/>
      <w:numFmt w:val="bullet"/>
      <w:lvlText w:val="□"/>
      <w:lvlJc w:val="left"/>
      <w:pPr>
        <w:ind w:left="1800" w:hanging="360"/>
      </w:pPr>
      <w:rPr>
        <w:rFonts w:ascii="Courier New" w:hAnsi="Courier New" w:cs="Times New Roman" w:hint="default"/>
        <w:sz w:val="28"/>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nsid w:val="3D604C32"/>
    <w:multiLevelType w:val="hybridMultilevel"/>
    <w:tmpl w:val="B008B51E"/>
    <w:lvl w:ilvl="0" w:tplc="238294A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A260CB"/>
    <w:multiLevelType w:val="hybridMultilevel"/>
    <w:tmpl w:val="25A0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C87BFE"/>
    <w:multiLevelType w:val="hybridMultilevel"/>
    <w:tmpl w:val="23886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207373D"/>
    <w:multiLevelType w:val="hybridMultilevel"/>
    <w:tmpl w:val="B49EB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DB359E"/>
    <w:multiLevelType w:val="hybridMultilevel"/>
    <w:tmpl w:val="FA760B96"/>
    <w:lvl w:ilvl="0" w:tplc="95C41A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E542161"/>
    <w:multiLevelType w:val="hybridMultilevel"/>
    <w:tmpl w:val="86A4B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370395"/>
    <w:multiLevelType w:val="hybridMultilevel"/>
    <w:tmpl w:val="1AB26B7E"/>
    <w:lvl w:ilvl="0" w:tplc="2EBC3A7C">
      <w:start w:val="1"/>
      <w:numFmt w:val="decimal"/>
      <w:lvlText w:val="%1."/>
      <w:lvlJc w:val="left"/>
      <w:pPr>
        <w:ind w:left="360" w:hanging="360"/>
      </w:pPr>
      <w:rPr>
        <w:rFonts w:hint="default"/>
      </w:rPr>
    </w:lvl>
    <w:lvl w:ilvl="1" w:tplc="04090003">
      <w:start w:val="1"/>
      <w:numFmt w:val="decimal"/>
      <w:lvlText w:val="%2."/>
      <w:lvlJc w:val="left"/>
      <w:pPr>
        <w:ind w:left="1080" w:hanging="360"/>
      </w:pPr>
      <w:rPr>
        <w:rFonts w:hint="default"/>
      </w:rPr>
    </w:lvl>
    <w:lvl w:ilvl="2" w:tplc="04090005">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num w:numId="1">
    <w:abstractNumId w:val="7"/>
  </w:num>
  <w:num w:numId="2">
    <w:abstractNumId w:val="10"/>
  </w:num>
  <w:num w:numId="3">
    <w:abstractNumId w:val="16"/>
  </w:num>
  <w:num w:numId="4">
    <w:abstractNumId w:val="4"/>
  </w:num>
  <w:num w:numId="5">
    <w:abstractNumId w:val="3"/>
  </w:num>
  <w:num w:numId="6">
    <w:abstractNumId w:val="14"/>
  </w:num>
  <w:num w:numId="7">
    <w:abstractNumId w:val="0"/>
  </w:num>
  <w:num w:numId="8">
    <w:abstractNumId w:val="8"/>
  </w:num>
  <w:num w:numId="9">
    <w:abstractNumId w:val="9"/>
  </w:num>
  <w:num w:numId="10">
    <w:abstractNumId w:val="6"/>
  </w:num>
  <w:num w:numId="11">
    <w:abstractNumId w:val="11"/>
  </w:num>
  <w:num w:numId="12">
    <w:abstractNumId w:val="2"/>
  </w:num>
  <w:num w:numId="13">
    <w:abstractNumId w:val="1"/>
  </w:num>
  <w:num w:numId="14">
    <w:abstractNumId w:val="15"/>
  </w:num>
  <w:num w:numId="15">
    <w:abstractNumId w:val="5"/>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74"/>
    <w:rsid w:val="0004172D"/>
    <w:rsid w:val="00055D22"/>
    <w:rsid w:val="00066195"/>
    <w:rsid w:val="00071348"/>
    <w:rsid w:val="0008510B"/>
    <w:rsid w:val="00092F0D"/>
    <w:rsid w:val="000B0CEA"/>
    <w:rsid w:val="000D2C1C"/>
    <w:rsid w:val="000E7076"/>
    <w:rsid w:val="000F76D4"/>
    <w:rsid w:val="00100CE6"/>
    <w:rsid w:val="00104EF2"/>
    <w:rsid w:val="001143F9"/>
    <w:rsid w:val="00115C09"/>
    <w:rsid w:val="00116FD5"/>
    <w:rsid w:val="001176DA"/>
    <w:rsid w:val="0015358F"/>
    <w:rsid w:val="001553F0"/>
    <w:rsid w:val="0017012A"/>
    <w:rsid w:val="001A2736"/>
    <w:rsid w:val="001C2D28"/>
    <w:rsid w:val="001E0E8C"/>
    <w:rsid w:val="001F4D1E"/>
    <w:rsid w:val="001F6BAE"/>
    <w:rsid w:val="001F7D59"/>
    <w:rsid w:val="00236AF2"/>
    <w:rsid w:val="00251703"/>
    <w:rsid w:val="0027314D"/>
    <w:rsid w:val="002A2D70"/>
    <w:rsid w:val="002A339B"/>
    <w:rsid w:val="002A755E"/>
    <w:rsid w:val="002B71B4"/>
    <w:rsid w:val="002C3F88"/>
    <w:rsid w:val="00300DE4"/>
    <w:rsid w:val="00313E26"/>
    <w:rsid w:val="00325206"/>
    <w:rsid w:val="00337CC0"/>
    <w:rsid w:val="00383D20"/>
    <w:rsid w:val="00391DC7"/>
    <w:rsid w:val="003C3B5B"/>
    <w:rsid w:val="003D4D42"/>
    <w:rsid w:val="003D77FA"/>
    <w:rsid w:val="003F7031"/>
    <w:rsid w:val="00412849"/>
    <w:rsid w:val="00426A4E"/>
    <w:rsid w:val="00445F91"/>
    <w:rsid w:val="00485D6C"/>
    <w:rsid w:val="004963F5"/>
    <w:rsid w:val="004A3F2C"/>
    <w:rsid w:val="004B22C9"/>
    <w:rsid w:val="004C75E4"/>
    <w:rsid w:val="004E3CFE"/>
    <w:rsid w:val="00521DA1"/>
    <w:rsid w:val="0052388D"/>
    <w:rsid w:val="00532844"/>
    <w:rsid w:val="0053339B"/>
    <w:rsid w:val="00535B02"/>
    <w:rsid w:val="00540436"/>
    <w:rsid w:val="00543A9E"/>
    <w:rsid w:val="005609E7"/>
    <w:rsid w:val="005714D3"/>
    <w:rsid w:val="0057182B"/>
    <w:rsid w:val="00574113"/>
    <w:rsid w:val="00595817"/>
    <w:rsid w:val="005A3B49"/>
    <w:rsid w:val="0060224C"/>
    <w:rsid w:val="00605995"/>
    <w:rsid w:val="006411D8"/>
    <w:rsid w:val="00642F79"/>
    <w:rsid w:val="006518DC"/>
    <w:rsid w:val="00654BE3"/>
    <w:rsid w:val="006823B8"/>
    <w:rsid w:val="00692F97"/>
    <w:rsid w:val="00693066"/>
    <w:rsid w:val="00697E4D"/>
    <w:rsid w:val="006A1A06"/>
    <w:rsid w:val="006A4C7C"/>
    <w:rsid w:val="006C48EC"/>
    <w:rsid w:val="006D296C"/>
    <w:rsid w:val="006E2177"/>
    <w:rsid w:val="006E4A72"/>
    <w:rsid w:val="00721729"/>
    <w:rsid w:val="00723473"/>
    <w:rsid w:val="00724991"/>
    <w:rsid w:val="007340DF"/>
    <w:rsid w:val="007350A7"/>
    <w:rsid w:val="00741FA6"/>
    <w:rsid w:val="0075160A"/>
    <w:rsid w:val="0075601A"/>
    <w:rsid w:val="00776A6D"/>
    <w:rsid w:val="0078696D"/>
    <w:rsid w:val="007A63E7"/>
    <w:rsid w:val="007D0C9D"/>
    <w:rsid w:val="007D4916"/>
    <w:rsid w:val="007E1B1C"/>
    <w:rsid w:val="007E7374"/>
    <w:rsid w:val="007F0CFC"/>
    <w:rsid w:val="007F28C8"/>
    <w:rsid w:val="007F6726"/>
    <w:rsid w:val="00801498"/>
    <w:rsid w:val="00831FCA"/>
    <w:rsid w:val="00837AF1"/>
    <w:rsid w:val="00851097"/>
    <w:rsid w:val="00875FD9"/>
    <w:rsid w:val="00883DB9"/>
    <w:rsid w:val="008C38B0"/>
    <w:rsid w:val="008C5CD2"/>
    <w:rsid w:val="008E6301"/>
    <w:rsid w:val="008F2E3A"/>
    <w:rsid w:val="009240F1"/>
    <w:rsid w:val="0092480D"/>
    <w:rsid w:val="00934A95"/>
    <w:rsid w:val="009417FC"/>
    <w:rsid w:val="00946485"/>
    <w:rsid w:val="009472E5"/>
    <w:rsid w:val="009610D8"/>
    <w:rsid w:val="009A66A3"/>
    <w:rsid w:val="009B27C6"/>
    <w:rsid w:val="009B7C36"/>
    <w:rsid w:val="009C6B65"/>
    <w:rsid w:val="009D22FC"/>
    <w:rsid w:val="009F1B99"/>
    <w:rsid w:val="00A03A2C"/>
    <w:rsid w:val="00A1419B"/>
    <w:rsid w:val="00A24082"/>
    <w:rsid w:val="00A63882"/>
    <w:rsid w:val="00A73649"/>
    <w:rsid w:val="00A73C1D"/>
    <w:rsid w:val="00A73E43"/>
    <w:rsid w:val="00A80455"/>
    <w:rsid w:val="00A83378"/>
    <w:rsid w:val="00AA5E17"/>
    <w:rsid w:val="00AC0A88"/>
    <w:rsid w:val="00AE4441"/>
    <w:rsid w:val="00AF7510"/>
    <w:rsid w:val="00B2351F"/>
    <w:rsid w:val="00B53103"/>
    <w:rsid w:val="00B549A1"/>
    <w:rsid w:val="00B56882"/>
    <w:rsid w:val="00B630D0"/>
    <w:rsid w:val="00B844D6"/>
    <w:rsid w:val="00BA3798"/>
    <w:rsid w:val="00BC1359"/>
    <w:rsid w:val="00BC26C3"/>
    <w:rsid w:val="00BC5353"/>
    <w:rsid w:val="00BE07D0"/>
    <w:rsid w:val="00BF22ED"/>
    <w:rsid w:val="00BF3274"/>
    <w:rsid w:val="00C13C2F"/>
    <w:rsid w:val="00C15970"/>
    <w:rsid w:val="00C16884"/>
    <w:rsid w:val="00C22197"/>
    <w:rsid w:val="00C32F3E"/>
    <w:rsid w:val="00C51C6D"/>
    <w:rsid w:val="00C5485A"/>
    <w:rsid w:val="00C548C3"/>
    <w:rsid w:val="00C5586B"/>
    <w:rsid w:val="00C64192"/>
    <w:rsid w:val="00C67F5B"/>
    <w:rsid w:val="00CA308F"/>
    <w:rsid w:val="00CE2389"/>
    <w:rsid w:val="00CF3E7E"/>
    <w:rsid w:val="00CF716C"/>
    <w:rsid w:val="00D4010F"/>
    <w:rsid w:val="00D5781F"/>
    <w:rsid w:val="00D60652"/>
    <w:rsid w:val="00D731AC"/>
    <w:rsid w:val="00D96CE5"/>
    <w:rsid w:val="00DA705F"/>
    <w:rsid w:val="00E06751"/>
    <w:rsid w:val="00E1276E"/>
    <w:rsid w:val="00E313A2"/>
    <w:rsid w:val="00E35BFD"/>
    <w:rsid w:val="00E55E6D"/>
    <w:rsid w:val="00E63702"/>
    <w:rsid w:val="00E81C53"/>
    <w:rsid w:val="00EA3B28"/>
    <w:rsid w:val="00EB2503"/>
    <w:rsid w:val="00EB445E"/>
    <w:rsid w:val="00EC01A3"/>
    <w:rsid w:val="00EE2635"/>
    <w:rsid w:val="00EF7EA8"/>
    <w:rsid w:val="00F04FBF"/>
    <w:rsid w:val="00F201A1"/>
    <w:rsid w:val="00F4099E"/>
    <w:rsid w:val="00F44F32"/>
    <w:rsid w:val="00F61FFB"/>
    <w:rsid w:val="00F64458"/>
    <w:rsid w:val="00F70CED"/>
    <w:rsid w:val="00F80F4B"/>
    <w:rsid w:val="00F932FF"/>
    <w:rsid w:val="00F962B1"/>
    <w:rsid w:val="00FB4340"/>
    <w:rsid w:val="00FF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C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A4E"/>
  </w:style>
  <w:style w:type="paragraph" w:styleId="Heading1">
    <w:name w:val="heading 1"/>
    <w:basedOn w:val="Normal"/>
    <w:next w:val="Normal"/>
    <w:link w:val="Heading1Char"/>
    <w:qFormat/>
    <w:rsid w:val="00724991"/>
    <w:pPr>
      <w:keepNext/>
      <w:spacing w:after="0" w:line="240" w:lineRule="auto"/>
      <w:outlineLvl w:val="0"/>
    </w:pPr>
    <w:rPr>
      <w:rFonts w:eastAsia="Times New Roman"/>
      <w:b/>
      <w:bCs/>
      <w:sz w:val="24"/>
      <w:szCs w:val="24"/>
    </w:rPr>
  </w:style>
  <w:style w:type="paragraph" w:styleId="Heading2">
    <w:name w:val="heading 2"/>
    <w:basedOn w:val="Normal"/>
    <w:next w:val="Normal"/>
    <w:link w:val="Heading2Char"/>
    <w:uiPriority w:val="9"/>
    <w:unhideWhenUsed/>
    <w:qFormat/>
    <w:rsid w:val="004C75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43A9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274"/>
  </w:style>
  <w:style w:type="paragraph" w:styleId="Footer">
    <w:name w:val="footer"/>
    <w:basedOn w:val="Normal"/>
    <w:link w:val="FooterChar"/>
    <w:uiPriority w:val="99"/>
    <w:unhideWhenUsed/>
    <w:rsid w:val="00BF3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74"/>
  </w:style>
  <w:style w:type="paragraph" w:styleId="BodyTextIndent">
    <w:name w:val="Body Text Indent"/>
    <w:basedOn w:val="Normal"/>
    <w:link w:val="BodyTextIndentChar"/>
    <w:rsid w:val="001A2736"/>
    <w:pPr>
      <w:widowControl w:val="0"/>
      <w:autoSpaceDE w:val="0"/>
      <w:autoSpaceDN w:val="0"/>
      <w:adjustRightInd w:val="0"/>
      <w:spacing w:after="120" w:line="240" w:lineRule="auto"/>
      <w:ind w:left="360"/>
    </w:pPr>
    <w:rPr>
      <w:rFonts w:ascii="Arial" w:eastAsia="Times New Roman" w:hAnsi="Arial"/>
      <w:sz w:val="20"/>
      <w:szCs w:val="24"/>
    </w:rPr>
  </w:style>
  <w:style w:type="character" w:customStyle="1" w:styleId="BodyTextIndentChar">
    <w:name w:val="Body Text Indent Char"/>
    <w:basedOn w:val="DefaultParagraphFont"/>
    <w:link w:val="BodyTextIndent"/>
    <w:rsid w:val="001A2736"/>
    <w:rPr>
      <w:rFonts w:ascii="Arial" w:eastAsia="Times New Roman" w:hAnsi="Arial"/>
      <w:sz w:val="20"/>
      <w:szCs w:val="24"/>
    </w:rPr>
  </w:style>
  <w:style w:type="character" w:customStyle="1" w:styleId="Heading1Char">
    <w:name w:val="Heading 1 Char"/>
    <w:basedOn w:val="DefaultParagraphFont"/>
    <w:link w:val="Heading1"/>
    <w:rsid w:val="00724991"/>
    <w:rPr>
      <w:rFonts w:eastAsia="Times New Roman"/>
      <w:b/>
      <w:bCs/>
      <w:sz w:val="24"/>
      <w:szCs w:val="24"/>
    </w:rPr>
  </w:style>
  <w:style w:type="character" w:customStyle="1" w:styleId="Heading2Char">
    <w:name w:val="Heading 2 Char"/>
    <w:basedOn w:val="DefaultParagraphFont"/>
    <w:link w:val="Heading2"/>
    <w:uiPriority w:val="9"/>
    <w:rsid w:val="004C75E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C75E4"/>
    <w:pPr>
      <w:spacing w:after="0" w:line="240" w:lineRule="auto"/>
      <w:ind w:left="720"/>
      <w:contextualSpacing/>
    </w:pPr>
    <w:rPr>
      <w:rFonts w:eastAsia="Times New Roman"/>
      <w:sz w:val="24"/>
      <w:szCs w:val="24"/>
    </w:rPr>
  </w:style>
  <w:style w:type="character" w:styleId="Hyperlink">
    <w:name w:val="Hyperlink"/>
    <w:basedOn w:val="DefaultParagraphFont"/>
    <w:uiPriority w:val="99"/>
    <w:rsid w:val="004C75E4"/>
    <w:rPr>
      <w:rFonts w:cs="Times New Roman"/>
      <w:color w:val="0000FF"/>
      <w:u w:val="single"/>
    </w:rPr>
  </w:style>
  <w:style w:type="paragraph" w:styleId="PlainText">
    <w:name w:val="Plain Text"/>
    <w:basedOn w:val="Normal"/>
    <w:link w:val="PlainTextChar"/>
    <w:uiPriority w:val="99"/>
    <w:semiHidden/>
    <w:unhideWhenUsed/>
    <w:rsid w:val="004C75E4"/>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4C75E4"/>
    <w:rPr>
      <w:rFonts w:ascii="Consolas" w:eastAsia="Calibri" w:hAnsi="Consolas"/>
      <w:sz w:val="21"/>
      <w:szCs w:val="21"/>
    </w:rPr>
  </w:style>
  <w:style w:type="character" w:styleId="CommentReference">
    <w:name w:val="annotation reference"/>
    <w:basedOn w:val="DefaultParagraphFont"/>
    <w:uiPriority w:val="99"/>
    <w:semiHidden/>
    <w:unhideWhenUsed/>
    <w:rsid w:val="004C75E4"/>
    <w:rPr>
      <w:sz w:val="16"/>
      <w:szCs w:val="16"/>
    </w:rPr>
  </w:style>
  <w:style w:type="paragraph" w:styleId="CommentText">
    <w:name w:val="annotation text"/>
    <w:basedOn w:val="Normal"/>
    <w:link w:val="CommentTextChar"/>
    <w:uiPriority w:val="99"/>
    <w:unhideWhenUsed/>
    <w:rsid w:val="004C75E4"/>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4C75E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C75E4"/>
    <w:rPr>
      <w:b/>
      <w:bCs/>
    </w:rPr>
  </w:style>
  <w:style w:type="character" w:customStyle="1" w:styleId="CommentSubjectChar">
    <w:name w:val="Comment Subject Char"/>
    <w:basedOn w:val="CommentTextChar"/>
    <w:link w:val="CommentSubject"/>
    <w:uiPriority w:val="99"/>
    <w:semiHidden/>
    <w:rsid w:val="004C75E4"/>
    <w:rPr>
      <w:rFonts w:eastAsia="Times New Roman"/>
      <w:b/>
      <w:bCs/>
      <w:sz w:val="20"/>
      <w:szCs w:val="20"/>
    </w:rPr>
  </w:style>
  <w:style w:type="paragraph" w:styleId="BalloonText">
    <w:name w:val="Balloon Text"/>
    <w:basedOn w:val="Normal"/>
    <w:link w:val="BalloonTextChar"/>
    <w:uiPriority w:val="99"/>
    <w:semiHidden/>
    <w:unhideWhenUsed/>
    <w:rsid w:val="004C75E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C75E4"/>
    <w:rPr>
      <w:rFonts w:ascii="Tahoma" w:eastAsia="Times New Roman" w:hAnsi="Tahoma" w:cs="Tahoma"/>
      <w:sz w:val="16"/>
      <w:szCs w:val="16"/>
    </w:rPr>
  </w:style>
  <w:style w:type="paragraph" w:customStyle="1" w:styleId="NORC-Bullet1">
    <w:name w:val="NORC-Bullet 1"/>
    <w:rsid w:val="004C75E4"/>
    <w:pPr>
      <w:numPr>
        <w:numId w:val="12"/>
      </w:numPr>
      <w:spacing w:after="40" w:line="240" w:lineRule="auto"/>
    </w:pPr>
    <w:rPr>
      <w:rFonts w:eastAsia="Times New Roman"/>
      <w:sz w:val="24"/>
      <w:szCs w:val="24"/>
    </w:rPr>
  </w:style>
  <w:style w:type="table" w:styleId="TableGrid">
    <w:name w:val="Table Grid"/>
    <w:basedOn w:val="TableNormal"/>
    <w:uiPriority w:val="59"/>
    <w:rsid w:val="004C75E4"/>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CTableBodyL">
    <w:name w:val="NORC Table Body L"/>
    <w:basedOn w:val="Normal"/>
    <w:qFormat/>
    <w:rsid w:val="004C75E4"/>
    <w:pPr>
      <w:spacing w:after="0" w:line="240" w:lineRule="auto"/>
    </w:pPr>
    <w:rPr>
      <w:rFonts w:eastAsia="Calibri"/>
      <w:sz w:val="20"/>
    </w:rPr>
  </w:style>
  <w:style w:type="paragraph" w:styleId="TOCHeading">
    <w:name w:val="TOC Heading"/>
    <w:basedOn w:val="Heading1"/>
    <w:next w:val="Normal"/>
    <w:uiPriority w:val="39"/>
    <w:unhideWhenUsed/>
    <w:qFormat/>
    <w:rsid w:val="004C75E4"/>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4C75E4"/>
    <w:pPr>
      <w:spacing w:after="100" w:line="240" w:lineRule="auto"/>
    </w:pPr>
    <w:rPr>
      <w:rFonts w:eastAsia="Times New Roman"/>
      <w:sz w:val="24"/>
      <w:szCs w:val="24"/>
    </w:rPr>
  </w:style>
  <w:style w:type="paragraph" w:styleId="TOC2">
    <w:name w:val="toc 2"/>
    <w:basedOn w:val="Normal"/>
    <w:next w:val="Normal"/>
    <w:autoRedefine/>
    <w:uiPriority w:val="39"/>
    <w:unhideWhenUsed/>
    <w:rsid w:val="004C75E4"/>
    <w:pPr>
      <w:spacing w:after="100" w:line="240" w:lineRule="auto"/>
      <w:ind w:left="240"/>
    </w:pPr>
    <w:rPr>
      <w:rFonts w:eastAsia="Times New Roman"/>
      <w:sz w:val="24"/>
      <w:szCs w:val="24"/>
    </w:rPr>
  </w:style>
  <w:style w:type="paragraph" w:styleId="Revision">
    <w:name w:val="Revision"/>
    <w:hidden/>
    <w:uiPriority w:val="99"/>
    <w:semiHidden/>
    <w:rsid w:val="004C75E4"/>
    <w:pPr>
      <w:spacing w:after="0" w:line="240" w:lineRule="auto"/>
    </w:pPr>
    <w:rPr>
      <w:rFonts w:eastAsia="Times New Roman"/>
      <w:sz w:val="24"/>
      <w:szCs w:val="24"/>
    </w:rPr>
  </w:style>
  <w:style w:type="paragraph" w:customStyle="1" w:styleId="Default">
    <w:name w:val="Default"/>
    <w:rsid w:val="009B7C36"/>
    <w:pPr>
      <w:autoSpaceDE w:val="0"/>
      <w:autoSpaceDN w:val="0"/>
      <w:adjustRightInd w:val="0"/>
      <w:spacing w:after="0" w:line="240" w:lineRule="auto"/>
    </w:pPr>
    <w:rPr>
      <w:color w:val="000000"/>
      <w:sz w:val="24"/>
      <w:szCs w:val="24"/>
    </w:rPr>
  </w:style>
  <w:style w:type="paragraph" w:styleId="BodyText">
    <w:name w:val="Body Text"/>
    <w:basedOn w:val="Normal"/>
    <w:link w:val="BodyTextChar"/>
    <w:uiPriority w:val="99"/>
    <w:semiHidden/>
    <w:unhideWhenUsed/>
    <w:rsid w:val="00CF716C"/>
    <w:pPr>
      <w:spacing w:after="120"/>
    </w:pPr>
  </w:style>
  <w:style w:type="character" w:customStyle="1" w:styleId="BodyTextChar">
    <w:name w:val="Body Text Char"/>
    <w:basedOn w:val="DefaultParagraphFont"/>
    <w:link w:val="BodyText"/>
    <w:uiPriority w:val="99"/>
    <w:semiHidden/>
    <w:rsid w:val="00CF716C"/>
  </w:style>
  <w:style w:type="paragraph" w:styleId="FootnoteText">
    <w:name w:val="footnote text"/>
    <w:basedOn w:val="Normal"/>
    <w:link w:val="FootnoteTextChar"/>
    <w:uiPriority w:val="99"/>
    <w:semiHidden/>
    <w:unhideWhenUsed/>
    <w:rsid w:val="000713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1348"/>
    <w:rPr>
      <w:sz w:val="20"/>
      <w:szCs w:val="20"/>
    </w:rPr>
  </w:style>
  <w:style w:type="character" w:styleId="FootnoteReference">
    <w:name w:val="footnote reference"/>
    <w:basedOn w:val="DefaultParagraphFont"/>
    <w:uiPriority w:val="99"/>
    <w:semiHidden/>
    <w:unhideWhenUsed/>
    <w:rsid w:val="00071348"/>
    <w:rPr>
      <w:vertAlign w:val="superscript"/>
    </w:rPr>
  </w:style>
  <w:style w:type="character" w:styleId="FollowedHyperlink">
    <w:name w:val="FollowedHyperlink"/>
    <w:basedOn w:val="DefaultParagraphFont"/>
    <w:uiPriority w:val="99"/>
    <w:semiHidden/>
    <w:unhideWhenUsed/>
    <w:rsid w:val="00F64458"/>
    <w:rPr>
      <w:color w:val="800080" w:themeColor="followedHyperlink"/>
      <w:u w:val="single"/>
    </w:rPr>
  </w:style>
  <w:style w:type="character" w:customStyle="1" w:styleId="Heading3Char">
    <w:name w:val="Heading 3 Char"/>
    <w:basedOn w:val="DefaultParagraphFont"/>
    <w:link w:val="Heading3"/>
    <w:uiPriority w:val="9"/>
    <w:rsid w:val="00543A9E"/>
    <w:rPr>
      <w:rFonts w:asciiTheme="majorHAnsi" w:eastAsiaTheme="majorEastAsia" w:hAnsiTheme="majorHAnsi" w:cstheme="majorBidi"/>
      <w:color w:val="243F60" w:themeColor="accent1" w:themeShade="7F"/>
      <w:sz w:val="24"/>
      <w:szCs w:val="24"/>
    </w:rPr>
  </w:style>
  <w:style w:type="paragraph" w:customStyle="1" w:styleId="BodyTextTNR">
    <w:name w:val="Body Text TNR"/>
    <w:basedOn w:val="Normal"/>
    <w:qFormat/>
    <w:rsid w:val="00B2351F"/>
    <w:pPr>
      <w:spacing w:line="240" w:lineRule="auto"/>
    </w:pPr>
  </w:style>
  <w:style w:type="paragraph" w:styleId="NoSpacing">
    <w:name w:val="No Spacing"/>
    <w:uiPriority w:val="1"/>
    <w:qFormat/>
    <w:rsid w:val="00C32F3E"/>
    <w:pPr>
      <w:spacing w:after="0" w:line="240" w:lineRule="auto"/>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A4E"/>
  </w:style>
  <w:style w:type="paragraph" w:styleId="Heading1">
    <w:name w:val="heading 1"/>
    <w:basedOn w:val="Normal"/>
    <w:next w:val="Normal"/>
    <w:link w:val="Heading1Char"/>
    <w:qFormat/>
    <w:rsid w:val="00724991"/>
    <w:pPr>
      <w:keepNext/>
      <w:spacing w:after="0" w:line="240" w:lineRule="auto"/>
      <w:outlineLvl w:val="0"/>
    </w:pPr>
    <w:rPr>
      <w:rFonts w:eastAsia="Times New Roman"/>
      <w:b/>
      <w:bCs/>
      <w:sz w:val="24"/>
      <w:szCs w:val="24"/>
    </w:rPr>
  </w:style>
  <w:style w:type="paragraph" w:styleId="Heading2">
    <w:name w:val="heading 2"/>
    <w:basedOn w:val="Normal"/>
    <w:next w:val="Normal"/>
    <w:link w:val="Heading2Char"/>
    <w:uiPriority w:val="9"/>
    <w:unhideWhenUsed/>
    <w:qFormat/>
    <w:rsid w:val="004C75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43A9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274"/>
  </w:style>
  <w:style w:type="paragraph" w:styleId="Footer">
    <w:name w:val="footer"/>
    <w:basedOn w:val="Normal"/>
    <w:link w:val="FooterChar"/>
    <w:uiPriority w:val="99"/>
    <w:unhideWhenUsed/>
    <w:rsid w:val="00BF3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74"/>
  </w:style>
  <w:style w:type="paragraph" w:styleId="BodyTextIndent">
    <w:name w:val="Body Text Indent"/>
    <w:basedOn w:val="Normal"/>
    <w:link w:val="BodyTextIndentChar"/>
    <w:rsid w:val="001A2736"/>
    <w:pPr>
      <w:widowControl w:val="0"/>
      <w:autoSpaceDE w:val="0"/>
      <w:autoSpaceDN w:val="0"/>
      <w:adjustRightInd w:val="0"/>
      <w:spacing w:after="120" w:line="240" w:lineRule="auto"/>
      <w:ind w:left="360"/>
    </w:pPr>
    <w:rPr>
      <w:rFonts w:ascii="Arial" w:eastAsia="Times New Roman" w:hAnsi="Arial"/>
      <w:sz w:val="20"/>
      <w:szCs w:val="24"/>
    </w:rPr>
  </w:style>
  <w:style w:type="character" w:customStyle="1" w:styleId="BodyTextIndentChar">
    <w:name w:val="Body Text Indent Char"/>
    <w:basedOn w:val="DefaultParagraphFont"/>
    <w:link w:val="BodyTextIndent"/>
    <w:rsid w:val="001A2736"/>
    <w:rPr>
      <w:rFonts w:ascii="Arial" w:eastAsia="Times New Roman" w:hAnsi="Arial"/>
      <w:sz w:val="20"/>
      <w:szCs w:val="24"/>
    </w:rPr>
  </w:style>
  <w:style w:type="character" w:customStyle="1" w:styleId="Heading1Char">
    <w:name w:val="Heading 1 Char"/>
    <w:basedOn w:val="DefaultParagraphFont"/>
    <w:link w:val="Heading1"/>
    <w:rsid w:val="00724991"/>
    <w:rPr>
      <w:rFonts w:eastAsia="Times New Roman"/>
      <w:b/>
      <w:bCs/>
      <w:sz w:val="24"/>
      <w:szCs w:val="24"/>
    </w:rPr>
  </w:style>
  <w:style w:type="character" w:customStyle="1" w:styleId="Heading2Char">
    <w:name w:val="Heading 2 Char"/>
    <w:basedOn w:val="DefaultParagraphFont"/>
    <w:link w:val="Heading2"/>
    <w:uiPriority w:val="9"/>
    <w:rsid w:val="004C75E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C75E4"/>
    <w:pPr>
      <w:spacing w:after="0" w:line="240" w:lineRule="auto"/>
      <w:ind w:left="720"/>
      <w:contextualSpacing/>
    </w:pPr>
    <w:rPr>
      <w:rFonts w:eastAsia="Times New Roman"/>
      <w:sz w:val="24"/>
      <w:szCs w:val="24"/>
    </w:rPr>
  </w:style>
  <w:style w:type="character" w:styleId="Hyperlink">
    <w:name w:val="Hyperlink"/>
    <w:basedOn w:val="DefaultParagraphFont"/>
    <w:uiPriority w:val="99"/>
    <w:rsid w:val="004C75E4"/>
    <w:rPr>
      <w:rFonts w:cs="Times New Roman"/>
      <w:color w:val="0000FF"/>
      <w:u w:val="single"/>
    </w:rPr>
  </w:style>
  <w:style w:type="paragraph" w:styleId="PlainText">
    <w:name w:val="Plain Text"/>
    <w:basedOn w:val="Normal"/>
    <w:link w:val="PlainTextChar"/>
    <w:uiPriority w:val="99"/>
    <w:semiHidden/>
    <w:unhideWhenUsed/>
    <w:rsid w:val="004C75E4"/>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4C75E4"/>
    <w:rPr>
      <w:rFonts w:ascii="Consolas" w:eastAsia="Calibri" w:hAnsi="Consolas"/>
      <w:sz w:val="21"/>
      <w:szCs w:val="21"/>
    </w:rPr>
  </w:style>
  <w:style w:type="character" w:styleId="CommentReference">
    <w:name w:val="annotation reference"/>
    <w:basedOn w:val="DefaultParagraphFont"/>
    <w:uiPriority w:val="99"/>
    <w:semiHidden/>
    <w:unhideWhenUsed/>
    <w:rsid w:val="004C75E4"/>
    <w:rPr>
      <w:sz w:val="16"/>
      <w:szCs w:val="16"/>
    </w:rPr>
  </w:style>
  <w:style w:type="paragraph" w:styleId="CommentText">
    <w:name w:val="annotation text"/>
    <w:basedOn w:val="Normal"/>
    <w:link w:val="CommentTextChar"/>
    <w:uiPriority w:val="99"/>
    <w:unhideWhenUsed/>
    <w:rsid w:val="004C75E4"/>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4C75E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C75E4"/>
    <w:rPr>
      <w:b/>
      <w:bCs/>
    </w:rPr>
  </w:style>
  <w:style w:type="character" w:customStyle="1" w:styleId="CommentSubjectChar">
    <w:name w:val="Comment Subject Char"/>
    <w:basedOn w:val="CommentTextChar"/>
    <w:link w:val="CommentSubject"/>
    <w:uiPriority w:val="99"/>
    <w:semiHidden/>
    <w:rsid w:val="004C75E4"/>
    <w:rPr>
      <w:rFonts w:eastAsia="Times New Roman"/>
      <w:b/>
      <w:bCs/>
      <w:sz w:val="20"/>
      <w:szCs w:val="20"/>
    </w:rPr>
  </w:style>
  <w:style w:type="paragraph" w:styleId="BalloonText">
    <w:name w:val="Balloon Text"/>
    <w:basedOn w:val="Normal"/>
    <w:link w:val="BalloonTextChar"/>
    <w:uiPriority w:val="99"/>
    <w:semiHidden/>
    <w:unhideWhenUsed/>
    <w:rsid w:val="004C75E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C75E4"/>
    <w:rPr>
      <w:rFonts w:ascii="Tahoma" w:eastAsia="Times New Roman" w:hAnsi="Tahoma" w:cs="Tahoma"/>
      <w:sz w:val="16"/>
      <w:szCs w:val="16"/>
    </w:rPr>
  </w:style>
  <w:style w:type="paragraph" w:customStyle="1" w:styleId="NORC-Bullet1">
    <w:name w:val="NORC-Bullet 1"/>
    <w:rsid w:val="004C75E4"/>
    <w:pPr>
      <w:numPr>
        <w:numId w:val="12"/>
      </w:numPr>
      <w:spacing w:after="40" w:line="240" w:lineRule="auto"/>
    </w:pPr>
    <w:rPr>
      <w:rFonts w:eastAsia="Times New Roman"/>
      <w:sz w:val="24"/>
      <w:szCs w:val="24"/>
    </w:rPr>
  </w:style>
  <w:style w:type="table" w:styleId="TableGrid">
    <w:name w:val="Table Grid"/>
    <w:basedOn w:val="TableNormal"/>
    <w:uiPriority w:val="59"/>
    <w:rsid w:val="004C75E4"/>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CTableBodyL">
    <w:name w:val="NORC Table Body L"/>
    <w:basedOn w:val="Normal"/>
    <w:qFormat/>
    <w:rsid w:val="004C75E4"/>
    <w:pPr>
      <w:spacing w:after="0" w:line="240" w:lineRule="auto"/>
    </w:pPr>
    <w:rPr>
      <w:rFonts w:eastAsia="Calibri"/>
      <w:sz w:val="20"/>
    </w:rPr>
  </w:style>
  <w:style w:type="paragraph" w:styleId="TOCHeading">
    <w:name w:val="TOC Heading"/>
    <w:basedOn w:val="Heading1"/>
    <w:next w:val="Normal"/>
    <w:uiPriority w:val="39"/>
    <w:unhideWhenUsed/>
    <w:qFormat/>
    <w:rsid w:val="004C75E4"/>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4C75E4"/>
    <w:pPr>
      <w:spacing w:after="100" w:line="240" w:lineRule="auto"/>
    </w:pPr>
    <w:rPr>
      <w:rFonts w:eastAsia="Times New Roman"/>
      <w:sz w:val="24"/>
      <w:szCs w:val="24"/>
    </w:rPr>
  </w:style>
  <w:style w:type="paragraph" w:styleId="TOC2">
    <w:name w:val="toc 2"/>
    <w:basedOn w:val="Normal"/>
    <w:next w:val="Normal"/>
    <w:autoRedefine/>
    <w:uiPriority w:val="39"/>
    <w:unhideWhenUsed/>
    <w:rsid w:val="004C75E4"/>
    <w:pPr>
      <w:spacing w:after="100" w:line="240" w:lineRule="auto"/>
      <w:ind w:left="240"/>
    </w:pPr>
    <w:rPr>
      <w:rFonts w:eastAsia="Times New Roman"/>
      <w:sz w:val="24"/>
      <w:szCs w:val="24"/>
    </w:rPr>
  </w:style>
  <w:style w:type="paragraph" w:styleId="Revision">
    <w:name w:val="Revision"/>
    <w:hidden/>
    <w:uiPriority w:val="99"/>
    <w:semiHidden/>
    <w:rsid w:val="004C75E4"/>
    <w:pPr>
      <w:spacing w:after="0" w:line="240" w:lineRule="auto"/>
    </w:pPr>
    <w:rPr>
      <w:rFonts w:eastAsia="Times New Roman"/>
      <w:sz w:val="24"/>
      <w:szCs w:val="24"/>
    </w:rPr>
  </w:style>
  <w:style w:type="paragraph" w:customStyle="1" w:styleId="Default">
    <w:name w:val="Default"/>
    <w:rsid w:val="009B7C36"/>
    <w:pPr>
      <w:autoSpaceDE w:val="0"/>
      <w:autoSpaceDN w:val="0"/>
      <w:adjustRightInd w:val="0"/>
      <w:spacing w:after="0" w:line="240" w:lineRule="auto"/>
    </w:pPr>
    <w:rPr>
      <w:color w:val="000000"/>
      <w:sz w:val="24"/>
      <w:szCs w:val="24"/>
    </w:rPr>
  </w:style>
  <w:style w:type="paragraph" w:styleId="BodyText">
    <w:name w:val="Body Text"/>
    <w:basedOn w:val="Normal"/>
    <w:link w:val="BodyTextChar"/>
    <w:uiPriority w:val="99"/>
    <w:semiHidden/>
    <w:unhideWhenUsed/>
    <w:rsid w:val="00CF716C"/>
    <w:pPr>
      <w:spacing w:after="120"/>
    </w:pPr>
  </w:style>
  <w:style w:type="character" w:customStyle="1" w:styleId="BodyTextChar">
    <w:name w:val="Body Text Char"/>
    <w:basedOn w:val="DefaultParagraphFont"/>
    <w:link w:val="BodyText"/>
    <w:uiPriority w:val="99"/>
    <w:semiHidden/>
    <w:rsid w:val="00CF716C"/>
  </w:style>
  <w:style w:type="paragraph" w:styleId="FootnoteText">
    <w:name w:val="footnote text"/>
    <w:basedOn w:val="Normal"/>
    <w:link w:val="FootnoteTextChar"/>
    <w:uiPriority w:val="99"/>
    <w:semiHidden/>
    <w:unhideWhenUsed/>
    <w:rsid w:val="000713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1348"/>
    <w:rPr>
      <w:sz w:val="20"/>
      <w:szCs w:val="20"/>
    </w:rPr>
  </w:style>
  <w:style w:type="character" w:styleId="FootnoteReference">
    <w:name w:val="footnote reference"/>
    <w:basedOn w:val="DefaultParagraphFont"/>
    <w:uiPriority w:val="99"/>
    <w:semiHidden/>
    <w:unhideWhenUsed/>
    <w:rsid w:val="00071348"/>
    <w:rPr>
      <w:vertAlign w:val="superscript"/>
    </w:rPr>
  </w:style>
  <w:style w:type="character" w:styleId="FollowedHyperlink">
    <w:name w:val="FollowedHyperlink"/>
    <w:basedOn w:val="DefaultParagraphFont"/>
    <w:uiPriority w:val="99"/>
    <w:semiHidden/>
    <w:unhideWhenUsed/>
    <w:rsid w:val="00F64458"/>
    <w:rPr>
      <w:color w:val="800080" w:themeColor="followedHyperlink"/>
      <w:u w:val="single"/>
    </w:rPr>
  </w:style>
  <w:style w:type="character" w:customStyle="1" w:styleId="Heading3Char">
    <w:name w:val="Heading 3 Char"/>
    <w:basedOn w:val="DefaultParagraphFont"/>
    <w:link w:val="Heading3"/>
    <w:uiPriority w:val="9"/>
    <w:rsid w:val="00543A9E"/>
    <w:rPr>
      <w:rFonts w:asciiTheme="majorHAnsi" w:eastAsiaTheme="majorEastAsia" w:hAnsiTheme="majorHAnsi" w:cstheme="majorBidi"/>
      <w:color w:val="243F60" w:themeColor="accent1" w:themeShade="7F"/>
      <w:sz w:val="24"/>
      <w:szCs w:val="24"/>
    </w:rPr>
  </w:style>
  <w:style w:type="paragraph" w:customStyle="1" w:styleId="BodyTextTNR">
    <w:name w:val="Body Text TNR"/>
    <w:basedOn w:val="Normal"/>
    <w:qFormat/>
    <w:rsid w:val="00B2351F"/>
    <w:pPr>
      <w:spacing w:line="240" w:lineRule="auto"/>
    </w:pPr>
  </w:style>
  <w:style w:type="paragraph" w:styleId="NoSpacing">
    <w:name w:val="No Spacing"/>
    <w:uiPriority w:val="1"/>
    <w:qFormat/>
    <w:rsid w:val="00C32F3E"/>
    <w:pPr>
      <w:spacing w:after="0" w:line="240"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904077">
      <w:bodyDiv w:val="1"/>
      <w:marLeft w:val="0"/>
      <w:marRight w:val="0"/>
      <w:marTop w:val="0"/>
      <w:marBottom w:val="0"/>
      <w:divBdr>
        <w:top w:val="none" w:sz="0" w:space="0" w:color="auto"/>
        <w:left w:val="none" w:sz="0" w:space="0" w:color="auto"/>
        <w:bottom w:val="none" w:sz="0" w:space="0" w:color="auto"/>
        <w:right w:val="none" w:sz="0" w:space="0" w:color="auto"/>
      </w:divBdr>
    </w:div>
    <w:div w:id="1219827596">
      <w:bodyDiv w:val="1"/>
      <w:marLeft w:val="0"/>
      <w:marRight w:val="0"/>
      <w:marTop w:val="0"/>
      <w:marBottom w:val="0"/>
      <w:divBdr>
        <w:top w:val="none" w:sz="0" w:space="0" w:color="auto"/>
        <w:left w:val="none" w:sz="0" w:space="0" w:color="auto"/>
        <w:bottom w:val="none" w:sz="0" w:space="0" w:color="auto"/>
        <w:right w:val="none" w:sz="0" w:space="0" w:color="auto"/>
      </w:divBdr>
    </w:div>
    <w:div w:id="1410882075">
      <w:bodyDiv w:val="1"/>
      <w:marLeft w:val="0"/>
      <w:marRight w:val="0"/>
      <w:marTop w:val="0"/>
      <w:marBottom w:val="0"/>
      <w:divBdr>
        <w:top w:val="none" w:sz="0" w:space="0" w:color="auto"/>
        <w:left w:val="none" w:sz="0" w:space="0" w:color="auto"/>
        <w:bottom w:val="none" w:sz="0" w:space="0" w:color="auto"/>
        <w:right w:val="none" w:sz="0" w:space="0" w:color="auto"/>
      </w:divBdr>
    </w:div>
    <w:div w:id="1664429248">
      <w:bodyDiv w:val="1"/>
      <w:marLeft w:val="0"/>
      <w:marRight w:val="0"/>
      <w:marTop w:val="0"/>
      <w:marBottom w:val="0"/>
      <w:divBdr>
        <w:top w:val="none" w:sz="0" w:space="0" w:color="auto"/>
        <w:left w:val="none" w:sz="0" w:space="0" w:color="auto"/>
        <w:bottom w:val="none" w:sz="0" w:space="0" w:color="auto"/>
        <w:right w:val="none" w:sz="0" w:space="0" w:color="auto"/>
      </w:divBdr>
    </w:div>
    <w:div w:id="1718430471">
      <w:bodyDiv w:val="1"/>
      <w:marLeft w:val="0"/>
      <w:marRight w:val="0"/>
      <w:marTop w:val="0"/>
      <w:marBottom w:val="0"/>
      <w:divBdr>
        <w:top w:val="none" w:sz="0" w:space="0" w:color="auto"/>
        <w:left w:val="none" w:sz="0" w:space="0" w:color="auto"/>
        <w:bottom w:val="none" w:sz="0" w:space="0" w:color="auto"/>
        <w:right w:val="none" w:sz="0" w:space="0" w:color="auto"/>
      </w:divBdr>
      <w:divsChild>
        <w:div w:id="1700547455">
          <w:marLeft w:val="490"/>
          <w:marRight w:val="0"/>
          <w:marTop w:val="8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FA0F1-4DE4-4977-BB70-5F268518F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2018-10-26T11:15:00Z</dcterms:created>
  <dcterms:modified xsi:type="dcterms:W3CDTF">2018-10-26T11:15:00Z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2050978348</vt:i4>
  </property>
  <property fmtid="{D5CDD505-2E9C-101B-9397-08002B2CF9AE}" pid="4" name="_ReviewingToolsShownOnce">
    <vt:lpwstr/>
  </property>
</Properties>
</file>