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2D64" w:rsidR="00A51E64" w:rsidP="00943557" w:rsidRDefault="00A51E64" w14:paraId="281E7424" w14:textId="29E13B83">
      <w:pPr>
        <w:pStyle w:val="Title"/>
        <w:spacing w:after="480"/>
      </w:pPr>
      <w:r w:rsidRPr="00632D64">
        <w:t>SUPPORTING STATEMENT</w:t>
      </w:r>
      <w:r w:rsidRPr="00632D64" w:rsidR="007D7A70">
        <w:t>—</w:t>
      </w:r>
      <w:r w:rsidRPr="00632D64" w:rsidR="007C2B7F">
        <w:t>P</w:t>
      </w:r>
      <w:r w:rsidRPr="00632D64" w:rsidR="007D7A70">
        <w:t>ART A</w:t>
      </w:r>
    </w:p>
    <w:p w:rsidRPr="007D7A70" w:rsidR="00C15EA0" w:rsidP="007D7A70" w:rsidRDefault="008F0440" w14:paraId="0F2CFC48" w14:textId="112B29DE">
      <w:r w:rsidRPr="007D7A70">
        <w:t xml:space="preserve">Since 1982, the Bureau of Justice Statistics (BJS) has conducted the Annual Survey of Jails (ASJ) </w:t>
      </w:r>
      <w:r w:rsidRPr="007D7A70" w:rsidR="00C84E27">
        <w:t xml:space="preserve">in the years between the </w:t>
      </w:r>
      <w:r w:rsidR="00D048DC">
        <w:t>Census</w:t>
      </w:r>
      <w:r w:rsidRPr="007D7A70" w:rsidR="00D048DC">
        <w:t xml:space="preserve"> </w:t>
      </w:r>
      <w:r w:rsidRPr="007D7A70" w:rsidR="00C84E27">
        <w:t xml:space="preserve">of </w:t>
      </w:r>
      <w:r w:rsidR="00D048DC">
        <w:t>J</w:t>
      </w:r>
      <w:r w:rsidRPr="007D7A70" w:rsidR="00D048DC">
        <w:t xml:space="preserve">ails </w:t>
      </w:r>
      <w:r w:rsidR="00D048DC">
        <w:t xml:space="preserve">collections </w:t>
      </w:r>
      <w:r w:rsidR="003417B6">
        <w:t>(</w:t>
      </w:r>
      <w:r w:rsidR="00D048DC">
        <w:t xml:space="preserve">COJ, </w:t>
      </w:r>
      <w:r w:rsidRPr="007D7A70" w:rsidR="003417B6">
        <w:t xml:space="preserve">OMB Control </w:t>
      </w:r>
      <w:r w:rsidR="003417B6">
        <w:t>No.</w:t>
      </w:r>
      <w:r w:rsidRPr="007D7A70" w:rsidR="003417B6">
        <w:t xml:space="preserve"> 1121-0</w:t>
      </w:r>
      <w:r w:rsidR="003417B6">
        <w:t xml:space="preserve">100) </w:t>
      </w:r>
      <w:r w:rsidRPr="007D7A70">
        <w:t xml:space="preserve">to </w:t>
      </w:r>
      <w:r w:rsidR="00D048DC">
        <w:t>gather</w:t>
      </w:r>
      <w:r w:rsidRPr="007D7A70" w:rsidR="00D048DC">
        <w:t xml:space="preserve"> </w:t>
      </w:r>
      <w:r w:rsidRPr="007D7A70">
        <w:t xml:space="preserve">data on jail facilities and the inmate populations they supervise. Administered to a sample of </w:t>
      </w:r>
      <w:r w:rsidR="0073036E">
        <w:t>app</w:t>
      </w:r>
      <w:r w:rsidR="007305E9">
        <w:t>r</w:t>
      </w:r>
      <w:r w:rsidR="0073036E">
        <w:t>oximately</w:t>
      </w:r>
      <w:r w:rsidRPr="007D7A70">
        <w:t xml:space="preserve"> 9</w:t>
      </w:r>
      <w:r w:rsidR="00763F05">
        <w:t>5</w:t>
      </w:r>
      <w:r w:rsidRPr="007D7A70">
        <w:t xml:space="preserve">0 local jails (city, county, regional, and private) nationwide, the ASJ provides national estimates on the number of inmates confined in jails, </w:t>
      </w:r>
      <w:r w:rsidR="00D048DC">
        <w:t xml:space="preserve">demographic </w:t>
      </w:r>
      <w:r w:rsidRPr="007D7A70" w:rsidR="00D048DC">
        <w:t xml:space="preserve">characteristics </w:t>
      </w:r>
      <w:r w:rsidR="00D048DC">
        <w:t xml:space="preserve">and criminal justice status </w:t>
      </w:r>
      <w:r w:rsidRPr="007D7A70">
        <w:t xml:space="preserve">of the jail population, counts of admissions and releases, and </w:t>
      </w:r>
      <w:r w:rsidRPr="007D7A70" w:rsidR="000010B2">
        <w:t>turnover rates</w:t>
      </w:r>
      <w:r w:rsidRPr="007D7A70">
        <w:t xml:space="preserve">. </w:t>
      </w:r>
      <w:r w:rsidRPr="007D7A70" w:rsidR="001D45D5">
        <w:t xml:space="preserve">The ASJ </w:t>
      </w:r>
      <w:r w:rsidRPr="007D7A70">
        <w:t xml:space="preserve">is </w:t>
      </w:r>
      <w:r w:rsidRPr="007D7A70" w:rsidR="00C15EA0">
        <w:t>the only national data</w:t>
      </w:r>
      <w:r w:rsidRPr="007D7A70">
        <w:t xml:space="preserve"> </w:t>
      </w:r>
      <w:r w:rsidRPr="007D7A70" w:rsidR="00C15EA0">
        <w:t>collection</w:t>
      </w:r>
      <w:r w:rsidRPr="007D7A70">
        <w:t xml:space="preserve"> </w:t>
      </w:r>
      <w:r w:rsidRPr="007D7A70" w:rsidR="00986343">
        <w:t>that</w:t>
      </w:r>
      <w:r w:rsidRPr="007D7A70">
        <w:t xml:space="preserve"> </w:t>
      </w:r>
      <w:r w:rsidRPr="007D7A70" w:rsidR="00C15EA0">
        <w:t xml:space="preserve">tracks jail population size and characteristics from year to year. </w:t>
      </w:r>
      <w:r w:rsidRPr="007D7A70" w:rsidR="00986343">
        <w:t>Policymakers, correctional administrators, and government officials use the ASJ data to develop new policies and procedures, plan budgets, and maintain critical oversight.</w:t>
      </w:r>
    </w:p>
    <w:p w:rsidRPr="007D7A70" w:rsidR="00CA7090" w:rsidP="007D7A70" w:rsidRDefault="003979EB" w14:paraId="61DFD8C3" w14:textId="010FA093">
      <w:r w:rsidRPr="007D7A70">
        <w:t>The Bureau of Justice Statistics (BJS) requests clearance to conduct the 20</w:t>
      </w:r>
      <w:r w:rsidRPr="007D7A70" w:rsidR="000010B2">
        <w:t>20-22</w:t>
      </w:r>
      <w:r w:rsidRPr="007D7A70">
        <w:t xml:space="preserve"> </w:t>
      </w:r>
      <w:r w:rsidRPr="007D7A70" w:rsidR="00D370DB">
        <w:t xml:space="preserve">Annual Survey of Jails (ASJ) </w:t>
      </w:r>
      <w:r w:rsidRPr="007D7A70">
        <w:t xml:space="preserve">under OMB Control </w:t>
      </w:r>
      <w:r w:rsidR="00C33395">
        <w:t xml:space="preserve">No. </w:t>
      </w:r>
      <w:r w:rsidRPr="007D7A70" w:rsidR="003F0933">
        <w:t>1121-0094</w:t>
      </w:r>
      <w:r w:rsidRPr="007D7A70">
        <w:t xml:space="preserve">. </w:t>
      </w:r>
      <w:r w:rsidRPr="007D7A70" w:rsidR="003F0933">
        <w:t>The last AS</w:t>
      </w:r>
      <w:r w:rsidRPr="007D7A70" w:rsidR="00C0254A">
        <w:t xml:space="preserve">J </w:t>
      </w:r>
      <w:proofErr w:type="gramStart"/>
      <w:r w:rsidRPr="007D7A70" w:rsidR="00C0254A">
        <w:t>was fielded</w:t>
      </w:r>
      <w:proofErr w:type="gramEnd"/>
      <w:r w:rsidRPr="007D7A70" w:rsidR="00C0254A">
        <w:t xml:space="preserve"> in 201</w:t>
      </w:r>
      <w:r w:rsidRPr="007D7A70" w:rsidR="00C15EA0">
        <w:t>8</w:t>
      </w:r>
      <w:r w:rsidRPr="007D7A70" w:rsidR="00C0254A">
        <w:t xml:space="preserve"> and collected </w:t>
      </w:r>
      <w:r w:rsidR="00A52889">
        <w:t>midyear</w:t>
      </w:r>
      <w:r w:rsidRPr="007D7A70" w:rsidR="00C0254A">
        <w:t xml:space="preserve"> data. </w:t>
      </w:r>
      <w:r w:rsidRPr="007D7A70">
        <w:t>I</w:t>
      </w:r>
      <w:r w:rsidR="00D048DC">
        <w:t>t</w:t>
      </w:r>
      <w:r w:rsidRPr="007D7A70" w:rsidR="00C0254A">
        <w:t xml:space="preserve"> </w:t>
      </w:r>
      <w:r w:rsidR="00D048DC">
        <w:t xml:space="preserve">was approved under </w:t>
      </w:r>
      <w:r w:rsidR="003E25B8">
        <w:t xml:space="preserve">the same OMB Control </w:t>
      </w:r>
      <w:r w:rsidR="00C33395">
        <w:t>No.</w:t>
      </w:r>
      <w:r w:rsidR="00D048DC">
        <w:t xml:space="preserve"> 1121-00</w:t>
      </w:r>
      <w:r w:rsidRPr="00304FB4" w:rsidR="00D048DC">
        <w:t>9</w:t>
      </w:r>
      <w:r w:rsidR="00D048DC">
        <w:t>4 (exp. date 01/31/2019),</w:t>
      </w:r>
      <w:r w:rsidRPr="00304FB4" w:rsidR="00D048DC">
        <w:t xml:space="preserve"> </w:t>
      </w:r>
      <w:r w:rsidR="00D048DC">
        <w:t>where it was bundled</w:t>
      </w:r>
      <w:r w:rsidRPr="00304FB4" w:rsidR="00D048DC">
        <w:t xml:space="preserve"> with the Mortality in Correctional Institutions-Jails (MCI, formerly the Deaths in Custody Reporting Program</w:t>
      </w:r>
      <w:r w:rsidR="00D048DC">
        <w:t xml:space="preserve">, </w:t>
      </w:r>
      <w:r w:rsidR="003E25B8">
        <w:t xml:space="preserve">new </w:t>
      </w:r>
      <w:r w:rsidR="00D048DC">
        <w:t>OMB Control No. 1121-0249</w:t>
      </w:r>
      <w:r w:rsidRPr="00304FB4" w:rsidR="00D048DC">
        <w:t xml:space="preserve">) </w:t>
      </w:r>
      <w:r w:rsidR="00D048DC">
        <w:t>and Survey of Jails in Indian Country (</w:t>
      </w:r>
      <w:r w:rsidR="00C33395">
        <w:t xml:space="preserve">SJIC, </w:t>
      </w:r>
      <w:r w:rsidR="003E25B8">
        <w:t xml:space="preserve">new </w:t>
      </w:r>
      <w:r w:rsidRPr="0091579F" w:rsidR="00D048DC">
        <w:t xml:space="preserve">OMB </w:t>
      </w:r>
      <w:r w:rsidRPr="00EA7CEA" w:rsidR="00D048DC">
        <w:t>Control No. 1121-0</w:t>
      </w:r>
      <w:r w:rsidR="00D048DC">
        <w:t>329)</w:t>
      </w:r>
      <w:r w:rsidRPr="00304FB4" w:rsidR="00D048DC">
        <w:t xml:space="preserve">. </w:t>
      </w:r>
      <w:r w:rsidR="00D048DC">
        <w:t xml:space="preserve">In 2017, the ASJ </w:t>
      </w:r>
      <w:proofErr w:type="gramStart"/>
      <w:r w:rsidR="00D048DC">
        <w:t>was separated</w:t>
      </w:r>
      <w:proofErr w:type="gramEnd"/>
      <w:r w:rsidR="00D048DC">
        <w:t xml:space="preserve"> from the MCI-Jails </w:t>
      </w:r>
      <w:r w:rsidR="00C33395">
        <w:t xml:space="preserve">and SJIC, </w:t>
      </w:r>
      <w:r w:rsidR="00D048DC">
        <w:t xml:space="preserve">and became a stand-alone collection again. In 2019, BJS did not conduct the ASJ because the COJ </w:t>
      </w:r>
      <w:proofErr w:type="gramStart"/>
      <w:r w:rsidR="00D048DC">
        <w:t>was fielded</w:t>
      </w:r>
      <w:proofErr w:type="gramEnd"/>
      <w:r w:rsidR="00D048DC">
        <w:t xml:space="preserve"> in the same year.</w:t>
      </w:r>
    </w:p>
    <w:p w:rsidRPr="007D7A70" w:rsidR="00A51E64" w:rsidP="007D7A70" w:rsidRDefault="00A51E64" w14:paraId="23052D13" w14:textId="32D9F231">
      <w:pPr>
        <w:pStyle w:val="Heading1"/>
      </w:pPr>
      <w:r w:rsidRPr="007D7A70">
        <w:t>Justification</w:t>
      </w:r>
      <w:r w:rsidRPr="007D7A70">
        <w:tab/>
      </w:r>
    </w:p>
    <w:p w:rsidRPr="007D7A70" w:rsidR="00D44F51" w:rsidP="007D7A70" w:rsidRDefault="00724183" w14:paraId="7E88BBE7" w14:textId="0D411EB7">
      <w:pPr>
        <w:pStyle w:val="Heading2"/>
      </w:pPr>
      <w:r w:rsidRPr="007D7A70">
        <w:t>1</w:t>
      </w:r>
      <w:r w:rsidRPr="007D7A70" w:rsidR="00A51E64">
        <w:t>.</w:t>
      </w:r>
      <w:r w:rsidRPr="007D7A70" w:rsidR="00F51F18">
        <w:t xml:space="preserve"> </w:t>
      </w:r>
      <w:r w:rsidRPr="007D7A70" w:rsidR="00826869">
        <w:tab/>
      </w:r>
      <w:r w:rsidRPr="007D7A70" w:rsidR="00A51E64">
        <w:t>Necessity of Information Collection</w:t>
      </w:r>
    </w:p>
    <w:p w:rsidRPr="007D7A70" w:rsidR="003979EB" w:rsidP="007D7A70" w:rsidRDefault="00784706" w14:paraId="72B1073B" w14:textId="703059F2">
      <w:r w:rsidRPr="007D7A70">
        <w:t>Local j</w:t>
      </w:r>
      <w:r w:rsidRPr="007D7A70" w:rsidR="003979EB">
        <w:t>ails are confinement facilities operated under the authority of a sheriff, police chief, or city or county administrator.</w:t>
      </w:r>
      <w:r w:rsidRPr="007D7A70">
        <w:t xml:space="preserve"> A small </w:t>
      </w:r>
      <w:r w:rsidRPr="007D7A70" w:rsidR="00BD0120">
        <w:t>number</w:t>
      </w:r>
      <w:r w:rsidRPr="007D7A70">
        <w:t xml:space="preserve"> of local jails </w:t>
      </w:r>
      <w:proofErr w:type="gramStart"/>
      <w:r w:rsidRPr="007D7A70">
        <w:t>are privately operated</w:t>
      </w:r>
      <w:proofErr w:type="gramEnd"/>
      <w:r w:rsidRPr="007D7A70">
        <w:t>.</w:t>
      </w:r>
      <w:r w:rsidRPr="007D7A70" w:rsidR="003979EB">
        <w:t xml:space="preserve"> Facilities include jails, detention centers, city or county correctional centers, special jail facilities (such as medical or treatment centers and pre-release centers), and temporary holding or lockup facilities that are part of the </w:t>
      </w:r>
      <w:proofErr w:type="gramStart"/>
      <w:r w:rsidRPr="007D7A70" w:rsidR="003979EB">
        <w:t>jail’s</w:t>
      </w:r>
      <w:proofErr w:type="gramEnd"/>
      <w:r w:rsidRPr="007D7A70" w:rsidR="003979EB">
        <w:t xml:space="preserve"> combined function. </w:t>
      </w:r>
      <w:r w:rsidRPr="007D7A70">
        <w:t>Local j</w:t>
      </w:r>
      <w:r w:rsidRPr="007D7A70" w:rsidR="003979EB">
        <w:t xml:space="preserve">ails </w:t>
      </w:r>
      <w:r w:rsidRPr="007D7A70" w:rsidR="005B45DD">
        <w:t xml:space="preserve">generally </w:t>
      </w:r>
      <w:r w:rsidRPr="007D7A70" w:rsidR="00B20F98">
        <w:t>have the ability</w:t>
      </w:r>
      <w:r w:rsidRPr="007D7A70" w:rsidR="005B45DD">
        <w:t xml:space="preserve"> to</w:t>
      </w:r>
      <w:r w:rsidRPr="007D7A70" w:rsidR="00B20F98">
        <w:t xml:space="preserve"> </w:t>
      </w:r>
      <w:r w:rsidRPr="007D7A70">
        <w:t xml:space="preserve">hold inmates beyond 72 hours and beyond arraignment. Local jails </w:t>
      </w:r>
      <w:proofErr w:type="gramStart"/>
      <w:r w:rsidRPr="007D7A70" w:rsidR="003979EB">
        <w:t>are intended</w:t>
      </w:r>
      <w:proofErr w:type="gramEnd"/>
      <w:r w:rsidRPr="007D7A70" w:rsidR="003979EB">
        <w:t xml:space="preserve"> for adults but may hold juveniles before or after their cases are adjudicated. Inmates sentenced to jail facilities usually have a sentence of one year or less. Jails—</w:t>
      </w:r>
    </w:p>
    <w:p w:rsidRPr="007D7A70" w:rsidR="003979EB" w:rsidP="00632D64" w:rsidRDefault="003979EB" w14:paraId="0C6F6317" w14:textId="6C791B53">
      <w:pPr>
        <w:pStyle w:val="ListParagraph"/>
      </w:pPr>
      <w:r w:rsidRPr="007D7A70">
        <w:t xml:space="preserve">receive individuals pending arraignment and hold them awaiting trial, conviction, or sentencing </w:t>
      </w:r>
    </w:p>
    <w:p w:rsidRPr="00632D64" w:rsidR="006832CA" w:rsidP="00632D64" w:rsidRDefault="003979EB" w14:paraId="22E21306" w14:textId="77777777">
      <w:pPr>
        <w:pStyle w:val="ListParagraph"/>
      </w:pPr>
      <w:r w:rsidRPr="00632D64">
        <w:t xml:space="preserve">re-admit probation, parole, and bail bond violators and absconders </w:t>
      </w:r>
    </w:p>
    <w:p w:rsidRPr="00632D64" w:rsidR="003979EB" w:rsidP="00632D64" w:rsidRDefault="003979EB" w14:paraId="28391830" w14:textId="56009017">
      <w:pPr>
        <w:pStyle w:val="ListParagraph"/>
      </w:pPr>
      <w:r w:rsidRPr="00632D64">
        <w:t>temporarily detain juveniles pending their transfer to juvenile authorities</w:t>
      </w:r>
    </w:p>
    <w:p w:rsidRPr="00632D64" w:rsidR="003979EB" w:rsidP="00632D64" w:rsidRDefault="003979EB" w14:paraId="3161B112" w14:textId="771712E0">
      <w:pPr>
        <w:pStyle w:val="ListParagraph"/>
      </w:pPr>
      <w:r w:rsidRPr="00632D64">
        <w:t>hold mentally ill persons pending their movement to appropriate mental health facilities</w:t>
      </w:r>
    </w:p>
    <w:p w:rsidRPr="00632D64" w:rsidR="003979EB" w:rsidP="00632D64" w:rsidRDefault="003979EB" w14:paraId="0BD2CBE5" w14:textId="283102BF">
      <w:pPr>
        <w:pStyle w:val="ListParagraph"/>
      </w:pPr>
      <w:r w:rsidRPr="00632D64">
        <w:t>hold individuals for the military, protective custody, contempt, and the courts as witnesses</w:t>
      </w:r>
    </w:p>
    <w:p w:rsidRPr="00632D64" w:rsidR="003979EB" w:rsidP="00632D64" w:rsidRDefault="003979EB" w14:paraId="30E4C731" w14:textId="5C2808B5">
      <w:pPr>
        <w:pStyle w:val="ListParagraph"/>
      </w:pPr>
      <w:r w:rsidRPr="00632D64">
        <w:lastRenderedPageBreak/>
        <w:t>release convicted inmates to the community on completion of sentence</w:t>
      </w:r>
    </w:p>
    <w:p w:rsidRPr="00632D64" w:rsidR="003979EB" w:rsidP="00632D64" w:rsidRDefault="003979EB" w14:paraId="53BA62B7" w14:textId="49B8CD19">
      <w:pPr>
        <w:pStyle w:val="ListParagraph"/>
      </w:pPr>
      <w:r w:rsidRPr="00632D64">
        <w:t>transfer inmates to federal, state, or other authorities</w:t>
      </w:r>
    </w:p>
    <w:p w:rsidRPr="00632D64" w:rsidR="003979EB" w:rsidP="00632D64" w:rsidRDefault="003979EB" w14:paraId="3069DDFF" w14:textId="2967B15C">
      <w:pPr>
        <w:pStyle w:val="ListParagraph"/>
      </w:pPr>
      <w:r w:rsidRPr="00632D64">
        <w:t>house inmates for federal, state, or other authorities due to crowding of their facilities</w:t>
      </w:r>
    </w:p>
    <w:p w:rsidRPr="00632D64" w:rsidR="003979EB" w:rsidP="00632D64" w:rsidRDefault="003979EB" w14:paraId="68765F78" w14:textId="038C345E">
      <w:pPr>
        <w:pStyle w:val="ListParagraph"/>
      </w:pPr>
      <w:proofErr w:type="gramStart"/>
      <w:r w:rsidRPr="00632D64">
        <w:t>operate</w:t>
      </w:r>
      <w:proofErr w:type="gramEnd"/>
      <w:r w:rsidRPr="00632D64">
        <w:t xml:space="preserve"> community-based programs as alternatives to incarceration.</w:t>
      </w:r>
    </w:p>
    <w:p w:rsidRPr="007D7A70" w:rsidR="00744157" w:rsidP="007D7A70" w:rsidRDefault="00744157" w14:paraId="707B2A41" w14:textId="77777777">
      <w:r w:rsidRPr="007D7A70">
        <w:t xml:space="preserve">Local jails are the entry point to the correctional system, processing more persons per year than prisons and parole/probation agencies combined. Although jails hold about half as many inmates as prisons on any given day, they admit nearly twenty times as many people as prisons. </w:t>
      </w:r>
      <w:proofErr w:type="gramStart"/>
      <w:r w:rsidRPr="007D7A70">
        <w:t>During 2018, local jails admitted 10.7 million inmates while managing an average daily population of about 737,900 inmates.</w:t>
      </w:r>
      <w:r w:rsidRPr="007D7A70">
        <w:rPr>
          <w:vertAlign w:val="superscript"/>
        </w:rPr>
        <w:footnoteReference w:customMarkFollows="1" w:id="2"/>
        <w:t>1</w:t>
      </w:r>
      <w:r w:rsidRPr="007D7A70">
        <w:t xml:space="preserve"> At midyear 2018, about one-third of the confined jail population were sentenced offenders or convicted offenders awaiting sentencing, and two-thirds were </w:t>
      </w:r>
      <w:proofErr w:type="spellStart"/>
      <w:r w:rsidRPr="007D7A70">
        <w:t>unconvicted</w:t>
      </w:r>
      <w:proofErr w:type="spellEnd"/>
      <w:r w:rsidRPr="007D7A70">
        <w:t xml:space="preserve"> inmates being held for a variety of reasons (including inability to meet bail, awaiting trial, mental health holds, drug or alcohol detoxification, and temporary holds for federal, state, or other local authorities).</w:t>
      </w:r>
      <w:proofErr w:type="gramEnd"/>
      <w:r w:rsidRPr="007D7A70">
        <w:t xml:space="preserve"> </w:t>
      </w:r>
    </w:p>
    <w:p w:rsidRPr="007D7A70" w:rsidR="00744157" w:rsidP="007D7A70" w:rsidRDefault="00F30593" w14:paraId="600B458F" w14:textId="0CFE2711">
      <w:r w:rsidRPr="007D7A70">
        <w:t xml:space="preserve">As the primary source for criminal justice statistics in the United States, BJS is responsible for collecting, analyzing, publishing, and disseminating statistical information on crime, criminal offenders, victims of crime, and the operations of criminal justice systems at all levels of government. </w:t>
      </w:r>
      <w:r w:rsidRPr="007D7A70" w:rsidR="00744157">
        <w:t xml:space="preserve">BJS conducts two </w:t>
      </w:r>
      <w:r w:rsidRPr="007D7A70" w:rsidR="008E21C2">
        <w:t>studies</w:t>
      </w:r>
      <w:r w:rsidRPr="007D7A70" w:rsidR="00744157">
        <w:t xml:space="preserve"> </w:t>
      </w:r>
      <w:r w:rsidR="00B11DAC">
        <w:t xml:space="preserve">regularly </w:t>
      </w:r>
      <w:r w:rsidRPr="007D7A70" w:rsidR="00744157">
        <w:t xml:space="preserve">to collect administrative data </w:t>
      </w:r>
      <w:r w:rsidR="00F65823">
        <w:t>from local jails</w:t>
      </w:r>
      <w:r w:rsidRPr="007D7A70" w:rsidR="00744157">
        <w:t xml:space="preserve">. The COJ, which started in 1970, </w:t>
      </w:r>
      <w:proofErr w:type="gramStart"/>
      <w:r w:rsidRPr="007D7A70" w:rsidR="00744157">
        <w:t>is administered</w:t>
      </w:r>
      <w:proofErr w:type="gramEnd"/>
      <w:r w:rsidRPr="007D7A70" w:rsidR="00744157">
        <w:t xml:space="preserve"> </w:t>
      </w:r>
      <w:r w:rsidRPr="007D7A70" w:rsidR="00D80571">
        <w:t xml:space="preserve">periodically </w:t>
      </w:r>
      <w:r w:rsidRPr="007D7A70" w:rsidR="00744157">
        <w:t xml:space="preserve">to </w:t>
      </w:r>
      <w:r w:rsidR="00975413">
        <w:t>the approximately</w:t>
      </w:r>
      <w:r w:rsidRPr="007D7A70" w:rsidR="00975413">
        <w:t xml:space="preserve"> </w:t>
      </w:r>
      <w:r w:rsidRPr="007D7A70" w:rsidR="00744157">
        <w:t>3,000 local facilities in the United States</w:t>
      </w:r>
      <w:r w:rsidRPr="007D7A70" w:rsidR="0007112C">
        <w:t>. The COJ provides state and national estimates on the number of inmates confined in jails, characteristics of the jail population, counts of admissions and releases, and jail facility characteristics.</w:t>
      </w:r>
      <w:r w:rsidRPr="007D7A70" w:rsidR="00D80571">
        <w:t xml:space="preserve"> To save cost and reduce respondent burden, BJS conducts the COJ every 5 to 6 years. In the years between the censuses, BJS </w:t>
      </w:r>
      <w:r w:rsidRPr="007D7A70" w:rsidR="00073797">
        <w:t>administers</w:t>
      </w:r>
      <w:r w:rsidRPr="007D7A70" w:rsidR="00D80571">
        <w:t xml:space="preserve"> the ASJ</w:t>
      </w:r>
      <w:r w:rsidRPr="007D7A70" w:rsidR="00073797">
        <w:t xml:space="preserve"> to </w:t>
      </w:r>
      <w:r w:rsidRPr="007D7A70" w:rsidR="00D80571">
        <w:t xml:space="preserve">a </w:t>
      </w:r>
      <w:r w:rsidRPr="007D7A70" w:rsidR="00073797">
        <w:t>probability sample of jail</w:t>
      </w:r>
      <w:r w:rsidR="00635964">
        <w:t>s</w:t>
      </w:r>
      <w:r w:rsidRPr="007D7A70" w:rsidR="00073797">
        <w:t xml:space="preserve"> </w:t>
      </w:r>
      <w:r w:rsidR="00975413">
        <w:t>selected from the latest COJ</w:t>
      </w:r>
      <w:r w:rsidR="003E25B8">
        <w:t xml:space="preserve"> frame</w:t>
      </w:r>
      <w:r w:rsidR="00975413">
        <w:t xml:space="preserve"> </w:t>
      </w:r>
      <w:r w:rsidRPr="007D7A70" w:rsidR="00073797">
        <w:t>to estimate key statistics o</w:t>
      </w:r>
      <w:r w:rsidR="00B11DAC">
        <w:t>f</w:t>
      </w:r>
      <w:r w:rsidRPr="007D7A70" w:rsidR="00073797">
        <w:t xml:space="preserve"> </w:t>
      </w:r>
      <w:r w:rsidR="00B11DAC">
        <w:t xml:space="preserve">the </w:t>
      </w:r>
      <w:r w:rsidRPr="007D7A70" w:rsidR="00073797">
        <w:t xml:space="preserve">jail population at the national level. </w:t>
      </w:r>
    </w:p>
    <w:p w:rsidRPr="007D7A70" w:rsidR="004E2EA1" w:rsidP="007D7A70" w:rsidRDefault="00F30593" w14:paraId="63D07E94" w14:textId="0B7EAF80">
      <w:r w:rsidRPr="007D7A70">
        <w:t xml:space="preserve">The </w:t>
      </w:r>
      <w:r w:rsidRPr="007D7A70" w:rsidR="004C3EB2">
        <w:t xml:space="preserve">2020-22 </w:t>
      </w:r>
      <w:r w:rsidRPr="007D7A70" w:rsidR="00C84E27">
        <w:t>ASJ</w:t>
      </w:r>
      <w:r w:rsidRPr="007D7A70" w:rsidR="00FD2815">
        <w:t xml:space="preserve"> </w:t>
      </w:r>
      <w:r w:rsidRPr="007D7A70">
        <w:t xml:space="preserve">will </w:t>
      </w:r>
      <w:r w:rsidRPr="007D7A70" w:rsidR="00EF089E">
        <w:t xml:space="preserve">collect data </w:t>
      </w:r>
      <w:r w:rsidRPr="007D7A70">
        <w:t xml:space="preserve">necessary for producing estimates </w:t>
      </w:r>
      <w:r w:rsidRPr="007D7A70" w:rsidR="00EF089E">
        <w:t xml:space="preserve">on </w:t>
      </w:r>
      <w:r w:rsidR="00D31C93">
        <w:t xml:space="preserve">the </w:t>
      </w:r>
      <w:r w:rsidRPr="007D7A70">
        <w:t>jail population, including one-day custody counts</w:t>
      </w:r>
      <w:r w:rsidRPr="007D7A70" w:rsidR="00EF089E">
        <w:t xml:space="preserve"> by</w:t>
      </w:r>
      <w:r w:rsidRPr="007D7A70">
        <w:t xml:space="preserve"> sex, conviction status, </w:t>
      </w:r>
      <w:r w:rsidRPr="007D7A70" w:rsidR="00013F7D">
        <w:t xml:space="preserve">and </w:t>
      </w:r>
      <w:r w:rsidRPr="007D7A70" w:rsidR="00073797">
        <w:t xml:space="preserve">severity of </w:t>
      </w:r>
      <w:r w:rsidRPr="007D7A70" w:rsidR="00EF089E">
        <w:t>offense</w:t>
      </w:r>
      <w:r w:rsidRPr="007D7A70" w:rsidR="00073797">
        <w:t xml:space="preserve"> (felony vs. misdemeanor)</w:t>
      </w:r>
      <w:r w:rsidRPr="007D7A70" w:rsidR="005A0220">
        <w:t xml:space="preserve">, </w:t>
      </w:r>
      <w:r w:rsidRPr="007D7A70" w:rsidR="008A1FE7">
        <w:t xml:space="preserve">counts of </w:t>
      </w:r>
      <w:r w:rsidRPr="007D7A70" w:rsidR="0091604D">
        <w:t>U.S. citizen</w:t>
      </w:r>
      <w:r w:rsidRPr="007D7A70" w:rsidR="008A1FE7">
        <w:t>s</w:t>
      </w:r>
      <w:r w:rsidRPr="007D7A70" w:rsidR="0091604D">
        <w:t xml:space="preserve"> and non-U.S. citizens, juvenile counts,</w:t>
      </w:r>
      <w:r w:rsidRPr="007D7A70" w:rsidR="008A1FE7">
        <w:t xml:space="preserve"> </w:t>
      </w:r>
      <w:r w:rsidRPr="007D7A70" w:rsidR="0091604D">
        <w:t xml:space="preserve">holds for Immigration and Customs Enforcement (ICE) and other state and federal authorities, </w:t>
      </w:r>
      <w:r w:rsidRPr="007D7A70">
        <w:t xml:space="preserve">average daily population, admissions, releases, and turnover rates. </w:t>
      </w:r>
      <w:r w:rsidR="00763F05">
        <w:t>It will also collect</w:t>
      </w:r>
      <w:r w:rsidRPr="007D7A70" w:rsidR="004C3EB2">
        <w:t xml:space="preserve"> </w:t>
      </w:r>
      <w:r w:rsidRPr="007D7A70" w:rsidR="00CB0BD4">
        <w:t xml:space="preserve">data on </w:t>
      </w:r>
      <w:r w:rsidRPr="007D7A70" w:rsidR="004C3EB2">
        <w:t xml:space="preserve">facility characteristics, </w:t>
      </w:r>
      <w:r w:rsidRPr="007D7A70" w:rsidR="00013F7D">
        <w:t>including</w:t>
      </w:r>
      <w:r w:rsidRPr="007D7A70" w:rsidR="004C3EB2">
        <w:t xml:space="preserve"> rated capacity and staffing. </w:t>
      </w:r>
      <w:r w:rsidRPr="007D7A70">
        <w:t xml:space="preserve">These </w:t>
      </w:r>
      <w:r w:rsidRPr="007D7A70" w:rsidR="004E2EA1">
        <w:t>data</w:t>
      </w:r>
      <w:r w:rsidR="00763F05">
        <w:t xml:space="preserve"> </w:t>
      </w:r>
      <w:proofErr w:type="gramStart"/>
      <w:r w:rsidR="00763F05">
        <w:t>are</w:t>
      </w:r>
      <w:r w:rsidRPr="007D7A70" w:rsidR="00D46217">
        <w:t xml:space="preserve"> published in BJS’s annual </w:t>
      </w:r>
      <w:r w:rsidRPr="007D7A70" w:rsidR="00D46217">
        <w:rPr>
          <w:i/>
        </w:rPr>
        <w:t>Jail Inmates</w:t>
      </w:r>
      <w:r w:rsidRPr="007D7A70" w:rsidR="00D46217">
        <w:t xml:space="preserve"> bulletin </w:t>
      </w:r>
      <w:r w:rsidRPr="007D7A70" w:rsidR="00F84441">
        <w:t>(</w:t>
      </w:r>
      <w:hyperlink w:history="1" r:id="rId8">
        <w:r w:rsidRPr="007D7A70" w:rsidR="00F84441">
          <w:rPr>
            <w:rStyle w:val="Hyperlink"/>
          </w:rPr>
          <w:t>https://www.bjs.gov/index.cfm?ty=pbse&amp;sid=38</w:t>
        </w:r>
      </w:hyperlink>
      <w:r w:rsidRPr="007D7A70" w:rsidR="00F84441">
        <w:t xml:space="preserve">) </w:t>
      </w:r>
      <w:r w:rsidRPr="007D7A70" w:rsidR="00D46217">
        <w:t>and archived at the National Archive</w:t>
      </w:r>
      <w:r w:rsidR="00C51A27">
        <w:t>s</w:t>
      </w:r>
      <w:r w:rsidRPr="007D7A70" w:rsidR="00D46217">
        <w:t xml:space="preserve"> of Criminal Justice Data</w:t>
      </w:r>
      <w:r w:rsidRPr="007D7A70" w:rsidR="00F84441">
        <w:t xml:space="preserve"> (</w:t>
      </w:r>
      <w:r w:rsidR="00C51A27">
        <w:t xml:space="preserve">NACJD, </w:t>
      </w:r>
      <w:hyperlink w:history="1" r:id="rId9">
        <w:r w:rsidRPr="007D7A70" w:rsidR="00F84441">
          <w:rPr>
            <w:rStyle w:val="Hyperlink"/>
          </w:rPr>
          <w:t>https://www.icpsr.umich.edu/icpsrweb/content/NACJD/index.html</w:t>
        </w:r>
      </w:hyperlink>
      <w:r w:rsidRPr="007D7A70" w:rsidR="00F84441">
        <w:t>)</w:t>
      </w:r>
      <w:proofErr w:type="gramEnd"/>
      <w:r w:rsidR="00763F05">
        <w:t>.</w:t>
      </w:r>
      <w:r w:rsidRPr="007D7A70" w:rsidR="004E2EA1">
        <w:t xml:space="preserve"> Federal, </w:t>
      </w:r>
      <w:r w:rsidRPr="007D7A70" w:rsidR="00EF089E">
        <w:t>state</w:t>
      </w:r>
      <w:r w:rsidRPr="007D7A70" w:rsidR="004E2EA1">
        <w:t xml:space="preserve">, and local </w:t>
      </w:r>
      <w:r w:rsidRPr="007D7A70" w:rsidR="00B20F98">
        <w:t xml:space="preserve">government </w:t>
      </w:r>
      <w:r w:rsidRPr="007D7A70" w:rsidR="004E2EA1">
        <w:t>officials; correctional administrators</w:t>
      </w:r>
      <w:proofErr w:type="gramStart"/>
      <w:r w:rsidRPr="007D7A70" w:rsidR="004E2EA1">
        <w:t>;</w:t>
      </w:r>
      <w:proofErr w:type="gramEnd"/>
      <w:r w:rsidRPr="007D7A70" w:rsidR="004E2EA1">
        <w:t xml:space="preserve"> and researchers analyze </w:t>
      </w:r>
      <w:r w:rsidR="00763F05">
        <w:t xml:space="preserve">the ASJ data </w:t>
      </w:r>
      <w:r w:rsidRPr="007D7A70" w:rsidR="00EF089E">
        <w:t xml:space="preserve">to inform jail </w:t>
      </w:r>
      <w:r w:rsidRPr="007D7A70" w:rsidR="004E2EA1">
        <w:t>practices and policies. Comprehensive data on jail inmates help inform the continuing debates on changing correctional populations, associated financial and other societal costs of incarceration, and alternative sanctions to incarceration.</w:t>
      </w:r>
    </w:p>
    <w:p w:rsidRPr="0028281A" w:rsidR="00491A8D" w:rsidP="00491A8D" w:rsidRDefault="00491A8D" w14:paraId="1687AA6A" w14:textId="77777777">
      <w:r>
        <w:lastRenderedPageBreak/>
        <w:t xml:space="preserve">The Bureau of Justice Statistics (BJS) is authorized to conduct this data collection under 34 U.S.C. § 10132. BJS, its employees, and its data collection agents will only use the information you provide for statistical or research purposes pursuant to 34 U.S.C. § 10134, and will protect it to the fullest extent under federal law. For more information on how BJS will use and protect your information, go to </w:t>
      </w:r>
      <w:hyperlink w:history="1" r:id="rId10">
        <w:r>
          <w:rPr>
            <w:rStyle w:val="Hyperlink"/>
          </w:rPr>
          <w:t>https://www.bjs.gov/content/pub/pdf/BJS_Data_Protection_Guidelines.pdf</w:t>
        </w:r>
      </w:hyperlink>
      <w:r>
        <w:t>.</w:t>
      </w:r>
    </w:p>
    <w:p w:rsidRPr="007D7A70" w:rsidR="00E37E82" w:rsidP="00A52889" w:rsidRDefault="00073797" w14:paraId="5BD8FB6D" w14:textId="3ED2A8D3">
      <w:r w:rsidRPr="007D7A70">
        <w:t>The 2020</w:t>
      </w:r>
      <w:r w:rsidRPr="007D7A70" w:rsidR="006C02EA">
        <w:t xml:space="preserve"> </w:t>
      </w:r>
      <w:r w:rsidRPr="007D7A70">
        <w:t>ASJ use</w:t>
      </w:r>
      <w:r w:rsidRPr="007D7A70" w:rsidR="00012B55">
        <w:t>s</w:t>
      </w:r>
      <w:r w:rsidRPr="007D7A70">
        <w:t xml:space="preserve"> a stratified probability sample of jails drawn from </w:t>
      </w:r>
      <w:r w:rsidR="00A52889">
        <w:t xml:space="preserve">all local </w:t>
      </w:r>
      <w:r w:rsidR="005B64A2">
        <w:t xml:space="preserve">jail jurisdictions in the </w:t>
      </w:r>
      <w:r w:rsidRPr="007D7A70">
        <w:t xml:space="preserve">2019 COJ frame. </w:t>
      </w:r>
      <w:r w:rsidRPr="007D7A70" w:rsidR="005B64A2">
        <w:t xml:space="preserve">The combined jail/prison systems in Alaska, Connecticut, Delaware, Hawaii, Rhode Island, and Vermont, are not in the universe for the </w:t>
      </w:r>
      <w:r w:rsidR="005B64A2">
        <w:t>ASJ</w:t>
      </w:r>
      <w:r w:rsidR="00743B41">
        <w:t xml:space="preserve"> (since they are included in the National Prison Statistics Program)</w:t>
      </w:r>
      <w:r w:rsidRPr="007D7A70" w:rsidR="005B64A2">
        <w:t xml:space="preserve">. However, Alaska has 15 jails that </w:t>
      </w:r>
      <w:proofErr w:type="gramStart"/>
      <w:r w:rsidRPr="007D7A70" w:rsidR="005B64A2">
        <w:t>are locally operated</w:t>
      </w:r>
      <w:proofErr w:type="gramEnd"/>
      <w:r w:rsidR="00975413">
        <w:t>,</w:t>
      </w:r>
      <w:r w:rsidRPr="007D7A70" w:rsidR="005B64A2">
        <w:t xml:space="preserve"> so these facilities are included in the </w:t>
      </w:r>
      <w:r w:rsidR="005B64A2">
        <w:t>ASJ</w:t>
      </w:r>
      <w:r w:rsidRPr="007D7A70" w:rsidR="005B64A2">
        <w:t xml:space="preserve"> universe.</w:t>
      </w:r>
      <w:r w:rsidR="005B64A2">
        <w:t xml:space="preserve"> </w:t>
      </w:r>
      <w:r w:rsidRPr="007D7A70" w:rsidR="006C02EA">
        <w:t xml:space="preserve">Jails in the sample will be surveyed annually </w:t>
      </w:r>
      <w:r w:rsidRPr="007D7A70" w:rsidR="00025ADC">
        <w:t xml:space="preserve">for 5 years before </w:t>
      </w:r>
      <w:r w:rsidRPr="007D7A70" w:rsidR="006C02EA">
        <w:t xml:space="preserve">the next sample refresh. </w:t>
      </w:r>
      <w:r w:rsidRPr="007D7A70" w:rsidR="00E37E82">
        <w:t xml:space="preserve">The </w:t>
      </w:r>
      <w:r w:rsidRPr="007D7A70" w:rsidR="00F84441">
        <w:t xml:space="preserve">2020-24 ASJ </w:t>
      </w:r>
      <w:r w:rsidRPr="007D7A70" w:rsidR="00012B55">
        <w:t xml:space="preserve">panel </w:t>
      </w:r>
      <w:r w:rsidRPr="007D7A70" w:rsidR="00E37E82">
        <w:t>include</w:t>
      </w:r>
      <w:r w:rsidRPr="007D7A70" w:rsidR="00012B55">
        <w:t>s</w:t>
      </w:r>
      <w:r w:rsidRPr="007D7A70" w:rsidR="00E37E82">
        <w:t xml:space="preserve"> </w:t>
      </w:r>
      <w:r w:rsidR="00C33395">
        <w:t xml:space="preserve">approximately </w:t>
      </w:r>
      <w:r w:rsidRPr="005B64A2" w:rsidR="00E37E82">
        <w:t>950</w:t>
      </w:r>
      <w:r w:rsidR="00A52889">
        <w:t xml:space="preserve"> jails</w:t>
      </w:r>
      <w:r w:rsidRPr="007D7A70" w:rsidR="00E37E82">
        <w:t xml:space="preserve"> selected to represent </w:t>
      </w:r>
      <w:r w:rsidR="00C33395">
        <w:t xml:space="preserve">all local </w:t>
      </w:r>
      <w:r w:rsidRPr="007D7A70" w:rsidR="00E37E82">
        <w:t>jail</w:t>
      </w:r>
      <w:r w:rsidR="00C33395">
        <w:t>s nationwide</w:t>
      </w:r>
      <w:r w:rsidRPr="007D7A70" w:rsidR="00E37E82">
        <w:t xml:space="preserve">. </w:t>
      </w:r>
      <w:r w:rsidR="00A52889">
        <w:t xml:space="preserve">The ASJ </w:t>
      </w:r>
      <w:r w:rsidRPr="00885E87" w:rsidR="00A52889">
        <w:t xml:space="preserve">sample </w:t>
      </w:r>
      <w:proofErr w:type="gramStart"/>
      <w:r w:rsidRPr="00885E87" w:rsidR="00A52889">
        <w:t>is drawn</w:t>
      </w:r>
      <w:proofErr w:type="gramEnd"/>
      <w:r w:rsidRPr="00885E87" w:rsidR="00A52889">
        <w:t xml:space="preserve"> at the jurisdiction level. A jail jurisdiction is a county (parish in Louisiana) or municipal government that administers one or more local jails and represents the entity responsible for managing jail facilities under its authority. Most jail jurisdictions consist of a single facility, but some have multiple facilities, or multiple facility operators</w:t>
      </w:r>
      <w:r w:rsidR="00A52889">
        <w:t xml:space="preserve"> (e.g., county jail, sheriff’s office, and police department)</w:t>
      </w:r>
      <w:r w:rsidRPr="00885E87" w:rsidR="00A52889">
        <w:t xml:space="preserve">, called reporting units. </w:t>
      </w:r>
      <w:r w:rsidRPr="008A4ADF" w:rsidR="00A52889">
        <w:t xml:space="preserve">For example, </w:t>
      </w:r>
      <w:r w:rsidRPr="008A4ADF" w:rsidR="00E71B01">
        <w:t>three</w:t>
      </w:r>
      <w:r w:rsidRPr="008A4ADF" w:rsidR="00A52889">
        <w:t xml:space="preserve"> reporting units in Allegheny County, Pennsylvania, represent a single jail jurisdiction.</w:t>
      </w:r>
      <w:r w:rsidRPr="00885E87" w:rsidR="00A52889">
        <w:t xml:space="preserve"> When a jail jurisdiction with multiple reporting units </w:t>
      </w:r>
      <w:proofErr w:type="gramStart"/>
      <w:r w:rsidRPr="00885E87" w:rsidR="00A52889">
        <w:t>is sampled</w:t>
      </w:r>
      <w:proofErr w:type="gramEnd"/>
      <w:r w:rsidRPr="00885E87" w:rsidR="00A52889">
        <w:t>, data are collected from all reporting units within that jail jurisdiction.</w:t>
      </w:r>
      <w:r w:rsidR="00A52889">
        <w:t xml:space="preserve"> </w:t>
      </w:r>
      <w:r w:rsidRPr="007D7A70" w:rsidR="00E37E82">
        <w:t xml:space="preserve">In selecting the jails, all jurisdictions </w:t>
      </w:r>
      <w:proofErr w:type="gramStart"/>
      <w:r w:rsidRPr="007D7A70" w:rsidR="00012B55">
        <w:t>a</w:t>
      </w:r>
      <w:r w:rsidRPr="007D7A70" w:rsidR="00E37E82">
        <w:t>re grouped</w:t>
      </w:r>
      <w:proofErr w:type="gramEnd"/>
      <w:r w:rsidRPr="007D7A70" w:rsidR="00E37E82">
        <w:t xml:space="preserve"> into 10 strata based on their average daily population (ADP) and the presence of juveniles </w:t>
      </w:r>
      <w:r w:rsidRPr="007D7A70" w:rsidR="00012B55">
        <w:t xml:space="preserve">as </w:t>
      </w:r>
      <w:r w:rsidRPr="007D7A70" w:rsidR="00E37E82">
        <w:t xml:space="preserve">measured in </w:t>
      </w:r>
      <w:r w:rsidRPr="007D7A70" w:rsidR="00025ADC">
        <w:t>the 2019 COJ</w:t>
      </w:r>
      <w:r w:rsidRPr="007D7A70" w:rsidR="00E37E82">
        <w:t xml:space="preserve">. In </w:t>
      </w:r>
      <w:proofErr w:type="gramStart"/>
      <w:r w:rsidRPr="007D7A70" w:rsidR="00E37E82">
        <w:t>8</w:t>
      </w:r>
      <w:proofErr w:type="gramEnd"/>
      <w:r w:rsidRPr="007D7A70" w:rsidR="00E37E82">
        <w:t xml:space="preserve"> of the 10 strata, a random sample of jail jurisdictions </w:t>
      </w:r>
      <w:r w:rsidRPr="007D7A70" w:rsidR="00012B55">
        <w:t>i</w:t>
      </w:r>
      <w:r w:rsidRPr="007D7A70" w:rsidR="00E37E82">
        <w:t>s selec</w:t>
      </w:r>
      <w:r w:rsidRPr="007D7A70" w:rsidR="00B32C9D">
        <w:t xml:space="preserve">ted. The remaining two strata </w:t>
      </w:r>
      <w:proofErr w:type="gramStart"/>
      <w:r w:rsidRPr="007D7A70" w:rsidR="00B32C9D">
        <w:t>a</w:t>
      </w:r>
      <w:r w:rsidRPr="007D7A70" w:rsidR="00E37E82">
        <w:t>re designated</w:t>
      </w:r>
      <w:proofErr w:type="gramEnd"/>
      <w:r w:rsidRPr="007D7A70" w:rsidR="00E37E82">
        <w:t xml:space="preserve"> as certainty strata, where all </w:t>
      </w:r>
      <w:r w:rsidR="00370327">
        <w:t xml:space="preserve">jail </w:t>
      </w:r>
      <w:r w:rsidRPr="007D7A70" w:rsidR="00E37E82">
        <w:t xml:space="preserve">jurisdictions </w:t>
      </w:r>
      <w:r w:rsidRPr="007D7A70" w:rsidR="00B32C9D">
        <w:t>a</w:t>
      </w:r>
      <w:r w:rsidRPr="007D7A70" w:rsidR="00E37E82">
        <w:t>re selected with a probability of one.</w:t>
      </w:r>
      <w:r w:rsidRPr="007D7A70" w:rsidR="00B32C9D">
        <w:t xml:space="preserve"> One certainty stratum consists of all jails that </w:t>
      </w:r>
      <w:proofErr w:type="gramStart"/>
      <w:r w:rsidRPr="007D7A70" w:rsidR="00B32C9D">
        <w:t>a</w:t>
      </w:r>
      <w:r w:rsidRPr="007D7A70" w:rsidR="00E37E82">
        <w:t>re operated</w:t>
      </w:r>
      <w:proofErr w:type="gramEnd"/>
      <w:r w:rsidRPr="007D7A70" w:rsidR="00E37E82">
        <w:t xml:space="preserve"> jointly by two or more jurisdictions (referred to as multi-jurisdictional jails). The o</w:t>
      </w:r>
      <w:r w:rsidRPr="007D7A70" w:rsidR="00B32C9D">
        <w:t>ther certainty stratum consists</w:t>
      </w:r>
      <w:r w:rsidRPr="007D7A70" w:rsidR="00E37E82">
        <w:t xml:space="preserve"> of all jail jurisdictions that—</w:t>
      </w:r>
    </w:p>
    <w:p w:rsidRPr="00632D64" w:rsidR="00E37E82" w:rsidP="00632D64" w:rsidRDefault="00E37E82" w14:paraId="2E327D29" w14:textId="630F2444">
      <w:pPr>
        <w:pStyle w:val="ListParagraph"/>
      </w:pPr>
      <w:r w:rsidRPr="00632D64">
        <w:t xml:space="preserve">held juvenile inmates </w:t>
      </w:r>
      <w:r w:rsidRPr="00632D64" w:rsidR="00B32C9D">
        <w:t xml:space="preserve">at midyear </w:t>
      </w:r>
      <w:r w:rsidRPr="00632D64">
        <w:t>201</w:t>
      </w:r>
      <w:r w:rsidRPr="00632D64" w:rsidR="00025ADC">
        <w:t>9</w:t>
      </w:r>
      <w:r w:rsidRPr="00632D64">
        <w:t xml:space="preserve"> and had an ADP of 500 or more inmates during the 12 months ending on </w:t>
      </w:r>
      <w:r w:rsidRPr="00632D64" w:rsidR="00025ADC">
        <w:t>June 30</w:t>
      </w:r>
      <w:r w:rsidRPr="00632D64">
        <w:t>, 201</w:t>
      </w:r>
      <w:r w:rsidRPr="00632D64" w:rsidR="00025ADC">
        <w:t>9</w:t>
      </w:r>
      <w:r w:rsidRPr="00632D64" w:rsidR="00763F05">
        <w:t>; or</w:t>
      </w:r>
    </w:p>
    <w:p w:rsidRPr="00632D64" w:rsidR="00E37E82" w:rsidP="00632D64" w:rsidRDefault="00E37E82" w14:paraId="61F84B56" w14:textId="4772F363">
      <w:pPr>
        <w:pStyle w:val="ListParagraph"/>
      </w:pPr>
      <w:proofErr w:type="gramStart"/>
      <w:r w:rsidRPr="00632D64">
        <w:t>held</w:t>
      </w:r>
      <w:proofErr w:type="gramEnd"/>
      <w:r w:rsidRPr="00632D64">
        <w:t xml:space="preserve"> only adult inmates and had an ADP of 750 or more</w:t>
      </w:r>
      <w:r w:rsidRPr="00632D64" w:rsidR="00B32C9D">
        <w:t xml:space="preserve"> at </w:t>
      </w:r>
      <w:r w:rsidR="00A52889">
        <w:t>midyear</w:t>
      </w:r>
      <w:r w:rsidRPr="00632D64" w:rsidR="00B32C9D">
        <w:t xml:space="preserve"> 2019</w:t>
      </w:r>
      <w:r w:rsidRPr="00632D64" w:rsidR="00763F05">
        <w:t>.</w:t>
      </w:r>
    </w:p>
    <w:p w:rsidR="00E50342" w:rsidP="008A4ADF" w:rsidRDefault="00E50342" w14:paraId="6AC52A73" w14:textId="0A752F9D">
      <w:pPr>
        <w:pStyle w:val="Heading3"/>
      </w:pPr>
      <w:r>
        <w:t>Simplification to one survey instrument</w:t>
      </w:r>
    </w:p>
    <w:p w:rsidRPr="007D7A70" w:rsidR="00E50342" w:rsidP="007D7A70" w:rsidRDefault="00E50342" w14:paraId="77A8EF49" w14:textId="0BEBC5D8">
      <w:pPr>
        <w:rPr>
          <w:i/>
        </w:rPr>
      </w:pPr>
      <w:r>
        <w:t>In the past, the ASJ used two form</w:t>
      </w:r>
      <w:r w:rsidR="002C3623">
        <w:t>s—</w:t>
      </w:r>
      <w:r>
        <w:t>CJ</w:t>
      </w:r>
      <w:r w:rsidR="008C2491">
        <w:t>-</w:t>
      </w:r>
      <w:r>
        <w:t>5 Annual Survey of Jails and CJ</w:t>
      </w:r>
      <w:r w:rsidR="00C23F2A">
        <w:t>-</w:t>
      </w:r>
      <w:r>
        <w:t xml:space="preserve">5A Annual Survey of Jails </w:t>
      </w:r>
      <w:r w:rsidR="002C3623">
        <w:t xml:space="preserve">for </w:t>
      </w:r>
      <w:r>
        <w:t xml:space="preserve">Private and Multijurisdictional Jails. The two forms </w:t>
      </w:r>
      <w:r w:rsidR="007858F6">
        <w:t>are the same except for</w:t>
      </w:r>
      <w:r>
        <w:t xml:space="preserve"> slightly different language</w:t>
      </w:r>
      <w:r w:rsidR="00277741">
        <w:t>—</w:t>
      </w:r>
      <w:r>
        <w:t>form CJ</w:t>
      </w:r>
      <w:r w:rsidR="008C2491">
        <w:t>-</w:t>
      </w:r>
      <w:r>
        <w:t>5 used the plural form</w:t>
      </w:r>
      <w:r w:rsidR="00A507B9">
        <w:t xml:space="preserve"> </w:t>
      </w:r>
      <w:r>
        <w:t>“jail facilities”</w:t>
      </w:r>
      <w:r w:rsidR="00C33395">
        <w:t>,</w:t>
      </w:r>
      <w:r w:rsidR="00E70823">
        <w:t xml:space="preserve"> </w:t>
      </w:r>
      <w:r w:rsidR="00C33395">
        <w:t xml:space="preserve">while </w:t>
      </w:r>
      <w:r>
        <w:t>form CJ</w:t>
      </w:r>
      <w:r w:rsidR="008C2491">
        <w:t>-</w:t>
      </w:r>
      <w:r>
        <w:t>5A used the singular form “jail facility</w:t>
      </w:r>
      <w:r w:rsidR="00E70823">
        <w:t>.</w:t>
      </w:r>
      <w:r>
        <w:t>”</w:t>
      </w:r>
      <w:r w:rsidR="00805D53">
        <w:t xml:space="preserve"> </w:t>
      </w:r>
      <w:r w:rsidR="00277741">
        <w:t>R</w:t>
      </w:r>
      <w:r w:rsidR="00A507B9">
        <w:t>egardless the type of governing body, the majority of jails have only one facility</w:t>
      </w:r>
      <w:r w:rsidR="00277741">
        <w:t xml:space="preserve">; </w:t>
      </w:r>
      <w:r w:rsidR="006D63C8">
        <w:t xml:space="preserve">only 7% of </w:t>
      </w:r>
      <w:r w:rsidR="00C612DA">
        <w:t>all</w:t>
      </w:r>
      <w:r w:rsidR="006D63C8">
        <w:t xml:space="preserve"> jai</w:t>
      </w:r>
      <w:r w:rsidR="00743B41">
        <w:t>ls have more than one facility</w:t>
      </w:r>
      <w:r w:rsidR="00A507B9">
        <w:t xml:space="preserve">. </w:t>
      </w:r>
      <w:r w:rsidR="00732389">
        <w:t>Starting with the 2020 ASJ, BJS will simplify the survey instrument</w:t>
      </w:r>
      <w:r w:rsidR="00C612DA">
        <w:t>ation</w:t>
      </w:r>
      <w:r w:rsidR="00732389">
        <w:t xml:space="preserve"> </w:t>
      </w:r>
      <w:r w:rsidR="00362E51">
        <w:t>and</w:t>
      </w:r>
      <w:r w:rsidR="00732389">
        <w:t xml:space="preserve"> </w:t>
      </w:r>
      <w:r w:rsidR="00A507B9">
        <w:t xml:space="preserve">administer </w:t>
      </w:r>
      <w:r w:rsidR="00732389">
        <w:t xml:space="preserve">a single form </w:t>
      </w:r>
      <w:r w:rsidR="00E46584">
        <w:t>(CJ</w:t>
      </w:r>
      <w:r w:rsidR="008C2491">
        <w:t>-</w:t>
      </w:r>
      <w:r w:rsidR="00E46584">
        <w:t xml:space="preserve">5) </w:t>
      </w:r>
      <w:r w:rsidR="00C612DA">
        <w:t xml:space="preserve">with the plural form “jail facilities” </w:t>
      </w:r>
      <w:r w:rsidR="00A507B9">
        <w:t xml:space="preserve">to all jails. </w:t>
      </w:r>
      <w:r w:rsidR="00C612DA">
        <w:t xml:space="preserve">ASJ respondents </w:t>
      </w:r>
      <w:proofErr w:type="gramStart"/>
      <w:r w:rsidR="00842859">
        <w:t>will be instructed</w:t>
      </w:r>
      <w:proofErr w:type="gramEnd"/>
      <w:r w:rsidR="00842859">
        <w:t xml:space="preserve"> </w:t>
      </w:r>
      <w:r w:rsidR="00721057">
        <w:t xml:space="preserve">to answer all questions for </w:t>
      </w:r>
      <w:r w:rsidR="00A507B9">
        <w:t xml:space="preserve">the </w:t>
      </w:r>
      <w:r w:rsidR="00721057">
        <w:t xml:space="preserve">combined jail population across their facilities. </w:t>
      </w:r>
    </w:p>
    <w:p w:rsidRPr="007D7A70" w:rsidR="00C6038E" w:rsidP="00324D59" w:rsidRDefault="007643F9" w14:paraId="5FA57591" w14:textId="6D8176EA">
      <w:pPr>
        <w:pStyle w:val="Heading3"/>
      </w:pPr>
      <w:r>
        <w:lastRenderedPageBreak/>
        <w:t>N</w:t>
      </w:r>
      <w:r w:rsidR="00721057">
        <w:t xml:space="preserve">ew items added </w:t>
      </w:r>
    </w:p>
    <w:p w:rsidR="00721057" w:rsidP="00721057" w:rsidRDefault="007643F9" w14:paraId="22127D1A" w14:textId="79FBFC27">
      <w:r>
        <w:t>The 2020-22 ASJ will include three</w:t>
      </w:r>
      <w:r w:rsidRPr="007D7A70" w:rsidR="00721057">
        <w:t xml:space="preserve"> new items that </w:t>
      </w:r>
      <w:proofErr w:type="gramStart"/>
      <w:r w:rsidRPr="007D7A70" w:rsidR="00721057">
        <w:t>have been tested</w:t>
      </w:r>
      <w:proofErr w:type="gramEnd"/>
      <w:r w:rsidRPr="007D7A70" w:rsidR="00721057">
        <w:t xml:space="preserve"> through a cognitive test under OMB Control </w:t>
      </w:r>
      <w:r w:rsidR="00182B14">
        <w:t>No.</w:t>
      </w:r>
      <w:r w:rsidRPr="007D7A70" w:rsidR="00721057">
        <w:t xml:space="preserve"> 1121-0339</w:t>
      </w:r>
      <w:r>
        <w:t>.</w:t>
      </w:r>
      <w:r w:rsidRPr="007D7A70" w:rsidR="00721057">
        <w:t xml:space="preserve"> These new items include </w:t>
      </w:r>
      <w:r w:rsidR="00953BF9">
        <w:t>inmate</w:t>
      </w:r>
      <w:r w:rsidR="00192FF1">
        <w:t xml:space="preserve"> count</w:t>
      </w:r>
      <w:r w:rsidR="00953BF9">
        <w:t xml:space="preserve">s by age </w:t>
      </w:r>
      <w:r w:rsidR="009742B9">
        <w:t>group</w:t>
      </w:r>
      <w:r w:rsidR="00953BF9">
        <w:t xml:space="preserve">, </w:t>
      </w:r>
      <w:r w:rsidRPr="007D7A70" w:rsidR="00721057">
        <w:t>counts of non-U.S. citizens by conviction status</w:t>
      </w:r>
      <w:r w:rsidR="00953BF9">
        <w:t>,</w:t>
      </w:r>
      <w:r w:rsidRPr="007D7A70" w:rsidR="00721057">
        <w:t xml:space="preserve"> and counts of probation violators and parole violators</w:t>
      </w:r>
      <w:r w:rsidR="00953BF9">
        <w:t>, all measured at midyear</w:t>
      </w:r>
      <w:r w:rsidRPr="007D7A70" w:rsidR="00721057">
        <w:t>.</w:t>
      </w:r>
      <w:r w:rsidR="00721057">
        <w:t xml:space="preserve"> </w:t>
      </w:r>
    </w:p>
    <w:p w:rsidR="00953BF9" w:rsidP="007D7A70" w:rsidRDefault="00D72ABE" w14:paraId="6F16145C" w14:textId="6A6B35DB">
      <w:r>
        <w:t xml:space="preserve">Evidence from BJS’ </w:t>
      </w:r>
      <w:r w:rsidRPr="007D7A70">
        <w:t xml:space="preserve">periodic </w:t>
      </w:r>
      <w:r>
        <w:t xml:space="preserve">individual-level inmates surveys, i.e., </w:t>
      </w:r>
      <w:r w:rsidRPr="007D7A70">
        <w:t>National Inmate Survey (NIS</w:t>
      </w:r>
      <w:r w:rsidR="009742B9">
        <w:t xml:space="preserve"> 2007, </w:t>
      </w:r>
      <w:r w:rsidR="00F31DB7">
        <w:t xml:space="preserve">2008-9, </w:t>
      </w:r>
      <w:r w:rsidR="009742B9">
        <w:t>2011</w:t>
      </w:r>
      <w:r w:rsidR="00F31DB7">
        <w:t>-</w:t>
      </w:r>
      <w:r w:rsidR="009742B9">
        <w:t>12</w:t>
      </w:r>
      <w:r w:rsidRPr="007D7A70">
        <w:t>) and the Survey of Inmates of Local Jails (SILJ</w:t>
      </w:r>
      <w:r w:rsidR="009742B9">
        <w:t>, 2002</w:t>
      </w:r>
      <w:r w:rsidRPr="007D7A70">
        <w:t>)</w:t>
      </w:r>
      <w:r>
        <w:t xml:space="preserve">, suggests that the age structure of jail inmates is shifting toward an older one. </w:t>
      </w:r>
      <w:r w:rsidR="004D75F4">
        <w:t xml:space="preserve">In the past, the ASJ collected counts of adults and juveniles, but not </w:t>
      </w:r>
      <w:r w:rsidR="006F0D54">
        <w:t>numbers</w:t>
      </w:r>
      <w:r w:rsidR="004D75F4">
        <w:t xml:space="preserve"> of inmates by age group. As a result, the ASJ data </w:t>
      </w:r>
      <w:r w:rsidR="006D4526">
        <w:t xml:space="preserve">does </w:t>
      </w:r>
      <w:r w:rsidR="004D75F4">
        <w:t xml:space="preserve">not </w:t>
      </w:r>
      <w:r w:rsidR="008C2EB1">
        <w:t>capture</w:t>
      </w:r>
      <w:r w:rsidR="004D75F4">
        <w:t xml:space="preserve"> the age structure of jail inmates. </w:t>
      </w:r>
      <w:r w:rsidR="002C745A">
        <w:t>In 2018, BJS tested a new age</w:t>
      </w:r>
      <w:r w:rsidR="007916EB">
        <w:t xml:space="preserve"> </w:t>
      </w:r>
      <w:r w:rsidR="002C745A">
        <w:t xml:space="preserve">question </w:t>
      </w:r>
      <w:r w:rsidR="009110FB">
        <w:t>that ask</w:t>
      </w:r>
      <w:r w:rsidR="008C2EB1">
        <w:t>ed</w:t>
      </w:r>
      <w:r w:rsidR="009110FB">
        <w:t xml:space="preserve"> jails provide counts of inmates in six age groups (17 or younger, 18-24, 25-34, 35-44, 45-55, 55 or older) by sex</w:t>
      </w:r>
      <w:r w:rsidR="006F0D54">
        <w:t xml:space="preserve"> in a cognitive test</w:t>
      </w:r>
      <w:r w:rsidR="009110FB">
        <w:t xml:space="preserve">. </w:t>
      </w:r>
      <w:r w:rsidR="004D13B6">
        <w:t xml:space="preserve">Based on comments </w:t>
      </w:r>
      <w:r w:rsidR="006F0D54">
        <w:t>received from</w:t>
      </w:r>
      <w:r w:rsidR="004D13B6">
        <w:t xml:space="preserve"> </w:t>
      </w:r>
      <w:r w:rsidR="008A66E9">
        <w:t>jail respondents</w:t>
      </w:r>
      <w:r w:rsidR="004D13B6">
        <w:t xml:space="preserve">, BJS </w:t>
      </w:r>
      <w:r w:rsidR="008A66E9">
        <w:t xml:space="preserve">proposes to add to </w:t>
      </w:r>
      <w:r w:rsidR="006D4526">
        <w:t xml:space="preserve">the 2020-22 ASJ a simplified </w:t>
      </w:r>
      <w:r w:rsidR="003579AE">
        <w:t xml:space="preserve">version of the </w:t>
      </w:r>
      <w:r w:rsidR="006D4526">
        <w:t xml:space="preserve">question that collects inmate counts by age group only, without </w:t>
      </w:r>
      <w:r w:rsidR="008A66E9">
        <w:t>the sex breakdown.</w:t>
      </w:r>
    </w:p>
    <w:p w:rsidRPr="007D7A70" w:rsidR="00C6038E" w:rsidP="007D7A70" w:rsidRDefault="007F41BF" w14:paraId="699C2672" w14:textId="36DA4857">
      <w:r w:rsidRPr="007D7A70">
        <w:t xml:space="preserve">In the past, the </w:t>
      </w:r>
      <w:r w:rsidRPr="007D7A70" w:rsidR="00C6038E">
        <w:t>ASJ collect</w:t>
      </w:r>
      <w:r w:rsidRPr="007D7A70">
        <w:t>ed</w:t>
      </w:r>
      <w:r w:rsidRPr="007D7A70" w:rsidR="00C6038E">
        <w:t xml:space="preserve"> the total number of non-U.S. citizens confined on the last weekday in June. To support the Department of Justice’s initiative to </w:t>
      </w:r>
      <w:r w:rsidRPr="007D7A70" w:rsidR="0058208F">
        <w:t xml:space="preserve">count criminal </w:t>
      </w:r>
      <w:r w:rsidRPr="007D7A70" w:rsidR="00B0373E">
        <w:t xml:space="preserve">non-U.S. citizens </w:t>
      </w:r>
      <w:r w:rsidRPr="007D7A70" w:rsidR="0058208F">
        <w:t>under correctional supervision in the U.S.</w:t>
      </w:r>
      <w:r w:rsidRPr="007D7A70" w:rsidR="00C6038E">
        <w:t xml:space="preserve">, BJS proposes </w:t>
      </w:r>
      <w:proofErr w:type="gramStart"/>
      <w:r w:rsidRPr="007D7A70" w:rsidR="00C6038E">
        <w:t xml:space="preserve">to </w:t>
      </w:r>
      <w:r w:rsidR="002961E8">
        <w:t>further collect</w:t>
      </w:r>
      <w:proofErr w:type="gramEnd"/>
      <w:r w:rsidRPr="007D7A70" w:rsidR="00C6038E">
        <w:t xml:space="preserve"> counts of U.S. citizens </w:t>
      </w:r>
      <w:r w:rsidR="002961E8">
        <w:t>by conviction status from j</w:t>
      </w:r>
      <w:r w:rsidRPr="007D7A70" w:rsidR="00C6038E">
        <w:t>ails that provide a positive count of non-U.S. citizens.</w:t>
      </w:r>
      <w:r w:rsidRPr="007D7A70">
        <w:t xml:space="preserve"> During the 2019 COJ</w:t>
      </w:r>
      <w:r w:rsidRPr="006953AD">
        <w:t>, 9</w:t>
      </w:r>
      <w:r w:rsidRPr="006953AD" w:rsidR="006953AD">
        <w:t>7</w:t>
      </w:r>
      <w:r w:rsidRPr="006953AD">
        <w:t xml:space="preserve">% of the jail respondents provided data on one-day counts of non-U.S. citizens; and among those that held non-U.S. citizens, </w:t>
      </w:r>
      <w:r w:rsidRPr="006953AD" w:rsidR="006953AD">
        <w:t>99</w:t>
      </w:r>
      <w:r w:rsidRPr="006953AD">
        <w:t xml:space="preserve">% </w:t>
      </w:r>
      <w:r w:rsidRPr="006953AD" w:rsidR="00697FB5">
        <w:t>a</w:t>
      </w:r>
      <w:r w:rsidRPr="007D7A70" w:rsidR="00697FB5">
        <w:t xml:space="preserve"> </w:t>
      </w:r>
      <w:r w:rsidRPr="007D7A70">
        <w:t>breakdown by conviction status. The</w:t>
      </w:r>
      <w:r w:rsidRPr="007D7A70" w:rsidR="00697FB5">
        <w:t>se</w:t>
      </w:r>
      <w:r w:rsidRPr="007D7A70">
        <w:t xml:space="preserve"> item response rate</w:t>
      </w:r>
      <w:r w:rsidRPr="007D7A70" w:rsidR="00697FB5">
        <w:t>s</w:t>
      </w:r>
      <w:r w:rsidRPr="007D7A70">
        <w:t xml:space="preserve"> (IRR) </w:t>
      </w:r>
      <w:r w:rsidRPr="007D7A70" w:rsidR="00697FB5">
        <w:t xml:space="preserve">are </w:t>
      </w:r>
      <w:r w:rsidRPr="007D7A70">
        <w:t xml:space="preserve">similar to </w:t>
      </w:r>
      <w:r w:rsidR="00160623">
        <w:t xml:space="preserve">the </w:t>
      </w:r>
      <w:r w:rsidRPr="007D7A70">
        <w:t xml:space="preserve">typical </w:t>
      </w:r>
      <w:r w:rsidR="00066E45">
        <w:t>rate</w:t>
      </w:r>
      <w:r w:rsidRPr="007D7A70" w:rsidR="00066E45">
        <w:t xml:space="preserve">s </w:t>
      </w:r>
      <w:r w:rsidRPr="007D7A70">
        <w:t>of the COJ and ASJ</w:t>
      </w:r>
      <w:r w:rsidR="00066E45">
        <w:t xml:space="preserve"> items</w:t>
      </w:r>
      <w:r w:rsidRPr="007D7A70">
        <w:t>.</w:t>
      </w:r>
    </w:p>
    <w:p w:rsidRPr="007D7A70" w:rsidR="00C6038E" w:rsidP="007D7A70" w:rsidRDefault="00B0373E" w14:paraId="78E960CD" w14:textId="3FFC2938">
      <w:r w:rsidRPr="007D7A70">
        <w:t xml:space="preserve">In 2002, about </w:t>
      </w:r>
      <w:r w:rsidRPr="007D7A70" w:rsidR="001D4977">
        <w:t>half of the</w:t>
      </w:r>
      <w:r w:rsidRPr="007D7A70" w:rsidR="00C6038E">
        <w:t xml:space="preserve"> jail inmates were probation, parole, or </w:t>
      </w:r>
      <w:r w:rsidRPr="007D7A70" w:rsidR="00B2176B">
        <w:t>pre-trial release</w:t>
      </w:r>
      <w:r w:rsidRPr="007D7A70" w:rsidR="00C6038E">
        <w:t xml:space="preserve"> violators </w:t>
      </w:r>
      <w:r w:rsidRPr="007D7A70" w:rsidR="001D4977">
        <w:t>(</w:t>
      </w:r>
      <w:r w:rsidRPr="007D7A70" w:rsidR="00C6038E">
        <w:t xml:space="preserve">i.e., individuals who </w:t>
      </w:r>
      <w:r w:rsidRPr="007D7A70" w:rsidR="00B2176B">
        <w:t xml:space="preserve">have </w:t>
      </w:r>
      <w:r w:rsidRPr="007D7A70" w:rsidR="00C6038E">
        <w:t>failed to comply with the conditions of release by committing a new offense or a technical offense</w:t>
      </w:r>
      <w:r w:rsidRPr="007D7A70" w:rsidR="001D4977">
        <w:t>)</w:t>
      </w:r>
      <w:r w:rsidRPr="007D7A70" w:rsidR="00C6038E">
        <w:t>.</w:t>
      </w:r>
      <w:r w:rsidRPr="007D7A70" w:rsidR="00C6038E">
        <w:rPr>
          <w:vertAlign w:val="superscript"/>
        </w:rPr>
        <w:footnoteReference w:id="3"/>
      </w:r>
      <w:r w:rsidRPr="007D7A70" w:rsidR="00C6038E">
        <w:t xml:space="preserve"> </w:t>
      </w:r>
      <w:r w:rsidRPr="007D7A70" w:rsidR="00073797">
        <w:t xml:space="preserve">In the past, </w:t>
      </w:r>
      <w:r w:rsidRPr="007D7A70" w:rsidR="00C6038E">
        <w:t xml:space="preserve">BJS </w:t>
      </w:r>
      <w:r w:rsidRPr="007D7A70" w:rsidR="00073797">
        <w:t>collected</w:t>
      </w:r>
      <w:r w:rsidRPr="007D7A70" w:rsidR="00C6038E">
        <w:t xml:space="preserve"> data on conditional release violations of jail inmates only in </w:t>
      </w:r>
      <w:r w:rsidR="00E53AFF">
        <w:t xml:space="preserve">the </w:t>
      </w:r>
      <w:r w:rsidRPr="007D7A70" w:rsidR="002B1F10">
        <w:t>NIS</w:t>
      </w:r>
      <w:r w:rsidR="004D75F4">
        <w:t xml:space="preserve"> and SILJ</w:t>
      </w:r>
      <w:r w:rsidRPr="007D7A70" w:rsidR="00C6038E">
        <w:t xml:space="preserve">. </w:t>
      </w:r>
      <w:r w:rsidRPr="007D7A70" w:rsidR="00073797">
        <w:t xml:space="preserve">BJS first collected </w:t>
      </w:r>
      <w:r w:rsidR="00C77EF2">
        <w:t xml:space="preserve">data on </w:t>
      </w:r>
      <w:r w:rsidRPr="007D7A70" w:rsidR="00073797">
        <w:t xml:space="preserve">probation and parole violations in a jail </w:t>
      </w:r>
      <w:r w:rsidR="00967931">
        <w:t>facility</w:t>
      </w:r>
      <w:r w:rsidRPr="007D7A70" w:rsidR="00073797">
        <w:t xml:space="preserve"> </w:t>
      </w:r>
      <w:r w:rsidR="00C77EF2">
        <w:t>survey in the 2019 COJ</w:t>
      </w:r>
      <w:r w:rsidRPr="007D7A70" w:rsidR="00073797">
        <w:t xml:space="preserve">. </w:t>
      </w:r>
      <w:r w:rsidRPr="006953AD" w:rsidR="00073797">
        <w:t>Ninety-</w:t>
      </w:r>
      <w:r w:rsidRPr="006953AD" w:rsidR="006953AD">
        <w:t>six</w:t>
      </w:r>
      <w:r w:rsidRPr="006953AD" w:rsidR="00073797">
        <w:t xml:space="preserve"> percent</w:t>
      </w:r>
      <w:r w:rsidRPr="007D7A70" w:rsidR="00073797">
        <w:t xml:space="preserve"> of the jail respondents provided data on the </w:t>
      </w:r>
      <w:r w:rsidR="00C77EF2">
        <w:t>new item</w:t>
      </w:r>
      <w:r w:rsidRPr="007D7A70" w:rsidR="00073797">
        <w:t xml:space="preserve">. </w:t>
      </w:r>
      <w:r w:rsidRPr="007D7A70" w:rsidR="00C6038E">
        <w:t>The 20</w:t>
      </w:r>
      <w:r w:rsidRPr="007D7A70" w:rsidR="002A1D50">
        <w:t>20-22</w:t>
      </w:r>
      <w:r w:rsidRPr="007D7A70" w:rsidR="00C6038E">
        <w:t xml:space="preserve"> </w:t>
      </w:r>
      <w:r w:rsidRPr="007D7A70" w:rsidR="002A1D50">
        <w:t>AS</w:t>
      </w:r>
      <w:r w:rsidRPr="007D7A70" w:rsidR="00C6038E">
        <w:t xml:space="preserve">J </w:t>
      </w:r>
      <w:r w:rsidRPr="007D7A70" w:rsidR="002A1D50">
        <w:t xml:space="preserve">will </w:t>
      </w:r>
      <w:r w:rsidRPr="007D7A70" w:rsidR="00C6038E">
        <w:t>collect the numbers of jail inmate</w:t>
      </w:r>
      <w:r w:rsidR="00967931">
        <w:t xml:space="preserve">s held for probation, </w:t>
      </w:r>
      <w:r w:rsidRPr="007D7A70" w:rsidR="00C6038E">
        <w:t>parole</w:t>
      </w:r>
      <w:r w:rsidR="00967931">
        <w:t>, pretrial release, and other conditional release</w:t>
      </w:r>
      <w:r w:rsidRPr="007D7A70" w:rsidR="00C6038E">
        <w:t xml:space="preserve"> violations. Collecting these data through the </w:t>
      </w:r>
      <w:r w:rsidR="00160623">
        <w:t xml:space="preserve">COJ and </w:t>
      </w:r>
      <w:r w:rsidRPr="007D7A70" w:rsidR="002A1D50">
        <w:t xml:space="preserve">ASJ </w:t>
      </w:r>
      <w:r w:rsidRPr="007D7A70" w:rsidR="00C6038E">
        <w:t xml:space="preserve">will </w:t>
      </w:r>
      <w:r w:rsidR="00160623">
        <w:t xml:space="preserve">allow BJS </w:t>
      </w:r>
      <w:r w:rsidRPr="007D7A70" w:rsidR="00C6038E">
        <w:t>to track jail reentry</w:t>
      </w:r>
      <w:r w:rsidRPr="007D7A70" w:rsidR="004C7090">
        <w:t xml:space="preserve"> </w:t>
      </w:r>
      <w:r w:rsidRPr="007D7A70" w:rsidR="00073797">
        <w:t>annually</w:t>
      </w:r>
      <w:r w:rsidRPr="007D7A70" w:rsidR="00C6038E">
        <w:t xml:space="preserve">. </w:t>
      </w:r>
    </w:p>
    <w:p w:rsidRPr="007D7A70" w:rsidR="003244FF" w:rsidP="003244FF" w:rsidRDefault="00BC4F02" w14:paraId="3B84B1B4" w14:textId="4EE7A214">
      <w:pPr>
        <w:pStyle w:val="Heading3"/>
      </w:pPr>
      <w:r>
        <w:t>COVID-19 Addendum</w:t>
      </w:r>
      <w:r w:rsidR="003244FF">
        <w:t xml:space="preserve"> </w:t>
      </w:r>
    </w:p>
    <w:p w:rsidRPr="00B557E9" w:rsidR="00B557E9" w:rsidP="00B557E9" w:rsidRDefault="00491A8D" w14:paraId="770F6D9F" w14:textId="0070C08C">
      <w:pPr>
        <w:pStyle w:val="NoSpacing"/>
        <w:jc w:val="left"/>
        <w:rPr>
          <w:rFonts w:ascii="Times New Roman" w:hAnsi="Times New Roman" w:cs="Times New Roman"/>
          <w:sz w:val="24"/>
          <w:szCs w:val="24"/>
        </w:rPr>
      </w:pPr>
      <w:proofErr w:type="gramStart"/>
      <w:r>
        <w:rPr>
          <w:rFonts w:ascii="Times New Roman" w:hAnsi="Times New Roman" w:cs="Times New Roman"/>
          <w:sz w:val="24"/>
          <w:szCs w:val="24"/>
        </w:rPr>
        <w:t>In addition to the three new items described above, t</w:t>
      </w:r>
      <w:r w:rsidR="00B557E9">
        <w:rPr>
          <w:rFonts w:ascii="Times New Roman" w:hAnsi="Times New Roman" w:cs="Times New Roman"/>
          <w:sz w:val="24"/>
          <w:szCs w:val="24"/>
        </w:rPr>
        <w:t>he 2020</w:t>
      </w:r>
      <w:r w:rsidR="00BC4F02">
        <w:rPr>
          <w:rFonts w:ascii="Times New Roman" w:hAnsi="Times New Roman" w:cs="Times New Roman"/>
          <w:sz w:val="24"/>
          <w:szCs w:val="24"/>
        </w:rPr>
        <w:t xml:space="preserve"> </w:t>
      </w:r>
      <w:r w:rsidR="00B557E9">
        <w:rPr>
          <w:rFonts w:ascii="Times New Roman" w:hAnsi="Times New Roman" w:cs="Times New Roman"/>
          <w:sz w:val="24"/>
          <w:szCs w:val="24"/>
        </w:rPr>
        <w:t xml:space="preserve">ASJ instrument will </w:t>
      </w:r>
      <w:r w:rsidR="00842859">
        <w:rPr>
          <w:rFonts w:ascii="Times New Roman" w:hAnsi="Times New Roman" w:cs="Times New Roman"/>
          <w:sz w:val="24"/>
          <w:szCs w:val="24"/>
        </w:rPr>
        <w:t xml:space="preserve">also </w:t>
      </w:r>
      <w:r w:rsidR="00B557E9">
        <w:rPr>
          <w:rFonts w:ascii="Times New Roman" w:hAnsi="Times New Roman" w:cs="Times New Roman"/>
          <w:sz w:val="24"/>
          <w:szCs w:val="24"/>
        </w:rPr>
        <w:t xml:space="preserve">include an addendum </w:t>
      </w:r>
      <w:r w:rsidR="005A4D3B">
        <w:rPr>
          <w:rFonts w:ascii="Times New Roman" w:hAnsi="Times New Roman" w:cs="Times New Roman"/>
          <w:sz w:val="24"/>
          <w:szCs w:val="24"/>
        </w:rPr>
        <w:t xml:space="preserve">of </w:t>
      </w:r>
      <w:r w:rsidR="00863523">
        <w:rPr>
          <w:rFonts w:ascii="Times New Roman" w:hAnsi="Times New Roman" w:cs="Times New Roman"/>
          <w:sz w:val="24"/>
          <w:szCs w:val="24"/>
        </w:rPr>
        <w:t>five</w:t>
      </w:r>
      <w:r w:rsidR="005A4D3B">
        <w:rPr>
          <w:rFonts w:ascii="Times New Roman" w:hAnsi="Times New Roman" w:cs="Times New Roman"/>
          <w:sz w:val="24"/>
          <w:szCs w:val="24"/>
        </w:rPr>
        <w:t xml:space="preserve"> questions </w:t>
      </w:r>
      <w:r w:rsidR="00B557E9">
        <w:rPr>
          <w:rFonts w:ascii="Times New Roman" w:hAnsi="Times New Roman" w:cs="Times New Roman"/>
          <w:sz w:val="24"/>
          <w:szCs w:val="24"/>
        </w:rPr>
        <w:t>to estimate the impact of the COVID-19 pandemic on U.S. jails: (1) one-day inmate counts every month from January to May</w:t>
      </w:r>
      <w:r w:rsidR="00265EF5">
        <w:rPr>
          <w:rFonts w:ascii="Times New Roman" w:hAnsi="Times New Roman" w:cs="Times New Roman"/>
          <w:sz w:val="24"/>
          <w:szCs w:val="24"/>
        </w:rPr>
        <w:t xml:space="preserve"> 2020</w:t>
      </w:r>
      <w:r w:rsidR="00B557E9">
        <w:rPr>
          <w:rFonts w:ascii="Times New Roman" w:hAnsi="Times New Roman" w:cs="Times New Roman"/>
          <w:sz w:val="24"/>
          <w:szCs w:val="24"/>
        </w:rPr>
        <w:t xml:space="preserve">; </w:t>
      </w:r>
      <w:r w:rsidR="003D611E">
        <w:rPr>
          <w:rFonts w:ascii="Times New Roman" w:hAnsi="Times New Roman" w:cs="Times New Roman"/>
          <w:sz w:val="24"/>
          <w:szCs w:val="24"/>
        </w:rPr>
        <w:t>(2</w:t>
      </w:r>
      <w:r w:rsidR="00B557E9">
        <w:rPr>
          <w:rFonts w:ascii="Times New Roman" w:hAnsi="Times New Roman" w:cs="Times New Roman"/>
          <w:sz w:val="24"/>
          <w:szCs w:val="24"/>
        </w:rPr>
        <w:t>) the number of inmates that received expedited release due to COVID-19; (</w:t>
      </w:r>
      <w:r w:rsidR="003D611E">
        <w:rPr>
          <w:rFonts w:ascii="Times New Roman" w:hAnsi="Times New Roman" w:cs="Times New Roman"/>
          <w:sz w:val="24"/>
          <w:szCs w:val="24"/>
        </w:rPr>
        <w:t>3</w:t>
      </w:r>
      <w:r w:rsidR="00B557E9">
        <w:rPr>
          <w:rFonts w:ascii="Times New Roman" w:hAnsi="Times New Roman" w:cs="Times New Roman"/>
          <w:sz w:val="24"/>
          <w:szCs w:val="24"/>
        </w:rPr>
        <w:t xml:space="preserve">) the number of COVID-19 </w:t>
      </w:r>
      <w:r w:rsidR="00863523">
        <w:rPr>
          <w:rFonts w:ascii="Times New Roman" w:hAnsi="Times New Roman" w:cs="Times New Roman"/>
          <w:sz w:val="24"/>
          <w:szCs w:val="24"/>
        </w:rPr>
        <w:t xml:space="preserve">tests jail inmates received </w:t>
      </w:r>
      <w:r w:rsidR="00B557E9">
        <w:rPr>
          <w:rFonts w:ascii="Times New Roman" w:hAnsi="Times New Roman" w:cs="Times New Roman"/>
          <w:sz w:val="24"/>
          <w:szCs w:val="24"/>
        </w:rPr>
        <w:t>and the</w:t>
      </w:r>
      <w:r w:rsidR="003D611E">
        <w:rPr>
          <w:rFonts w:ascii="Times New Roman" w:hAnsi="Times New Roman" w:cs="Times New Roman"/>
          <w:sz w:val="24"/>
          <w:szCs w:val="24"/>
        </w:rPr>
        <w:t xml:space="preserve"> number </w:t>
      </w:r>
      <w:r w:rsidR="00863523">
        <w:rPr>
          <w:rFonts w:ascii="Times New Roman" w:hAnsi="Times New Roman" w:cs="Times New Roman"/>
          <w:sz w:val="24"/>
          <w:szCs w:val="24"/>
        </w:rPr>
        <w:t xml:space="preserve">of </w:t>
      </w:r>
      <w:r w:rsidR="003D611E">
        <w:rPr>
          <w:rFonts w:ascii="Times New Roman" w:hAnsi="Times New Roman" w:cs="Times New Roman"/>
          <w:sz w:val="24"/>
          <w:szCs w:val="24"/>
        </w:rPr>
        <w:t>positive</w:t>
      </w:r>
      <w:r w:rsidR="00863523">
        <w:rPr>
          <w:rFonts w:ascii="Times New Roman" w:hAnsi="Times New Roman" w:cs="Times New Roman"/>
          <w:sz w:val="24"/>
          <w:szCs w:val="24"/>
        </w:rPr>
        <w:t xml:space="preserve"> tests</w:t>
      </w:r>
      <w:r w:rsidR="003D611E">
        <w:rPr>
          <w:rFonts w:ascii="Times New Roman" w:hAnsi="Times New Roman" w:cs="Times New Roman"/>
          <w:sz w:val="24"/>
          <w:szCs w:val="24"/>
        </w:rPr>
        <w:t>; (4</w:t>
      </w:r>
      <w:r w:rsidR="00B557E9">
        <w:rPr>
          <w:rFonts w:ascii="Times New Roman" w:hAnsi="Times New Roman" w:cs="Times New Roman"/>
          <w:sz w:val="24"/>
          <w:szCs w:val="24"/>
        </w:rPr>
        <w:t xml:space="preserve">) the number of </w:t>
      </w:r>
      <w:r w:rsidR="00863523">
        <w:rPr>
          <w:rFonts w:ascii="Times New Roman" w:hAnsi="Times New Roman" w:cs="Times New Roman"/>
          <w:sz w:val="24"/>
          <w:szCs w:val="24"/>
        </w:rPr>
        <w:t xml:space="preserve">inmates and staff that </w:t>
      </w:r>
      <w:r w:rsidR="00B557E9">
        <w:rPr>
          <w:rFonts w:ascii="Times New Roman" w:hAnsi="Times New Roman" w:cs="Times New Roman"/>
          <w:sz w:val="24"/>
          <w:szCs w:val="24"/>
        </w:rPr>
        <w:t>tested positive</w:t>
      </w:r>
      <w:r w:rsidR="00863523">
        <w:rPr>
          <w:rFonts w:ascii="Times New Roman" w:hAnsi="Times New Roman" w:cs="Times New Roman"/>
          <w:sz w:val="24"/>
          <w:szCs w:val="24"/>
        </w:rPr>
        <w:t xml:space="preserve"> for COVID-19</w:t>
      </w:r>
      <w:r w:rsidR="00B557E9">
        <w:rPr>
          <w:rFonts w:ascii="Times New Roman" w:hAnsi="Times New Roman" w:cs="Times New Roman"/>
          <w:sz w:val="24"/>
          <w:szCs w:val="24"/>
        </w:rPr>
        <w:t xml:space="preserve">; </w:t>
      </w:r>
      <w:r w:rsidR="00DE1141">
        <w:rPr>
          <w:rFonts w:ascii="Times New Roman" w:hAnsi="Times New Roman" w:cs="Times New Roman"/>
          <w:sz w:val="24"/>
          <w:szCs w:val="24"/>
        </w:rPr>
        <w:t xml:space="preserve">and </w:t>
      </w:r>
      <w:r w:rsidR="00B557E9">
        <w:rPr>
          <w:rFonts w:ascii="Times New Roman" w:hAnsi="Times New Roman" w:cs="Times New Roman"/>
          <w:sz w:val="24"/>
          <w:szCs w:val="24"/>
        </w:rPr>
        <w:t>(</w:t>
      </w:r>
      <w:r w:rsidR="003D611E">
        <w:rPr>
          <w:rFonts w:ascii="Times New Roman" w:hAnsi="Times New Roman" w:cs="Times New Roman"/>
          <w:sz w:val="24"/>
          <w:szCs w:val="24"/>
        </w:rPr>
        <w:t>5</w:t>
      </w:r>
      <w:r w:rsidR="00B557E9">
        <w:rPr>
          <w:rFonts w:ascii="Times New Roman" w:hAnsi="Times New Roman" w:cs="Times New Roman"/>
          <w:sz w:val="24"/>
          <w:szCs w:val="24"/>
        </w:rPr>
        <w:t xml:space="preserve">) </w:t>
      </w:r>
      <w:r w:rsidR="00B32D25">
        <w:rPr>
          <w:rFonts w:ascii="Times New Roman" w:hAnsi="Times New Roman" w:cs="Times New Roman"/>
          <w:sz w:val="24"/>
          <w:szCs w:val="24"/>
        </w:rPr>
        <w:t>the number inmate</w:t>
      </w:r>
      <w:r w:rsidR="00B557E9">
        <w:rPr>
          <w:rFonts w:ascii="Times New Roman" w:hAnsi="Times New Roman" w:cs="Times New Roman"/>
          <w:sz w:val="24"/>
          <w:szCs w:val="24"/>
        </w:rPr>
        <w:t xml:space="preserve"> and staff deaths</w:t>
      </w:r>
      <w:r w:rsidR="00B32D25">
        <w:rPr>
          <w:rFonts w:ascii="Times New Roman" w:hAnsi="Times New Roman" w:cs="Times New Roman"/>
          <w:sz w:val="24"/>
          <w:szCs w:val="24"/>
        </w:rPr>
        <w:t xml:space="preserve"> related to COVID-19</w:t>
      </w:r>
      <w:r w:rsidRPr="00CA201A" w:rsidR="00B557E9">
        <w:rPr>
          <w:rFonts w:ascii="Times New Roman" w:hAnsi="Times New Roman" w:cs="Times New Roman"/>
          <w:sz w:val="24"/>
          <w:szCs w:val="24"/>
        </w:rPr>
        <w:t>.</w:t>
      </w:r>
      <w:proofErr w:type="gramEnd"/>
      <w:r w:rsidRPr="00CA201A" w:rsidR="00B557E9">
        <w:rPr>
          <w:rFonts w:ascii="Times New Roman" w:hAnsi="Times New Roman" w:cs="Times New Roman"/>
          <w:sz w:val="24"/>
          <w:szCs w:val="24"/>
        </w:rPr>
        <w:t xml:space="preserve"> </w:t>
      </w:r>
      <w:r w:rsidR="00265EF5">
        <w:rPr>
          <w:rFonts w:ascii="Times New Roman" w:hAnsi="Times New Roman" w:cs="Times New Roman"/>
          <w:sz w:val="24"/>
          <w:szCs w:val="24"/>
        </w:rPr>
        <w:t xml:space="preserve">Questions 2 </w:t>
      </w:r>
      <w:r w:rsidR="00265EF5">
        <w:rPr>
          <w:rFonts w:ascii="Times New Roman" w:hAnsi="Times New Roman" w:cs="Times New Roman"/>
          <w:sz w:val="24"/>
          <w:szCs w:val="24"/>
        </w:rPr>
        <w:lastRenderedPageBreak/>
        <w:t xml:space="preserve">through 5 </w:t>
      </w:r>
      <w:proofErr w:type="gramStart"/>
      <w:r w:rsidR="00265EF5">
        <w:rPr>
          <w:rFonts w:ascii="Times New Roman" w:hAnsi="Times New Roman" w:cs="Times New Roman"/>
          <w:sz w:val="24"/>
          <w:szCs w:val="24"/>
        </w:rPr>
        <w:t>will be asked</w:t>
      </w:r>
      <w:proofErr w:type="gramEnd"/>
      <w:r w:rsidR="00265EF5">
        <w:rPr>
          <w:rFonts w:ascii="Times New Roman" w:hAnsi="Times New Roman" w:cs="Times New Roman"/>
          <w:sz w:val="24"/>
          <w:szCs w:val="24"/>
        </w:rPr>
        <w:t xml:space="preserve"> with reference to the period from </w:t>
      </w:r>
      <w:r w:rsidR="00DE1141">
        <w:rPr>
          <w:rFonts w:ascii="Times New Roman" w:hAnsi="Times New Roman" w:cs="Times New Roman"/>
          <w:sz w:val="24"/>
          <w:szCs w:val="24"/>
        </w:rPr>
        <w:t>March</w:t>
      </w:r>
      <w:r w:rsidR="00265EF5">
        <w:rPr>
          <w:rFonts w:ascii="Times New Roman" w:hAnsi="Times New Roman" w:cs="Times New Roman"/>
          <w:sz w:val="24"/>
          <w:szCs w:val="24"/>
        </w:rPr>
        <w:t xml:space="preserve"> 1, 2020, to June 30, 2020. </w:t>
      </w:r>
      <w:r w:rsidR="00254ECF">
        <w:rPr>
          <w:rFonts w:ascii="Times New Roman" w:hAnsi="Times New Roman" w:cs="Times New Roman"/>
          <w:sz w:val="24"/>
          <w:szCs w:val="24"/>
        </w:rPr>
        <w:t>BJS plans to include the same COVID-19 questions on the 2021 ASJ to capture the impact of the pandemic on jails from July 1, 2020 through December 31, 2020. In designing these questions, BJS reached out to nine external experts and jail administrators for feedbacks.</w:t>
      </w:r>
    </w:p>
    <w:p w:rsidRPr="007D7A70" w:rsidR="004B3866" w:rsidP="00245822" w:rsidRDefault="00A51E64" w14:paraId="01D1C17B" w14:textId="198EB5CA">
      <w:pPr>
        <w:pStyle w:val="Heading1"/>
      </w:pPr>
      <w:r w:rsidRPr="007D7A70">
        <w:t>2.</w:t>
      </w:r>
      <w:r w:rsidRPr="007D7A70" w:rsidR="00826869">
        <w:tab/>
      </w:r>
      <w:r w:rsidRPr="007D7A70">
        <w:t>Needs and Uses</w:t>
      </w:r>
    </w:p>
    <w:p w:rsidRPr="007D7A70" w:rsidR="00C6038E" w:rsidP="00324D59" w:rsidRDefault="00F84441" w14:paraId="5847DEC6" w14:textId="1ED0DD95">
      <w:pPr>
        <w:pStyle w:val="Heading3"/>
      </w:pPr>
      <w:r w:rsidRPr="007D7A70">
        <w:t>Uses of AS</w:t>
      </w:r>
      <w:r w:rsidRPr="007D7A70" w:rsidR="00C6038E">
        <w:t>J by BJS</w:t>
      </w:r>
    </w:p>
    <w:p w:rsidRPr="007D7A70" w:rsidR="0011256A" w:rsidP="00632D64" w:rsidRDefault="00274687" w14:paraId="2B613E1C" w14:textId="361D28B1">
      <w:r>
        <w:t xml:space="preserve">The ASJ fits into BJS’s larger portfolio of administrative data collections on correctional populations in the United States. </w:t>
      </w:r>
      <w:proofErr w:type="gramStart"/>
      <w:r>
        <w:t xml:space="preserve">It </w:t>
      </w:r>
      <w:r w:rsidRPr="007D7A70" w:rsidR="00C6038E">
        <w:t xml:space="preserve">is the only collection that </w:t>
      </w:r>
      <w:r w:rsidRPr="007D7A70" w:rsidR="00030885">
        <w:t xml:space="preserve">tracks </w:t>
      </w:r>
      <w:r>
        <w:t>annual</w:t>
      </w:r>
      <w:r w:rsidRPr="007D7A70" w:rsidR="00030885">
        <w:t xml:space="preserve"> changes in</w:t>
      </w:r>
      <w:r w:rsidRPr="007D7A70" w:rsidR="00C6038E">
        <w:t xml:space="preserve"> </w:t>
      </w:r>
      <w:r w:rsidR="00D31C93">
        <w:t xml:space="preserve">the </w:t>
      </w:r>
      <w:r w:rsidRPr="007D7A70" w:rsidR="00C6038E">
        <w:t xml:space="preserve">jail population </w:t>
      </w:r>
      <w:r w:rsidRPr="007D7A70" w:rsidR="00030885">
        <w:t xml:space="preserve">at the </w:t>
      </w:r>
      <w:r w:rsidRPr="007D7A70" w:rsidR="00914F1C">
        <w:t>national level</w:t>
      </w:r>
      <w:r w:rsidRPr="007D7A70" w:rsidR="00C6038E">
        <w:t>.</w:t>
      </w:r>
      <w:proofErr w:type="gramEnd"/>
      <w:r w:rsidRPr="007D7A70" w:rsidR="00C6038E">
        <w:t xml:space="preserve"> </w:t>
      </w:r>
      <w:r w:rsidRPr="007D7A70" w:rsidR="00030885">
        <w:t>T</w:t>
      </w:r>
      <w:r w:rsidRPr="007D7A70" w:rsidR="0011256A">
        <w:t xml:space="preserve">he </w:t>
      </w:r>
      <w:r w:rsidRPr="007D7A70" w:rsidR="00030885">
        <w:t>ASJ</w:t>
      </w:r>
      <w:r w:rsidRPr="007D7A70" w:rsidR="0011256A">
        <w:t xml:space="preserve"> data</w:t>
      </w:r>
      <w:r w:rsidRPr="007D7A70" w:rsidR="00030885">
        <w:t xml:space="preserve"> </w:t>
      </w:r>
      <w:r w:rsidRPr="007D7A70" w:rsidR="0011256A">
        <w:t xml:space="preserve">are </w:t>
      </w:r>
      <w:r w:rsidR="005A1D4B">
        <w:t>the</w:t>
      </w:r>
      <w:r w:rsidRPr="007D7A70" w:rsidR="00030885">
        <w:t xml:space="preserve"> primary source of </w:t>
      </w:r>
      <w:r w:rsidR="00D31C93">
        <w:t>BJS’s annual bulletin</w:t>
      </w:r>
      <w:r w:rsidRPr="007D7A70" w:rsidR="0011256A">
        <w:t xml:space="preserve"> </w:t>
      </w:r>
      <w:r w:rsidRPr="007D7A70" w:rsidR="0011256A">
        <w:rPr>
          <w:i/>
        </w:rPr>
        <w:t>Jail Inmates</w:t>
      </w:r>
      <w:r w:rsidR="00D31C93">
        <w:t xml:space="preserve">. The data </w:t>
      </w:r>
      <w:proofErr w:type="gramStart"/>
      <w:r w:rsidR="00D31C93">
        <w:t>are also used</w:t>
      </w:r>
      <w:proofErr w:type="gramEnd"/>
      <w:r w:rsidR="00D31C93">
        <w:t xml:space="preserve"> to produce the annual bulletin </w:t>
      </w:r>
      <w:r w:rsidRPr="007D7A70" w:rsidR="00FB17DB">
        <w:rPr>
          <w:i/>
        </w:rPr>
        <w:t>Correctional Populations in the United States</w:t>
      </w:r>
      <w:r w:rsidRPr="007D7A70" w:rsidR="0011256A">
        <w:t>.</w:t>
      </w:r>
    </w:p>
    <w:p w:rsidR="00677F77" w:rsidP="007D7A70" w:rsidRDefault="00677F77" w14:paraId="59B7DFFD" w14:textId="265E5F5F">
      <w:r>
        <w:t xml:space="preserve">BJS </w:t>
      </w:r>
      <w:r w:rsidR="00481DEA">
        <w:t>releases</w:t>
      </w:r>
      <w:r>
        <w:t xml:space="preserve"> the ASJ data and documentation </w:t>
      </w:r>
      <w:r w:rsidR="00481DEA">
        <w:t>at</w:t>
      </w:r>
      <w:r>
        <w:t xml:space="preserve"> </w:t>
      </w:r>
      <w:r w:rsidR="00026DD7">
        <w:t xml:space="preserve">the </w:t>
      </w:r>
      <w:r w:rsidRPr="007D7A70">
        <w:t>N</w:t>
      </w:r>
      <w:r w:rsidR="00C51A27">
        <w:t>ACJD</w:t>
      </w:r>
      <w:r>
        <w:t xml:space="preserve"> after the publication of the annual</w:t>
      </w:r>
      <w:r w:rsidR="002A5B7C">
        <w:t xml:space="preserve"> bulletin</w:t>
      </w:r>
      <w:r w:rsidR="007267E2">
        <w:t xml:space="preserve"> </w:t>
      </w:r>
      <w:r w:rsidRPr="007267E2" w:rsidR="007267E2">
        <w:rPr>
          <w:i/>
        </w:rPr>
        <w:t>Jail Inmates</w:t>
      </w:r>
      <w:r>
        <w:t>.</w:t>
      </w:r>
      <w:r w:rsidRPr="007D7A70">
        <w:t xml:space="preserve"> </w:t>
      </w:r>
      <w:r w:rsidR="00481DEA">
        <w:t xml:space="preserve">The ASJ and COJ are the </w:t>
      </w:r>
      <w:r w:rsidR="002A5B7C">
        <w:t>main</w:t>
      </w:r>
      <w:r w:rsidR="00481DEA">
        <w:t xml:space="preserve"> data sources used by BJS researchers to </w:t>
      </w:r>
      <w:r w:rsidR="002A5B7C">
        <w:t>address</w:t>
      </w:r>
      <w:r w:rsidR="00481DEA">
        <w:t xml:space="preserve"> </w:t>
      </w:r>
      <w:r w:rsidR="00026DD7">
        <w:t xml:space="preserve">government and </w:t>
      </w:r>
      <w:r w:rsidR="00481DEA">
        <w:t xml:space="preserve">public inquiries on local jails. </w:t>
      </w:r>
    </w:p>
    <w:p w:rsidRPr="00962036" w:rsidR="00D033C3" w:rsidP="00962036" w:rsidRDefault="00DD5BCD" w14:paraId="7BBCCFA3" w14:textId="0EC3CB9E">
      <w:r w:rsidRPr="007D7A70">
        <w:t xml:space="preserve">BJS adapts </w:t>
      </w:r>
      <w:r w:rsidRPr="007D7A70" w:rsidR="0094665A">
        <w:t xml:space="preserve">each iteration of </w:t>
      </w:r>
      <w:r w:rsidRPr="007D7A70">
        <w:t xml:space="preserve">the </w:t>
      </w:r>
      <w:r w:rsidRPr="007D7A70" w:rsidR="00030885">
        <w:t>AS</w:t>
      </w:r>
      <w:r w:rsidRPr="007D7A70">
        <w:t xml:space="preserve">J collection to meet the changing needs and interests of jail administrators, policymakers, and researchers. </w:t>
      </w:r>
      <w:bookmarkStart w:name="_y9wd54l81pmz" w:colFirst="0" w:colLast="0" w:id="0"/>
      <w:bookmarkStart w:name="_shp5sneihwaf" w:colFirst="0" w:colLast="0" w:id="1"/>
      <w:bookmarkStart w:name="_qg26i3c87r4x" w:colFirst="0" w:colLast="0" w:id="2"/>
      <w:bookmarkStart w:name="_s5ga6m8ckj3y" w:colFirst="0" w:colLast="0" w:id="3"/>
      <w:bookmarkEnd w:id="0"/>
      <w:bookmarkEnd w:id="1"/>
      <w:bookmarkEnd w:id="2"/>
      <w:bookmarkEnd w:id="3"/>
      <w:r w:rsidR="005A1D4B">
        <w:t>Updates of the 2020</w:t>
      </w:r>
      <w:r w:rsidR="001F4ECC">
        <w:t>-22</w:t>
      </w:r>
      <w:r w:rsidR="005A1D4B">
        <w:t xml:space="preserve"> ASJ include</w:t>
      </w:r>
      <w:r w:rsidR="001F4ECC">
        <w:t xml:space="preserve"> three new questions on the inmate population composition: counts by age group, counts of </w:t>
      </w:r>
      <w:r w:rsidRPr="007D7A70" w:rsidR="001F4ECC">
        <w:t>non-U.S. citizens by conviction status</w:t>
      </w:r>
      <w:r w:rsidR="001F4ECC">
        <w:t>,</w:t>
      </w:r>
      <w:r w:rsidRPr="007D7A70" w:rsidR="001F4ECC">
        <w:t xml:space="preserve"> and counts of probatio</w:t>
      </w:r>
      <w:r w:rsidR="001F4ECC">
        <w:t xml:space="preserve">n violators and parole violators. The 2020 and 2021 ASJ </w:t>
      </w:r>
      <w:r w:rsidR="000A2323">
        <w:t xml:space="preserve">instruments </w:t>
      </w:r>
      <w:r w:rsidR="001F4ECC">
        <w:t xml:space="preserve">also add </w:t>
      </w:r>
      <w:r w:rsidR="00B32D25">
        <w:t>five</w:t>
      </w:r>
      <w:r w:rsidR="001F4ECC">
        <w:t xml:space="preserve"> COVID-19 questions, </w:t>
      </w:r>
      <w:r w:rsidR="00FA14C5">
        <w:t xml:space="preserve">collecting data on </w:t>
      </w:r>
      <w:r w:rsidR="001F4ECC">
        <w:t>COVID-19</w:t>
      </w:r>
      <w:r w:rsidR="00B32D25">
        <w:t xml:space="preserve"> tests </w:t>
      </w:r>
      <w:r w:rsidR="00FA14C5">
        <w:t xml:space="preserve">and deaths, and early release due to </w:t>
      </w:r>
      <w:r w:rsidR="00FA14C5">
        <w:t>COVID-19</w:t>
      </w:r>
      <w:bookmarkStart w:name="_GoBack" w:id="4"/>
      <w:bookmarkEnd w:id="4"/>
      <w:r w:rsidR="001F4ECC">
        <w:t xml:space="preserve">. All new items </w:t>
      </w:r>
      <w:proofErr w:type="gramStart"/>
      <w:r w:rsidR="001F4ECC">
        <w:t>were tested</w:t>
      </w:r>
      <w:proofErr w:type="gramEnd"/>
      <w:r w:rsidR="001F4ECC">
        <w:t xml:space="preserve"> through cognitive test performed under the BJS generic OMB clearance and added to the instrument after appropriate or full OMB approval.</w:t>
      </w:r>
    </w:p>
    <w:p w:rsidRPr="007D7A70" w:rsidR="0058208F" w:rsidP="00324D59" w:rsidRDefault="00274257" w14:paraId="59C3FCC9" w14:textId="0A6FBD46">
      <w:pPr>
        <w:pStyle w:val="Heading3"/>
      </w:pPr>
      <w:r w:rsidRPr="007D7A70">
        <w:t xml:space="preserve">External uses of </w:t>
      </w:r>
      <w:r w:rsidRPr="007D7A70" w:rsidR="00030885">
        <w:t>AS</w:t>
      </w:r>
      <w:r w:rsidRPr="007D7A70" w:rsidR="00291805">
        <w:t>J</w:t>
      </w:r>
    </w:p>
    <w:p w:rsidRPr="00632D64" w:rsidR="00A51E64" w:rsidP="00324D59" w:rsidRDefault="00274257" w14:paraId="29A2E4BD" w14:textId="2C92C842">
      <w:r w:rsidRPr="007D7A70">
        <w:t xml:space="preserve">Other entities rely on the </w:t>
      </w:r>
      <w:r w:rsidRPr="007D7A70" w:rsidR="00030885">
        <w:t>AS</w:t>
      </w:r>
      <w:r w:rsidRPr="007D7A70" w:rsidR="009F6D23">
        <w:t xml:space="preserve">J </w:t>
      </w:r>
      <w:r w:rsidRPr="007D7A70">
        <w:t xml:space="preserve">data for research, planning, and programmatic purposes. </w:t>
      </w:r>
      <w:r w:rsidRPr="007D7A70" w:rsidR="00731FF9">
        <w:t xml:space="preserve">The </w:t>
      </w:r>
      <w:proofErr w:type="gramStart"/>
      <w:r w:rsidRPr="007D7A70" w:rsidR="00030885">
        <w:t>AS</w:t>
      </w:r>
      <w:r w:rsidRPr="007D7A70" w:rsidR="009F6D23">
        <w:t xml:space="preserve">J </w:t>
      </w:r>
      <w:r w:rsidRPr="007D7A70">
        <w:t>data and statistical reports are used by the U.S. Department of Justice</w:t>
      </w:r>
      <w:r w:rsidRPr="007D7A70" w:rsidR="00B37B6E">
        <w:t xml:space="preserve"> (DOJ)</w:t>
      </w:r>
      <w:r w:rsidRPr="007D7A70">
        <w:t xml:space="preserve">, U.S. Congress, correctional administrators, </w:t>
      </w:r>
      <w:r w:rsidRPr="007D7A70" w:rsidR="00F75B2E">
        <w:t xml:space="preserve">students, </w:t>
      </w:r>
      <w:r w:rsidRPr="007D7A70" w:rsidR="009D3744">
        <w:t xml:space="preserve">academic </w:t>
      </w:r>
      <w:r w:rsidRPr="007D7A70" w:rsidR="00A51E64">
        <w:t>researchers, and advocates</w:t>
      </w:r>
      <w:proofErr w:type="gramEnd"/>
      <w:r w:rsidRPr="007D7A70" w:rsidR="00A51E64">
        <w:t xml:space="preserve">. </w:t>
      </w:r>
      <w:r w:rsidRPr="00632D64" w:rsidR="00A51E64">
        <w:t>Examples of users and uses of these data include the following:</w:t>
      </w:r>
    </w:p>
    <w:p w:rsidRPr="007D7A70" w:rsidR="0027121E" w:rsidP="007D7A70" w:rsidRDefault="00A51E64" w14:paraId="6FC55229" w14:textId="047D9AC5">
      <w:r w:rsidRPr="007D7A70">
        <w:rPr>
          <w:b/>
          <w:bCs/>
        </w:rPr>
        <w:t>U.S. Congress</w:t>
      </w:r>
      <w:r w:rsidRPr="007D7A70">
        <w:t>—</w:t>
      </w:r>
      <w:proofErr w:type="gramStart"/>
      <w:r w:rsidRPr="007D7A70" w:rsidR="00374347">
        <w:t>To</w:t>
      </w:r>
      <w:proofErr w:type="gramEnd"/>
      <w:r w:rsidRPr="007D7A70" w:rsidR="00374347">
        <w:t xml:space="preserve"> evaluate the adequacy of jail facilities to meet changing inmate populations and to assess the needs of local jurisdictions for housing space relative to crime and available resources.</w:t>
      </w:r>
      <w:r w:rsidRPr="007D7A70" w:rsidR="0027121E">
        <w:t xml:space="preserve"> For example, both the Senate and House versions of the Criminal Justice Reinvestment Act of 2009 (S. 2772 and H.R. 4080) cite BJS data on jail population growth between 2000 and 2008</w:t>
      </w:r>
      <w:r w:rsidRPr="007D7A70" w:rsidR="00317DBE">
        <w:t>,</w:t>
      </w:r>
      <w:r w:rsidRPr="007D7A70" w:rsidR="0027121E">
        <w:t xml:space="preserve"> as well as BJS data on jail admissions</w:t>
      </w:r>
      <w:r w:rsidRPr="007D7A70" w:rsidR="00317DBE">
        <w:t xml:space="preserve"> to justify the legislation</w:t>
      </w:r>
      <w:r w:rsidRPr="007D7A70" w:rsidR="00EF7454">
        <w:t>;</w:t>
      </w:r>
    </w:p>
    <w:p w:rsidRPr="007D7A70" w:rsidR="00A51E64" w:rsidP="007D7A70" w:rsidRDefault="0027121E" w14:paraId="21DC4272" w14:textId="38116C4A">
      <w:r w:rsidRPr="007D7A70">
        <w:rPr>
          <w:b/>
        </w:rPr>
        <w:t>U.S. Department of Justice, Civil Rights Division</w:t>
      </w:r>
      <w:r w:rsidRPr="007D7A70">
        <w:t>—</w:t>
      </w:r>
      <w:proofErr w:type="gramStart"/>
      <w:r w:rsidRPr="007D7A70">
        <w:t>To</w:t>
      </w:r>
      <w:proofErr w:type="gramEnd"/>
      <w:r w:rsidRPr="007D7A70">
        <w:t xml:space="preserve"> understand capacity and confinement conditions as they relate to civil rights;</w:t>
      </w:r>
    </w:p>
    <w:p w:rsidRPr="007D7A70" w:rsidR="00BA5DCE" w:rsidP="007D7A70" w:rsidRDefault="0027121E" w14:paraId="6825A718" w14:textId="60582C46">
      <w:r w:rsidRPr="007D7A70">
        <w:rPr>
          <w:b/>
        </w:rPr>
        <w:lastRenderedPageBreak/>
        <w:t>Office of Juvenile Justice and Delinquency Prevention</w:t>
      </w:r>
      <w:r w:rsidRPr="007D7A70">
        <w:t>—</w:t>
      </w:r>
      <w:proofErr w:type="gramStart"/>
      <w:r w:rsidRPr="007D7A70">
        <w:t>To</w:t>
      </w:r>
      <w:proofErr w:type="gramEnd"/>
      <w:r w:rsidRPr="007D7A70">
        <w:t xml:space="preserve"> assess the extent to which juveniles are held in adult jails and whether they are held as adults;</w:t>
      </w:r>
      <w:r w:rsidRPr="007D7A70" w:rsidR="00E63F76">
        <w:t xml:space="preserve">  </w:t>
      </w:r>
      <w:r w:rsidRPr="007D7A70" w:rsidR="00BA5DCE">
        <w:t xml:space="preserve"> </w:t>
      </w:r>
    </w:p>
    <w:p w:rsidRPr="007D7A70" w:rsidR="00F918AA" w:rsidP="007D7A70" w:rsidRDefault="00F918AA" w14:paraId="57E0D2C1" w14:textId="3C996512">
      <w:r w:rsidRPr="007D7A70">
        <w:rPr>
          <w:b/>
        </w:rPr>
        <w:t>National Institute of Corrections</w:t>
      </w:r>
      <w:r w:rsidRPr="007D7A70" w:rsidR="00EF7454">
        <w:rPr>
          <w:b/>
        </w:rPr>
        <w:t xml:space="preserve"> (NIC)</w:t>
      </w:r>
      <w:r w:rsidRPr="007D7A70">
        <w:t xml:space="preserve">—To evaluate local jail conditions, establish </w:t>
      </w:r>
      <w:r w:rsidRPr="007D7A70" w:rsidR="00317DBE">
        <w:t xml:space="preserve">industry </w:t>
      </w:r>
      <w:r w:rsidRPr="007D7A70">
        <w:t>standards, and assess needs for technical assistance and training for local jail officials. Data from BJS’</w:t>
      </w:r>
      <w:r w:rsidRPr="007D7A70" w:rsidR="00EF7454">
        <w:t>s</w:t>
      </w:r>
      <w:r w:rsidRPr="007D7A70">
        <w:t xml:space="preserve"> jail statistical reports </w:t>
      </w:r>
      <w:proofErr w:type="gramStart"/>
      <w:r w:rsidRPr="007D7A70">
        <w:t>are cited</w:t>
      </w:r>
      <w:proofErr w:type="gramEnd"/>
      <w:r w:rsidRPr="007D7A70">
        <w:t xml:space="preserve"> in NIC publications on local jails. These publications </w:t>
      </w:r>
      <w:proofErr w:type="gramStart"/>
      <w:r w:rsidRPr="007D7A70">
        <w:t>are disseminated</w:t>
      </w:r>
      <w:proofErr w:type="gramEnd"/>
      <w:r w:rsidRPr="007D7A70">
        <w:t xml:space="preserve"> </w:t>
      </w:r>
      <w:r w:rsidRPr="007D7A70" w:rsidR="00317DBE">
        <w:t xml:space="preserve">to </w:t>
      </w:r>
      <w:r w:rsidRPr="007D7A70">
        <w:t>the jail administrator community</w:t>
      </w:r>
      <w:r w:rsidRPr="007D7A70" w:rsidR="00EF7454">
        <w:t>;</w:t>
      </w:r>
    </w:p>
    <w:p w:rsidRPr="007D7A70" w:rsidR="00F918AA" w:rsidP="007D7A70" w:rsidRDefault="00DC691A" w14:paraId="5457AF8A" w14:textId="772A2AF3">
      <w:r w:rsidRPr="007D7A70">
        <w:rPr>
          <w:b/>
          <w:bCs/>
        </w:rPr>
        <w:t xml:space="preserve">Jail </w:t>
      </w:r>
      <w:r w:rsidRPr="007D7A70" w:rsidR="00A51E64">
        <w:rPr>
          <w:b/>
          <w:bCs/>
        </w:rPr>
        <w:t>Administrators</w:t>
      </w:r>
      <w:r w:rsidRPr="007D7A70" w:rsidR="00A51E64">
        <w:t>—</w:t>
      </w:r>
      <w:proofErr w:type="gramStart"/>
      <w:r w:rsidRPr="007D7A70" w:rsidR="00F918AA">
        <w:t>T</w:t>
      </w:r>
      <w:r w:rsidRPr="007D7A70">
        <w:t>o</w:t>
      </w:r>
      <w:proofErr w:type="gramEnd"/>
      <w:r w:rsidRPr="007D7A70">
        <w:t xml:space="preserve"> assess inmate populations and characteristics within their own jurisdictions relative to others</w:t>
      </w:r>
      <w:r w:rsidRPr="007D7A70" w:rsidR="00317DBE">
        <w:t>,</w:t>
      </w:r>
      <w:r w:rsidRPr="007D7A70">
        <w:t xml:space="preserve"> and to </w:t>
      </w:r>
      <w:r w:rsidRPr="007D7A70" w:rsidR="00317DBE">
        <w:t>compare programs and services</w:t>
      </w:r>
      <w:r w:rsidRPr="007D7A70">
        <w:t>. For example</w:t>
      </w:r>
      <w:r w:rsidRPr="007D7A70" w:rsidR="00EF7454">
        <w:t>,</w:t>
      </w:r>
      <w:r w:rsidRPr="007D7A70">
        <w:t xml:space="preserve"> BJS staff regularly respond to requests for information from local jail officials about how their jurisdictions compares </w:t>
      </w:r>
      <w:r w:rsidRPr="007D7A70" w:rsidR="00317DBE">
        <w:t xml:space="preserve">on measures including staffing and </w:t>
      </w:r>
      <w:r w:rsidRPr="007D7A70" w:rsidR="002D1764">
        <w:t>consent decree conditions</w:t>
      </w:r>
      <w:r w:rsidRPr="007D7A70" w:rsidR="00317DBE">
        <w:t xml:space="preserve"> </w:t>
      </w:r>
      <w:r w:rsidRPr="007D7A70">
        <w:t>to other</w:t>
      </w:r>
      <w:r w:rsidRPr="007D7A70" w:rsidR="00317DBE">
        <w:t xml:space="preserve">s </w:t>
      </w:r>
      <w:r w:rsidRPr="007D7A70">
        <w:t>of comparable size or geograph</w:t>
      </w:r>
      <w:r w:rsidRPr="007D7A70" w:rsidR="00317DBE">
        <w:t>y</w:t>
      </w:r>
      <w:r w:rsidRPr="007D7A70" w:rsidR="00EF7454">
        <w:t xml:space="preserve">;  </w:t>
      </w:r>
    </w:p>
    <w:p w:rsidRPr="007D7A70" w:rsidR="00F918AA" w:rsidP="007D7A70" w:rsidRDefault="00F918AA" w14:paraId="1D73AAF3" w14:textId="5764CE04">
      <w:r w:rsidRPr="007D7A70">
        <w:rPr>
          <w:b/>
        </w:rPr>
        <w:t>American Jail Association</w:t>
      </w:r>
      <w:r w:rsidRPr="007D7A70">
        <w:t>—</w:t>
      </w:r>
      <w:proofErr w:type="gramStart"/>
      <w:r w:rsidRPr="007D7A70" w:rsidR="00317DBE">
        <w:t>To</w:t>
      </w:r>
      <w:proofErr w:type="gramEnd"/>
      <w:r w:rsidRPr="007D7A70" w:rsidR="00317DBE">
        <w:t xml:space="preserve"> cite data in articles for</w:t>
      </w:r>
      <w:r w:rsidRPr="007D7A70">
        <w:t xml:space="preserve"> their weekly electronic newsletter, the “AJA Alert”, and their </w:t>
      </w:r>
      <w:r w:rsidRPr="007D7A70" w:rsidR="00317DBE">
        <w:t xml:space="preserve">monthly </w:t>
      </w:r>
      <w:r w:rsidRPr="007D7A70">
        <w:t>“American Jails” magazine</w:t>
      </w:r>
      <w:r w:rsidRPr="007D7A70" w:rsidR="00317DBE">
        <w:t xml:space="preserve">. AJA has a link to </w:t>
      </w:r>
      <w:r w:rsidRPr="007D7A70" w:rsidR="00B86CA1">
        <w:t>BJS on its jail statistics page</w:t>
      </w:r>
      <w:r w:rsidRPr="007D7A70" w:rsidR="00EF7454">
        <w:t xml:space="preserve"> (</w:t>
      </w:r>
      <w:hyperlink w:history="1" r:id="rId11">
        <w:r w:rsidRPr="007D7A70" w:rsidR="00EF7454">
          <w:rPr>
            <w:rStyle w:val="Hyperlink"/>
          </w:rPr>
          <w:t>https://www.americanjail.org/jail-statistics</w:t>
        </w:r>
      </w:hyperlink>
      <w:r w:rsidRPr="007D7A70" w:rsidR="00EF7454">
        <w:t>)</w:t>
      </w:r>
      <w:proofErr w:type="gramStart"/>
      <w:r w:rsidRPr="007D7A70" w:rsidR="00EF7454">
        <w:t>;</w:t>
      </w:r>
      <w:proofErr w:type="gramEnd"/>
      <w:r w:rsidRPr="007D7A70" w:rsidR="00EF7454">
        <w:t xml:space="preserve"> </w:t>
      </w:r>
    </w:p>
    <w:p w:rsidRPr="007D7A70" w:rsidR="00F918AA" w:rsidP="007D7A70" w:rsidRDefault="00F918AA" w14:paraId="45BF80B6" w14:textId="5B8EA299">
      <w:r w:rsidRPr="007D7A70">
        <w:rPr>
          <w:b/>
        </w:rPr>
        <w:t>The Vera Institute of Justice</w:t>
      </w:r>
      <w:r w:rsidRPr="007D7A70">
        <w:t>—</w:t>
      </w:r>
      <w:proofErr w:type="gramStart"/>
      <w:r w:rsidRPr="007D7A70" w:rsidR="001A1027">
        <w:t>To</w:t>
      </w:r>
      <w:proofErr w:type="gramEnd"/>
      <w:r w:rsidRPr="007D7A70" w:rsidR="001A1027">
        <w:t xml:space="preserve"> </w:t>
      </w:r>
      <w:r w:rsidRPr="007D7A70">
        <w:t xml:space="preserve">produce reports </w:t>
      </w:r>
      <w:r w:rsidRPr="007D7A70" w:rsidR="00B01898">
        <w:t>measur</w:t>
      </w:r>
      <w:r w:rsidRPr="007D7A70" w:rsidR="001A1027">
        <w:t>ing</w:t>
      </w:r>
      <w:r w:rsidRPr="007D7A70" w:rsidR="00B01898">
        <w:t xml:space="preserve"> the number of jail inmates incarcerated nationwide</w:t>
      </w:r>
      <w:r w:rsidRPr="007D7A70">
        <w:t xml:space="preserve">. </w:t>
      </w:r>
      <w:r w:rsidRPr="007D7A70" w:rsidR="00F8168D">
        <w:t>Example</w:t>
      </w:r>
      <w:r w:rsidRPr="007D7A70" w:rsidR="00F076F8">
        <w:t>s</w:t>
      </w:r>
      <w:r w:rsidRPr="007D7A70" w:rsidR="00F8168D">
        <w:t xml:space="preserve"> of Vera report</w:t>
      </w:r>
      <w:r w:rsidRPr="007D7A70" w:rsidR="00F076F8">
        <w:t>s</w:t>
      </w:r>
      <w:r w:rsidRPr="007D7A70" w:rsidR="00F8168D">
        <w:t xml:space="preserve"> include </w:t>
      </w:r>
      <w:r w:rsidRPr="007D7A70" w:rsidR="00B86CA1">
        <w:t>“</w:t>
      </w:r>
      <w:r w:rsidRPr="007D7A70" w:rsidR="00F8168D">
        <w:t>Divided Justice: Trends in Black and White</w:t>
      </w:r>
      <w:r w:rsidRPr="007D7A70" w:rsidR="00C66614">
        <w:t xml:space="preserve"> </w:t>
      </w:r>
      <w:r w:rsidRPr="007D7A70" w:rsidR="00F8168D">
        <w:t>Jail Incarceration, 1990-2013</w:t>
      </w:r>
      <w:r w:rsidRPr="007D7A70" w:rsidR="00B86CA1">
        <w:t>”</w:t>
      </w:r>
      <w:r w:rsidRPr="007D7A70" w:rsidR="001A1027">
        <w:t xml:space="preserve"> (</w:t>
      </w:r>
      <w:hyperlink w:history="1" r:id="rId12">
        <w:r w:rsidRPr="007D7A70" w:rsidR="001A1027">
          <w:rPr>
            <w:rStyle w:val="Hyperlink"/>
          </w:rPr>
          <w:t>https://www.vera.org/publications/divided-justice-black-white-jail-incarceration</w:t>
        </w:r>
      </w:hyperlink>
      <w:r w:rsidRPr="007D7A70" w:rsidR="001A1027">
        <w:t>)</w:t>
      </w:r>
      <w:r w:rsidRPr="007D7A70" w:rsidR="00B86CA1">
        <w:t xml:space="preserve">, </w:t>
      </w:r>
      <w:r w:rsidRPr="007D7A70" w:rsidR="00F8168D">
        <w:t>“The New Dynamics of Mass Incarceration”</w:t>
      </w:r>
      <w:r w:rsidRPr="007D7A70" w:rsidR="001A1027">
        <w:t xml:space="preserve"> (</w:t>
      </w:r>
      <w:hyperlink w:history="1" r:id="rId13">
        <w:r w:rsidRPr="007D7A70" w:rsidR="001A1027">
          <w:rPr>
            <w:rStyle w:val="Hyperlink"/>
          </w:rPr>
          <w:t>https://www.vera.org/publications/the-new-dynamics-of-mass-incarceration</w:t>
        </w:r>
      </w:hyperlink>
      <w:r w:rsidRPr="007D7A70" w:rsidR="001A1027">
        <w:t>)</w:t>
      </w:r>
      <w:r w:rsidRPr="007D7A70" w:rsidR="00B86CA1">
        <w:t>,</w:t>
      </w:r>
      <w:r w:rsidRPr="007D7A70" w:rsidR="00F8168D">
        <w:t xml:space="preserve"> “Out of Sight: The Growth of Jails in Rural America”</w:t>
      </w:r>
      <w:r w:rsidRPr="007D7A70" w:rsidR="001A1027">
        <w:t xml:space="preserve"> (</w:t>
      </w:r>
      <w:hyperlink w:history="1" r:id="rId14">
        <w:r w:rsidRPr="007D7A70" w:rsidR="001A1027">
          <w:rPr>
            <w:rStyle w:val="Hyperlink"/>
          </w:rPr>
          <w:t>https://www.vera.org/publications/out-of-sight-growth-of-jails-rural-america</w:t>
        </w:r>
      </w:hyperlink>
      <w:r w:rsidRPr="007D7A70" w:rsidR="001A1027">
        <w:t>)</w:t>
      </w:r>
      <w:r w:rsidR="004948B8">
        <w:t>, “State Incarceration Trends” (</w:t>
      </w:r>
      <w:hyperlink w:history="1" r:id="rId15">
        <w:r w:rsidR="004948B8">
          <w:rPr>
            <w:rStyle w:val="Hyperlink"/>
          </w:rPr>
          <w:t>http://www.vera.org/state-incarceration-trends</w:t>
        </w:r>
      </w:hyperlink>
      <w:r w:rsidR="004948B8">
        <w:rPr>
          <w:color w:val="201F1E"/>
        </w:rPr>
        <w:t xml:space="preserve">, </w:t>
      </w:r>
      <w:r w:rsidRPr="004948B8" w:rsidR="004948B8">
        <w:t xml:space="preserve">and </w:t>
      </w:r>
      <w:r w:rsidR="004948B8">
        <w:t>“</w:t>
      </w:r>
      <w:r w:rsidRPr="004948B8" w:rsidR="004948B8">
        <w:t>People in Jails in 2019”</w:t>
      </w:r>
      <w:r w:rsidR="004948B8">
        <w:t xml:space="preserve"> (</w:t>
      </w:r>
      <w:hyperlink w:history="1" r:id="rId16">
        <w:r w:rsidRPr="004948B8" w:rsidR="004948B8">
          <w:rPr>
            <w:rStyle w:val="Hyperlink"/>
          </w:rPr>
          <w:t>www.vera.org/people-in-jail-in-2019</w:t>
        </w:r>
      </w:hyperlink>
      <w:r w:rsidR="004948B8">
        <w:rPr>
          <w:rFonts w:ascii="Calibri" w:hAnsi="Calibri"/>
          <w:color w:val="000000"/>
        </w:rPr>
        <w:t>).</w:t>
      </w:r>
    </w:p>
    <w:p w:rsidRPr="007D7A70" w:rsidR="009B5DC8" w:rsidP="007D7A70" w:rsidRDefault="00F30536" w14:paraId="402D57B8" w14:textId="5B061D9B">
      <w:pPr>
        <w:rPr>
          <w:b/>
        </w:rPr>
      </w:pPr>
      <w:r w:rsidRPr="007D7A70">
        <w:rPr>
          <w:b/>
        </w:rPr>
        <w:t xml:space="preserve">The Prison Policy Initiative </w:t>
      </w:r>
      <w:r w:rsidRPr="007D7A70">
        <w:t>—</w:t>
      </w:r>
      <w:proofErr w:type="gramStart"/>
      <w:r w:rsidRPr="007D7A70">
        <w:t>To</w:t>
      </w:r>
      <w:proofErr w:type="gramEnd"/>
      <w:r w:rsidRPr="007D7A70">
        <w:t xml:space="preserve"> produce reports measuring the</w:t>
      </w:r>
      <w:r w:rsidRPr="007D7A70" w:rsidR="000963CC">
        <w:t xml:space="preserve"> effects of mass incarceration</w:t>
      </w:r>
      <w:r w:rsidRPr="007D7A70">
        <w:t>.</w:t>
      </w:r>
      <w:r w:rsidRPr="007D7A70" w:rsidR="000963CC">
        <w:rPr>
          <w:highlight w:val="yellow"/>
        </w:rPr>
        <w:t xml:space="preserve"> </w:t>
      </w:r>
      <w:r w:rsidRPr="007D7A70" w:rsidR="000963CC">
        <w:t>An example of</w:t>
      </w:r>
      <w:r w:rsidRPr="007D7A70" w:rsidR="009F7C4C">
        <w:t xml:space="preserve"> a</w:t>
      </w:r>
      <w:r w:rsidRPr="007D7A70" w:rsidR="000963CC">
        <w:t xml:space="preserve"> </w:t>
      </w:r>
      <w:r w:rsidRPr="007D7A70" w:rsidR="009F7C4C">
        <w:t>Prison Policy Initiative report is</w:t>
      </w:r>
      <w:r w:rsidRPr="007D7A70" w:rsidR="000963CC">
        <w:t xml:space="preserve"> “Mass Incarceration: The Whole Pie 2019” </w:t>
      </w:r>
      <w:hyperlink w:history="1" r:id="rId17">
        <w:r w:rsidRPr="007D7A70" w:rsidR="009B5DC8">
          <w:rPr>
            <w:rStyle w:val="Hyperlink"/>
          </w:rPr>
          <w:t>https://www.prisonpolicy.org/reports/pie2019.html</w:t>
        </w:r>
      </w:hyperlink>
      <w:r w:rsidRPr="007D7A70" w:rsidR="000963CC">
        <w:t xml:space="preserve">. </w:t>
      </w:r>
    </w:p>
    <w:p w:rsidRPr="007D7A70" w:rsidR="00A51E64" w:rsidP="007D7A70" w:rsidRDefault="00E63F76" w14:paraId="442FFD8F" w14:textId="743127E9">
      <w:r w:rsidRPr="007D7A70">
        <w:rPr>
          <w:b/>
        </w:rPr>
        <w:t>Researchers and Academics</w:t>
      </w:r>
      <w:r w:rsidRPr="007D7A70" w:rsidR="00AB43BF">
        <w:t>—</w:t>
      </w:r>
      <w:proofErr w:type="gramStart"/>
      <w:r w:rsidRPr="007D7A70" w:rsidR="001A1027">
        <w:t>To</w:t>
      </w:r>
      <w:proofErr w:type="gramEnd"/>
      <w:r w:rsidRPr="007D7A70" w:rsidR="001A1027">
        <w:t xml:space="preserve"> conduct research on a range of topics</w:t>
      </w:r>
      <w:r w:rsidRPr="007D7A70" w:rsidR="0042127F">
        <w:t xml:space="preserve"> that have been published</w:t>
      </w:r>
      <w:r w:rsidRPr="007D7A70" w:rsidR="009C6FBD">
        <w:t xml:space="preserve">. </w:t>
      </w:r>
      <w:r w:rsidR="004948B8">
        <w:t>For example, t</w:t>
      </w:r>
      <w:r w:rsidRPr="007D7A70" w:rsidR="009C6FBD">
        <w:t xml:space="preserve">he </w:t>
      </w:r>
      <w:r w:rsidRPr="007D7A70" w:rsidR="00237755">
        <w:t xml:space="preserve">archived </w:t>
      </w:r>
      <w:r w:rsidRPr="007D7A70" w:rsidR="009C6FBD">
        <w:t>201</w:t>
      </w:r>
      <w:r w:rsidRPr="007D7A70" w:rsidR="00FA1D39">
        <w:t>7 AS</w:t>
      </w:r>
      <w:r w:rsidRPr="007D7A70" w:rsidR="00237755">
        <w:t>J</w:t>
      </w:r>
      <w:r w:rsidRPr="007D7A70" w:rsidR="009C6FBD">
        <w:t xml:space="preserve"> dataset alone has generated </w:t>
      </w:r>
      <w:r w:rsidRPr="007D7A70" w:rsidR="00F434A0">
        <w:t>353</w:t>
      </w:r>
      <w:r w:rsidRPr="007D7A70" w:rsidR="009C6FBD">
        <w:t xml:space="preserve"> data downloads</w:t>
      </w:r>
      <w:r w:rsidRPr="007D7A70" w:rsidR="00F21728">
        <w:t xml:space="preserve">: </w:t>
      </w:r>
      <w:hyperlink w:history="1" r:id="rId18">
        <w:r w:rsidRPr="007D7A70" w:rsidR="00F434A0">
          <w:rPr>
            <w:rStyle w:val="Hyperlink"/>
          </w:rPr>
          <w:t>https://pcms.icpsr.umich.edu/pcms/reports/studies/37373/utilization</w:t>
        </w:r>
      </w:hyperlink>
      <w:r w:rsidRPr="007D7A70" w:rsidR="009C6FBD">
        <w:rPr>
          <w:rStyle w:val="Hyperlink"/>
        </w:rPr>
        <w:t xml:space="preserve">. </w:t>
      </w:r>
      <w:r w:rsidRPr="007D7A70" w:rsidR="00DD5BCD">
        <w:t>Recent</w:t>
      </w:r>
      <w:r w:rsidRPr="007D7A70" w:rsidR="00DD5BCD">
        <w:rPr>
          <w:bCs/>
        </w:rPr>
        <w:t xml:space="preserve"> a</w:t>
      </w:r>
      <w:r w:rsidRPr="007D7A70" w:rsidR="00F21728">
        <w:t xml:space="preserve">cademic </w:t>
      </w:r>
      <w:r w:rsidRPr="007D7A70" w:rsidR="00EF7454">
        <w:t xml:space="preserve">books and journal articles </w:t>
      </w:r>
      <w:r w:rsidRPr="007D7A70" w:rsidR="00A51E64">
        <w:t xml:space="preserve">have </w:t>
      </w:r>
      <w:r w:rsidRPr="007D7A70" w:rsidR="00F21728">
        <w:t xml:space="preserve">also </w:t>
      </w:r>
      <w:r w:rsidRPr="007D7A70" w:rsidR="00A51E64">
        <w:t xml:space="preserve">used </w:t>
      </w:r>
      <w:r w:rsidRPr="007D7A70" w:rsidR="00686FDA">
        <w:t>BJS’</w:t>
      </w:r>
      <w:r w:rsidRPr="007D7A70" w:rsidR="00037044">
        <w:t>s</w:t>
      </w:r>
      <w:r w:rsidRPr="007D7A70" w:rsidR="00686FDA">
        <w:t xml:space="preserve"> jail </w:t>
      </w:r>
      <w:r w:rsidRPr="007D7A70" w:rsidR="00A51E64">
        <w:t>data in a variety of studies</w:t>
      </w:r>
      <w:r w:rsidRPr="007D7A70" w:rsidR="00D34DB0">
        <w:t>:</w:t>
      </w:r>
    </w:p>
    <w:p w:rsidRPr="004948B8" w:rsidR="004948B8" w:rsidP="00632D64" w:rsidRDefault="004948B8" w14:paraId="250B48C9" w14:textId="77777777">
      <w:pPr>
        <w:pStyle w:val="ListParagraph"/>
      </w:pPr>
      <w:proofErr w:type="spellStart"/>
      <w:r w:rsidRPr="004948B8">
        <w:t>Gaes</w:t>
      </w:r>
      <w:proofErr w:type="spellEnd"/>
      <w:r w:rsidRPr="004948B8">
        <w:t xml:space="preserve">, Gerald G. 2019. </w:t>
      </w:r>
      <w:proofErr w:type="gramStart"/>
      <w:r w:rsidRPr="004948B8">
        <w:t>Current status</w:t>
      </w:r>
      <w:proofErr w:type="gramEnd"/>
      <w:r w:rsidRPr="004948B8">
        <w:t xml:space="preserve"> of prison privatization research on American prisons and jails.</w:t>
      </w:r>
      <w:r w:rsidRPr="004948B8">
        <w:rPr>
          <w:shd w:val="clear" w:color="auto" w:fill="FFFFFF"/>
        </w:rPr>
        <w:t> </w:t>
      </w:r>
      <w:r w:rsidRPr="004948B8">
        <w:rPr>
          <w:rStyle w:val="HTMLCite"/>
          <w:shd w:val="clear" w:color="auto" w:fill="FFFFFF"/>
        </w:rPr>
        <w:t>Criminology and Public Policy</w:t>
      </w:r>
      <w:r w:rsidRPr="004948B8">
        <w:rPr>
          <w:shd w:val="clear" w:color="auto" w:fill="FFFFFF"/>
        </w:rPr>
        <w:t xml:space="preserve">. </w:t>
      </w:r>
      <w:proofErr w:type="gramStart"/>
      <w:r w:rsidRPr="004948B8">
        <w:rPr>
          <w:shd w:val="clear" w:color="auto" w:fill="FFFFFF"/>
        </w:rPr>
        <w:t>18</w:t>
      </w:r>
      <w:proofErr w:type="gramEnd"/>
      <w:r w:rsidRPr="004948B8">
        <w:rPr>
          <w:shd w:val="clear" w:color="auto" w:fill="FFFFFF"/>
        </w:rPr>
        <w:t>, (2), 269-293.</w:t>
      </w:r>
      <w:r w:rsidRPr="004948B8">
        <w:t xml:space="preserve"> </w:t>
      </w:r>
    </w:p>
    <w:p w:rsidRPr="004948B8" w:rsidR="007F2852" w:rsidP="005B64A2" w:rsidRDefault="004948B8" w14:paraId="77D40E9C" w14:textId="3264AEB2">
      <w:pPr>
        <w:pStyle w:val="ListParagraph"/>
        <w:numPr>
          <w:ilvl w:val="0"/>
          <w:numId w:val="32"/>
        </w:numPr>
      </w:pPr>
      <w:r w:rsidRPr="004948B8">
        <w:t>Liu, Patrick, Ryan</w:t>
      </w:r>
      <w:r w:rsidR="00CA53C0">
        <w:t xml:space="preserve"> Nunn</w:t>
      </w:r>
      <w:r w:rsidRPr="004948B8">
        <w:t xml:space="preserve">, </w:t>
      </w:r>
      <w:r>
        <w:t xml:space="preserve">and </w:t>
      </w:r>
      <w:r w:rsidR="00CA53C0">
        <w:t xml:space="preserve">Jay </w:t>
      </w:r>
      <w:proofErr w:type="spellStart"/>
      <w:r w:rsidRPr="004948B8">
        <w:t>Shambaugh</w:t>
      </w:r>
      <w:proofErr w:type="spellEnd"/>
      <w:r w:rsidRPr="004948B8">
        <w:t>. 2019. </w:t>
      </w:r>
      <w:r w:rsidRPr="004948B8">
        <w:rPr>
          <w:bCs/>
        </w:rPr>
        <w:t xml:space="preserve">Nine Facts </w:t>
      </w:r>
      <w:proofErr w:type="gramStart"/>
      <w:r w:rsidRPr="004948B8">
        <w:rPr>
          <w:bCs/>
        </w:rPr>
        <w:t>About</w:t>
      </w:r>
      <w:proofErr w:type="gramEnd"/>
      <w:r w:rsidRPr="004948B8">
        <w:rPr>
          <w:bCs/>
        </w:rPr>
        <w:t xml:space="preserve"> Monetary Sanctions in the Criminal Justice System</w:t>
      </w:r>
      <w:r w:rsidRPr="004948B8">
        <w:t>. </w:t>
      </w:r>
      <w:r w:rsidRPr="004948B8">
        <w:rPr>
          <w:i/>
        </w:rPr>
        <w:t>Economic</w:t>
      </w:r>
      <w:r w:rsidRPr="004948B8">
        <w:rPr>
          <w:i/>
          <w:iCs/>
        </w:rPr>
        <w:t xml:space="preserve"> Facts</w:t>
      </w:r>
      <w:r w:rsidRPr="004948B8">
        <w:t xml:space="preserve">. The Hamilton Project. </w:t>
      </w:r>
    </w:p>
    <w:p w:rsidRPr="004948B8" w:rsidR="004948B8" w:rsidP="005B64A2" w:rsidRDefault="006F3B1A" w14:paraId="37017AE2" w14:textId="0115E01E">
      <w:pPr>
        <w:pStyle w:val="ListParagraph"/>
        <w:numPr>
          <w:ilvl w:val="0"/>
          <w:numId w:val="32"/>
        </w:numPr>
      </w:pPr>
      <w:r w:rsidRPr="004948B8">
        <w:t>Liu, Patrick, Ryan</w:t>
      </w:r>
      <w:r>
        <w:t xml:space="preserve"> Nunn</w:t>
      </w:r>
      <w:r w:rsidRPr="004948B8">
        <w:t xml:space="preserve">, </w:t>
      </w:r>
      <w:r>
        <w:t xml:space="preserve">and Jay </w:t>
      </w:r>
      <w:proofErr w:type="spellStart"/>
      <w:r w:rsidRPr="004948B8">
        <w:t>Shambaugh</w:t>
      </w:r>
      <w:proofErr w:type="spellEnd"/>
      <w:r w:rsidRPr="004948B8" w:rsidR="004948B8">
        <w:rPr>
          <w:shd w:val="clear" w:color="auto" w:fill="FFFFFF"/>
        </w:rPr>
        <w:t>. 2018. </w:t>
      </w:r>
      <w:r w:rsidRPr="004948B8" w:rsidR="004948B8">
        <w:rPr>
          <w:bCs/>
          <w:shd w:val="clear" w:color="auto" w:fill="FFFFFF"/>
        </w:rPr>
        <w:t>The Economics of Bail and Pretrial Detention</w:t>
      </w:r>
      <w:r w:rsidRPr="004948B8" w:rsidR="004948B8">
        <w:rPr>
          <w:shd w:val="clear" w:color="auto" w:fill="FFFFFF"/>
        </w:rPr>
        <w:t>. </w:t>
      </w:r>
      <w:r w:rsidRPr="004948B8" w:rsidR="004948B8">
        <w:rPr>
          <w:i/>
          <w:iCs/>
          <w:shd w:val="clear" w:color="auto" w:fill="FFFFFF"/>
        </w:rPr>
        <w:t>The Hamilton Project</w:t>
      </w:r>
      <w:r w:rsidRPr="004948B8" w:rsidR="004948B8">
        <w:rPr>
          <w:shd w:val="clear" w:color="auto" w:fill="FFFFFF"/>
        </w:rPr>
        <w:t>. Washington, DC: Brookings.</w:t>
      </w:r>
    </w:p>
    <w:p w:rsidRPr="007D7A70" w:rsidR="003E0FB9" w:rsidP="007D7A70" w:rsidRDefault="00D91E84" w14:paraId="653A0D76" w14:textId="5DD6B5FC">
      <w:pPr>
        <w:pStyle w:val="Heading2"/>
      </w:pPr>
      <w:r w:rsidRPr="007D7A70">
        <w:lastRenderedPageBreak/>
        <w:t>3</w:t>
      </w:r>
      <w:r w:rsidRPr="007D7A70" w:rsidR="00A51E64">
        <w:t xml:space="preserve">.   </w:t>
      </w:r>
      <w:r w:rsidRPr="007D7A70" w:rsidR="008A4928">
        <w:tab/>
      </w:r>
      <w:r w:rsidRPr="007D7A70" w:rsidR="00A51E64">
        <w:t>Use of Information Technology</w:t>
      </w:r>
    </w:p>
    <w:p w:rsidRPr="007D7A70" w:rsidR="00DD5BCD" w:rsidP="007D7A70" w:rsidRDefault="00487632" w14:paraId="2531E6D3" w14:textId="57543801">
      <w:r w:rsidRPr="007D7A70">
        <w:t>As with the 201</w:t>
      </w:r>
      <w:r w:rsidRPr="007D7A70" w:rsidR="00FA1D39">
        <w:t>8</w:t>
      </w:r>
      <w:r w:rsidRPr="007D7A70">
        <w:t xml:space="preserve"> </w:t>
      </w:r>
      <w:r w:rsidRPr="007D7A70" w:rsidR="00FA1D39">
        <w:t>AS</w:t>
      </w:r>
      <w:r w:rsidRPr="007D7A70">
        <w:t xml:space="preserve">J, </w:t>
      </w:r>
      <w:r w:rsidRPr="007D7A70" w:rsidR="00FA1D39">
        <w:t>BJS will administer the 2020-22</w:t>
      </w:r>
      <w:r w:rsidRPr="007D7A70" w:rsidR="00DD5BCD">
        <w:t xml:space="preserve"> </w:t>
      </w:r>
      <w:r w:rsidRPr="007D7A70" w:rsidR="00FA1D39">
        <w:t>AS</w:t>
      </w:r>
      <w:r w:rsidRPr="007D7A70" w:rsidR="00DD5BCD">
        <w:t>J as a web survey. The 20</w:t>
      </w:r>
      <w:r w:rsidRPr="007D7A70" w:rsidR="00FA1D39">
        <w:t>20</w:t>
      </w:r>
      <w:r w:rsidRPr="007D7A70" w:rsidR="00974945">
        <w:t>-22</w:t>
      </w:r>
      <w:r w:rsidRPr="007D7A70" w:rsidR="00DD5BCD">
        <w:t xml:space="preserve"> </w:t>
      </w:r>
      <w:r w:rsidRPr="007D7A70" w:rsidR="00FA1D39">
        <w:t>AS</w:t>
      </w:r>
      <w:r w:rsidRPr="007D7A70" w:rsidR="00DD5BCD">
        <w:t xml:space="preserve">J website will be modeled after the </w:t>
      </w:r>
      <w:r w:rsidRPr="007D7A70" w:rsidR="00FA1D39">
        <w:t>2018</w:t>
      </w:r>
      <w:r w:rsidRPr="007D7A70" w:rsidR="00DD5BCD">
        <w:t xml:space="preserve"> ASJ website (</w:t>
      </w:r>
      <w:r w:rsidRPr="007D7A70" w:rsidR="003F6807">
        <w:t xml:space="preserve">see Attachment </w:t>
      </w:r>
      <w:r w:rsidRPr="007D7A70" w:rsidR="006E565D">
        <w:t>A</w:t>
      </w:r>
      <w:r w:rsidRPr="007D7A70" w:rsidR="003F6807">
        <w:t xml:space="preserve">: </w:t>
      </w:r>
      <w:r w:rsidR="00F57525">
        <w:t>Website s</w:t>
      </w:r>
      <w:r w:rsidRPr="007D7A70" w:rsidR="003F6807">
        <w:t>creenshots</w:t>
      </w:r>
      <w:r w:rsidRPr="007D7A70" w:rsidR="00DD5BCD">
        <w:t>), which was redesigned and deployed in 2018</w:t>
      </w:r>
      <w:r w:rsidRPr="007D7A70" w:rsidR="00974945">
        <w:t xml:space="preserve">. </w:t>
      </w:r>
      <w:r w:rsidR="00C51A27">
        <w:t>T</w:t>
      </w:r>
      <w:r w:rsidRPr="007D7A70" w:rsidR="00974945">
        <w:t xml:space="preserve">he </w:t>
      </w:r>
      <w:r w:rsidR="00C51A27">
        <w:t xml:space="preserve">ASJ </w:t>
      </w:r>
      <w:r w:rsidRPr="007D7A70" w:rsidR="00DD5BCD">
        <w:t xml:space="preserve">website will </w:t>
      </w:r>
      <w:r w:rsidRPr="007D7A70" w:rsidR="003F1DA6">
        <w:t>be password protected</w:t>
      </w:r>
      <w:r w:rsidRPr="007D7A70" w:rsidR="00F35402">
        <w:t xml:space="preserve"> and</w:t>
      </w:r>
      <w:r w:rsidRPr="007D7A70" w:rsidR="00463301">
        <w:t xml:space="preserve"> accessible to t</w:t>
      </w:r>
      <w:r w:rsidRPr="007D7A70" w:rsidR="003F1DA6">
        <w:t>h</w:t>
      </w:r>
      <w:r w:rsidRPr="007D7A70" w:rsidR="00DD5BCD">
        <w:t>ree groups of users:</w:t>
      </w:r>
    </w:p>
    <w:p w:rsidRPr="007D7A70" w:rsidR="003F1DA6" w:rsidP="005B64A2" w:rsidRDefault="003F1DA6" w14:paraId="4D2F1671" w14:textId="39A10626">
      <w:pPr>
        <w:pStyle w:val="ListParagraph"/>
        <w:numPr>
          <w:ilvl w:val="0"/>
          <w:numId w:val="69"/>
        </w:numPr>
      </w:pPr>
      <w:r w:rsidRPr="007D7A70">
        <w:t>The data collection agent will administer the survey, conduct and record data quality and non-response follow-up activities, and generate reports on survey progress and data quality measures.</w:t>
      </w:r>
      <w:r w:rsidRPr="007D7A70" w:rsidR="00C77E74">
        <w:t xml:space="preserve"> Each employee of the data collection agent will have an individual login so that all work </w:t>
      </w:r>
      <w:proofErr w:type="gramStart"/>
      <w:r w:rsidRPr="007D7A70" w:rsidR="00C77E74">
        <w:t>can be easily tracked</w:t>
      </w:r>
      <w:proofErr w:type="gramEnd"/>
      <w:r w:rsidRPr="007D7A70" w:rsidR="00C77E74">
        <w:t>.</w:t>
      </w:r>
    </w:p>
    <w:p w:rsidRPr="007D7A70" w:rsidR="0042127F" w:rsidP="005B64A2" w:rsidRDefault="00DD5BCD" w14:paraId="3428C41A" w14:textId="521EF217">
      <w:pPr>
        <w:pStyle w:val="ListParagraph"/>
        <w:numPr>
          <w:ilvl w:val="0"/>
          <w:numId w:val="69"/>
        </w:numPr>
      </w:pPr>
      <w:r w:rsidRPr="007D7A70">
        <w:t>Respondents will learn about the data collection</w:t>
      </w:r>
      <w:r w:rsidRPr="007D7A70" w:rsidR="007651A2">
        <w:t xml:space="preserve"> on the website,</w:t>
      </w:r>
      <w:r w:rsidRPr="007D7A70">
        <w:t xml:space="preserve"> preview the form, submit data online, and review submitted data</w:t>
      </w:r>
      <w:r w:rsidRPr="007D7A70" w:rsidR="00C77E74">
        <w:t xml:space="preserve">. Each agency </w:t>
      </w:r>
      <w:proofErr w:type="gramStart"/>
      <w:r w:rsidRPr="007D7A70" w:rsidR="00C77E74">
        <w:t>will be given</w:t>
      </w:r>
      <w:proofErr w:type="gramEnd"/>
      <w:r w:rsidRPr="007D7A70" w:rsidR="00C77E74">
        <w:t xml:space="preserve"> an ID and password for the website.</w:t>
      </w:r>
    </w:p>
    <w:p w:rsidRPr="007D7A70" w:rsidR="007651A2" w:rsidP="005B64A2" w:rsidRDefault="00DD5BCD" w14:paraId="53B31461" w14:textId="1373DAE9">
      <w:pPr>
        <w:pStyle w:val="ListParagraph"/>
        <w:numPr>
          <w:ilvl w:val="0"/>
          <w:numId w:val="69"/>
        </w:numPr>
      </w:pPr>
      <w:r w:rsidRPr="007D7A70">
        <w:t>BJS staff will downlo</w:t>
      </w:r>
      <w:r w:rsidRPr="007D7A70" w:rsidR="00974945">
        <w:t xml:space="preserve">ad survey data and para-data, </w:t>
      </w:r>
      <w:r w:rsidRPr="007D7A70">
        <w:t xml:space="preserve">weekly collection summaries, survey </w:t>
      </w:r>
      <w:r w:rsidRPr="007D7A70" w:rsidR="00974945">
        <w:t>data</w:t>
      </w:r>
      <w:r w:rsidRPr="007D7A70">
        <w:t>, and survey administration documents</w:t>
      </w:r>
      <w:r w:rsidRPr="007D7A70" w:rsidR="00C77E74">
        <w:t xml:space="preserve"> from the website</w:t>
      </w:r>
      <w:r w:rsidRPr="007D7A70">
        <w:t>. BJS staff will also view the data collection team’s communication with each respondent and individual respondents’ forms</w:t>
      </w:r>
      <w:r w:rsidRPr="007D7A70" w:rsidR="00C77E74">
        <w:t>. Only two BJS staff will have access to the system.</w:t>
      </w:r>
    </w:p>
    <w:p w:rsidRPr="007D7A70" w:rsidR="00DD5BCD" w:rsidP="007D7A70" w:rsidRDefault="00974945" w14:paraId="152C252C" w14:textId="56D2ED0C">
      <w:r w:rsidRPr="007D7A70">
        <w:t>In designing the AS</w:t>
      </w:r>
      <w:r w:rsidRPr="007D7A70" w:rsidR="00DD5BCD">
        <w:t xml:space="preserve">J web survey, BJS and the data collection agent </w:t>
      </w:r>
      <w:r w:rsidR="00B10A3F">
        <w:t>mak</w:t>
      </w:r>
      <w:r w:rsidRPr="007D7A70" w:rsidR="000475C7">
        <w:t>e</w:t>
      </w:r>
      <w:r w:rsidRPr="007D7A70" w:rsidR="00DD5BCD">
        <w:t xml:space="preserve"> use of information technology to improve data quality and minimize respondent burden by reducing data-quality follow-up outreach</w:t>
      </w:r>
      <w:r w:rsidR="006C2B3E">
        <w:t>,</w:t>
      </w:r>
      <w:r w:rsidRPr="007D7A70" w:rsidR="00DD5BCD">
        <w:t xml:space="preserve"> in </w:t>
      </w:r>
      <w:r w:rsidRPr="007D7A70" w:rsidR="00B32EB7">
        <w:t xml:space="preserve">the </w:t>
      </w:r>
      <w:r w:rsidRPr="007D7A70" w:rsidR="00DD5BCD">
        <w:t>following ways</w:t>
      </w:r>
      <w:r w:rsidRPr="007D7A70" w:rsidR="00B32EB7">
        <w:t>:</w:t>
      </w:r>
      <w:r w:rsidRPr="007D7A70" w:rsidR="00DD5BCD">
        <w:t xml:space="preserve"> </w:t>
      </w:r>
    </w:p>
    <w:p w:rsidRPr="007D7A70" w:rsidR="00DD5BCD" w:rsidP="00632D64" w:rsidRDefault="00DD5BCD" w14:paraId="599AB32B" w14:textId="74DCCABC">
      <w:pPr>
        <w:pStyle w:val="ListParagraph"/>
      </w:pPr>
      <w:r w:rsidRPr="007D7A70">
        <w:rPr>
          <w:b/>
        </w:rPr>
        <w:t>Survey flow and navigation</w:t>
      </w:r>
      <w:r w:rsidRPr="007D7A70">
        <w:t xml:space="preserve"> </w:t>
      </w:r>
      <w:proofErr w:type="gramStart"/>
      <w:r w:rsidRPr="007D7A70">
        <w:t>The</w:t>
      </w:r>
      <w:proofErr w:type="gramEnd"/>
      <w:r w:rsidRPr="007D7A70">
        <w:t xml:space="preserve"> web survey will follow the paper form in content</w:t>
      </w:r>
      <w:r w:rsidRPr="007D7A70" w:rsidR="00C77E74">
        <w:t xml:space="preserve"> (</w:t>
      </w:r>
      <w:r w:rsidR="00A60F5C">
        <w:t xml:space="preserve">Attachment </w:t>
      </w:r>
      <w:r w:rsidR="006903AF">
        <w:t>B</w:t>
      </w:r>
      <w:r w:rsidR="00A806EC">
        <w:t>: Form CJ-5</w:t>
      </w:r>
      <w:r w:rsidRPr="007D7A70" w:rsidR="00C77E74">
        <w:t>)</w:t>
      </w:r>
      <w:r w:rsidRPr="007D7A70">
        <w:t xml:space="preserve">, but will offer an improved flow. Respondents </w:t>
      </w:r>
      <w:proofErr w:type="gramStart"/>
      <w:r w:rsidRPr="007D7A70">
        <w:t>will be led</w:t>
      </w:r>
      <w:proofErr w:type="gramEnd"/>
      <w:r w:rsidRPr="007D7A70">
        <w:t xml:space="preserve"> through the items in smaller segments rather than scrolling through the items on a single screen. In addition, the survey will use skip logic (also called branching) to move respondents to a different question or page</w:t>
      </w:r>
      <w:r w:rsidRPr="007D7A70" w:rsidR="00C77E74">
        <w:t xml:space="preserve">, </w:t>
      </w:r>
      <w:r w:rsidRPr="00632D64" w:rsidR="00C77E74">
        <w:t>based</w:t>
      </w:r>
      <w:r w:rsidRPr="007D7A70">
        <w:t xml:space="preserve"> on their response to the current question. Improved survey navigation will reduce the survey dropout rate</w:t>
      </w:r>
      <w:r w:rsidRPr="007D7A70" w:rsidR="00C77E74">
        <w:t>,</w:t>
      </w:r>
      <w:r w:rsidRPr="007D7A70">
        <w:t xml:space="preserve"> minimize the possibility of respondents inadvertently skipping an item</w:t>
      </w:r>
      <w:r w:rsidRPr="007D7A70" w:rsidR="00C77E74">
        <w:t>, and decrease burden for jails for which certain questions do not apply</w:t>
      </w:r>
      <w:r w:rsidRPr="007D7A70" w:rsidR="00B32EB7">
        <w:t>;</w:t>
      </w:r>
      <w:r w:rsidRPr="007D7A70">
        <w:t xml:space="preserve"> </w:t>
      </w:r>
    </w:p>
    <w:p w:rsidRPr="007D7A70" w:rsidR="00DD5BCD" w:rsidP="005B64A2" w:rsidRDefault="00DD5BCD" w14:paraId="1ED85C94" w14:textId="1810F848">
      <w:pPr>
        <w:pStyle w:val="ListParagraph"/>
        <w:numPr>
          <w:ilvl w:val="0"/>
          <w:numId w:val="46"/>
        </w:numPr>
      </w:pPr>
      <w:r w:rsidRPr="007D7A70">
        <w:rPr>
          <w:b/>
        </w:rPr>
        <w:t>Real-time error alerts</w:t>
      </w:r>
      <w:r w:rsidRPr="007D7A70">
        <w:t xml:space="preserve"> The web survey will alert respondent</w:t>
      </w:r>
      <w:r w:rsidRPr="007D7A70" w:rsidR="000475C7">
        <w:t>s</w:t>
      </w:r>
      <w:r w:rsidRPr="007D7A70">
        <w:t xml:space="preserve"> of potential data problems when </w:t>
      </w:r>
      <w:r w:rsidRPr="007D7A70" w:rsidR="000475C7">
        <w:t xml:space="preserve">they </w:t>
      </w:r>
      <w:r w:rsidRPr="007D7A70" w:rsidR="00C77E74">
        <w:t xml:space="preserve">skip an item or </w:t>
      </w:r>
      <w:r w:rsidRPr="007D7A70">
        <w:t xml:space="preserve">report </w:t>
      </w:r>
      <w:r w:rsidRPr="007D7A70" w:rsidR="00DF4DC7">
        <w:t xml:space="preserve">inconsistent </w:t>
      </w:r>
      <w:r w:rsidRPr="007D7A70">
        <w:t>values</w:t>
      </w:r>
      <w:r w:rsidRPr="007D7A70" w:rsidR="00DF4DC7">
        <w:t xml:space="preserve"> (e.g. male population greater than total population)</w:t>
      </w:r>
      <w:r w:rsidRPr="007D7A70" w:rsidR="00B32EB7">
        <w:t>;</w:t>
      </w:r>
      <w:r w:rsidRPr="007D7A70">
        <w:t xml:space="preserve"> </w:t>
      </w:r>
    </w:p>
    <w:p w:rsidRPr="007D7A70" w:rsidR="00DD5BCD" w:rsidP="005B64A2" w:rsidRDefault="00DD5BCD" w14:paraId="6D645914" w14:textId="05593D5E">
      <w:pPr>
        <w:pStyle w:val="ListParagraph"/>
        <w:numPr>
          <w:ilvl w:val="0"/>
          <w:numId w:val="46"/>
        </w:numPr>
      </w:pPr>
      <w:r w:rsidRPr="007D7A70">
        <w:rPr>
          <w:b/>
        </w:rPr>
        <w:t>Data review and comparison</w:t>
      </w:r>
      <w:r w:rsidRPr="007D7A70">
        <w:t xml:space="preserve"> </w:t>
      </w:r>
      <w:proofErr w:type="gramStart"/>
      <w:r w:rsidRPr="007D7A70">
        <w:t>Upon</w:t>
      </w:r>
      <w:proofErr w:type="gramEnd"/>
      <w:r w:rsidRPr="007D7A70">
        <w:t xml:space="preserve"> completion of the form, respondents will receive an on-screen report that compares select items to the data they submitted to the </w:t>
      </w:r>
      <w:r w:rsidRPr="007D7A70" w:rsidR="00974945">
        <w:t>2019 COJ</w:t>
      </w:r>
      <w:r w:rsidRPr="007D7A70">
        <w:t>. This allows the respondents to review and edit their entries prior to final submission</w:t>
      </w:r>
      <w:r w:rsidRPr="007D7A70" w:rsidR="00B32EB7">
        <w:t>;</w:t>
      </w:r>
      <w:r w:rsidRPr="007D7A70">
        <w:t xml:space="preserve"> </w:t>
      </w:r>
    </w:p>
    <w:p w:rsidRPr="007D7A70" w:rsidR="00DD5BCD" w:rsidP="005B64A2" w:rsidRDefault="00DD5BCD" w14:paraId="3DBA40C3" w14:textId="235888AB">
      <w:pPr>
        <w:pStyle w:val="ListParagraph"/>
        <w:numPr>
          <w:ilvl w:val="0"/>
          <w:numId w:val="46"/>
        </w:numPr>
      </w:pPr>
      <w:r w:rsidRPr="007D7A70">
        <w:rPr>
          <w:b/>
        </w:rPr>
        <w:t>Machine edits</w:t>
      </w:r>
      <w:r w:rsidRPr="007D7A70">
        <w:t xml:space="preserve"> </w:t>
      </w:r>
      <w:proofErr w:type="gramStart"/>
      <w:r w:rsidRPr="007D7A70">
        <w:t>A</w:t>
      </w:r>
      <w:proofErr w:type="gramEnd"/>
      <w:r w:rsidRPr="007D7A70">
        <w:t xml:space="preserve"> data validation program will be developed to check the internal consistency of submitted data by comparing the values of related items (these checks are called machine edits). During the course of data collection, machine edits will run every night on submitted data. Data elements that fail the checks will be logged and reviewed </w:t>
      </w:r>
      <w:r w:rsidRPr="007D7A70" w:rsidR="000475C7">
        <w:t xml:space="preserve">by the data collection agent </w:t>
      </w:r>
      <w:r w:rsidRPr="007D7A70">
        <w:t>for data</w:t>
      </w:r>
      <w:r w:rsidRPr="007D7A70" w:rsidR="00827A46">
        <w:t xml:space="preserve"> </w:t>
      </w:r>
      <w:r w:rsidRPr="007D7A70">
        <w:t>quality follow-up</w:t>
      </w:r>
      <w:r w:rsidRPr="007D7A70" w:rsidR="00B32EB7">
        <w:t xml:space="preserve">; </w:t>
      </w:r>
    </w:p>
    <w:p w:rsidRPr="007D7A70" w:rsidR="00DD5BCD" w:rsidP="005B64A2" w:rsidRDefault="00B10A3F" w14:paraId="2D535348" w14:textId="1EC1465C">
      <w:pPr>
        <w:pStyle w:val="ListParagraph"/>
        <w:numPr>
          <w:ilvl w:val="0"/>
          <w:numId w:val="46"/>
        </w:numPr>
      </w:pPr>
      <w:proofErr w:type="spellStart"/>
      <w:r>
        <w:rPr>
          <w:b/>
        </w:rPr>
        <w:t>Paradata</w:t>
      </w:r>
      <w:proofErr w:type="spellEnd"/>
      <w:r w:rsidRPr="007D7A70" w:rsidR="00DD5BCD">
        <w:rPr>
          <w:b/>
        </w:rPr>
        <w:t xml:space="preserve"> </w:t>
      </w:r>
      <w:r w:rsidRPr="007D7A70" w:rsidR="00DD5BCD">
        <w:t xml:space="preserve">Survey </w:t>
      </w:r>
      <w:proofErr w:type="spellStart"/>
      <w:r w:rsidRPr="007D7A70" w:rsidR="00DD5BCD">
        <w:t>paradata</w:t>
      </w:r>
      <w:proofErr w:type="spellEnd"/>
      <w:r w:rsidRPr="007D7A70" w:rsidR="00DD5BCD">
        <w:t xml:space="preserve"> will be collected to describe the data collection process, including timestamps of respondent login and data entry, navigation, time spent on each </w:t>
      </w:r>
      <w:r w:rsidRPr="007D7A70" w:rsidR="00DD5BCD">
        <w:lastRenderedPageBreak/>
        <w:t xml:space="preserve">page, device and browser information, </w:t>
      </w:r>
      <w:r w:rsidRPr="007D7A70" w:rsidR="00BA729B">
        <w:t xml:space="preserve">and </w:t>
      </w:r>
      <w:r w:rsidRPr="007D7A70" w:rsidR="00DD5BCD">
        <w:t xml:space="preserve">record of communication between respondents and the data collection team. </w:t>
      </w:r>
      <w:proofErr w:type="spellStart"/>
      <w:r w:rsidRPr="007D7A70" w:rsidR="00DD5BCD">
        <w:t>Paradata</w:t>
      </w:r>
      <w:proofErr w:type="spellEnd"/>
      <w:r w:rsidRPr="007D7A70" w:rsidR="00DD5BCD">
        <w:t xml:space="preserve"> </w:t>
      </w:r>
      <w:proofErr w:type="gramStart"/>
      <w:r w:rsidRPr="007D7A70" w:rsidR="00DD5BCD">
        <w:t>will be used</w:t>
      </w:r>
      <w:proofErr w:type="gramEnd"/>
      <w:r w:rsidRPr="007D7A70" w:rsidR="00DD5BCD">
        <w:t xml:space="preserve"> for quality control and to </w:t>
      </w:r>
      <w:r w:rsidRPr="007D7A70" w:rsidR="00D54BE5">
        <w:t>estimate future survey</w:t>
      </w:r>
      <w:r w:rsidRPr="007D7A70" w:rsidR="00827A46">
        <w:t xml:space="preserve"> </w:t>
      </w:r>
      <w:r w:rsidRPr="007D7A70" w:rsidR="00DD5BCD">
        <w:t>respondent burden.</w:t>
      </w:r>
    </w:p>
    <w:p w:rsidRPr="007D7A70" w:rsidR="007F33AF" w:rsidP="007D7A70" w:rsidRDefault="00827A46" w14:paraId="5CCB3D04" w14:textId="0CB80615">
      <w:r w:rsidRPr="007D7A70">
        <w:t>While BJS encourages submission of data through the web, alternative</w:t>
      </w:r>
      <w:r w:rsidR="001B788C">
        <w:t xml:space="preserve"> mode</w:t>
      </w:r>
      <w:r w:rsidRPr="007D7A70">
        <w:t>s</w:t>
      </w:r>
      <w:r w:rsidR="00182B14">
        <w:t xml:space="preserve"> (i.e., </w:t>
      </w:r>
      <w:r w:rsidR="001B788C">
        <w:t>fax, email, mail, and phone</w:t>
      </w:r>
      <w:r w:rsidR="00182B14">
        <w:t xml:space="preserve">) </w:t>
      </w:r>
      <w:proofErr w:type="gramStart"/>
      <w:r w:rsidRPr="007D7A70">
        <w:t xml:space="preserve">are </w:t>
      </w:r>
      <w:r w:rsidR="001B788C">
        <w:t xml:space="preserve">also </w:t>
      </w:r>
      <w:r w:rsidRPr="007D7A70">
        <w:t>offered</w:t>
      </w:r>
      <w:proofErr w:type="gramEnd"/>
      <w:r w:rsidRPr="007D7A70">
        <w:t xml:space="preserve"> if respondents prefer these methods.</w:t>
      </w:r>
      <w:r w:rsidR="00A22C85">
        <w:t xml:space="preserve"> In the most recent deployment of the ASJ in 2018, 4% </w:t>
      </w:r>
      <w:r w:rsidR="001B788C">
        <w:t xml:space="preserve">of the respondents submitted data </w:t>
      </w:r>
      <w:r w:rsidR="00182B14">
        <w:t>through</w:t>
      </w:r>
      <w:r w:rsidR="001B788C">
        <w:t xml:space="preserve"> an alternative mode.</w:t>
      </w:r>
    </w:p>
    <w:p w:rsidRPr="007D7A70" w:rsidR="00A51E64" w:rsidP="007D7A70" w:rsidRDefault="00D91E84" w14:paraId="2C40DC77" w14:textId="2D87C12E">
      <w:pPr>
        <w:pStyle w:val="Heading2"/>
      </w:pPr>
      <w:r w:rsidRPr="007D7A70">
        <w:t>4</w:t>
      </w:r>
      <w:r w:rsidRPr="007D7A70" w:rsidR="000D6D3A">
        <w:t xml:space="preserve">.   </w:t>
      </w:r>
      <w:r w:rsidRPr="007D7A70" w:rsidR="008A4928">
        <w:tab/>
      </w:r>
      <w:r w:rsidRPr="007D7A70" w:rsidR="00A51E64">
        <w:t>Efforts to Identify Duplication</w:t>
      </w:r>
    </w:p>
    <w:p w:rsidRPr="00151382" w:rsidR="000F745B" w:rsidP="000F745B" w:rsidRDefault="000F745B" w14:paraId="5782B40F" w14:textId="77777777">
      <w:r w:rsidRPr="00151382">
        <w:t xml:space="preserve">The ASJ </w:t>
      </w:r>
      <w:proofErr w:type="gramStart"/>
      <w:r w:rsidRPr="00151382">
        <w:t>is not duplicated</w:t>
      </w:r>
      <w:proofErr w:type="gramEnd"/>
      <w:r w:rsidRPr="00151382">
        <w:t xml:space="preserve"> by any other government agency for the purpose of collecting and disseminating information on inmate counts, population characteristics, and facility operations and programs. BJS conducted a Google search and a search of the NACJD for a similar data collection, and did not find any study similar to the ASJ. </w:t>
      </w:r>
    </w:p>
    <w:p w:rsidRPr="00151382" w:rsidR="000F745B" w:rsidP="000F745B" w:rsidRDefault="000F745B" w14:paraId="4C427F63" w14:textId="183616AB">
      <w:r w:rsidRPr="00151382">
        <w:t xml:space="preserve">Although several items </w:t>
      </w:r>
      <w:proofErr w:type="gramStart"/>
      <w:r w:rsidRPr="00151382">
        <w:t>are collected</w:t>
      </w:r>
      <w:proofErr w:type="gramEnd"/>
      <w:r w:rsidRPr="00151382">
        <w:t xml:space="preserve"> in both the ASJ and BJS’s 2019 Mortality in Correctional Institutions-Jails Annual Summary Form (i.e., confined population, average daily population, admissions, and deaths), BJS suspended the MCI collection after the 2019 collection year, so these data will no longer be available</w:t>
      </w:r>
      <w:r w:rsidR="00E65556">
        <w:t xml:space="preserve"> through the MCI</w:t>
      </w:r>
      <w:r w:rsidRPr="00151382">
        <w:t xml:space="preserve">. Starting in 2020, the Bureau of Justice Assistance (BJA) is responsible for capturing deaths in </w:t>
      </w:r>
      <w:r w:rsidR="00E65556">
        <w:t xml:space="preserve">jail </w:t>
      </w:r>
      <w:r w:rsidRPr="00151382">
        <w:t xml:space="preserve">custody, but </w:t>
      </w:r>
      <w:r w:rsidR="00151382">
        <w:t>information</w:t>
      </w:r>
      <w:r w:rsidRPr="00151382">
        <w:t xml:space="preserve"> on inmate counts, confined population, average daily population, </w:t>
      </w:r>
      <w:r w:rsidRPr="00151382" w:rsidR="00151382">
        <w:t>and</w:t>
      </w:r>
      <w:r w:rsidRPr="00151382">
        <w:t xml:space="preserve"> admissions</w:t>
      </w:r>
      <w:r w:rsidRPr="00151382" w:rsidR="00151382">
        <w:t xml:space="preserve"> </w:t>
      </w:r>
      <w:proofErr w:type="gramStart"/>
      <w:r w:rsidRPr="00151382" w:rsidR="00151382">
        <w:t>will not be collected</w:t>
      </w:r>
      <w:proofErr w:type="gramEnd"/>
      <w:r w:rsidRPr="00151382">
        <w:t xml:space="preserve">. Unlike BJA’s questions on deaths in custody, the </w:t>
      </w:r>
      <w:r w:rsidR="00E65556">
        <w:t xml:space="preserve">ASJ’s death questions </w:t>
      </w:r>
      <w:r w:rsidRPr="00151382">
        <w:t xml:space="preserve">will focus on </w:t>
      </w:r>
      <w:r w:rsidRPr="00151382" w:rsidR="00151382">
        <w:t>inmate and staff de</w:t>
      </w:r>
      <w:r w:rsidR="00151382">
        <w:t>aths from</w:t>
      </w:r>
      <w:r w:rsidRPr="00151382">
        <w:t xml:space="preserve"> COVID-19. BJS is motivated to capture COVID-19 deaths in a timely manner; otherwise, BJS will miss the mark on addressing this public-health emergency.  </w:t>
      </w:r>
    </w:p>
    <w:p w:rsidRPr="007D7A70" w:rsidR="000F745B" w:rsidP="007D7A70" w:rsidRDefault="000F745B" w14:paraId="43B3BCE5" w14:textId="58B66304">
      <w:r w:rsidRPr="00151382">
        <w:t xml:space="preserve">The </w:t>
      </w:r>
      <w:r w:rsidRPr="00151382">
        <w:rPr>
          <w:bCs/>
        </w:rPr>
        <w:t>National Commission on Correctional Healthcare (NCCHC) and researchers from Harvard University</w:t>
      </w:r>
      <w:r w:rsidRPr="00151382">
        <w:rPr>
          <w:b/>
          <w:bCs/>
        </w:rPr>
        <w:t xml:space="preserve"> </w:t>
      </w:r>
      <w:r w:rsidRPr="00151382">
        <w:t xml:space="preserve">are gathering information on how the COVID-19 pandemic is affecting </w:t>
      </w:r>
      <w:r w:rsidR="00A85BE2">
        <w:t>correctional</w:t>
      </w:r>
      <w:r w:rsidRPr="00151382">
        <w:t xml:space="preserve"> facilities. </w:t>
      </w:r>
      <w:r w:rsidR="00A85BE2">
        <w:t>Unlike the ASJ, which uses a national sample of local jails, t</w:t>
      </w:r>
      <w:r w:rsidR="00151382">
        <w:t xml:space="preserve">he </w:t>
      </w:r>
      <w:r w:rsidRPr="00151382">
        <w:t>NCCHC</w:t>
      </w:r>
      <w:r w:rsidR="00A85BE2">
        <w:t xml:space="preserve"> study includes </w:t>
      </w:r>
      <w:r w:rsidRPr="00151382" w:rsidR="00A85BE2">
        <w:t>jails, prisons and juvenile facilities that request</w:t>
      </w:r>
      <w:r w:rsidR="00A85BE2">
        <w:t>ed</w:t>
      </w:r>
      <w:r w:rsidRPr="00151382" w:rsidR="00A85BE2">
        <w:t xml:space="preserve"> participation in the </w:t>
      </w:r>
      <w:r w:rsidR="00A85BE2">
        <w:t xml:space="preserve">study. As of </w:t>
      </w:r>
      <w:r w:rsidRPr="00151382" w:rsidR="00A85BE2">
        <w:t>April 3</w:t>
      </w:r>
      <w:r w:rsidR="00A85BE2">
        <w:t>,</w:t>
      </w:r>
      <w:r w:rsidR="0073130A">
        <w:t xml:space="preserve"> 2020,</w:t>
      </w:r>
      <w:r w:rsidRPr="00151382" w:rsidR="00A85BE2">
        <w:t xml:space="preserve"> 100 facilities have consistently reported data. </w:t>
      </w:r>
      <w:hyperlink w:history="1" r:id="rId19">
        <w:r w:rsidRPr="00151382" w:rsidR="00A85BE2">
          <w:rPr>
            <w:rStyle w:val="Hyperlink"/>
          </w:rPr>
          <w:t>https://www.ncchc.org/filebin/COVID/NCCHC-HU_SurveillanceTracker_20200406_No7_April_3.pdf</w:t>
        </w:r>
      </w:hyperlink>
      <w:r w:rsidR="00A85BE2">
        <w:rPr>
          <w:rStyle w:val="Hyperlink"/>
        </w:rPr>
        <w:t xml:space="preserve">. </w:t>
      </w:r>
      <w:r w:rsidR="00A85BE2">
        <w:t>In addition, the NCCHC</w:t>
      </w:r>
      <w:r w:rsidR="00F23438">
        <w:t>’s</w:t>
      </w:r>
      <w:r w:rsidRPr="00151382">
        <w:t xml:space="preserve"> </w:t>
      </w:r>
      <w:r w:rsidR="00A85BE2">
        <w:t xml:space="preserve">study collects </w:t>
      </w:r>
      <w:r w:rsidRPr="00151382" w:rsidR="00F23438">
        <w:t>inmate and staff COVID-19 cases</w:t>
      </w:r>
      <w:r w:rsidR="00A85BE2">
        <w:t xml:space="preserve"> only, while t</w:t>
      </w:r>
      <w:r w:rsidR="00F23438">
        <w:t xml:space="preserve">he </w:t>
      </w:r>
      <w:r w:rsidRPr="00151382" w:rsidR="00151382">
        <w:t xml:space="preserve">ASJ </w:t>
      </w:r>
      <w:r w:rsidR="00F23438">
        <w:t>COVID-19 addendum</w:t>
      </w:r>
      <w:r w:rsidR="00E65556">
        <w:t xml:space="preserve"> will </w:t>
      </w:r>
      <w:r w:rsidR="00A85BE2">
        <w:t>also collect</w:t>
      </w:r>
      <w:r w:rsidR="00111138">
        <w:t xml:space="preserve"> the number of </w:t>
      </w:r>
      <w:r w:rsidR="00A85BE2">
        <w:t>inmates and staff tested</w:t>
      </w:r>
      <w:r w:rsidR="00111138">
        <w:t xml:space="preserve">, COVID-19 </w:t>
      </w:r>
      <w:r w:rsidR="00F23438">
        <w:t>deaths,</w:t>
      </w:r>
      <w:r w:rsidR="00111138">
        <w:t xml:space="preserve"> and</w:t>
      </w:r>
      <w:r w:rsidR="00F23438">
        <w:t xml:space="preserve"> admission</w:t>
      </w:r>
      <w:r w:rsidR="00111138">
        <w:t>s</w:t>
      </w:r>
      <w:r w:rsidR="00F23438">
        <w:t xml:space="preserve"> and expedited release</w:t>
      </w:r>
      <w:r w:rsidR="00A85BE2">
        <w:t>s</w:t>
      </w:r>
      <w:r w:rsidR="00F23438">
        <w:t xml:space="preserve"> related to COVID-19. </w:t>
      </w:r>
    </w:p>
    <w:p w:rsidRPr="007D7A70" w:rsidR="009319E0" w:rsidP="00324D59" w:rsidRDefault="00956C4B" w14:paraId="3D10522C" w14:textId="68F93143">
      <w:pPr>
        <w:pStyle w:val="Heading2"/>
      </w:pPr>
      <w:r w:rsidRPr="007D7A70">
        <w:t>5.</w:t>
      </w:r>
      <w:r w:rsidR="00324D59">
        <w:tab/>
      </w:r>
      <w:r w:rsidRPr="007D7A70">
        <w:t>Impact on Small Businesses</w:t>
      </w:r>
    </w:p>
    <w:p w:rsidR="00962036" w:rsidP="00962036" w:rsidRDefault="00956C4B" w14:paraId="3999CC5C" w14:textId="77777777">
      <w:r w:rsidRPr="007D7A70">
        <w:t xml:space="preserve">Not applicable. The </w:t>
      </w:r>
      <w:r w:rsidRPr="007D7A70" w:rsidR="00974945">
        <w:t>AS</w:t>
      </w:r>
      <w:r w:rsidRPr="007D7A70" w:rsidR="00340789">
        <w:t xml:space="preserve">J </w:t>
      </w:r>
      <w:r w:rsidRPr="007D7A70">
        <w:t>data collection do</w:t>
      </w:r>
      <w:r w:rsidRPr="007D7A70" w:rsidR="00011D28">
        <w:t>es</w:t>
      </w:r>
      <w:r w:rsidRPr="007D7A70">
        <w:t xml:space="preserve"> not involve small businesses. The respondents are </w:t>
      </w:r>
      <w:r w:rsidR="00126EE0">
        <w:t>jail administrators.</w:t>
      </w:r>
    </w:p>
    <w:p w:rsidRPr="007D7A70" w:rsidR="00A51E64" w:rsidP="00962036" w:rsidRDefault="00542E95" w14:paraId="7277EF04" w14:textId="6296431E">
      <w:pPr>
        <w:pStyle w:val="Heading2"/>
      </w:pPr>
      <w:r w:rsidRPr="007D7A70">
        <w:t>6</w:t>
      </w:r>
      <w:r w:rsidRPr="007D7A70" w:rsidR="00A51E64">
        <w:t>.</w:t>
      </w:r>
      <w:r w:rsidRPr="007D7A70" w:rsidR="00493A02">
        <w:tab/>
      </w:r>
      <w:r w:rsidRPr="007D7A70" w:rsidR="00A51E64">
        <w:t>Consequences of Less Frequent Collection</w:t>
      </w:r>
    </w:p>
    <w:p w:rsidRPr="007D7A70" w:rsidR="00283FC1" w:rsidP="0085682A" w:rsidRDefault="00974945" w14:paraId="4B6422FD" w14:textId="0B9A9E9D">
      <w:pPr>
        <w:rPr>
          <w:b/>
        </w:rPr>
      </w:pPr>
      <w:r w:rsidRPr="007D7A70">
        <w:t>Through the AS</w:t>
      </w:r>
      <w:r w:rsidRPr="007D7A70" w:rsidR="00283FC1">
        <w:t xml:space="preserve">J, BJS </w:t>
      </w:r>
      <w:r w:rsidRPr="007D7A70" w:rsidR="00BA1C73">
        <w:t xml:space="preserve">collects </w:t>
      </w:r>
      <w:r w:rsidRPr="007D7A70" w:rsidR="007D7A70">
        <w:t xml:space="preserve">annual </w:t>
      </w:r>
      <w:r w:rsidRPr="007D7A70" w:rsidR="00BA1C73">
        <w:t xml:space="preserve">data on </w:t>
      </w:r>
      <w:r w:rsidRPr="007D7A70">
        <w:t>local jail populations</w:t>
      </w:r>
      <w:r w:rsidRPr="007D7A70" w:rsidR="007D7A70">
        <w:t xml:space="preserve"> and publishes the annual bulletin series </w:t>
      </w:r>
      <w:r w:rsidRPr="007D7A70" w:rsidR="007D7A70">
        <w:rPr>
          <w:i/>
        </w:rPr>
        <w:t>Jail Inmates</w:t>
      </w:r>
      <w:r w:rsidRPr="007D7A70" w:rsidR="00283FC1">
        <w:t xml:space="preserve">. </w:t>
      </w:r>
      <w:r w:rsidRPr="007D7A70" w:rsidR="007D7A70">
        <w:t xml:space="preserve">Timely jail data help policymakers, correctional administrators, and </w:t>
      </w:r>
      <w:r w:rsidRPr="007D7A70" w:rsidR="007D7A70">
        <w:lastRenderedPageBreak/>
        <w:t xml:space="preserve">government officials monitor jail conditions, identify population trends, plan budgets, and develop new policies and procedures. </w:t>
      </w:r>
      <w:r w:rsidRPr="007D7A70">
        <w:t>I</w:t>
      </w:r>
      <w:r w:rsidRPr="007D7A70" w:rsidR="001D0F43">
        <w:t>f the AS</w:t>
      </w:r>
      <w:r w:rsidRPr="007D7A70" w:rsidR="00283FC1">
        <w:t xml:space="preserve">J </w:t>
      </w:r>
      <w:proofErr w:type="gramStart"/>
      <w:r w:rsidRPr="007D7A70" w:rsidR="00283FC1">
        <w:t>were fielded</w:t>
      </w:r>
      <w:proofErr w:type="gramEnd"/>
      <w:r w:rsidRPr="007D7A70" w:rsidR="00283FC1">
        <w:t xml:space="preserve"> less frequently, </w:t>
      </w:r>
      <w:r w:rsidRPr="007D7A70" w:rsidR="001D0F43">
        <w:t xml:space="preserve">BJS would not be able to </w:t>
      </w:r>
      <w:r w:rsidRPr="007D7A70" w:rsidR="0085682A">
        <w:t>deliver crucial policy-relevant data in a timely fashion</w:t>
      </w:r>
      <w:r w:rsidRPr="007D7A70" w:rsidR="007D7A70">
        <w:t xml:space="preserve">. </w:t>
      </w:r>
    </w:p>
    <w:p w:rsidRPr="007D7A70" w:rsidR="00A51E64" w:rsidP="007D7A70" w:rsidRDefault="00BB17DC" w14:paraId="2BFA4CA8" w14:textId="22FAF31D">
      <w:pPr>
        <w:pStyle w:val="Heading2"/>
      </w:pPr>
      <w:r w:rsidRPr="007D7A70">
        <w:t>7</w:t>
      </w:r>
      <w:r w:rsidRPr="007D7A70" w:rsidR="00A51E64">
        <w:t xml:space="preserve">.    </w:t>
      </w:r>
      <w:r w:rsidRPr="007D7A70" w:rsidR="00AC5060">
        <w:tab/>
      </w:r>
      <w:r w:rsidRPr="007D7A70" w:rsidR="00A51E64">
        <w:t>Special Circumstances</w:t>
      </w:r>
      <w:r w:rsidRPr="007D7A70">
        <w:t xml:space="preserve"> Influencing Collection</w:t>
      </w:r>
    </w:p>
    <w:p w:rsidRPr="007D7A70" w:rsidR="00A51E64" w:rsidP="007D7A70" w:rsidRDefault="00A51E64" w14:paraId="1D979F65" w14:textId="3A56A6FF">
      <w:r w:rsidRPr="007D7A70">
        <w:t xml:space="preserve">Not applicable.  </w:t>
      </w:r>
      <w:proofErr w:type="gramStart"/>
      <w:r w:rsidRPr="007D7A70">
        <w:t>There is no circumstance in which a respondent would respond more than once a year and provide more data than on the survey form.</w:t>
      </w:r>
      <w:proofErr w:type="gramEnd"/>
      <w:r w:rsidRPr="007D7A70" w:rsidR="00BB17DC">
        <w:t xml:space="preserve"> </w:t>
      </w:r>
      <w:r w:rsidRPr="007D7A70" w:rsidR="00A266A7">
        <w:t xml:space="preserve">The </w:t>
      </w:r>
      <w:r w:rsidRPr="007D7A70" w:rsidR="001D0F43">
        <w:t>AS</w:t>
      </w:r>
      <w:r w:rsidRPr="007D7A70" w:rsidR="00340789">
        <w:t xml:space="preserve">J </w:t>
      </w:r>
      <w:r w:rsidRPr="007D7A70" w:rsidR="00A266A7">
        <w:t xml:space="preserve">collection </w:t>
      </w:r>
      <w:r w:rsidRPr="007D7A70" w:rsidR="00BE619D">
        <w:t xml:space="preserve">is </w:t>
      </w:r>
      <w:r w:rsidRPr="007D7A70" w:rsidR="00A266A7">
        <w:t xml:space="preserve">consistent with the guidelines in </w:t>
      </w:r>
      <w:proofErr w:type="gramStart"/>
      <w:r w:rsidRPr="007D7A70" w:rsidR="00A266A7">
        <w:t>5</w:t>
      </w:r>
      <w:proofErr w:type="gramEnd"/>
      <w:r w:rsidRPr="007D7A70" w:rsidR="00A266A7">
        <w:t xml:space="preserve"> CFR 1320.6.  </w:t>
      </w:r>
    </w:p>
    <w:p w:rsidRPr="007D7A70" w:rsidR="00C50B56" w:rsidP="007D7A70" w:rsidRDefault="00A266A7" w14:paraId="66C9D11B" w14:textId="104D60F3">
      <w:pPr>
        <w:pStyle w:val="Heading2"/>
      </w:pPr>
      <w:r w:rsidRPr="007D7A70">
        <w:t>8</w:t>
      </w:r>
      <w:r w:rsidRPr="007D7A70" w:rsidR="00A51E64">
        <w:t xml:space="preserve">.     </w:t>
      </w:r>
      <w:r w:rsidRPr="007D7A70" w:rsidR="00AC5060">
        <w:tab/>
      </w:r>
      <w:r w:rsidRPr="007D7A70">
        <w:t xml:space="preserve">Federal Register Publication and Outside </w:t>
      </w:r>
      <w:r w:rsidRPr="007D7A70" w:rsidR="00A51E64">
        <w:t>Consultation</w:t>
      </w:r>
    </w:p>
    <w:p w:rsidR="005F6921" w:rsidP="005F6921" w:rsidRDefault="00283FC1" w14:paraId="67F29364" w14:textId="750DFF88">
      <w:pPr>
        <w:spacing w:after="288" w:afterLines="120"/>
        <w:rPr>
          <w:i/>
          <w:color w:val="000000"/>
        </w:rPr>
      </w:pPr>
      <w:r w:rsidRPr="007D7A70">
        <w:t>The 60 and 30-day notices for public comment were published in the Federal Register</w:t>
      </w:r>
      <w:r w:rsidRPr="007D7A70" w:rsidR="00DE0788">
        <w:t xml:space="preserve"> on </w:t>
      </w:r>
      <w:r w:rsidR="002B06A0">
        <w:rPr>
          <w:highlight w:val="yellow"/>
        </w:rPr>
        <w:t xml:space="preserve">January </w:t>
      </w:r>
      <w:r w:rsidR="006953AD">
        <w:rPr>
          <w:highlight w:val="yellow"/>
        </w:rPr>
        <w:t>27</w:t>
      </w:r>
      <w:r w:rsidRPr="0085682A" w:rsidR="0085682A">
        <w:rPr>
          <w:highlight w:val="yellow"/>
        </w:rPr>
        <w:t>, 2020</w:t>
      </w:r>
      <w:r w:rsidRPr="0085682A" w:rsidR="00FD2246">
        <w:rPr>
          <w:highlight w:val="yellow"/>
        </w:rPr>
        <w:t xml:space="preserve"> </w:t>
      </w:r>
      <w:r w:rsidRPr="0085682A" w:rsidR="00DE0788">
        <w:rPr>
          <w:highlight w:val="yellow"/>
        </w:rPr>
        <w:t xml:space="preserve">and </w:t>
      </w:r>
      <w:r w:rsidR="0028281A">
        <w:rPr>
          <w:highlight w:val="yellow"/>
        </w:rPr>
        <w:t>April</w:t>
      </w:r>
      <w:r w:rsidRPr="0085682A" w:rsidR="002E75D4">
        <w:rPr>
          <w:highlight w:val="yellow"/>
        </w:rPr>
        <w:t xml:space="preserve"> ##, 20</w:t>
      </w:r>
      <w:r w:rsidRPr="0085682A" w:rsidR="0085682A">
        <w:rPr>
          <w:highlight w:val="yellow"/>
        </w:rPr>
        <w:t>20</w:t>
      </w:r>
      <w:r w:rsidRPr="0085682A">
        <w:rPr>
          <w:highlight w:val="yellow"/>
        </w:rPr>
        <w:t xml:space="preserve">. </w:t>
      </w:r>
      <w:r w:rsidRPr="009716CE" w:rsidR="00DF00ED">
        <w:t xml:space="preserve">In addition to emails conveying support for this data collection, </w:t>
      </w:r>
      <w:r w:rsidRPr="009716CE">
        <w:t xml:space="preserve">BJS received </w:t>
      </w:r>
      <w:r w:rsidRPr="009716CE" w:rsidR="00847592">
        <w:t>three</w:t>
      </w:r>
      <w:r w:rsidRPr="009716CE" w:rsidR="00DF00ED">
        <w:t xml:space="preserve"> </w:t>
      </w:r>
      <w:r w:rsidRPr="009716CE">
        <w:t>comment</w:t>
      </w:r>
      <w:r w:rsidRPr="009716CE" w:rsidR="00C27E66">
        <w:t>s</w:t>
      </w:r>
      <w:r w:rsidRPr="009716CE">
        <w:t xml:space="preserve"> in response to the 60-day notice in the Federal Register.</w:t>
      </w:r>
      <w:r w:rsidRPr="009716CE" w:rsidR="00B20F98">
        <w:t xml:space="preserve"> </w:t>
      </w:r>
      <w:r w:rsidR="005F6921">
        <w:t xml:space="preserve">One comment came from </w:t>
      </w:r>
      <w:r w:rsidR="00B416F0">
        <w:t xml:space="preserve">an </w:t>
      </w:r>
      <w:r w:rsidR="005F6921">
        <w:t>advocacy organization</w:t>
      </w:r>
      <w:r w:rsidR="00B416F0">
        <w:t>,</w:t>
      </w:r>
      <w:r w:rsidR="005F6921">
        <w:t xml:space="preserve"> t</w:t>
      </w:r>
      <w:r w:rsidRPr="00B20F98" w:rsidR="005F6921">
        <w:t>he</w:t>
      </w:r>
      <w:r w:rsidR="005F6921">
        <w:t xml:space="preserve"> </w:t>
      </w:r>
      <w:r w:rsidRPr="00F55D50" w:rsidR="005F6921">
        <w:t>Campaign for Youth Justice</w:t>
      </w:r>
      <w:r w:rsidR="005F6921">
        <w:t xml:space="preserve"> (</w:t>
      </w:r>
      <w:r w:rsidRPr="00FC11A7" w:rsidR="005F6921">
        <w:t>CFYJ)</w:t>
      </w:r>
      <w:r w:rsidR="005F6921">
        <w:t>,</w:t>
      </w:r>
      <w:r w:rsidRPr="00B20F98" w:rsidR="005F6921">
        <w:t xml:space="preserve"> </w:t>
      </w:r>
      <w:r w:rsidR="00847592">
        <w:t xml:space="preserve">one from the Pretrial Justice Institute, </w:t>
      </w:r>
      <w:r w:rsidR="00B416F0">
        <w:t xml:space="preserve">and one from the public. </w:t>
      </w:r>
      <w:r w:rsidR="005F6921">
        <w:t xml:space="preserve">The full comments are included in </w:t>
      </w:r>
      <w:r w:rsidR="00165761">
        <w:t>Attachment C</w:t>
      </w:r>
      <w:r w:rsidR="005F6921">
        <w:t xml:space="preserve">. </w:t>
      </w:r>
    </w:p>
    <w:p w:rsidRPr="00324D59" w:rsidR="00580D52" w:rsidP="00324D59" w:rsidRDefault="00580D52" w14:paraId="24193067" w14:textId="77777777">
      <w:pPr>
        <w:pStyle w:val="Heading3"/>
      </w:pPr>
      <w:r w:rsidRPr="009716CE">
        <w:t>60-day Federal Register comments</w:t>
      </w:r>
    </w:p>
    <w:p w:rsidR="00A22713" w:rsidP="00A22713" w:rsidRDefault="00A22713" w14:paraId="0AD3B1AD" w14:textId="04074577">
      <w:pPr>
        <w:spacing w:after="288" w:afterLines="120"/>
      </w:pPr>
      <w:r>
        <w:t xml:space="preserve">The </w:t>
      </w:r>
      <w:r w:rsidRPr="00A831E8">
        <w:t>Federal Policy Counsel</w:t>
      </w:r>
      <w:r w:rsidR="00165761">
        <w:t xml:space="preserve"> at CFYJ </w:t>
      </w:r>
      <w:r>
        <w:t xml:space="preserve">recommended disaggregating the data on persons </w:t>
      </w:r>
      <w:r w:rsidRPr="00053DCC">
        <w:t>age 17 or younger</w:t>
      </w:r>
      <w:r>
        <w:t xml:space="preserve"> by race, to more effectively assess the impact of reform laws </w:t>
      </w:r>
      <w:r w:rsidRPr="00053DCC">
        <w:t>and determine how to address racial and ethnic disparities in the juvenile and criminal justice system</w:t>
      </w:r>
      <w:r>
        <w:t>. The number of juveniles held in local jails has decreased precipitously over the past 10 years, and in 201</w:t>
      </w:r>
      <w:r w:rsidR="00493E33">
        <w:t>8</w:t>
      </w:r>
      <w:r>
        <w:t xml:space="preserve">, they represented less than 0.5% of the total jail population. </w:t>
      </w:r>
      <w:r w:rsidR="00E42DA1">
        <w:t xml:space="preserve">Since the ASJ </w:t>
      </w:r>
      <w:r w:rsidRPr="00495FC4">
        <w:t xml:space="preserve">questionnaire is limited in size and scope in order to retain high response rates, </w:t>
      </w:r>
      <w:r>
        <w:t xml:space="preserve">and </w:t>
      </w:r>
      <w:r w:rsidRPr="00495FC4">
        <w:t xml:space="preserve">the main goal of the </w:t>
      </w:r>
      <w:r w:rsidR="00E42DA1">
        <w:t>AS</w:t>
      </w:r>
      <w:r w:rsidRPr="00495FC4">
        <w:t xml:space="preserve">J is to describe aggregate </w:t>
      </w:r>
      <w:r w:rsidRPr="00495FC4">
        <w:rPr>
          <w:color w:val="000000"/>
        </w:rPr>
        <w:t>population and key subpopulation</w:t>
      </w:r>
      <w:r>
        <w:rPr>
          <w:color w:val="000000"/>
        </w:rPr>
        <w:t xml:space="preserve"> </w:t>
      </w:r>
      <w:r w:rsidRPr="00495FC4">
        <w:t>counts</w:t>
      </w:r>
      <w:r>
        <w:t>, disaggregating a small subpopulation by race will be overly burdensome and may result in nonresponse to the entire juvenile question. BJS will not adopt this suggestion</w:t>
      </w:r>
      <w:r w:rsidRPr="00495FC4">
        <w:t xml:space="preserve">. </w:t>
      </w:r>
    </w:p>
    <w:p w:rsidRPr="0097193D" w:rsidR="009716CE" w:rsidP="009716CE" w:rsidRDefault="009716CE" w14:paraId="3342B470" w14:textId="77777777">
      <w:pPr>
        <w:spacing w:after="288" w:afterLines="120"/>
      </w:pPr>
      <w:r w:rsidRPr="0097193D">
        <w:t xml:space="preserve">The Pretrial Justice Institute (PJI) made several suggestions to the survey instrument, including— </w:t>
      </w:r>
    </w:p>
    <w:p w:rsidRPr="0097193D" w:rsidR="009716CE" w:rsidP="009716CE" w:rsidRDefault="009716CE" w14:paraId="2110ED21" w14:textId="77777777">
      <w:pPr>
        <w:pStyle w:val="ListParagraph"/>
        <w:numPr>
          <w:ilvl w:val="0"/>
          <w:numId w:val="79"/>
        </w:numPr>
        <w:spacing w:after="288" w:afterLines="120"/>
      </w:pPr>
      <w:r w:rsidRPr="0097193D">
        <w:t>Reinstating a question from the 2016 ASJ on the number of inmate deaths;</w:t>
      </w:r>
    </w:p>
    <w:p w:rsidRPr="0097193D" w:rsidR="009716CE" w:rsidP="009716CE" w:rsidRDefault="009716CE" w14:paraId="2165C68F" w14:textId="77777777">
      <w:pPr>
        <w:pStyle w:val="ListParagraph"/>
        <w:numPr>
          <w:ilvl w:val="0"/>
          <w:numId w:val="79"/>
        </w:numPr>
        <w:spacing w:after="288" w:afterLines="120"/>
      </w:pPr>
      <w:r w:rsidRPr="0097193D">
        <w:t xml:space="preserve">Adhering to Census Bureau’s guidelines in collecting race and ethnicity data; </w:t>
      </w:r>
    </w:p>
    <w:p w:rsidRPr="0097193D" w:rsidR="009716CE" w:rsidP="009716CE" w:rsidRDefault="009716CE" w14:paraId="587F1EEF" w14:textId="77777777">
      <w:pPr>
        <w:pStyle w:val="ListParagraph"/>
        <w:numPr>
          <w:ilvl w:val="0"/>
          <w:numId w:val="79"/>
        </w:numPr>
        <w:spacing w:after="288" w:afterLines="120"/>
      </w:pPr>
      <w:r w:rsidRPr="0097193D">
        <w:t>Collecting data on conviction status for inmates by offense severity category (felony, misdemeanor, and other);</w:t>
      </w:r>
    </w:p>
    <w:p w:rsidRPr="0097193D" w:rsidR="009716CE" w:rsidP="009716CE" w:rsidRDefault="009716CE" w14:paraId="1FD29F80" w14:textId="77777777">
      <w:pPr>
        <w:pStyle w:val="ListParagraph"/>
        <w:numPr>
          <w:ilvl w:val="0"/>
          <w:numId w:val="79"/>
        </w:numPr>
        <w:spacing w:after="288" w:afterLines="120"/>
      </w:pPr>
      <w:r w:rsidRPr="0097193D">
        <w:t xml:space="preserve">Asking for racial breakdown of staff and officers; </w:t>
      </w:r>
    </w:p>
    <w:p w:rsidRPr="0097193D" w:rsidR="009716CE" w:rsidP="009716CE" w:rsidRDefault="009716CE" w14:paraId="6E3DC1D2" w14:textId="77777777">
      <w:pPr>
        <w:pStyle w:val="ListParagraph"/>
        <w:numPr>
          <w:ilvl w:val="0"/>
          <w:numId w:val="79"/>
        </w:numPr>
        <w:spacing w:after="288" w:afterLines="120"/>
      </w:pPr>
      <w:r>
        <w:t>Reinstating</w:t>
      </w:r>
      <w:r w:rsidRPr="0097193D">
        <w:t xml:space="preserve"> the question on numbers of inmates supervised outside jail in various programs;</w:t>
      </w:r>
    </w:p>
    <w:p w:rsidRPr="0097193D" w:rsidR="009716CE" w:rsidP="009716CE" w:rsidRDefault="009716CE" w14:paraId="52418AB3" w14:textId="77777777">
      <w:pPr>
        <w:pStyle w:val="ListParagraph"/>
        <w:numPr>
          <w:ilvl w:val="0"/>
          <w:numId w:val="79"/>
        </w:numPr>
        <w:spacing w:after="288" w:afterLines="120"/>
      </w:pPr>
      <w:r w:rsidRPr="0097193D">
        <w:t xml:space="preserve">Breaking down inmate counts by race and ethnicity within each sex and age group; </w:t>
      </w:r>
    </w:p>
    <w:p w:rsidRPr="0097193D" w:rsidR="009716CE" w:rsidP="009716CE" w:rsidRDefault="009716CE" w14:paraId="3772E725" w14:textId="77777777">
      <w:pPr>
        <w:pStyle w:val="ListParagraph"/>
        <w:numPr>
          <w:ilvl w:val="0"/>
          <w:numId w:val="79"/>
        </w:numPr>
        <w:spacing w:after="288" w:afterLines="120"/>
      </w:pPr>
      <w:r w:rsidRPr="0097193D">
        <w:t>Challenging the value in collecting data on inmates U.S. citizenship status.</w:t>
      </w:r>
    </w:p>
    <w:p w:rsidR="009716CE" w:rsidP="009716CE" w:rsidRDefault="009716CE" w14:paraId="4E1A426B" w14:textId="3FC79704">
      <w:pPr>
        <w:rPr>
          <w:color w:val="000000"/>
        </w:rPr>
      </w:pPr>
      <w:r>
        <w:rPr>
          <w:color w:val="000000"/>
        </w:rPr>
        <w:lastRenderedPageBreak/>
        <w:t xml:space="preserve">BJS </w:t>
      </w:r>
      <w:r w:rsidR="006A1776">
        <w:rPr>
          <w:color w:val="000000"/>
        </w:rPr>
        <w:t>plans to</w:t>
      </w:r>
      <w:r>
        <w:rPr>
          <w:color w:val="000000"/>
        </w:rPr>
        <w:t xml:space="preserve"> reinstate the </w:t>
      </w:r>
      <w:r w:rsidRPr="0097193D">
        <w:t>question on numbers of inmates supervised outside jail in various programs</w:t>
      </w:r>
      <w:r>
        <w:t xml:space="preserve"> (suggestion </w:t>
      </w:r>
      <w:r w:rsidR="006A1776">
        <w:t>#5 above). BJS does not plan to collect death counts in the ASJ because BJA is tasked with</w:t>
      </w:r>
      <w:r w:rsidRPr="00151382" w:rsidR="006A1776">
        <w:t xml:space="preserve"> capturing deaths in </w:t>
      </w:r>
      <w:r w:rsidR="006A1776">
        <w:t xml:space="preserve">jail </w:t>
      </w:r>
      <w:r w:rsidRPr="00151382" w:rsidR="006A1776">
        <w:t>custody</w:t>
      </w:r>
      <w:r w:rsidR="000F2F68">
        <w:t xml:space="preserve"> starting from 2020; collecting death counts in the ASJ will result in duplicate work. BJS will continue to use the existing race and ethnic categories (non-Hispanic white, non-Hispanic black, Hispanic, non-Hispanic American Indian and Alaska Natives, non-Hispanic Asian, non-Hispanic </w:t>
      </w:r>
      <w:r w:rsidRPr="000F2F68" w:rsidR="000F2F68">
        <w:t>Native Hawaiian or Other Pacific Islander, Two or more races, and other)</w:t>
      </w:r>
      <w:r w:rsidR="000F2F68">
        <w:t xml:space="preserve"> in the ASJ because </w:t>
      </w:r>
      <w:r w:rsidR="00897805">
        <w:t>they</w:t>
      </w:r>
      <w:r w:rsidR="000F2F68">
        <w:t xml:space="preserve"> </w:t>
      </w:r>
      <w:r w:rsidR="00E3578B">
        <w:t>strike</w:t>
      </w:r>
      <w:r w:rsidR="000F2F68">
        <w:t xml:space="preserve"> </w:t>
      </w:r>
      <w:r w:rsidR="00E3578B">
        <w:t>a</w:t>
      </w:r>
      <w:r w:rsidR="000F2F68">
        <w:t xml:space="preserve"> balance between specificity and burden</w:t>
      </w:r>
      <w:r w:rsidR="00E3578B">
        <w:t xml:space="preserve"> in</w:t>
      </w:r>
      <w:r w:rsidR="000F2F68">
        <w:t xml:space="preserve"> collecting </w:t>
      </w:r>
      <w:r w:rsidRPr="00897805" w:rsidR="000F2F68">
        <w:rPr>
          <w:i/>
        </w:rPr>
        <w:t>aggregate</w:t>
      </w:r>
      <w:r w:rsidR="000F2F68">
        <w:t xml:space="preserve"> race data</w:t>
      </w:r>
      <w:r w:rsidR="00E3578B">
        <w:t xml:space="preserve"> from jails</w:t>
      </w:r>
      <w:r w:rsidR="00897805">
        <w:t>. BJS will not adopt suggestions #3, #6, and #7 because they add significant burden to jail respondents and will likely affect response rates as a result.</w:t>
      </w:r>
    </w:p>
    <w:p w:rsidRPr="00B416F0" w:rsidR="001170C1" w:rsidP="00B416F0" w:rsidRDefault="00367FB5" w14:paraId="482BAAD5" w14:textId="48E39B34">
      <w:pPr>
        <w:rPr>
          <w:color w:val="000000"/>
        </w:rPr>
      </w:pPr>
      <w:r>
        <w:rPr>
          <w:color w:val="000000"/>
        </w:rPr>
        <w:t>A</w:t>
      </w:r>
      <w:r w:rsidR="001170C1">
        <w:rPr>
          <w:color w:val="000000"/>
        </w:rPr>
        <w:t xml:space="preserve"> member of the public </w:t>
      </w:r>
      <w:r w:rsidR="001170C1">
        <w:t xml:space="preserve">suggested that </w:t>
      </w:r>
      <w:r>
        <w:t>the ASJ</w:t>
      </w:r>
      <w:r w:rsidR="00AD1E13">
        <w:t xml:space="preserve"> collect data on whether a jail’s</w:t>
      </w:r>
      <w:r>
        <w:t xml:space="preserve"> medical department </w:t>
      </w:r>
      <w:proofErr w:type="gramStart"/>
      <w:r w:rsidR="00AD1E13">
        <w:t xml:space="preserve">has been </w:t>
      </w:r>
      <w:r>
        <w:t>surveyed</w:t>
      </w:r>
      <w:proofErr w:type="gramEnd"/>
      <w:r>
        <w:t xml:space="preserve"> and whether it is accredited, or not, by a national correctional organization such as the American Correctional Association (ACA), the National Commission on Correctional Health Care (NCCHC) or any nationwide correctional health accrediting body. </w:t>
      </w:r>
      <w:r w:rsidRPr="00293A3A" w:rsidR="003B4D9B">
        <w:t>While BJS understa</w:t>
      </w:r>
      <w:r w:rsidR="003B4D9B">
        <w:t>nds the interest in these data, it</w:t>
      </w:r>
      <w:r w:rsidR="00715D49">
        <w:t xml:space="preserve"> will not adopt </w:t>
      </w:r>
      <w:r w:rsidR="003B4D9B">
        <w:t>the</w:t>
      </w:r>
      <w:r w:rsidR="00715D49">
        <w:t xml:space="preserve"> suggestion for several reasons. </w:t>
      </w:r>
      <w:r w:rsidR="003B4D9B">
        <w:t>First, t</w:t>
      </w:r>
      <w:r w:rsidR="00AD1E13">
        <w:t>he AS</w:t>
      </w:r>
      <w:r w:rsidR="001170C1">
        <w:t>J</w:t>
      </w:r>
      <w:r w:rsidR="008F6217">
        <w:t xml:space="preserve"> </w:t>
      </w:r>
      <w:proofErr w:type="gramStart"/>
      <w:r w:rsidR="008F6217">
        <w:t>is focused</w:t>
      </w:r>
      <w:proofErr w:type="gramEnd"/>
      <w:r w:rsidR="008F6217">
        <w:t xml:space="preserve"> on jail </w:t>
      </w:r>
      <w:r w:rsidR="00580B36">
        <w:t xml:space="preserve">inmate </w:t>
      </w:r>
      <w:r w:rsidR="008F6217">
        <w:t xml:space="preserve">population </w:t>
      </w:r>
      <w:r w:rsidR="00580B36">
        <w:t>statistics</w:t>
      </w:r>
      <w:r w:rsidR="008F6217">
        <w:t xml:space="preserve"> and its</w:t>
      </w:r>
      <w:r w:rsidR="001170C1">
        <w:t xml:space="preserve"> limited scope does not </w:t>
      </w:r>
      <w:r w:rsidR="003B4D9B">
        <w:t>include</w:t>
      </w:r>
      <w:r w:rsidR="001170C1">
        <w:t xml:space="preserve"> </w:t>
      </w:r>
      <w:r w:rsidR="008F6217">
        <w:t>accreditation information of correctional medical departments</w:t>
      </w:r>
      <w:r w:rsidR="001170C1">
        <w:t>.</w:t>
      </w:r>
      <w:r w:rsidR="00580B36">
        <w:t xml:space="preserve"> </w:t>
      </w:r>
      <w:r w:rsidR="008022FD">
        <w:t>Second</w:t>
      </w:r>
      <w:r w:rsidR="00580B36">
        <w:t>, individual jails’ accreditation information is available from the ACA, so collec</w:t>
      </w:r>
      <w:r w:rsidR="00B416F0">
        <w:t>ting it in the ASJ will result in duplicate work</w:t>
      </w:r>
      <w:r w:rsidR="00715D49">
        <w:t>.</w:t>
      </w:r>
      <w:r w:rsidR="00B416F0">
        <w:t xml:space="preserve"> </w:t>
      </w:r>
    </w:p>
    <w:p w:rsidRPr="00324D59" w:rsidR="000A4622" w:rsidP="00324D59" w:rsidRDefault="000A4622" w14:paraId="46B66893" w14:textId="394042D1">
      <w:pPr>
        <w:pStyle w:val="Heading3"/>
        <w:rPr>
          <w:color w:val="000000"/>
        </w:rPr>
      </w:pPr>
      <w:r w:rsidRPr="00324D59">
        <w:t>Other outside consultation</w:t>
      </w:r>
    </w:p>
    <w:p w:rsidRPr="007D7A70" w:rsidR="000A4622" w:rsidP="00324D59" w:rsidRDefault="003C7DAF" w14:paraId="5ED6AEC9" w14:textId="68F6CA2A">
      <w:pPr>
        <w:rPr>
          <w:b/>
          <w:bCs/>
        </w:rPr>
      </w:pPr>
      <w:r>
        <w:t>The updated ASJ instrument</w:t>
      </w:r>
      <w:r w:rsidR="00227D53">
        <w:t>s</w:t>
      </w:r>
      <w:r>
        <w:t xml:space="preserve"> </w:t>
      </w:r>
      <w:r w:rsidR="00227D53">
        <w:t>include</w:t>
      </w:r>
      <w:r w:rsidR="00F375FE">
        <w:t xml:space="preserve"> </w:t>
      </w:r>
      <w:r w:rsidR="00227D53">
        <w:t>three</w:t>
      </w:r>
      <w:r w:rsidR="00F375FE">
        <w:t xml:space="preserve"> new</w:t>
      </w:r>
      <w:r>
        <w:t xml:space="preserve"> items that </w:t>
      </w:r>
      <w:proofErr w:type="gramStart"/>
      <w:r>
        <w:t>were tested</w:t>
      </w:r>
      <w:proofErr w:type="gramEnd"/>
      <w:r>
        <w:t xml:space="preserve"> through a cognitive test</w:t>
      </w:r>
      <w:r w:rsidR="00503B31">
        <w:t xml:space="preserve"> </w:t>
      </w:r>
      <w:r w:rsidRPr="007D7A70" w:rsidR="00503B31">
        <w:t>under generic clearance OMB 1121-0339</w:t>
      </w:r>
      <w:r>
        <w:t xml:space="preserve">. </w:t>
      </w:r>
      <w:r w:rsidR="00503B31">
        <w:t xml:space="preserve">During the cognitive test, BJS </w:t>
      </w:r>
      <w:r w:rsidR="008A4A6D">
        <w:t>interviewed</w:t>
      </w:r>
      <w:r w:rsidR="00503B31">
        <w:t xml:space="preserve"> th</w:t>
      </w:r>
      <w:r w:rsidR="008A4A6D">
        <w:t>e following 33 jail respondents</w:t>
      </w:r>
      <w:r w:rsidR="00B421A7">
        <w:t>:</w:t>
      </w:r>
    </w:p>
    <w:p w:rsidRPr="007D7A70" w:rsidR="00283FC1" w:rsidP="005B64A2" w:rsidRDefault="00283FC1" w14:paraId="712A25FE" w14:textId="77777777">
      <w:pPr>
        <w:pStyle w:val="ListParagraph"/>
        <w:rPr>
          <w:b/>
          <w:bCs/>
        </w:rPr>
      </w:pPr>
      <w:r w:rsidRPr="007D7A70">
        <w:t>Ms. Starr Ridley from Prince George's County Department of Corrections, MD</w:t>
      </w:r>
    </w:p>
    <w:p w:rsidRPr="007D7A70" w:rsidR="00283FC1" w:rsidP="005B64A2" w:rsidRDefault="00283FC1" w14:paraId="79007316" w14:textId="77777777">
      <w:pPr>
        <w:pStyle w:val="ListParagraph"/>
        <w:rPr>
          <w:b/>
          <w:bCs/>
        </w:rPr>
      </w:pPr>
      <w:r w:rsidRPr="007D7A70">
        <w:t>Jail Administrator Elaine Davis from Kossuth County Sheriff's Office, IA</w:t>
      </w:r>
    </w:p>
    <w:p w:rsidRPr="007D7A70" w:rsidR="00283FC1" w:rsidP="005B64A2" w:rsidRDefault="00283FC1" w14:paraId="214C0FE6" w14:textId="77777777">
      <w:pPr>
        <w:pStyle w:val="ListParagraph"/>
        <w:rPr>
          <w:b/>
          <w:bCs/>
        </w:rPr>
      </w:pPr>
      <w:r w:rsidRPr="007D7A70">
        <w:t xml:space="preserve">Jail Administrator Jon </w:t>
      </w:r>
      <w:proofErr w:type="spellStart"/>
      <w:r w:rsidRPr="007D7A70">
        <w:t>Borgman</w:t>
      </w:r>
      <w:proofErr w:type="spellEnd"/>
      <w:r w:rsidRPr="007D7A70">
        <w:t xml:space="preserve"> from Newaygo County Sheriff's Office, MI</w:t>
      </w:r>
    </w:p>
    <w:p w:rsidRPr="007D7A70" w:rsidR="00283FC1" w:rsidP="005B64A2" w:rsidRDefault="00283FC1" w14:paraId="7E0ABC99" w14:textId="77777777">
      <w:pPr>
        <w:pStyle w:val="ListParagraph"/>
        <w:rPr>
          <w:b/>
          <w:bCs/>
        </w:rPr>
      </w:pPr>
      <w:r w:rsidRPr="007D7A70">
        <w:t>Captain Roger Bodine from Yellowstone County Sheriff's Office, MT</w:t>
      </w:r>
    </w:p>
    <w:p w:rsidRPr="007D7A70" w:rsidR="00283FC1" w:rsidP="005B64A2" w:rsidRDefault="00283FC1" w14:paraId="7CF235CF" w14:textId="77777777">
      <w:pPr>
        <w:pStyle w:val="ListParagraph"/>
        <w:rPr>
          <w:b/>
          <w:bCs/>
        </w:rPr>
      </w:pPr>
      <w:r w:rsidRPr="007D7A70">
        <w:t xml:space="preserve">Captain Nick </w:t>
      </w:r>
      <w:proofErr w:type="spellStart"/>
      <w:r w:rsidRPr="007D7A70">
        <w:t>Gallam</w:t>
      </w:r>
      <w:proofErr w:type="spellEnd"/>
      <w:r w:rsidRPr="007D7A70">
        <w:t xml:space="preserve"> from Aiken County Sheriff's Office, SC</w:t>
      </w:r>
    </w:p>
    <w:p w:rsidRPr="007D7A70" w:rsidR="00283FC1" w:rsidP="005B64A2" w:rsidRDefault="00283FC1" w14:paraId="73074CB1" w14:textId="77777777">
      <w:pPr>
        <w:pStyle w:val="ListParagraph"/>
        <w:rPr>
          <w:b/>
          <w:bCs/>
        </w:rPr>
      </w:pPr>
      <w:r w:rsidRPr="007D7A70">
        <w:t>Captain William Vaughn from Anderson County Sheriff's Office Detention Center, SC</w:t>
      </w:r>
    </w:p>
    <w:p w:rsidRPr="007D7A70" w:rsidR="00283FC1" w:rsidP="005B64A2" w:rsidRDefault="00283FC1" w14:paraId="7A16244C" w14:textId="77777777">
      <w:pPr>
        <w:pStyle w:val="ListParagraph"/>
        <w:rPr>
          <w:b/>
          <w:bCs/>
        </w:rPr>
      </w:pPr>
      <w:r w:rsidRPr="007D7A70">
        <w:t xml:space="preserve">Commander </w:t>
      </w:r>
      <w:r w:rsidRPr="005B64A2">
        <w:t>Sean</w:t>
      </w:r>
      <w:r w:rsidRPr="007D7A70">
        <w:t xml:space="preserve"> Doty from Lynnwood Police Department, WA</w:t>
      </w:r>
    </w:p>
    <w:p w:rsidRPr="007D7A70" w:rsidR="00283FC1" w:rsidP="005B64A2" w:rsidRDefault="00283FC1" w14:paraId="3E7B7D82" w14:textId="77777777">
      <w:pPr>
        <w:pStyle w:val="ListParagraph"/>
        <w:rPr>
          <w:b/>
          <w:bCs/>
        </w:rPr>
      </w:pPr>
      <w:r w:rsidRPr="007D7A70">
        <w:t xml:space="preserve">Dr. </w:t>
      </w:r>
      <w:proofErr w:type="spellStart"/>
      <w:r w:rsidRPr="007D7A70">
        <w:t>Reena</w:t>
      </w:r>
      <w:proofErr w:type="spellEnd"/>
      <w:r w:rsidRPr="007D7A70">
        <w:t xml:space="preserve"> Chakraborty from D.C. Department of Corrections, DC</w:t>
      </w:r>
    </w:p>
    <w:p w:rsidRPr="007D7A70" w:rsidR="00283FC1" w:rsidP="005B64A2" w:rsidRDefault="00283FC1" w14:paraId="228AAE7C" w14:textId="77777777">
      <w:pPr>
        <w:pStyle w:val="ListParagraph"/>
        <w:rPr>
          <w:b/>
          <w:bCs/>
        </w:rPr>
      </w:pPr>
      <w:r w:rsidRPr="007D7A70">
        <w:t xml:space="preserve">Ms. Alissa </w:t>
      </w:r>
      <w:proofErr w:type="spellStart"/>
      <w:r w:rsidRPr="007D7A70">
        <w:t>Milbourne</w:t>
      </w:r>
      <w:proofErr w:type="spellEnd"/>
      <w:r w:rsidRPr="007D7A70">
        <w:t xml:space="preserve"> from Maricopa County Sheriff's Office, AZ</w:t>
      </w:r>
    </w:p>
    <w:p w:rsidRPr="007D7A70" w:rsidR="00283FC1" w:rsidP="005B64A2" w:rsidRDefault="00283FC1" w14:paraId="3D547EBF" w14:textId="77777777">
      <w:pPr>
        <w:pStyle w:val="ListParagraph"/>
        <w:rPr>
          <w:b/>
          <w:bCs/>
        </w:rPr>
      </w:pPr>
      <w:r w:rsidRPr="007D7A70">
        <w:t>Lieutenant Jason Ramos from Sacramento County Sheriff's Department - Main Jail, CA</w:t>
      </w:r>
    </w:p>
    <w:p w:rsidRPr="007D7A70" w:rsidR="00283FC1" w:rsidP="005B64A2" w:rsidRDefault="00283FC1" w14:paraId="6D8F4BF6" w14:textId="77777777">
      <w:pPr>
        <w:pStyle w:val="ListParagraph"/>
        <w:rPr>
          <w:b/>
          <w:bCs/>
        </w:rPr>
      </w:pPr>
      <w:r w:rsidRPr="007D7A70">
        <w:t>Ms. Carrie Breeden from Lee County Sheriff's Office, FL</w:t>
      </w:r>
    </w:p>
    <w:p w:rsidRPr="007D7A70" w:rsidR="00283FC1" w:rsidP="005B64A2" w:rsidRDefault="00283FC1" w14:paraId="2D620FC2" w14:textId="77777777">
      <w:pPr>
        <w:pStyle w:val="ListParagraph"/>
        <w:rPr>
          <w:b/>
          <w:bCs/>
        </w:rPr>
      </w:pPr>
      <w:r w:rsidRPr="007D7A70">
        <w:t>Captain Jared Schechter from Sedgwick County Sheriff's Office, KS</w:t>
      </w:r>
    </w:p>
    <w:p w:rsidRPr="007D7A70" w:rsidR="00283FC1" w:rsidP="005B64A2" w:rsidRDefault="00283FC1" w14:paraId="260354D4" w14:textId="46B3AF53">
      <w:pPr>
        <w:pStyle w:val="ListParagraph"/>
        <w:rPr>
          <w:b/>
          <w:bCs/>
        </w:rPr>
      </w:pPr>
      <w:r w:rsidRPr="007D7A70">
        <w:t xml:space="preserve">Major Marco </w:t>
      </w:r>
      <w:proofErr w:type="spellStart"/>
      <w:r w:rsidRPr="007D7A70">
        <w:t>Giannetta</w:t>
      </w:r>
      <w:proofErr w:type="spellEnd"/>
      <w:r w:rsidRPr="007D7A70">
        <w:t xml:space="preserve"> from Philadelphia Department of Prisons, PA</w:t>
      </w:r>
    </w:p>
    <w:p w:rsidRPr="007D7A70" w:rsidR="00283FC1" w:rsidP="005B64A2" w:rsidRDefault="00283FC1" w14:paraId="68DA0A33" w14:textId="77777777">
      <w:pPr>
        <w:pStyle w:val="ListParagraph"/>
        <w:rPr>
          <w:b/>
          <w:bCs/>
        </w:rPr>
      </w:pPr>
      <w:r w:rsidRPr="007D7A70">
        <w:t>Jail Administrator Joey Pederson from Tri County Community Corrections, MN</w:t>
      </w:r>
    </w:p>
    <w:p w:rsidRPr="007D7A70" w:rsidR="00283FC1" w:rsidP="005B64A2" w:rsidRDefault="00283FC1" w14:paraId="0FC647C8" w14:textId="77777777">
      <w:pPr>
        <w:pStyle w:val="ListParagraph"/>
        <w:rPr>
          <w:b/>
          <w:bCs/>
        </w:rPr>
      </w:pPr>
      <w:r w:rsidRPr="007D7A70">
        <w:t>Major Julie Tipton from Cleveland County Sheriff's Office, OK</w:t>
      </w:r>
    </w:p>
    <w:p w:rsidRPr="007D7A70" w:rsidR="00283FC1" w:rsidP="005B64A2" w:rsidRDefault="00283FC1" w14:paraId="44BC83CB" w14:textId="77777777">
      <w:pPr>
        <w:pStyle w:val="ListParagraph"/>
        <w:rPr>
          <w:b/>
          <w:bCs/>
        </w:rPr>
      </w:pPr>
      <w:r w:rsidRPr="007D7A70">
        <w:t>Ms. Hope Goldman from Spartanburg County Detention Facility, SC</w:t>
      </w:r>
    </w:p>
    <w:p w:rsidRPr="007D7A70" w:rsidR="00283FC1" w:rsidP="005B64A2" w:rsidRDefault="00283FC1" w14:paraId="0F18EF2C" w14:textId="77777777">
      <w:pPr>
        <w:pStyle w:val="ListParagraph"/>
        <w:rPr>
          <w:b/>
          <w:bCs/>
        </w:rPr>
      </w:pPr>
      <w:r w:rsidRPr="007D7A70">
        <w:lastRenderedPageBreak/>
        <w:t xml:space="preserve">Superintendent Jason J. </w:t>
      </w:r>
      <w:proofErr w:type="spellStart"/>
      <w:r w:rsidRPr="007D7A70">
        <w:t>Edgcomb</w:t>
      </w:r>
      <w:proofErr w:type="spellEnd"/>
      <w:r w:rsidRPr="007D7A70">
        <w:t xml:space="preserve"> from LaSalle County Jail, IL</w:t>
      </w:r>
    </w:p>
    <w:p w:rsidRPr="007D7A70" w:rsidR="00283FC1" w:rsidP="005B64A2" w:rsidRDefault="00283FC1" w14:paraId="4A9C1817" w14:textId="77777777">
      <w:pPr>
        <w:pStyle w:val="ListParagraph"/>
        <w:rPr>
          <w:b/>
          <w:bCs/>
        </w:rPr>
      </w:pPr>
      <w:r w:rsidRPr="007D7A70">
        <w:t>Administrative Secretary Kori Hebert from St. Charles Parish Sheriff's Office, LA</w:t>
      </w:r>
    </w:p>
    <w:p w:rsidRPr="007D7A70" w:rsidR="00283FC1" w:rsidP="005B64A2" w:rsidRDefault="00283FC1" w14:paraId="61551188" w14:textId="7659EADA">
      <w:pPr>
        <w:pStyle w:val="ListParagraph"/>
        <w:rPr>
          <w:b/>
          <w:bCs/>
        </w:rPr>
      </w:pPr>
      <w:r w:rsidRPr="007D7A70">
        <w:t xml:space="preserve">Corp. Jessica </w:t>
      </w:r>
      <w:proofErr w:type="spellStart"/>
      <w:r w:rsidRPr="007D7A70">
        <w:t>Schuelke</w:t>
      </w:r>
      <w:proofErr w:type="spellEnd"/>
      <w:r w:rsidRPr="007D7A70">
        <w:t xml:space="preserve"> from Hays County Sheriff's Office, TX</w:t>
      </w:r>
    </w:p>
    <w:p w:rsidRPr="007D7A70" w:rsidR="00283FC1" w:rsidP="005B64A2" w:rsidRDefault="00283FC1" w14:paraId="178E6CD2" w14:textId="77777777">
      <w:pPr>
        <w:pStyle w:val="ListParagraph"/>
        <w:rPr>
          <w:b/>
          <w:bCs/>
        </w:rPr>
      </w:pPr>
      <w:r w:rsidRPr="007D7A70">
        <w:t>Ms. Debbie Richmond from South Central Regional Jail - West Virginia Regional Jail and Correctional Facility Authority, WV</w:t>
      </w:r>
    </w:p>
    <w:p w:rsidRPr="007D7A70" w:rsidR="00283FC1" w:rsidP="005B64A2" w:rsidRDefault="00283FC1" w14:paraId="4DF162AB" w14:textId="77777777">
      <w:pPr>
        <w:pStyle w:val="ListParagraph"/>
        <w:rPr>
          <w:b/>
          <w:bCs/>
        </w:rPr>
      </w:pPr>
      <w:r w:rsidRPr="007D7A70">
        <w:t>Jail Administrator Lori Leahy from Green Lake County Sheriff's Office, WI</w:t>
      </w:r>
    </w:p>
    <w:p w:rsidRPr="007D7A70" w:rsidR="00283FC1" w:rsidP="005B64A2" w:rsidRDefault="00283FC1" w14:paraId="406324AB" w14:textId="77777777">
      <w:pPr>
        <w:pStyle w:val="ListParagraph"/>
        <w:rPr>
          <w:b/>
          <w:bCs/>
        </w:rPr>
      </w:pPr>
      <w:r w:rsidRPr="007D7A70">
        <w:t xml:space="preserve">Sgt. Mark </w:t>
      </w:r>
      <w:proofErr w:type="spellStart"/>
      <w:r w:rsidRPr="007D7A70">
        <w:t>Beatley</w:t>
      </w:r>
      <w:proofErr w:type="spellEnd"/>
      <w:r w:rsidRPr="007D7A70">
        <w:t xml:space="preserve"> from Marion County Jail, IN</w:t>
      </w:r>
    </w:p>
    <w:p w:rsidRPr="007D7A70" w:rsidR="00283FC1" w:rsidP="005B64A2" w:rsidRDefault="00283FC1" w14:paraId="36829933" w14:textId="77777777">
      <w:pPr>
        <w:pStyle w:val="ListParagraph"/>
        <w:rPr>
          <w:b/>
          <w:bCs/>
        </w:rPr>
      </w:pPr>
      <w:r w:rsidRPr="007D7A70">
        <w:t>Chief Deputy Pat Williamson from Jasper County Sheriff's Office, IN</w:t>
      </w:r>
    </w:p>
    <w:p w:rsidRPr="007D7A70" w:rsidR="00283FC1" w:rsidP="005B64A2" w:rsidRDefault="00283FC1" w14:paraId="4B3C14A4" w14:textId="77777777">
      <w:pPr>
        <w:pStyle w:val="ListParagraph"/>
        <w:rPr>
          <w:b/>
          <w:bCs/>
        </w:rPr>
      </w:pPr>
      <w:r w:rsidRPr="007D7A70">
        <w:t xml:space="preserve">Sgt. George </w:t>
      </w:r>
      <w:proofErr w:type="spellStart"/>
      <w:r w:rsidRPr="007D7A70">
        <w:t>McCreless</w:t>
      </w:r>
      <w:proofErr w:type="spellEnd"/>
      <w:r w:rsidRPr="007D7A70">
        <w:t xml:space="preserve"> Jr. from Jefferson County Sheriff's Office, AL</w:t>
      </w:r>
    </w:p>
    <w:p w:rsidRPr="007D7A70" w:rsidR="00283FC1" w:rsidP="005B64A2" w:rsidRDefault="00283FC1" w14:paraId="5AF0AC9F" w14:textId="77777777">
      <w:pPr>
        <w:pStyle w:val="ListParagraph"/>
        <w:rPr>
          <w:b/>
          <w:bCs/>
        </w:rPr>
      </w:pPr>
      <w:r w:rsidRPr="007D7A70">
        <w:t xml:space="preserve">Capt. Sharon </w:t>
      </w:r>
      <w:proofErr w:type="spellStart"/>
      <w:r w:rsidRPr="007D7A70">
        <w:t>Piggs</w:t>
      </w:r>
      <w:proofErr w:type="spellEnd"/>
      <w:r w:rsidRPr="007D7A70">
        <w:t xml:space="preserve"> from Caddo Parish Sheriff's Office, LA</w:t>
      </w:r>
    </w:p>
    <w:p w:rsidRPr="007D7A70" w:rsidR="00283FC1" w:rsidP="005B64A2" w:rsidRDefault="00283FC1" w14:paraId="5E1B2FD1" w14:textId="77777777">
      <w:pPr>
        <w:pStyle w:val="ListParagraph"/>
        <w:rPr>
          <w:b/>
          <w:bCs/>
        </w:rPr>
      </w:pPr>
      <w:r w:rsidRPr="007D7A70">
        <w:t>Lieutenant Joe Vasquez from Hidalgo County Sheriff's Office, TX</w:t>
      </w:r>
    </w:p>
    <w:p w:rsidRPr="007D7A70" w:rsidR="00283FC1" w:rsidP="005B64A2" w:rsidRDefault="00283FC1" w14:paraId="54065FE2" w14:textId="77777777">
      <w:pPr>
        <w:pStyle w:val="ListParagraph"/>
        <w:rPr>
          <w:b/>
          <w:bCs/>
        </w:rPr>
      </w:pPr>
      <w:r w:rsidRPr="007D7A70">
        <w:t xml:space="preserve">Ms. Tammy </w:t>
      </w:r>
      <w:proofErr w:type="spellStart"/>
      <w:r w:rsidRPr="007D7A70">
        <w:t>Zacherl</w:t>
      </w:r>
      <w:proofErr w:type="spellEnd"/>
      <w:r w:rsidRPr="007D7A70">
        <w:t xml:space="preserve"> from Bay County Jail Facility, FL</w:t>
      </w:r>
    </w:p>
    <w:p w:rsidRPr="007D7A70" w:rsidR="00283FC1" w:rsidP="005B64A2" w:rsidRDefault="00283FC1" w14:paraId="13993DB7" w14:textId="77777777">
      <w:pPr>
        <w:pStyle w:val="ListParagraph"/>
        <w:rPr>
          <w:b/>
          <w:bCs/>
        </w:rPr>
      </w:pPr>
      <w:r w:rsidRPr="007D7A70">
        <w:t>Warden Carl Patrick from Morehouse Parish Sheriff's Office, LA</w:t>
      </w:r>
    </w:p>
    <w:p w:rsidRPr="007D7A70" w:rsidR="00283FC1" w:rsidP="005B64A2" w:rsidRDefault="00283FC1" w14:paraId="78E15C6F" w14:textId="77777777">
      <w:pPr>
        <w:pStyle w:val="ListParagraph"/>
        <w:rPr>
          <w:b/>
          <w:bCs/>
        </w:rPr>
      </w:pPr>
      <w:r w:rsidRPr="007D7A70">
        <w:t>Lieutenant CM Hicks from Pitt County Sheriff's Office, NC</w:t>
      </w:r>
    </w:p>
    <w:p w:rsidRPr="007D7A70" w:rsidR="00283FC1" w:rsidP="005B64A2" w:rsidRDefault="00283FC1" w14:paraId="78A40F0C" w14:textId="77777777">
      <w:pPr>
        <w:pStyle w:val="ListParagraph"/>
        <w:rPr>
          <w:b/>
          <w:bCs/>
        </w:rPr>
      </w:pPr>
      <w:r w:rsidRPr="007D7A70">
        <w:t>Lieutenant Calvin Moore from Loudoun County Sheriff's Office, VA</w:t>
      </w:r>
    </w:p>
    <w:p w:rsidRPr="007D7A70" w:rsidR="00283FC1" w:rsidP="005B64A2" w:rsidRDefault="00283FC1" w14:paraId="48E241F6" w14:textId="77777777">
      <w:pPr>
        <w:pStyle w:val="ListParagraph"/>
        <w:rPr>
          <w:b/>
          <w:bCs/>
        </w:rPr>
      </w:pPr>
      <w:r w:rsidRPr="007D7A70">
        <w:t>Ms. Carrie Breen from Lewis County Sheriff's Office, WA</w:t>
      </w:r>
    </w:p>
    <w:p w:rsidRPr="007D7A70" w:rsidR="00283FC1" w:rsidP="005B64A2" w:rsidRDefault="00283FC1" w14:paraId="2B0944EC" w14:textId="77777777">
      <w:pPr>
        <w:pStyle w:val="ListParagraph"/>
        <w:rPr>
          <w:b/>
          <w:bCs/>
        </w:rPr>
      </w:pPr>
      <w:r w:rsidRPr="007D7A70">
        <w:t>Mr. Cortez Rainey from Division of Pretrial Detention and Services (DPDS), MD</w:t>
      </w:r>
    </w:p>
    <w:p w:rsidRPr="007D7A70" w:rsidR="00283FC1" w:rsidP="005B64A2" w:rsidRDefault="00283FC1" w14:paraId="1DA5E150" w14:textId="77777777">
      <w:pPr>
        <w:pStyle w:val="ListParagraph"/>
        <w:rPr>
          <w:b/>
          <w:bCs/>
        </w:rPr>
      </w:pPr>
      <w:r w:rsidRPr="007D7A70">
        <w:t>Sgt. Daniel Beck from Passaic County Sheriff's Office, NJ</w:t>
      </w:r>
    </w:p>
    <w:p w:rsidRPr="00F375FE" w:rsidR="004E076E" w:rsidP="004E076E" w:rsidRDefault="00A53013" w14:paraId="7CA654C5" w14:textId="564467A7">
      <w:pPr>
        <w:rPr>
          <w:b/>
          <w:bCs/>
        </w:rPr>
      </w:pPr>
      <w:r>
        <w:t>T</w:t>
      </w:r>
      <w:r w:rsidRPr="00F375FE" w:rsidR="00F375FE">
        <w:t>he 2020 and 2021 ASJ instrument</w:t>
      </w:r>
      <w:r>
        <w:t>s</w:t>
      </w:r>
      <w:r w:rsidRPr="00F375FE" w:rsidR="00F375FE">
        <w:t xml:space="preserve"> will include several new</w:t>
      </w:r>
      <w:r w:rsidRPr="00F375FE" w:rsidR="00E2242B">
        <w:t xml:space="preserve"> COVID-19 related questions in response to the public health emergency. </w:t>
      </w:r>
      <w:r w:rsidR="00C10498">
        <w:t>BJS wrote the questions in April 2020 and</w:t>
      </w:r>
      <w:r w:rsidRPr="00F375FE" w:rsidR="00E2242B">
        <w:t xml:space="preserve"> consulted </w:t>
      </w:r>
      <w:r w:rsidRPr="00F375FE" w:rsidR="00F375FE">
        <w:t xml:space="preserve">the following </w:t>
      </w:r>
      <w:r w:rsidR="00C80399">
        <w:t>nine</w:t>
      </w:r>
      <w:r w:rsidRPr="00F375FE" w:rsidR="00E2242B">
        <w:t xml:space="preserve"> outside experts and jail respondents</w:t>
      </w:r>
      <w:r w:rsidR="0048083B">
        <w:t xml:space="preserve"> on</w:t>
      </w:r>
      <w:r w:rsidR="00C10498">
        <w:t xml:space="preserve"> question design</w:t>
      </w:r>
      <w:r w:rsidRPr="00F375FE" w:rsidR="004E076E">
        <w:t>:</w:t>
      </w:r>
    </w:p>
    <w:p w:rsidRPr="00C80399" w:rsidR="00C80399" w:rsidP="00C80399" w:rsidRDefault="00C80399" w14:paraId="2712E5F2" w14:textId="252DF8EF">
      <w:pPr>
        <w:pStyle w:val="ListParagraph"/>
      </w:pPr>
      <w:r w:rsidRPr="00C80399">
        <w:t xml:space="preserve">Executive Director Robert Kasabian from </w:t>
      </w:r>
      <w:r w:rsidR="00DB01EE">
        <w:t xml:space="preserve">the </w:t>
      </w:r>
      <w:r w:rsidRPr="00C80399">
        <w:t>American Jail Association</w:t>
      </w:r>
    </w:p>
    <w:p w:rsidRPr="00F375FE" w:rsidR="004E076E" w:rsidP="004E076E" w:rsidRDefault="004E076E" w14:paraId="140EF338" w14:textId="77777777">
      <w:pPr>
        <w:pStyle w:val="ListParagraph"/>
      </w:pPr>
      <w:r w:rsidRPr="00F375FE">
        <w:t>Correctional health expert Dr. Ingrid Binswanger, MD, University of Colorado</w:t>
      </w:r>
    </w:p>
    <w:p w:rsidRPr="00F375FE" w:rsidR="004E076E" w:rsidP="004E076E" w:rsidRDefault="004E076E" w14:paraId="1C956351" w14:textId="77777777">
      <w:pPr>
        <w:pStyle w:val="ListParagraph"/>
      </w:pPr>
      <w:r w:rsidRPr="00F375FE">
        <w:t xml:space="preserve">Acting Director Shaina </w:t>
      </w:r>
      <w:proofErr w:type="spellStart"/>
      <w:r w:rsidRPr="00F375FE">
        <w:t>Vanek</w:t>
      </w:r>
      <w:proofErr w:type="spellEnd"/>
      <w:r w:rsidRPr="00F375FE">
        <w:t xml:space="preserve"> from National Institute of Corrections, DC</w:t>
      </w:r>
    </w:p>
    <w:p w:rsidRPr="00F375FE" w:rsidR="004E076E" w:rsidP="004E076E" w:rsidRDefault="004E076E" w14:paraId="2A0FE834" w14:textId="77777777">
      <w:pPr>
        <w:pStyle w:val="ListParagraph"/>
        <w:rPr>
          <w:b/>
          <w:bCs/>
        </w:rPr>
      </w:pPr>
      <w:r w:rsidRPr="00F375FE">
        <w:t xml:space="preserve">Dr. </w:t>
      </w:r>
      <w:proofErr w:type="spellStart"/>
      <w:r w:rsidRPr="00F375FE">
        <w:t>Reena</w:t>
      </w:r>
      <w:proofErr w:type="spellEnd"/>
      <w:r w:rsidRPr="00F375FE">
        <w:t xml:space="preserve"> Chakraborty from D.C. Department of Corrections, DC</w:t>
      </w:r>
    </w:p>
    <w:p w:rsidRPr="00F375FE" w:rsidR="004E076E" w:rsidP="004E076E" w:rsidRDefault="004E076E" w14:paraId="3F4BDB32" w14:textId="77777777">
      <w:pPr>
        <w:pStyle w:val="ListParagraph"/>
        <w:rPr>
          <w:b/>
          <w:bCs/>
        </w:rPr>
      </w:pPr>
      <w:r w:rsidRPr="00F375FE">
        <w:t xml:space="preserve">Ms. Myrna </w:t>
      </w:r>
      <w:proofErr w:type="spellStart"/>
      <w:r w:rsidRPr="00F375FE">
        <w:t>Petors</w:t>
      </w:r>
      <w:proofErr w:type="spellEnd"/>
      <w:r w:rsidRPr="00F375FE">
        <w:t xml:space="preserve"> from Prince George's County Department of Corrections, MD</w:t>
      </w:r>
    </w:p>
    <w:p w:rsidRPr="00F375FE" w:rsidR="004E076E" w:rsidP="004E076E" w:rsidRDefault="004E076E" w14:paraId="5C24F1DE" w14:textId="77777777">
      <w:pPr>
        <w:pStyle w:val="ListParagraph"/>
      </w:pPr>
      <w:r w:rsidRPr="00F375FE">
        <w:t>Ms. Hope Goldman from Spartanburg County Detention Facility, SC</w:t>
      </w:r>
      <w:r w:rsidRPr="00F375FE">
        <w:tab/>
      </w:r>
    </w:p>
    <w:p w:rsidRPr="00F375FE" w:rsidR="004E076E" w:rsidP="004E076E" w:rsidRDefault="004E076E" w14:paraId="105FB049" w14:textId="77777777">
      <w:pPr>
        <w:pStyle w:val="ListParagraph"/>
      </w:pPr>
      <w:r w:rsidRPr="00F375FE">
        <w:t>Lieutenant Paul Belli from Sacramento County Main Jail, CA</w:t>
      </w:r>
    </w:p>
    <w:p w:rsidRPr="00F375FE" w:rsidR="004E076E" w:rsidP="004E076E" w:rsidRDefault="004E076E" w14:paraId="41FAA3CE" w14:textId="77777777">
      <w:pPr>
        <w:pStyle w:val="ListParagraph"/>
      </w:pPr>
      <w:r w:rsidRPr="00F375FE">
        <w:t xml:space="preserve">Deputy Warden Marco </w:t>
      </w:r>
      <w:proofErr w:type="spellStart"/>
      <w:r w:rsidRPr="00F375FE">
        <w:t>Giannetta</w:t>
      </w:r>
      <w:proofErr w:type="spellEnd"/>
      <w:r w:rsidRPr="00F375FE">
        <w:t xml:space="preserve">, Philadelphia Department of Prisons, PA </w:t>
      </w:r>
    </w:p>
    <w:p w:rsidRPr="00F375FE" w:rsidR="004E076E" w:rsidP="004E076E" w:rsidRDefault="004E076E" w14:paraId="476AF405" w14:textId="77777777">
      <w:pPr>
        <w:pStyle w:val="ListParagraph"/>
        <w:rPr>
          <w:b/>
          <w:bCs/>
        </w:rPr>
      </w:pPr>
      <w:r w:rsidRPr="00F375FE">
        <w:t>Mr. Cortez Rainey from Division of Pretrial Detention and Services (DPDS), MD</w:t>
      </w:r>
    </w:p>
    <w:p w:rsidRPr="00F375FE" w:rsidR="004E076E" w:rsidP="007D7A70" w:rsidRDefault="004E076E" w14:paraId="468C0D5D" w14:textId="131B5864">
      <w:r w:rsidRPr="00F375FE">
        <w:t xml:space="preserve">Based on the </w:t>
      </w:r>
      <w:r w:rsidR="0048083B">
        <w:t xml:space="preserve">2018 </w:t>
      </w:r>
      <w:r w:rsidRPr="00F375FE">
        <w:t xml:space="preserve">cognitive test and the 2020 COVID-19 </w:t>
      </w:r>
      <w:r w:rsidR="00C10498">
        <w:t xml:space="preserve">question </w:t>
      </w:r>
      <w:r w:rsidRPr="00F375FE">
        <w:t xml:space="preserve">test, BJS revised wording of some new questions (e.g., probation and parole violators, COVID-19 inmate and staff testing, and COVID-19 related releases) and removed some new items (including breakdowns of inmates by offense) from the instrument. In addition, instructions and question flow </w:t>
      </w:r>
      <w:proofErr w:type="gramStart"/>
      <w:r w:rsidRPr="00F375FE">
        <w:t>were revised</w:t>
      </w:r>
      <w:proofErr w:type="gramEnd"/>
      <w:r w:rsidRPr="00F375FE">
        <w:t xml:space="preserve"> to reduce respondent burden and improve data quality. </w:t>
      </w:r>
    </w:p>
    <w:p w:rsidRPr="007D7A70" w:rsidR="00037044" w:rsidP="007D7A70" w:rsidRDefault="00094A23" w14:paraId="6F46058A" w14:textId="38160CAB">
      <w:pPr>
        <w:pStyle w:val="Heading2"/>
      </w:pPr>
      <w:r w:rsidRPr="007D7A70">
        <w:t>9.</w:t>
      </w:r>
      <w:r w:rsidRPr="007D7A70" w:rsidR="00A51E64">
        <w:t xml:space="preserve"> </w:t>
      </w:r>
      <w:r w:rsidRPr="007D7A70" w:rsidR="004B3866">
        <w:tab/>
      </w:r>
      <w:r w:rsidRPr="007D7A70" w:rsidR="00A51E64">
        <w:t>Paying Respondents</w:t>
      </w:r>
    </w:p>
    <w:p w:rsidRPr="007D7A70" w:rsidR="00A51E64" w:rsidP="007D7A70" w:rsidRDefault="00A51E64" w14:paraId="5CF55C3F" w14:textId="77777777">
      <w:r w:rsidRPr="007D7A70">
        <w:t xml:space="preserve">Participation in the surveys is voluntary and no gifts or incentives </w:t>
      </w:r>
      <w:proofErr w:type="gramStart"/>
      <w:r w:rsidRPr="007D7A70">
        <w:t>will be given</w:t>
      </w:r>
      <w:proofErr w:type="gramEnd"/>
      <w:r w:rsidRPr="007D7A70">
        <w:t xml:space="preserve">. </w:t>
      </w:r>
    </w:p>
    <w:p w:rsidRPr="007D7A70" w:rsidR="00A51E64" w:rsidP="007D7A70" w:rsidRDefault="003D7C2A" w14:paraId="0750296D" w14:textId="62E1E87B">
      <w:pPr>
        <w:pStyle w:val="Heading2"/>
      </w:pPr>
      <w:r w:rsidRPr="007D7A70">
        <w:lastRenderedPageBreak/>
        <w:t>1</w:t>
      </w:r>
      <w:r w:rsidRPr="007D7A70" w:rsidR="00094A23">
        <w:t>0</w:t>
      </w:r>
      <w:r w:rsidRPr="007D7A70" w:rsidR="00A51E64">
        <w:t>.</w:t>
      </w:r>
      <w:r w:rsidRPr="007D7A70" w:rsidR="00A51E64">
        <w:tab/>
        <w:t>Assurance of Confidentiality</w:t>
      </w:r>
    </w:p>
    <w:p w:rsidRPr="00374DB5" w:rsidR="008E7F96" w:rsidP="008E7F96" w:rsidRDefault="00374DB5" w14:paraId="13472712" w14:textId="39460C80">
      <w:pPr>
        <w:rPr>
          <w:sz w:val="22"/>
          <w:szCs w:val="22"/>
        </w:rPr>
      </w:pPr>
      <w:r>
        <w:t xml:space="preserve">The Bureau of Justice Statistics (BJS) is authorized to conduct this data collection under 34 U.S.C. § 10132. BJS, its employees, and its data collection agents will only use the information you provide for statistical or research purposes pursuant to 34 U.S.C. § 10134, and will protect it to the fullest extent under federal law. For more information on how BJS will use and protect your information, go to </w:t>
      </w:r>
      <w:hyperlink w:history="1" r:id="rId20">
        <w:r>
          <w:rPr>
            <w:rStyle w:val="Hyperlink"/>
          </w:rPr>
          <w:t>https://www.bjs.gov/content/pub/pdf/BJS_Data_Protection_Guidelines.pdf</w:t>
        </w:r>
      </w:hyperlink>
      <w:r>
        <w:t>.</w:t>
      </w:r>
    </w:p>
    <w:p w:rsidRPr="007D7A70" w:rsidR="00A51E64" w:rsidP="008E7F96" w:rsidRDefault="003D7C2A" w14:paraId="48FB79FD" w14:textId="7797BD54">
      <w:pPr>
        <w:pStyle w:val="Heading2"/>
      </w:pPr>
      <w:r w:rsidRPr="007D7A70">
        <w:t>1</w:t>
      </w:r>
      <w:r w:rsidRPr="007D7A70" w:rsidR="009826D4">
        <w:t>1</w:t>
      </w:r>
      <w:r w:rsidRPr="007D7A70" w:rsidR="00A51E64">
        <w:t>.</w:t>
      </w:r>
      <w:r w:rsidRPr="007D7A70" w:rsidR="00A51E64">
        <w:tab/>
        <w:t>Justification for Sensitive Questions</w:t>
      </w:r>
    </w:p>
    <w:p w:rsidRPr="007D7A70" w:rsidR="00A51E64" w:rsidP="007D7A70" w:rsidRDefault="00A51E64" w14:paraId="4483F634" w14:textId="062BD2AF">
      <w:r w:rsidRPr="007D7A70">
        <w:t xml:space="preserve">There are no questions of a sensitive nature included in </w:t>
      </w:r>
      <w:r w:rsidR="005B64A2">
        <w:t>AS</w:t>
      </w:r>
      <w:r w:rsidRPr="007D7A70" w:rsidR="00340789">
        <w:t>J</w:t>
      </w:r>
      <w:r w:rsidRPr="007D7A70">
        <w:t xml:space="preserve">. In addition, the data collected and published from the </w:t>
      </w:r>
      <w:r w:rsidR="005B64A2">
        <w:t>AS</w:t>
      </w:r>
      <w:r w:rsidRPr="007D7A70" w:rsidR="00C45CFF">
        <w:t xml:space="preserve">J </w:t>
      </w:r>
      <w:r w:rsidRPr="007D7A70">
        <w:t xml:space="preserve">are </w:t>
      </w:r>
      <w:r w:rsidRPr="007D7A70" w:rsidR="00DD7394">
        <w:t xml:space="preserve">counts </w:t>
      </w:r>
      <w:r w:rsidRPr="007D7A70" w:rsidR="007A7568">
        <w:t xml:space="preserve">aggregated to the national level, </w:t>
      </w:r>
      <w:r w:rsidRPr="007D7A70">
        <w:t xml:space="preserve">from which the identity of specific persons cannot reasonably be determined.  </w:t>
      </w:r>
    </w:p>
    <w:p w:rsidRPr="007D7A70" w:rsidR="00A51E64" w:rsidP="007D7A70" w:rsidRDefault="003D7C2A" w14:paraId="0FFDDA4C" w14:textId="40F0D1EA">
      <w:pPr>
        <w:pStyle w:val="Heading2"/>
      </w:pPr>
      <w:r w:rsidRPr="007D7A70">
        <w:t>1</w:t>
      </w:r>
      <w:r w:rsidRPr="007D7A70" w:rsidR="009826D4">
        <w:t>2</w:t>
      </w:r>
      <w:r w:rsidRPr="007D7A70" w:rsidR="00A51E64">
        <w:t>.</w:t>
      </w:r>
      <w:r w:rsidRPr="007D7A70" w:rsidR="00A51E64">
        <w:tab/>
        <w:t xml:space="preserve">Estimate of Hour Burden </w:t>
      </w:r>
      <w:r w:rsidRPr="007D7A70" w:rsidR="00A51E64">
        <w:tab/>
      </w:r>
      <w:r w:rsidRPr="007D7A70" w:rsidR="00A51E64">
        <w:tab/>
      </w:r>
    </w:p>
    <w:p w:rsidRPr="007D7A70" w:rsidR="000A514F" w:rsidP="00D50EE5" w:rsidRDefault="00283FC1" w14:paraId="5225074D" w14:textId="091B24D3">
      <w:r w:rsidRPr="007D7A70">
        <w:t xml:space="preserve">The </w:t>
      </w:r>
      <w:r w:rsidR="00D50EE5">
        <w:t>ASJ</w:t>
      </w:r>
      <w:r w:rsidRPr="007D7A70">
        <w:t xml:space="preserve"> will collect data from approximately </w:t>
      </w:r>
      <w:r w:rsidR="00D50EE5">
        <w:t>950</w:t>
      </w:r>
      <w:r w:rsidRPr="007D7A70" w:rsidR="00C20298">
        <w:t xml:space="preserve"> </w:t>
      </w:r>
      <w:r w:rsidRPr="007D7A70" w:rsidR="00670565">
        <w:t>reporting units (RU)</w:t>
      </w:r>
      <w:r w:rsidRPr="007D7A70" w:rsidR="009B61DD">
        <w:t xml:space="preserve">, representing </w:t>
      </w:r>
      <w:r w:rsidR="00182B14">
        <w:t xml:space="preserve">all </w:t>
      </w:r>
      <w:r w:rsidRPr="007D7A70" w:rsidR="00B32F9F">
        <w:t>local jail</w:t>
      </w:r>
      <w:r w:rsidRPr="007D7A70" w:rsidR="00C45CFF">
        <w:t xml:space="preserve"> </w:t>
      </w:r>
      <w:r w:rsidR="00940C3A">
        <w:t>jurisdictions</w:t>
      </w:r>
      <w:r w:rsidRPr="007D7A70" w:rsidR="00B32F9F">
        <w:t xml:space="preserve"> (city, county, regional, and private)</w:t>
      </w:r>
      <w:r w:rsidR="00182B14">
        <w:t xml:space="preserve"> nati</w:t>
      </w:r>
      <w:r w:rsidR="008C2491">
        <w:t>o</w:t>
      </w:r>
      <w:r w:rsidR="00182B14">
        <w:t>nwide</w:t>
      </w:r>
      <w:r w:rsidRPr="007D7A70">
        <w:t xml:space="preserve">. </w:t>
      </w:r>
      <w:r w:rsidRPr="007D7A70" w:rsidR="00670565">
        <w:t>The</w:t>
      </w:r>
      <w:r w:rsidRPr="007D7A70" w:rsidR="00420CEC">
        <w:t xml:space="preserve"> jail</w:t>
      </w:r>
      <w:r w:rsidRPr="007D7A70" w:rsidR="00670565">
        <w:t xml:space="preserve"> </w:t>
      </w:r>
      <w:r w:rsidRPr="007D7A70" w:rsidR="003923FD">
        <w:t>RUs</w:t>
      </w:r>
      <w:r w:rsidRPr="007D7A70" w:rsidR="00670565">
        <w:t xml:space="preserve"> are central reporters with jurisdictional authority over one or more jail</w:t>
      </w:r>
      <w:r w:rsidR="006D0926">
        <w:t xml:space="preserve"> facilitie</w:t>
      </w:r>
      <w:r w:rsidRPr="007D7A70" w:rsidR="00670565">
        <w:t>s</w:t>
      </w:r>
      <w:r w:rsidR="001B788C">
        <w:t xml:space="preserve">. Most jurisdictions have </w:t>
      </w:r>
      <w:r w:rsidR="001633DF">
        <w:t>only one facility</w:t>
      </w:r>
      <w:r w:rsidR="001B788C">
        <w:t>, although a few have more than one facilit</w:t>
      </w:r>
      <w:r w:rsidR="00B421A7">
        <w:t>y</w:t>
      </w:r>
      <w:r w:rsidRPr="007D7A70" w:rsidR="00670565">
        <w:t xml:space="preserve">. BJS will contact these central reporters and request that they </w:t>
      </w:r>
      <w:r w:rsidRPr="007D7A70" w:rsidR="000A514F">
        <w:t>report data</w:t>
      </w:r>
      <w:r w:rsidRPr="007D7A70" w:rsidR="00670565">
        <w:t xml:space="preserve"> </w:t>
      </w:r>
      <w:r w:rsidR="006D0926">
        <w:t xml:space="preserve">for </w:t>
      </w:r>
      <w:r w:rsidR="001633DF">
        <w:t xml:space="preserve">all </w:t>
      </w:r>
      <w:r w:rsidR="00940C3A">
        <w:t>facilities</w:t>
      </w:r>
      <w:r w:rsidRPr="007D7A70" w:rsidR="00EC5D6F">
        <w:t xml:space="preserve"> </w:t>
      </w:r>
      <w:r w:rsidRPr="007D7A70" w:rsidR="00670565">
        <w:t>under their</w:t>
      </w:r>
      <w:r w:rsidRPr="007D7A70" w:rsidR="000A514F">
        <w:t xml:space="preserve"> jurisdictional</w:t>
      </w:r>
      <w:r w:rsidRPr="007D7A70" w:rsidR="00670565">
        <w:t xml:space="preserve"> authority</w:t>
      </w:r>
      <w:r w:rsidR="006D0926">
        <w:t>.</w:t>
      </w:r>
    </w:p>
    <w:p w:rsidRPr="007D7A70" w:rsidR="00516A49" w:rsidP="00EE492D" w:rsidRDefault="00283FC1" w14:paraId="70F1C126" w14:textId="6E6527EF">
      <w:pPr>
        <w:rPr>
          <w:highlight w:val="yellow"/>
        </w:rPr>
      </w:pPr>
      <w:r w:rsidRPr="007D7A70">
        <w:t xml:space="preserve">Estimates of burden on respondents </w:t>
      </w:r>
      <w:proofErr w:type="gramStart"/>
      <w:r w:rsidRPr="007D7A70">
        <w:t>are based</w:t>
      </w:r>
      <w:proofErr w:type="gramEnd"/>
      <w:r w:rsidRPr="007D7A70">
        <w:t xml:space="preserve"> on the number of hours required to review the instructions associated with the instruments, search existing data sources, obtain information necessary to complete data collection instruments, and respond to </w:t>
      </w:r>
      <w:r w:rsidRPr="007D7A70" w:rsidR="00C45CFF">
        <w:t xml:space="preserve">any </w:t>
      </w:r>
      <w:r w:rsidR="006D0926">
        <w:t xml:space="preserve">data quality follow-up </w:t>
      </w:r>
      <w:r w:rsidRPr="007D7A70">
        <w:t>calls</w:t>
      </w:r>
      <w:r w:rsidRPr="007D7A70" w:rsidR="00C45CFF">
        <w:t xml:space="preserve"> from the data collection agent</w:t>
      </w:r>
      <w:r w:rsidRPr="007D7A70">
        <w:t xml:space="preserve">. </w:t>
      </w:r>
      <w:r w:rsidRPr="007D7A70" w:rsidR="00D36444">
        <w:t xml:space="preserve">These estimates </w:t>
      </w:r>
      <w:proofErr w:type="gramStart"/>
      <w:r w:rsidRPr="007D7A70" w:rsidR="00D36444">
        <w:t>are based</w:t>
      </w:r>
      <w:proofErr w:type="gramEnd"/>
      <w:r w:rsidRPr="007D7A70" w:rsidR="00D36444">
        <w:t xml:space="preserve"> on pr</w:t>
      </w:r>
      <w:r w:rsidR="00E95654">
        <w:t xml:space="preserve">evious estimates of item burden, </w:t>
      </w:r>
      <w:r w:rsidRPr="007D7A70" w:rsidR="00D36444">
        <w:t xml:space="preserve">input received from </w:t>
      </w:r>
      <w:r w:rsidR="00E1340B">
        <w:t>external</w:t>
      </w:r>
      <w:r w:rsidR="00E95654">
        <w:t xml:space="preserve"> experts </w:t>
      </w:r>
      <w:r w:rsidR="00E1340B">
        <w:t xml:space="preserve">and jail respondents </w:t>
      </w:r>
      <w:r w:rsidR="00E95654">
        <w:t xml:space="preserve">BJS consulted </w:t>
      </w:r>
      <w:r w:rsidRPr="007D7A70" w:rsidR="00E1340B">
        <w:t xml:space="preserve">in the 2018 jail </w:t>
      </w:r>
      <w:r w:rsidR="00E1340B">
        <w:t xml:space="preserve">collection </w:t>
      </w:r>
      <w:r w:rsidRPr="007D7A70" w:rsidR="00E1340B">
        <w:t>cognitive test</w:t>
      </w:r>
      <w:r w:rsidR="00E1340B">
        <w:t xml:space="preserve"> and in the 2020 COVID-19 question test</w:t>
      </w:r>
      <w:r w:rsidRPr="007D7A70" w:rsidR="00D36444">
        <w:t xml:space="preserve">. </w:t>
      </w:r>
    </w:p>
    <w:p w:rsidR="00962036" w:rsidP="00324D59" w:rsidRDefault="006D0926" w14:paraId="2CCAE62C" w14:textId="6638F140">
      <w:r>
        <w:t>W</w:t>
      </w:r>
      <w:r w:rsidR="00385B5C">
        <w:t>e estimate a</w:t>
      </w:r>
      <w:r>
        <w:t>n average</w:t>
      </w:r>
      <w:r w:rsidR="009D72AA">
        <w:t xml:space="preserve"> reporting time of </w:t>
      </w:r>
      <w:r w:rsidR="00E95654">
        <w:t>12</w:t>
      </w:r>
      <w:r w:rsidR="009D72AA">
        <w:t>0</w:t>
      </w:r>
      <w:r w:rsidRPr="007D7A70" w:rsidR="00012943">
        <w:t xml:space="preserve"> minutes </w:t>
      </w:r>
      <w:proofErr w:type="gramStart"/>
      <w:r w:rsidRPr="007D7A70" w:rsidR="00012943">
        <w:t xml:space="preserve">for </w:t>
      </w:r>
      <w:r>
        <w:t>the</w:t>
      </w:r>
      <w:r w:rsidR="003C7DAF">
        <w:t xml:space="preserve"> survey</w:t>
      </w:r>
      <w:r>
        <w:t xml:space="preserve"> form </w:t>
      </w:r>
      <w:r w:rsidRPr="007D7A70" w:rsidR="00012943">
        <w:t>CJ-</w:t>
      </w:r>
      <w:r w:rsidR="00385B5C">
        <w:t>5</w:t>
      </w:r>
      <w:r w:rsidR="001633DF">
        <w:t xml:space="preserve"> </w:t>
      </w:r>
      <w:r w:rsidR="00E1340B">
        <w:t xml:space="preserve">with the addendum on COVID-19 </w:t>
      </w:r>
      <w:r w:rsidR="001633DF">
        <w:t xml:space="preserve">(Attachment </w:t>
      </w:r>
      <w:r w:rsidR="006903AF">
        <w:t>B</w:t>
      </w:r>
      <w:r w:rsidR="001633DF">
        <w:t>)</w:t>
      </w:r>
      <w:r w:rsidR="00E1340B">
        <w:t xml:space="preserve"> </w:t>
      </w:r>
      <w:r w:rsidR="00CA6C8B">
        <w:t>in 2020 and 2021</w:t>
      </w:r>
      <w:proofErr w:type="gramEnd"/>
      <w:r w:rsidR="00CA6C8B">
        <w:t xml:space="preserve"> </w:t>
      </w:r>
      <w:r w:rsidR="00E1340B">
        <w:t>and an average reporting time of 8</w:t>
      </w:r>
      <w:r w:rsidR="00CA6C8B">
        <w:t>0</w:t>
      </w:r>
      <w:r w:rsidR="00E1340B">
        <w:t xml:space="preserve"> minutes for the form without the COVID-19</w:t>
      </w:r>
      <w:r w:rsidR="00CA6C8B">
        <w:t xml:space="preserve"> questions in 2022</w:t>
      </w:r>
      <w:r w:rsidRPr="007D7A70" w:rsidR="00012943">
        <w:t xml:space="preserve">. If needed, jail respondents </w:t>
      </w:r>
      <w:proofErr w:type="gramStart"/>
      <w:r w:rsidRPr="007D7A70" w:rsidR="00012943">
        <w:t>will be contacted</w:t>
      </w:r>
      <w:proofErr w:type="gramEnd"/>
      <w:r w:rsidRPr="007D7A70" w:rsidR="00012943">
        <w:t xml:space="preserve"> by email or telephone to verify data quality issues. We estimate that </w:t>
      </w:r>
      <w:r w:rsidRPr="007D7A70" w:rsidR="00385B5C">
        <w:t xml:space="preserve">data quality follow-up </w:t>
      </w:r>
      <w:r w:rsidR="00385B5C">
        <w:t xml:space="preserve">is needed for 70% of the respondents (665) </w:t>
      </w:r>
      <w:r w:rsidR="00EF528A">
        <w:t xml:space="preserve">each year </w:t>
      </w:r>
      <w:r w:rsidR="00385B5C">
        <w:t xml:space="preserve">and that the validation </w:t>
      </w:r>
      <w:r w:rsidRPr="007D7A70" w:rsidR="00012943">
        <w:t xml:space="preserve">will run an average of 10 minutes </w:t>
      </w:r>
      <w:r w:rsidR="00385B5C">
        <w:t>for each respondent</w:t>
      </w:r>
      <w:r w:rsidRPr="007D7A70" w:rsidR="00012943">
        <w:t xml:space="preserve">. In addition, we estimate that </w:t>
      </w:r>
      <w:r w:rsidR="00385B5C">
        <w:t>6</w:t>
      </w:r>
      <w:r w:rsidRPr="007D7A70" w:rsidR="00012943">
        <w:t xml:space="preserve">0 </w:t>
      </w:r>
      <w:r w:rsidR="00385B5C">
        <w:t>jail</w:t>
      </w:r>
      <w:r w:rsidRPr="007D7A70" w:rsidR="00012943">
        <w:t xml:space="preserve">s </w:t>
      </w:r>
      <w:r w:rsidR="00EF528A">
        <w:t xml:space="preserve">each year </w:t>
      </w:r>
      <w:proofErr w:type="gramStart"/>
      <w:r w:rsidRPr="007D7A70" w:rsidR="00012943">
        <w:t>will be contacted</w:t>
      </w:r>
      <w:proofErr w:type="gramEnd"/>
      <w:r w:rsidRPr="007D7A70" w:rsidR="00012943">
        <w:t xml:space="preserve"> to verify facility operational status and point-of-contact</w:t>
      </w:r>
      <w:r>
        <w:t xml:space="preserve"> information</w:t>
      </w:r>
      <w:r w:rsidRPr="007D7A70" w:rsidR="00012943">
        <w:t xml:space="preserve">, which takes 5 minutes each on average. In total, </w:t>
      </w:r>
      <w:r w:rsidR="00B13411">
        <w:t xml:space="preserve">the </w:t>
      </w:r>
      <w:r>
        <w:t xml:space="preserve">ASJ </w:t>
      </w:r>
      <w:r w:rsidRPr="007D7A70" w:rsidR="00012943">
        <w:t xml:space="preserve">will incur a </w:t>
      </w:r>
      <w:r w:rsidR="00182755">
        <w:t xml:space="preserve">total </w:t>
      </w:r>
      <w:r w:rsidRPr="007D7A70" w:rsidR="00012943">
        <w:t xml:space="preserve">burden estimate of </w:t>
      </w:r>
      <w:r w:rsidR="00E95654">
        <w:t>2,016</w:t>
      </w:r>
      <w:r w:rsidRPr="007D7A70" w:rsidR="00437C22">
        <w:t xml:space="preserve"> </w:t>
      </w:r>
      <w:r w:rsidRPr="007D7A70" w:rsidR="00012943">
        <w:t>hours</w:t>
      </w:r>
      <w:r>
        <w:t xml:space="preserve"> (s</w:t>
      </w:r>
      <w:r w:rsidRPr="007D7A70" w:rsidR="00012943">
        <w:t>ee table 1</w:t>
      </w:r>
      <w:r>
        <w:t>)</w:t>
      </w:r>
      <w:r w:rsidR="00182755">
        <w:t xml:space="preserve">, or </w:t>
      </w:r>
      <w:r w:rsidR="00C91244">
        <w:t>12</w:t>
      </w:r>
      <w:r w:rsidR="009D72AA">
        <w:t>7</w:t>
      </w:r>
      <w:r w:rsidR="00182755">
        <w:t xml:space="preserve"> minutes per respondent</w:t>
      </w:r>
      <w:r w:rsidR="00B13411">
        <w:t>, each year in 2020 and 2021</w:t>
      </w:r>
      <w:r w:rsidR="00936E8E">
        <w:t xml:space="preserve"> and 1,383 hours, or 87 minutes per respondent, in 2022</w:t>
      </w:r>
      <w:r>
        <w:t>.</w:t>
      </w:r>
      <w:r w:rsidRPr="007D7A70" w:rsidR="00012943">
        <w:t xml:space="preserve"> </w:t>
      </w:r>
      <w:r w:rsidR="00936E8E">
        <w:t>The estimated burden for the</w:t>
      </w:r>
      <w:r w:rsidRPr="007D7A70" w:rsidR="00936E8E">
        <w:t xml:space="preserve"> </w:t>
      </w:r>
      <w:r w:rsidR="00936E8E">
        <w:t>AS</w:t>
      </w:r>
      <w:r w:rsidRPr="007D7A70" w:rsidR="00936E8E">
        <w:t>J</w:t>
      </w:r>
      <w:r w:rsidR="00936E8E">
        <w:t xml:space="preserve"> in 2020-2022 is higher than that for the 2018 ASJ du</w:t>
      </w:r>
      <w:r w:rsidR="009D033F">
        <w:t xml:space="preserve">e to the </w:t>
      </w:r>
      <w:r w:rsidR="00936E8E">
        <w:t>new</w:t>
      </w:r>
      <w:r w:rsidR="009D033F">
        <w:t xml:space="preserve"> questions (</w:t>
      </w:r>
      <w:r w:rsidR="00936E8E">
        <w:t xml:space="preserve">inmate counts by age group, </w:t>
      </w:r>
      <w:r w:rsidR="009D033F">
        <w:t xml:space="preserve">non-U.S. citizen counts by conviction status and counts of probation, parole, and pretrial </w:t>
      </w:r>
      <w:r w:rsidR="006F1958">
        <w:t>release</w:t>
      </w:r>
      <w:r w:rsidR="009D033F">
        <w:t xml:space="preserve"> violators</w:t>
      </w:r>
      <w:r w:rsidR="00294A1A">
        <w:t>)</w:t>
      </w:r>
      <w:r w:rsidR="00936E8E">
        <w:t xml:space="preserve"> and the COVID-19 questions.</w:t>
      </w:r>
    </w:p>
    <w:p w:rsidR="00962036" w:rsidRDefault="00962036" w14:paraId="242C72B8" w14:textId="77777777">
      <w:pPr>
        <w:spacing w:line="252" w:lineRule="auto"/>
        <w:jc w:val="both"/>
      </w:pPr>
      <w:r>
        <w:br w:type="page"/>
      </w:r>
    </w:p>
    <w:p w:rsidRPr="007D7A70" w:rsidR="00012943" w:rsidP="00324D59" w:rsidRDefault="00012943" w14:paraId="748A750C" w14:textId="77777777">
      <w:pPr>
        <w:rPr>
          <w:b/>
        </w:rPr>
      </w:pPr>
    </w:p>
    <w:tbl>
      <w:tblPr>
        <w:tblW w:w="9715" w:type="dxa"/>
        <w:tblLayout w:type="fixed"/>
        <w:tblLook w:val="0400" w:firstRow="0" w:lastRow="0" w:firstColumn="0" w:lastColumn="0" w:noHBand="0" w:noVBand="1"/>
      </w:tblPr>
      <w:tblGrid>
        <w:gridCol w:w="1525"/>
        <w:gridCol w:w="2790"/>
        <w:gridCol w:w="1530"/>
        <w:gridCol w:w="1350"/>
        <w:gridCol w:w="1260"/>
        <w:gridCol w:w="1260"/>
      </w:tblGrid>
      <w:tr w:rsidRPr="007D7A70" w:rsidR="000D7773" w:rsidTr="00936E8E" w14:paraId="619C65BE" w14:textId="77777777">
        <w:trPr>
          <w:trHeight w:val="515"/>
        </w:trPr>
        <w:tc>
          <w:tcPr>
            <w:tcW w:w="9715" w:type="dxa"/>
            <w:gridSpan w:val="6"/>
            <w:tcBorders>
              <w:top w:val="single" w:color="000000" w:sz="4" w:space="0"/>
              <w:left w:val="single" w:color="000000" w:sz="4" w:space="0"/>
              <w:bottom w:val="single" w:color="000000" w:sz="4" w:space="0"/>
            </w:tcBorders>
            <w:vAlign w:val="center"/>
          </w:tcPr>
          <w:p w:rsidRPr="007D7A70" w:rsidR="000D7773" w:rsidP="00936E8E" w:rsidRDefault="000D7773" w14:paraId="1DD0781B" w14:textId="1ABFCE5B">
            <w:r w:rsidRPr="007D7A70">
              <w:t xml:space="preserve">Table 1. Reporting mode and </w:t>
            </w:r>
            <w:r w:rsidRPr="007D7A70">
              <w:rPr>
                <w:bCs/>
                <w:iCs/>
              </w:rPr>
              <w:t>estimated burden</w:t>
            </w:r>
          </w:p>
        </w:tc>
      </w:tr>
      <w:tr w:rsidRPr="007D7A70" w:rsidR="002B4AF0" w:rsidTr="00936E8E" w14:paraId="39521DA2" w14:textId="77777777">
        <w:trPr>
          <w:trHeight w:val="515"/>
        </w:trPr>
        <w:tc>
          <w:tcPr>
            <w:tcW w:w="9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rsidRPr="009A542A" w:rsidR="002B4AF0" w:rsidP="00936E8E" w:rsidRDefault="002B4AF0" w14:paraId="089AE50F" w14:textId="0F7B43A8">
            <w:pPr>
              <w:rPr>
                <w:i/>
              </w:rPr>
            </w:pPr>
            <w:r w:rsidRPr="009A542A">
              <w:rPr>
                <w:i/>
              </w:rPr>
              <w:t>2020 and 2021 ASJ</w:t>
            </w:r>
            <w:r w:rsidR="00936E8E">
              <w:rPr>
                <w:i/>
              </w:rPr>
              <w:t>:</w:t>
            </w:r>
          </w:p>
        </w:tc>
      </w:tr>
      <w:tr w:rsidRPr="007D7A70" w:rsidR="000D7773" w:rsidTr="00936E8E" w14:paraId="0A94BC30" w14:textId="77777777">
        <w:trPr>
          <w:trHeight w:val="515"/>
        </w:trPr>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7A70" w:rsidR="000D7773" w:rsidP="00936E8E" w:rsidRDefault="000D7773" w14:paraId="5D9AE603" w14:textId="77777777"/>
          <w:p w:rsidRPr="007D7A70" w:rsidR="000D7773" w:rsidP="00936E8E" w:rsidRDefault="00B32F9F" w14:paraId="47F8243B" w14:textId="7F9085A6">
            <w:r w:rsidRPr="007D7A70">
              <w:t xml:space="preserve">Primary reporting </w:t>
            </w:r>
            <w:r w:rsidRPr="007D7A70" w:rsidR="000D7773">
              <w:t>mode</w:t>
            </w:r>
          </w:p>
        </w:tc>
        <w:tc>
          <w:tcPr>
            <w:tcW w:w="2790" w:type="dxa"/>
            <w:tcBorders>
              <w:top w:val="single" w:color="000000" w:sz="4" w:space="0"/>
              <w:left w:val="nil"/>
              <w:bottom w:val="single" w:color="000000" w:sz="4" w:space="0"/>
              <w:right w:val="single" w:color="000000" w:sz="4" w:space="0"/>
            </w:tcBorders>
            <w:shd w:val="clear" w:color="auto" w:fill="auto"/>
            <w:vAlign w:val="center"/>
          </w:tcPr>
          <w:p w:rsidRPr="007D7A70" w:rsidR="000D7773" w:rsidP="00936E8E" w:rsidRDefault="000D7773" w14:paraId="5DDEE0F1" w14:textId="77777777"/>
          <w:p w:rsidRPr="007D7A70" w:rsidR="000D7773" w:rsidP="00936E8E" w:rsidRDefault="000D7773" w14:paraId="1592CF17" w14:textId="77777777">
            <w:r w:rsidRPr="007D7A70">
              <w:t>Purpose of contact</w:t>
            </w:r>
          </w:p>
        </w:tc>
        <w:tc>
          <w:tcPr>
            <w:tcW w:w="1530" w:type="dxa"/>
            <w:tcBorders>
              <w:top w:val="single" w:color="000000" w:sz="4" w:space="0"/>
              <w:left w:val="nil"/>
              <w:bottom w:val="single" w:color="000000" w:sz="4" w:space="0"/>
              <w:right w:val="single" w:color="auto" w:sz="4" w:space="0"/>
            </w:tcBorders>
            <w:shd w:val="clear" w:color="auto" w:fill="auto"/>
            <w:vAlign w:val="center"/>
          </w:tcPr>
          <w:p w:rsidRPr="007D7A70" w:rsidR="000D7773" w:rsidP="00936E8E" w:rsidRDefault="000D7773" w14:paraId="3C1F6F29" w14:textId="107798DE">
            <w:r w:rsidRPr="007D7A70">
              <w:t>Number of data providers</w:t>
            </w:r>
            <w:r w:rsidRPr="007D7A70" w:rsidDel="009B61DD">
              <w:t xml:space="preserve"> </w:t>
            </w:r>
            <w:r w:rsidRPr="007D7A70">
              <w:t>(RUs)</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0D7773" w:rsidP="00936E8E" w:rsidRDefault="000D7773" w14:paraId="56489CA4" w14:textId="77777777"/>
          <w:p w:rsidRPr="007D7A70" w:rsidR="000D7773" w:rsidP="00936E8E" w:rsidRDefault="000D7773" w14:paraId="2B7A8F12" w14:textId="786FD77B">
            <w:r w:rsidRPr="007D7A70">
              <w:t>Number of responses</w:t>
            </w:r>
          </w:p>
        </w:tc>
        <w:tc>
          <w:tcPr>
            <w:tcW w:w="1260" w:type="dxa"/>
            <w:tcBorders>
              <w:top w:val="single" w:color="000000" w:sz="4" w:space="0"/>
              <w:left w:val="single" w:color="auto" w:sz="4" w:space="0"/>
              <w:bottom w:val="single" w:color="000000" w:sz="4" w:space="0"/>
              <w:right w:val="single" w:color="000000" w:sz="4" w:space="0"/>
            </w:tcBorders>
            <w:shd w:val="clear" w:color="auto" w:fill="auto"/>
            <w:vAlign w:val="center"/>
          </w:tcPr>
          <w:p w:rsidRPr="007D7A70" w:rsidR="000D7773" w:rsidP="00936E8E" w:rsidRDefault="000D7773" w14:paraId="1CF84E84" w14:textId="14F58EF8">
            <w:r w:rsidRPr="007D7A70">
              <w:t>Average reporting time</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Pr="007D7A70" w:rsidR="000D7773" w:rsidP="00936E8E" w:rsidRDefault="000D7773" w14:paraId="7CE8D087" w14:textId="77777777">
            <w:r w:rsidRPr="007D7A70">
              <w:t>Estimated total burden hours</w:t>
            </w:r>
          </w:p>
        </w:tc>
      </w:tr>
      <w:tr w:rsidRPr="007D7A70" w:rsidR="002E49A4" w:rsidTr="00936E8E" w14:paraId="110EDD29"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2E49A4" w:rsidP="00936E8E" w:rsidRDefault="00324D59" w14:paraId="3F8190DD" w14:textId="01F3690C">
            <w:r w:rsidRPr="007D7A70">
              <w:t>Web</w:t>
            </w:r>
          </w:p>
        </w:tc>
        <w:tc>
          <w:tcPr>
            <w:tcW w:w="2790" w:type="dxa"/>
            <w:tcBorders>
              <w:top w:val="nil"/>
              <w:left w:val="nil"/>
              <w:bottom w:val="single" w:color="000000" w:sz="4" w:space="0"/>
              <w:right w:val="single" w:color="000000" w:sz="4" w:space="0"/>
            </w:tcBorders>
            <w:shd w:val="clear" w:color="auto" w:fill="auto"/>
            <w:vAlign w:val="center"/>
          </w:tcPr>
          <w:p w:rsidRPr="007D7A70" w:rsidR="002E49A4" w:rsidP="00936E8E" w:rsidRDefault="00324D59" w14:paraId="689F52E9" w14:textId="471813B8">
            <w:r w:rsidRPr="007D7A70">
              <w:t xml:space="preserve">Data collection </w:t>
            </w:r>
          </w:p>
        </w:tc>
        <w:tc>
          <w:tcPr>
            <w:tcW w:w="1530" w:type="dxa"/>
            <w:tcBorders>
              <w:top w:val="nil"/>
              <w:left w:val="nil"/>
              <w:bottom w:val="single" w:color="000000" w:sz="4" w:space="0"/>
              <w:right w:val="single" w:color="auto" w:sz="4" w:space="0"/>
            </w:tcBorders>
            <w:shd w:val="clear" w:color="auto" w:fill="auto"/>
            <w:vAlign w:val="center"/>
          </w:tcPr>
          <w:p w:rsidRPr="00324D59" w:rsidR="002E49A4" w:rsidP="00936E8E" w:rsidRDefault="00324D59" w14:paraId="433CB2AD" w14:textId="4EE08A91">
            <w:r w:rsidRPr="00324D59">
              <w:t>950</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2E49A4" w:rsidP="00936E8E" w:rsidRDefault="00324D59" w14:paraId="0A9F5E42" w14:textId="5814E6F7">
            <w:r>
              <w:t>950</w:t>
            </w:r>
          </w:p>
        </w:tc>
        <w:tc>
          <w:tcPr>
            <w:tcW w:w="1260" w:type="dxa"/>
            <w:tcBorders>
              <w:top w:val="nil"/>
              <w:left w:val="single" w:color="auto" w:sz="4" w:space="0"/>
              <w:bottom w:val="single" w:color="000000" w:sz="4" w:space="0"/>
              <w:right w:val="single" w:color="000000" w:sz="4" w:space="0"/>
            </w:tcBorders>
            <w:shd w:val="clear" w:color="auto" w:fill="auto"/>
            <w:vAlign w:val="center"/>
          </w:tcPr>
          <w:p w:rsidRPr="007D7A70" w:rsidR="002E49A4" w:rsidP="00936E8E" w:rsidRDefault="00847592" w14:paraId="1EEFC16D" w14:textId="339D117F">
            <w:r>
              <w:t>120</w:t>
            </w:r>
            <w:r w:rsidRPr="007D7A70" w:rsidR="002E49A4">
              <w:t xml:space="preserve"> min</w:t>
            </w:r>
          </w:p>
        </w:tc>
        <w:tc>
          <w:tcPr>
            <w:tcW w:w="1260" w:type="dxa"/>
            <w:tcBorders>
              <w:top w:val="nil"/>
              <w:left w:val="nil"/>
              <w:bottom w:val="single" w:color="000000" w:sz="4" w:space="0"/>
              <w:right w:val="single" w:color="000000" w:sz="4" w:space="0"/>
            </w:tcBorders>
            <w:shd w:val="clear" w:color="auto" w:fill="auto"/>
            <w:vAlign w:val="center"/>
          </w:tcPr>
          <w:p w:rsidRPr="007D7A70" w:rsidR="002E49A4" w:rsidP="00936E8E" w:rsidRDefault="00324D59" w14:paraId="6EDC35F5" w14:textId="72F9EBE1">
            <w:r>
              <w:t>1,</w:t>
            </w:r>
            <w:r w:rsidR="00847592">
              <w:t>900</w:t>
            </w:r>
            <w:r w:rsidRPr="007D7A70" w:rsidR="002E49A4">
              <w:t xml:space="preserve"> </w:t>
            </w:r>
            <w:proofErr w:type="spellStart"/>
            <w:r w:rsidRPr="007D7A70" w:rsidR="002E49A4">
              <w:t>hrs</w:t>
            </w:r>
            <w:proofErr w:type="spellEnd"/>
          </w:p>
        </w:tc>
      </w:tr>
      <w:tr w:rsidRPr="007D7A70" w:rsidR="000D7773" w:rsidTr="00936E8E" w14:paraId="0B04209A"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0D7773" w:rsidP="00936E8E" w:rsidRDefault="000D7773" w14:paraId="60380556" w14:textId="62F527F0">
            <w:r w:rsidRPr="007D7A70">
              <w:t>Email and telephone</w:t>
            </w:r>
          </w:p>
        </w:tc>
        <w:tc>
          <w:tcPr>
            <w:tcW w:w="2790" w:type="dxa"/>
            <w:tcBorders>
              <w:top w:val="nil"/>
              <w:left w:val="nil"/>
              <w:bottom w:val="single" w:color="000000" w:sz="4" w:space="0"/>
              <w:right w:val="single" w:color="000000" w:sz="4" w:space="0"/>
            </w:tcBorders>
            <w:shd w:val="clear" w:color="auto" w:fill="auto"/>
            <w:vAlign w:val="center"/>
          </w:tcPr>
          <w:p w:rsidRPr="007D7A70" w:rsidR="000D7773" w:rsidP="00936E8E" w:rsidRDefault="000D7773" w14:paraId="6031AB87" w14:textId="77777777">
            <w:r w:rsidRPr="007D7A70">
              <w:t>Data quality follow-up validation</w:t>
            </w:r>
          </w:p>
        </w:tc>
        <w:tc>
          <w:tcPr>
            <w:tcW w:w="1530" w:type="dxa"/>
            <w:tcBorders>
              <w:top w:val="nil"/>
              <w:left w:val="nil"/>
              <w:bottom w:val="single" w:color="000000" w:sz="4" w:space="0"/>
              <w:right w:val="single" w:color="auto" w:sz="4" w:space="0"/>
            </w:tcBorders>
            <w:shd w:val="clear" w:color="auto" w:fill="auto"/>
            <w:vAlign w:val="center"/>
          </w:tcPr>
          <w:p w:rsidRPr="007D7A70" w:rsidR="000D7773" w:rsidP="00936E8E" w:rsidRDefault="00324D59" w14:paraId="6C8E3A79" w14:textId="6D4A29E0">
            <w:r>
              <w:t>665</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0D7773" w:rsidP="00936E8E" w:rsidRDefault="00324D59" w14:paraId="44255590" w14:textId="7FDFB860">
            <w:r>
              <w:t>665</w:t>
            </w:r>
          </w:p>
        </w:tc>
        <w:tc>
          <w:tcPr>
            <w:tcW w:w="1260" w:type="dxa"/>
            <w:tcBorders>
              <w:top w:val="nil"/>
              <w:left w:val="single" w:color="auto" w:sz="4" w:space="0"/>
              <w:bottom w:val="single" w:color="000000" w:sz="4" w:space="0"/>
              <w:right w:val="single" w:color="000000" w:sz="4" w:space="0"/>
            </w:tcBorders>
            <w:shd w:val="clear" w:color="auto" w:fill="auto"/>
            <w:vAlign w:val="center"/>
          </w:tcPr>
          <w:p w:rsidRPr="007D7A70" w:rsidR="000D7773" w:rsidP="00936E8E" w:rsidRDefault="00272F9D" w14:paraId="27662B65" w14:textId="1E1A6A2D">
            <w:r w:rsidRPr="007D7A70">
              <w:t>1</w:t>
            </w:r>
            <w:r w:rsidR="00D50EE5">
              <w:t>0</w:t>
            </w:r>
            <w:r w:rsidRPr="007D7A70" w:rsidR="00A53033">
              <w:t xml:space="preserve"> </w:t>
            </w:r>
            <w:r w:rsidRPr="007D7A70" w:rsidR="000D7773">
              <w:t>min</w:t>
            </w:r>
          </w:p>
        </w:tc>
        <w:tc>
          <w:tcPr>
            <w:tcW w:w="1260" w:type="dxa"/>
            <w:tcBorders>
              <w:top w:val="nil"/>
              <w:left w:val="nil"/>
              <w:bottom w:val="single" w:color="000000" w:sz="4" w:space="0"/>
              <w:right w:val="single" w:color="000000" w:sz="4" w:space="0"/>
            </w:tcBorders>
            <w:shd w:val="clear" w:color="auto" w:fill="auto"/>
            <w:vAlign w:val="center"/>
          </w:tcPr>
          <w:p w:rsidRPr="007D7A70" w:rsidR="000D7773" w:rsidP="00936E8E" w:rsidRDefault="00324D59" w14:paraId="159B89DA" w14:textId="38F89984">
            <w:r>
              <w:t>1</w:t>
            </w:r>
            <w:r w:rsidR="00D50EE5">
              <w:t>11</w:t>
            </w:r>
            <w:r w:rsidRPr="007D7A70" w:rsidR="00AE4FEC">
              <w:t xml:space="preserve"> </w:t>
            </w:r>
            <w:proofErr w:type="spellStart"/>
            <w:r w:rsidRPr="007D7A70" w:rsidR="000D7773">
              <w:t>hrs</w:t>
            </w:r>
            <w:proofErr w:type="spellEnd"/>
          </w:p>
        </w:tc>
      </w:tr>
      <w:tr w:rsidRPr="007D7A70" w:rsidR="000D7773" w:rsidTr="00936E8E" w14:paraId="7E3F7DB5"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0D7773" w:rsidP="00936E8E" w:rsidRDefault="000D7773" w14:paraId="38637476" w14:textId="77777777">
            <w:r w:rsidRPr="007D7A70">
              <w:t>Email and telephone</w:t>
            </w:r>
          </w:p>
        </w:tc>
        <w:tc>
          <w:tcPr>
            <w:tcW w:w="2790" w:type="dxa"/>
            <w:tcBorders>
              <w:top w:val="nil"/>
              <w:left w:val="nil"/>
              <w:bottom w:val="single" w:color="000000" w:sz="4" w:space="0"/>
              <w:right w:val="single" w:color="000000" w:sz="4" w:space="0"/>
            </w:tcBorders>
            <w:shd w:val="clear" w:color="auto" w:fill="auto"/>
            <w:vAlign w:val="center"/>
          </w:tcPr>
          <w:p w:rsidRPr="007D7A70" w:rsidR="000D7773" w:rsidP="00936E8E" w:rsidRDefault="000D7773" w14:paraId="5A779567" w14:textId="77777777">
            <w:r w:rsidRPr="007D7A70">
              <w:t>Verify facility operational status and point-of-contact</w:t>
            </w:r>
          </w:p>
        </w:tc>
        <w:tc>
          <w:tcPr>
            <w:tcW w:w="1530" w:type="dxa"/>
            <w:tcBorders>
              <w:top w:val="nil"/>
              <w:left w:val="nil"/>
              <w:bottom w:val="single" w:color="000000" w:sz="4" w:space="0"/>
              <w:right w:val="single" w:color="auto" w:sz="4" w:space="0"/>
            </w:tcBorders>
            <w:shd w:val="clear" w:color="auto" w:fill="auto"/>
            <w:vAlign w:val="center"/>
          </w:tcPr>
          <w:p w:rsidRPr="007D7A70" w:rsidR="000D7773" w:rsidP="00936E8E" w:rsidRDefault="00324D59" w14:paraId="38AB75A6" w14:textId="7F8507C8">
            <w:r>
              <w:t>6</w:t>
            </w:r>
            <w:r w:rsidRPr="007D7A70" w:rsidR="000D7773">
              <w:t>0</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0D7773" w:rsidP="00936E8E" w:rsidRDefault="00324D59" w14:paraId="10ED8657" w14:textId="6703FA04">
            <w:r>
              <w:t>6</w:t>
            </w:r>
            <w:r w:rsidRPr="007D7A70" w:rsidR="000D7773">
              <w:t>0</w:t>
            </w:r>
          </w:p>
        </w:tc>
        <w:tc>
          <w:tcPr>
            <w:tcW w:w="1260" w:type="dxa"/>
            <w:tcBorders>
              <w:top w:val="nil"/>
              <w:left w:val="single" w:color="auto" w:sz="4" w:space="0"/>
              <w:bottom w:val="single" w:color="000000" w:sz="4" w:space="0"/>
              <w:right w:val="single" w:color="000000" w:sz="4" w:space="0"/>
            </w:tcBorders>
            <w:shd w:val="clear" w:color="auto" w:fill="auto"/>
            <w:vAlign w:val="center"/>
          </w:tcPr>
          <w:p w:rsidRPr="007D7A70" w:rsidR="000D7773" w:rsidP="00936E8E" w:rsidRDefault="000D7773" w14:paraId="24CD23FE" w14:textId="67505C30">
            <w:r w:rsidRPr="007D7A70">
              <w:t>5 min</w:t>
            </w:r>
          </w:p>
        </w:tc>
        <w:tc>
          <w:tcPr>
            <w:tcW w:w="1260" w:type="dxa"/>
            <w:tcBorders>
              <w:top w:val="nil"/>
              <w:left w:val="nil"/>
              <w:bottom w:val="single" w:color="000000" w:sz="4" w:space="0"/>
              <w:right w:val="single" w:color="000000" w:sz="4" w:space="0"/>
            </w:tcBorders>
            <w:shd w:val="clear" w:color="auto" w:fill="auto"/>
            <w:vAlign w:val="center"/>
          </w:tcPr>
          <w:p w:rsidRPr="007D7A70" w:rsidR="000D7773" w:rsidP="00936E8E" w:rsidRDefault="00324D59" w14:paraId="6CEA9413" w14:textId="4708B10C">
            <w:r>
              <w:t>5</w:t>
            </w:r>
            <w:r w:rsidRPr="007D7A70" w:rsidR="000D7773">
              <w:t xml:space="preserve"> </w:t>
            </w:r>
            <w:proofErr w:type="spellStart"/>
            <w:r w:rsidRPr="007D7A70" w:rsidR="000D7773">
              <w:t>hrs</w:t>
            </w:r>
            <w:proofErr w:type="spellEnd"/>
          </w:p>
        </w:tc>
      </w:tr>
      <w:tr w:rsidRPr="007D7A70" w:rsidR="00E9603F" w:rsidTr="00936E8E" w14:paraId="6660A688" w14:textId="77777777">
        <w:trPr>
          <w:trHeight w:val="266"/>
        </w:trPr>
        <w:tc>
          <w:tcPr>
            <w:tcW w:w="1525" w:type="dxa"/>
            <w:tcBorders>
              <w:top w:val="nil"/>
              <w:left w:val="single" w:color="000000" w:sz="4" w:space="0"/>
              <w:bottom w:val="single" w:color="auto" w:sz="4" w:space="0"/>
              <w:right w:val="single" w:color="000000" w:sz="4" w:space="0"/>
            </w:tcBorders>
            <w:shd w:val="clear" w:color="auto" w:fill="auto"/>
            <w:vAlign w:val="center"/>
          </w:tcPr>
          <w:p w:rsidRPr="007D7A70" w:rsidR="00E9603F" w:rsidP="00936E8E" w:rsidRDefault="00E9603F" w14:paraId="64C67CAB" w14:textId="77777777">
            <w:r w:rsidRPr="007D7A70">
              <w:t>Total</w:t>
            </w:r>
          </w:p>
        </w:tc>
        <w:tc>
          <w:tcPr>
            <w:tcW w:w="2790" w:type="dxa"/>
            <w:tcBorders>
              <w:top w:val="nil"/>
              <w:left w:val="nil"/>
              <w:bottom w:val="single" w:color="auto" w:sz="4" w:space="0"/>
              <w:right w:val="single" w:color="000000" w:sz="4" w:space="0"/>
            </w:tcBorders>
            <w:shd w:val="clear" w:color="auto" w:fill="auto"/>
            <w:vAlign w:val="center"/>
          </w:tcPr>
          <w:p w:rsidRPr="007D7A70" w:rsidR="00E9603F" w:rsidP="00936E8E" w:rsidRDefault="00E9603F" w14:paraId="2DA985F6" w14:textId="77777777"/>
        </w:tc>
        <w:tc>
          <w:tcPr>
            <w:tcW w:w="1530" w:type="dxa"/>
            <w:tcBorders>
              <w:top w:val="nil"/>
              <w:left w:val="nil"/>
              <w:bottom w:val="single" w:color="auto" w:sz="4" w:space="0"/>
              <w:right w:val="single" w:color="auto" w:sz="4" w:space="0"/>
            </w:tcBorders>
            <w:shd w:val="clear" w:color="auto" w:fill="D9D9D9" w:themeFill="background1" w:themeFillShade="D9"/>
            <w:vAlign w:val="center"/>
          </w:tcPr>
          <w:p w:rsidRPr="007D7A70" w:rsidR="00E9603F" w:rsidP="00936E8E" w:rsidRDefault="00E9603F" w14:paraId="5B85000A" w14:textId="77777777"/>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7A70" w:rsidR="00E9603F" w:rsidP="00936E8E" w:rsidRDefault="00E9603F" w14:paraId="6798C2A4" w14:textId="77777777"/>
        </w:tc>
        <w:tc>
          <w:tcPr>
            <w:tcW w:w="1260" w:type="dxa"/>
            <w:tcBorders>
              <w:top w:val="nil"/>
              <w:left w:val="single" w:color="auto" w:sz="4" w:space="0"/>
              <w:bottom w:val="single" w:color="auto" w:sz="4" w:space="0"/>
              <w:right w:val="single" w:color="000000" w:sz="4" w:space="0"/>
            </w:tcBorders>
            <w:shd w:val="clear" w:color="auto" w:fill="D9D9D9" w:themeFill="background1" w:themeFillShade="D9"/>
            <w:vAlign w:val="center"/>
          </w:tcPr>
          <w:p w:rsidRPr="007D7A70" w:rsidR="00E9603F" w:rsidP="00936E8E" w:rsidRDefault="00E9603F" w14:paraId="185F5906" w14:textId="03477679"/>
        </w:tc>
        <w:tc>
          <w:tcPr>
            <w:tcW w:w="1260" w:type="dxa"/>
            <w:tcBorders>
              <w:top w:val="nil"/>
              <w:left w:val="nil"/>
              <w:bottom w:val="single" w:color="auto" w:sz="4" w:space="0"/>
              <w:right w:val="single" w:color="000000" w:sz="4" w:space="0"/>
            </w:tcBorders>
            <w:shd w:val="clear" w:color="auto" w:fill="auto"/>
            <w:vAlign w:val="center"/>
          </w:tcPr>
          <w:p w:rsidRPr="007D7A70" w:rsidR="00E9603F" w:rsidP="00936E8E" w:rsidRDefault="00E95654" w14:paraId="1CE70968" w14:textId="23E8DCFB">
            <w:r>
              <w:t>2</w:t>
            </w:r>
            <w:r w:rsidR="00324D59">
              <w:t>,</w:t>
            </w:r>
            <w:r w:rsidR="00847592">
              <w:t>016</w:t>
            </w:r>
            <w:r w:rsidRPr="007D7A70" w:rsidR="00BE0238">
              <w:t xml:space="preserve"> </w:t>
            </w:r>
            <w:proofErr w:type="spellStart"/>
            <w:r w:rsidRPr="007D7A70" w:rsidR="00E9603F">
              <w:t>hrs</w:t>
            </w:r>
            <w:proofErr w:type="spellEnd"/>
          </w:p>
        </w:tc>
      </w:tr>
      <w:tr w:rsidRPr="007D7A70" w:rsidR="002B4AF0" w:rsidTr="00936E8E" w14:paraId="3CAA246F" w14:textId="77777777">
        <w:trPr>
          <w:trHeight w:val="266"/>
        </w:trPr>
        <w:tc>
          <w:tcPr>
            <w:tcW w:w="9715" w:type="dxa"/>
            <w:gridSpan w:val="6"/>
            <w:tcBorders>
              <w:top w:val="single" w:color="auto" w:sz="4" w:space="0"/>
              <w:left w:val="single" w:color="000000" w:sz="4" w:space="0"/>
              <w:bottom w:val="nil"/>
              <w:right w:val="single" w:color="000000" w:sz="4" w:space="0"/>
            </w:tcBorders>
            <w:shd w:val="clear" w:color="auto" w:fill="auto"/>
            <w:vAlign w:val="center"/>
          </w:tcPr>
          <w:p w:rsidRPr="009A542A" w:rsidR="002B4AF0" w:rsidP="00936E8E" w:rsidRDefault="002B4AF0" w14:paraId="34BFC9B6" w14:textId="417B1DE9">
            <w:pPr>
              <w:rPr>
                <w:i/>
              </w:rPr>
            </w:pPr>
            <w:r w:rsidRPr="009A542A">
              <w:rPr>
                <w:i/>
              </w:rPr>
              <w:t>2022 and 2023 ASJ</w:t>
            </w:r>
            <w:r w:rsidR="00936E8E">
              <w:rPr>
                <w:i/>
              </w:rPr>
              <w:t>:</w:t>
            </w:r>
          </w:p>
        </w:tc>
      </w:tr>
      <w:tr w:rsidRPr="007D7A70" w:rsidR="00C91244" w:rsidTr="00936E8E" w14:paraId="4823E7F3" w14:textId="77777777">
        <w:trPr>
          <w:trHeight w:val="515"/>
        </w:trPr>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7A70" w:rsidR="00C91244" w:rsidP="00936E8E" w:rsidRDefault="00C91244" w14:paraId="41DC6417" w14:textId="77777777"/>
          <w:p w:rsidRPr="007D7A70" w:rsidR="00C91244" w:rsidP="00936E8E" w:rsidRDefault="00C91244" w14:paraId="3EF89687" w14:textId="77777777">
            <w:r w:rsidRPr="007D7A70">
              <w:t>Primary reporting mode</w:t>
            </w:r>
          </w:p>
        </w:tc>
        <w:tc>
          <w:tcPr>
            <w:tcW w:w="2790" w:type="dxa"/>
            <w:tcBorders>
              <w:top w:val="single" w:color="000000" w:sz="4" w:space="0"/>
              <w:left w:val="nil"/>
              <w:bottom w:val="single" w:color="000000" w:sz="4" w:space="0"/>
              <w:right w:val="single" w:color="000000" w:sz="4" w:space="0"/>
            </w:tcBorders>
            <w:shd w:val="clear" w:color="auto" w:fill="auto"/>
            <w:vAlign w:val="center"/>
          </w:tcPr>
          <w:p w:rsidRPr="007D7A70" w:rsidR="00C91244" w:rsidP="00936E8E" w:rsidRDefault="00C91244" w14:paraId="61B3A084" w14:textId="77777777"/>
          <w:p w:rsidRPr="007D7A70" w:rsidR="00C91244" w:rsidP="00936E8E" w:rsidRDefault="00C91244" w14:paraId="4321E23C" w14:textId="77777777">
            <w:r w:rsidRPr="007D7A70">
              <w:t>Purpose of contact</w:t>
            </w:r>
          </w:p>
        </w:tc>
        <w:tc>
          <w:tcPr>
            <w:tcW w:w="1530" w:type="dxa"/>
            <w:tcBorders>
              <w:top w:val="single" w:color="000000" w:sz="4" w:space="0"/>
              <w:left w:val="nil"/>
              <w:bottom w:val="single" w:color="000000" w:sz="4" w:space="0"/>
              <w:right w:val="single" w:color="auto" w:sz="4" w:space="0"/>
            </w:tcBorders>
            <w:shd w:val="clear" w:color="auto" w:fill="auto"/>
            <w:vAlign w:val="center"/>
          </w:tcPr>
          <w:p w:rsidRPr="007D7A70" w:rsidR="00C91244" w:rsidP="00936E8E" w:rsidRDefault="00C91244" w14:paraId="05F1026C" w14:textId="77777777">
            <w:r w:rsidRPr="007D7A70">
              <w:t>Number of data providers</w:t>
            </w:r>
            <w:r w:rsidRPr="007D7A70" w:rsidDel="009B61DD">
              <w:t xml:space="preserve"> </w:t>
            </w:r>
            <w:r w:rsidRPr="007D7A70">
              <w:t>(RUs)</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C91244" w:rsidP="00936E8E" w:rsidRDefault="00C91244" w14:paraId="09F6AEEC" w14:textId="77777777"/>
          <w:p w:rsidRPr="007D7A70" w:rsidR="00C91244" w:rsidP="00936E8E" w:rsidRDefault="00C91244" w14:paraId="57A1445D" w14:textId="77777777">
            <w:r w:rsidRPr="007D7A70">
              <w:t>Number of responses</w:t>
            </w:r>
          </w:p>
        </w:tc>
        <w:tc>
          <w:tcPr>
            <w:tcW w:w="1260" w:type="dxa"/>
            <w:tcBorders>
              <w:top w:val="single" w:color="000000" w:sz="4" w:space="0"/>
              <w:left w:val="single" w:color="auto" w:sz="4" w:space="0"/>
              <w:bottom w:val="single" w:color="000000" w:sz="4" w:space="0"/>
              <w:right w:val="single" w:color="000000" w:sz="4" w:space="0"/>
            </w:tcBorders>
            <w:shd w:val="clear" w:color="auto" w:fill="auto"/>
            <w:vAlign w:val="center"/>
          </w:tcPr>
          <w:p w:rsidRPr="007D7A70" w:rsidR="00C91244" w:rsidP="00936E8E" w:rsidRDefault="00C91244" w14:paraId="60C87934" w14:textId="77777777">
            <w:r w:rsidRPr="007D7A70">
              <w:t>Average reporting time</w:t>
            </w:r>
          </w:p>
        </w:tc>
        <w:tc>
          <w:tcPr>
            <w:tcW w:w="1260" w:type="dxa"/>
            <w:tcBorders>
              <w:top w:val="single" w:color="000000" w:sz="4" w:space="0"/>
              <w:left w:val="nil"/>
              <w:bottom w:val="single" w:color="000000" w:sz="4" w:space="0"/>
              <w:right w:val="single" w:color="000000" w:sz="4" w:space="0"/>
            </w:tcBorders>
            <w:shd w:val="clear" w:color="auto" w:fill="auto"/>
            <w:vAlign w:val="center"/>
          </w:tcPr>
          <w:p w:rsidRPr="007D7A70" w:rsidR="00C91244" w:rsidP="00936E8E" w:rsidRDefault="00C91244" w14:paraId="05DE9C6E" w14:textId="77777777">
            <w:r w:rsidRPr="007D7A70">
              <w:t>Estimated total burden hours</w:t>
            </w:r>
          </w:p>
        </w:tc>
      </w:tr>
      <w:tr w:rsidRPr="007D7A70" w:rsidR="00C91244" w:rsidTr="00936E8E" w14:paraId="74D56B9F"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C91244" w:rsidP="00936E8E" w:rsidRDefault="00C91244" w14:paraId="248633C4" w14:textId="5213FDF7">
            <w:r w:rsidRPr="007D7A70">
              <w:t>Web</w:t>
            </w:r>
          </w:p>
        </w:tc>
        <w:tc>
          <w:tcPr>
            <w:tcW w:w="279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4B7C9B8D" w14:textId="77777777">
            <w:r w:rsidRPr="007D7A70">
              <w:t xml:space="preserve">Data collection </w:t>
            </w:r>
          </w:p>
        </w:tc>
        <w:tc>
          <w:tcPr>
            <w:tcW w:w="1530" w:type="dxa"/>
            <w:tcBorders>
              <w:top w:val="nil"/>
              <w:left w:val="nil"/>
              <w:bottom w:val="single" w:color="000000" w:sz="4" w:space="0"/>
              <w:right w:val="single" w:color="auto" w:sz="4" w:space="0"/>
            </w:tcBorders>
            <w:shd w:val="clear" w:color="auto" w:fill="auto"/>
            <w:vAlign w:val="center"/>
          </w:tcPr>
          <w:p w:rsidRPr="00324D59" w:rsidR="00C91244" w:rsidP="00936E8E" w:rsidRDefault="00C91244" w14:paraId="066856A7" w14:textId="77777777">
            <w:r w:rsidRPr="00324D59">
              <w:t>950</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C91244" w:rsidP="00936E8E" w:rsidRDefault="00C91244" w14:paraId="6BD103C1" w14:textId="77777777">
            <w:r>
              <w:t>950</w:t>
            </w:r>
          </w:p>
        </w:tc>
        <w:tc>
          <w:tcPr>
            <w:tcW w:w="1260" w:type="dxa"/>
            <w:tcBorders>
              <w:top w:val="nil"/>
              <w:left w:val="single" w:color="auto" w:sz="4" w:space="0"/>
              <w:bottom w:val="single" w:color="000000" w:sz="4" w:space="0"/>
              <w:right w:val="single" w:color="000000" w:sz="4" w:space="0"/>
            </w:tcBorders>
            <w:shd w:val="clear" w:color="auto" w:fill="auto"/>
            <w:vAlign w:val="center"/>
          </w:tcPr>
          <w:p w:rsidRPr="007D7A70" w:rsidR="00C91244" w:rsidP="00936E8E" w:rsidRDefault="008E1A92" w14:paraId="4C8A0111" w14:textId="5DEB92D9">
            <w:r>
              <w:t>80</w:t>
            </w:r>
            <w:r w:rsidRPr="007D7A70" w:rsidR="00C91244">
              <w:t xml:space="preserve"> min</w:t>
            </w:r>
          </w:p>
        </w:tc>
        <w:tc>
          <w:tcPr>
            <w:tcW w:w="126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6557D00D" w14:textId="18CAA92F">
            <w:r>
              <w:t>1,</w:t>
            </w:r>
            <w:r w:rsidR="008E1A92">
              <w:t>267</w:t>
            </w:r>
            <w:r w:rsidRPr="007D7A70">
              <w:t xml:space="preserve"> </w:t>
            </w:r>
            <w:proofErr w:type="spellStart"/>
            <w:r w:rsidRPr="007D7A70">
              <w:t>hrs</w:t>
            </w:r>
            <w:proofErr w:type="spellEnd"/>
          </w:p>
        </w:tc>
      </w:tr>
      <w:tr w:rsidRPr="007D7A70" w:rsidR="00C91244" w:rsidTr="00936E8E" w14:paraId="44FCA78F"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C91244" w:rsidP="00936E8E" w:rsidRDefault="00C91244" w14:paraId="3A8E97FE" w14:textId="77777777">
            <w:r w:rsidRPr="007D7A70">
              <w:t>Email and telephone</w:t>
            </w:r>
          </w:p>
        </w:tc>
        <w:tc>
          <w:tcPr>
            <w:tcW w:w="279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0B69AE0A" w14:textId="77777777">
            <w:r w:rsidRPr="007D7A70">
              <w:t>Data quality follow-up validation</w:t>
            </w:r>
          </w:p>
        </w:tc>
        <w:tc>
          <w:tcPr>
            <w:tcW w:w="1530" w:type="dxa"/>
            <w:tcBorders>
              <w:top w:val="nil"/>
              <w:left w:val="nil"/>
              <w:bottom w:val="single" w:color="000000" w:sz="4" w:space="0"/>
              <w:right w:val="single" w:color="auto" w:sz="4" w:space="0"/>
            </w:tcBorders>
            <w:shd w:val="clear" w:color="auto" w:fill="auto"/>
            <w:vAlign w:val="center"/>
          </w:tcPr>
          <w:p w:rsidRPr="007D7A70" w:rsidR="00C91244" w:rsidP="00936E8E" w:rsidRDefault="00C91244" w14:paraId="70466309" w14:textId="77777777">
            <w:r>
              <w:t>665</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C91244" w:rsidP="00936E8E" w:rsidRDefault="00C91244" w14:paraId="57525351" w14:textId="77777777">
            <w:r>
              <w:t>665</w:t>
            </w:r>
          </w:p>
        </w:tc>
        <w:tc>
          <w:tcPr>
            <w:tcW w:w="1260" w:type="dxa"/>
            <w:tcBorders>
              <w:top w:val="nil"/>
              <w:left w:val="single" w:color="auto" w:sz="4" w:space="0"/>
              <w:bottom w:val="single" w:color="000000" w:sz="4" w:space="0"/>
              <w:right w:val="single" w:color="000000" w:sz="4" w:space="0"/>
            </w:tcBorders>
            <w:shd w:val="clear" w:color="auto" w:fill="auto"/>
            <w:vAlign w:val="center"/>
          </w:tcPr>
          <w:p w:rsidRPr="007D7A70" w:rsidR="00C91244" w:rsidP="00936E8E" w:rsidRDefault="00C91244" w14:paraId="0C533ECB" w14:textId="77777777">
            <w:r w:rsidRPr="007D7A70">
              <w:t>1</w:t>
            </w:r>
            <w:r>
              <w:t>0</w:t>
            </w:r>
            <w:r w:rsidRPr="007D7A70">
              <w:t xml:space="preserve"> min</w:t>
            </w:r>
          </w:p>
        </w:tc>
        <w:tc>
          <w:tcPr>
            <w:tcW w:w="126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709CA897" w14:textId="77777777">
            <w:r>
              <w:t>111</w:t>
            </w:r>
            <w:r w:rsidRPr="007D7A70">
              <w:t xml:space="preserve"> </w:t>
            </w:r>
            <w:proofErr w:type="spellStart"/>
            <w:r w:rsidRPr="007D7A70">
              <w:t>hrs</w:t>
            </w:r>
            <w:proofErr w:type="spellEnd"/>
          </w:p>
        </w:tc>
      </w:tr>
      <w:tr w:rsidRPr="007D7A70" w:rsidR="00C91244" w:rsidTr="00936E8E" w14:paraId="0730EA55"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C91244" w:rsidP="00936E8E" w:rsidRDefault="00C91244" w14:paraId="2BB4F8C9" w14:textId="77777777">
            <w:r w:rsidRPr="007D7A70">
              <w:t>Email and telephone</w:t>
            </w:r>
          </w:p>
        </w:tc>
        <w:tc>
          <w:tcPr>
            <w:tcW w:w="279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58B8F6B5" w14:textId="77777777">
            <w:r w:rsidRPr="007D7A70">
              <w:t>Verify facility operational status and point-of-contact</w:t>
            </w:r>
          </w:p>
        </w:tc>
        <w:tc>
          <w:tcPr>
            <w:tcW w:w="1530" w:type="dxa"/>
            <w:tcBorders>
              <w:top w:val="nil"/>
              <w:left w:val="nil"/>
              <w:bottom w:val="single" w:color="000000" w:sz="4" w:space="0"/>
              <w:right w:val="single" w:color="auto" w:sz="4" w:space="0"/>
            </w:tcBorders>
            <w:shd w:val="clear" w:color="auto" w:fill="auto"/>
            <w:vAlign w:val="center"/>
          </w:tcPr>
          <w:p w:rsidRPr="007D7A70" w:rsidR="00C91244" w:rsidP="00936E8E" w:rsidRDefault="00C91244" w14:paraId="4ADD66BA" w14:textId="77777777">
            <w:r>
              <w:t>6</w:t>
            </w:r>
            <w:r w:rsidRPr="007D7A70">
              <w:t>0</w:t>
            </w:r>
          </w:p>
        </w:tc>
        <w:tc>
          <w:tcPr>
            <w:tcW w:w="1350" w:type="dxa"/>
            <w:tcBorders>
              <w:top w:val="single" w:color="auto" w:sz="4" w:space="0"/>
              <w:left w:val="single" w:color="auto" w:sz="4" w:space="0"/>
              <w:bottom w:val="single" w:color="auto" w:sz="4" w:space="0"/>
              <w:right w:val="single" w:color="auto" w:sz="4" w:space="0"/>
            </w:tcBorders>
            <w:vAlign w:val="center"/>
          </w:tcPr>
          <w:p w:rsidRPr="007D7A70" w:rsidR="00C91244" w:rsidP="00936E8E" w:rsidRDefault="00C91244" w14:paraId="2ABAD9C5" w14:textId="77777777">
            <w:r>
              <w:t>6</w:t>
            </w:r>
            <w:r w:rsidRPr="007D7A70">
              <w:t>0</w:t>
            </w:r>
          </w:p>
        </w:tc>
        <w:tc>
          <w:tcPr>
            <w:tcW w:w="1260" w:type="dxa"/>
            <w:tcBorders>
              <w:top w:val="nil"/>
              <w:left w:val="single" w:color="auto" w:sz="4" w:space="0"/>
              <w:bottom w:val="single" w:color="000000" w:sz="4" w:space="0"/>
              <w:right w:val="single" w:color="000000" w:sz="4" w:space="0"/>
            </w:tcBorders>
            <w:shd w:val="clear" w:color="auto" w:fill="auto"/>
            <w:vAlign w:val="center"/>
          </w:tcPr>
          <w:p w:rsidRPr="007D7A70" w:rsidR="00C91244" w:rsidP="00936E8E" w:rsidRDefault="00C91244" w14:paraId="5D411921" w14:textId="77777777">
            <w:r w:rsidRPr="007D7A70">
              <w:t>5 min</w:t>
            </w:r>
          </w:p>
        </w:tc>
        <w:tc>
          <w:tcPr>
            <w:tcW w:w="126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256DFA88" w14:textId="77777777">
            <w:r>
              <w:t>5</w:t>
            </w:r>
            <w:r w:rsidRPr="007D7A70">
              <w:t xml:space="preserve"> </w:t>
            </w:r>
            <w:proofErr w:type="spellStart"/>
            <w:r w:rsidRPr="007D7A70">
              <w:t>hrs</w:t>
            </w:r>
            <w:proofErr w:type="spellEnd"/>
          </w:p>
        </w:tc>
      </w:tr>
      <w:tr w:rsidRPr="007D7A70" w:rsidR="00C91244" w:rsidTr="00936E8E" w14:paraId="2EA4C5C7" w14:textId="77777777">
        <w:trPr>
          <w:trHeight w:val="266"/>
        </w:trPr>
        <w:tc>
          <w:tcPr>
            <w:tcW w:w="1525" w:type="dxa"/>
            <w:tcBorders>
              <w:top w:val="nil"/>
              <w:left w:val="single" w:color="000000" w:sz="4" w:space="0"/>
              <w:bottom w:val="single" w:color="000000" w:sz="4" w:space="0"/>
              <w:right w:val="single" w:color="000000" w:sz="4" w:space="0"/>
            </w:tcBorders>
            <w:shd w:val="clear" w:color="auto" w:fill="auto"/>
            <w:vAlign w:val="center"/>
          </w:tcPr>
          <w:p w:rsidRPr="007D7A70" w:rsidR="00C91244" w:rsidP="00936E8E" w:rsidRDefault="00C91244" w14:paraId="7A9A77D2" w14:textId="77777777">
            <w:r w:rsidRPr="007D7A70">
              <w:t>Total</w:t>
            </w:r>
          </w:p>
        </w:tc>
        <w:tc>
          <w:tcPr>
            <w:tcW w:w="2790" w:type="dxa"/>
            <w:tcBorders>
              <w:top w:val="nil"/>
              <w:left w:val="nil"/>
              <w:bottom w:val="single" w:color="000000" w:sz="4" w:space="0"/>
              <w:right w:val="single" w:color="000000" w:sz="4" w:space="0"/>
            </w:tcBorders>
            <w:shd w:val="clear" w:color="auto" w:fill="auto"/>
            <w:vAlign w:val="center"/>
          </w:tcPr>
          <w:p w:rsidRPr="007D7A70" w:rsidR="00C91244" w:rsidP="00936E8E" w:rsidRDefault="00C91244" w14:paraId="12F3B54B" w14:textId="77777777"/>
        </w:tc>
        <w:tc>
          <w:tcPr>
            <w:tcW w:w="1530" w:type="dxa"/>
            <w:tcBorders>
              <w:top w:val="nil"/>
              <w:left w:val="nil"/>
              <w:bottom w:val="single" w:color="000000" w:sz="4" w:space="0"/>
              <w:right w:val="single" w:color="auto" w:sz="4" w:space="0"/>
            </w:tcBorders>
            <w:shd w:val="clear" w:color="auto" w:fill="D9D9D9" w:themeFill="background1" w:themeFillShade="D9"/>
            <w:vAlign w:val="center"/>
          </w:tcPr>
          <w:p w:rsidRPr="007D7A70" w:rsidR="00C91244" w:rsidP="00936E8E" w:rsidRDefault="00C91244" w14:paraId="2A7EB76B" w14:textId="77777777"/>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D7A70" w:rsidR="00C91244" w:rsidP="00936E8E" w:rsidRDefault="00C91244" w14:paraId="5A4F4E0C" w14:textId="77777777"/>
        </w:tc>
        <w:tc>
          <w:tcPr>
            <w:tcW w:w="1260" w:type="dxa"/>
            <w:tcBorders>
              <w:top w:val="nil"/>
              <w:left w:val="single" w:color="auto" w:sz="4" w:space="0"/>
              <w:bottom w:val="single" w:color="000000" w:sz="4" w:space="0"/>
              <w:right w:val="single" w:color="000000" w:sz="4" w:space="0"/>
            </w:tcBorders>
            <w:shd w:val="clear" w:color="auto" w:fill="D9D9D9" w:themeFill="background1" w:themeFillShade="D9"/>
            <w:vAlign w:val="center"/>
          </w:tcPr>
          <w:p w:rsidRPr="007D7A70" w:rsidR="00C91244" w:rsidP="00936E8E" w:rsidRDefault="00C91244" w14:paraId="2F721BD2" w14:textId="77777777"/>
        </w:tc>
        <w:tc>
          <w:tcPr>
            <w:tcW w:w="1260" w:type="dxa"/>
            <w:tcBorders>
              <w:top w:val="nil"/>
              <w:left w:val="nil"/>
              <w:bottom w:val="single" w:color="000000" w:sz="4" w:space="0"/>
              <w:right w:val="single" w:color="000000" w:sz="4" w:space="0"/>
            </w:tcBorders>
            <w:shd w:val="clear" w:color="auto" w:fill="auto"/>
            <w:vAlign w:val="center"/>
          </w:tcPr>
          <w:p w:rsidRPr="007D7A70" w:rsidR="00C91244" w:rsidP="00936E8E" w:rsidRDefault="008E1A92" w14:paraId="47A20BA0" w14:textId="4BB79821">
            <w:r>
              <w:t>1,383</w:t>
            </w:r>
            <w:r w:rsidRPr="007D7A70" w:rsidR="00C91244">
              <w:t xml:space="preserve"> </w:t>
            </w:r>
            <w:proofErr w:type="spellStart"/>
            <w:r w:rsidRPr="007D7A70" w:rsidR="00C91244">
              <w:t>hrs</w:t>
            </w:r>
            <w:proofErr w:type="spellEnd"/>
          </w:p>
        </w:tc>
      </w:tr>
    </w:tbl>
    <w:p w:rsidRPr="007D7A70" w:rsidR="008E637F" w:rsidP="007D7A70" w:rsidRDefault="008E637F" w14:paraId="5C9F979E" w14:textId="6423F324">
      <w:pPr>
        <w:rPr>
          <w:highlight w:val="yellow"/>
        </w:rPr>
      </w:pPr>
    </w:p>
    <w:p w:rsidRPr="007D7A70" w:rsidR="00C416F3" w:rsidP="007D7A70" w:rsidRDefault="003D7C2A" w14:paraId="705A4D73" w14:textId="047A98EC">
      <w:pPr>
        <w:pStyle w:val="Heading2"/>
      </w:pPr>
      <w:r w:rsidRPr="007D7A70">
        <w:t>1</w:t>
      </w:r>
      <w:r w:rsidRPr="007D7A70" w:rsidR="009826D4">
        <w:t>3</w:t>
      </w:r>
      <w:r w:rsidRPr="007D7A70" w:rsidR="00A51E64">
        <w:t>.</w:t>
      </w:r>
      <w:r w:rsidRPr="007D7A70" w:rsidR="00A51E64">
        <w:tab/>
      </w:r>
      <w:r w:rsidRPr="007D7A70" w:rsidR="003648F8">
        <w:t xml:space="preserve">Estimate of </w:t>
      </w:r>
      <w:r w:rsidRPr="007D7A70" w:rsidR="00841448">
        <w:t xml:space="preserve">Respondent </w:t>
      </w:r>
      <w:r w:rsidRPr="007D7A70" w:rsidR="003648F8">
        <w:t xml:space="preserve">Cost Burden </w:t>
      </w:r>
    </w:p>
    <w:p w:rsidRPr="007D7A70" w:rsidR="00945A3E" w:rsidP="007D7A70" w:rsidRDefault="00945A3E" w14:paraId="5CE2CC9B" w14:textId="13ABF2CC">
      <w:r w:rsidRPr="007D7A70">
        <w:t xml:space="preserve">We do not expect </w:t>
      </w:r>
      <w:r w:rsidRPr="007D7A70" w:rsidR="006E12E1">
        <w:t xml:space="preserve">the data collections </w:t>
      </w:r>
      <w:r w:rsidRPr="007D7A70">
        <w:t xml:space="preserve">to incur any </w:t>
      </w:r>
      <w:r w:rsidRPr="007D7A70" w:rsidR="008D0548">
        <w:t>capital, startup, or system maintenance costs to respondents.</w:t>
      </w:r>
      <w:r w:rsidRPr="007D7A70">
        <w:t xml:space="preserve"> The information requested is of the type and scope </w:t>
      </w:r>
      <w:r w:rsidRPr="007D7A70" w:rsidR="006E12E1">
        <w:t xml:space="preserve">jails </w:t>
      </w:r>
      <w:r w:rsidRPr="007D7A70">
        <w:t>normally collect as part of their operations</w:t>
      </w:r>
      <w:r w:rsidRPr="007D7A70" w:rsidR="00012943">
        <w:t>,</w:t>
      </w:r>
      <w:r w:rsidRPr="007D7A70">
        <w:t xml:space="preserve"> and no special hardware or accounting software or system is necessary to provide information for this data collection. Further</w:t>
      </w:r>
      <w:r w:rsidRPr="007D7A70" w:rsidR="001C6E26">
        <w:t>more</w:t>
      </w:r>
      <w:r w:rsidRPr="007D7A70">
        <w:t>, purchas</w:t>
      </w:r>
      <w:r w:rsidRPr="007D7A70" w:rsidR="001C6E26">
        <w:t>e</w:t>
      </w:r>
      <w:r w:rsidRPr="007D7A70">
        <w:t xml:space="preserve"> of outside accounting or </w:t>
      </w:r>
      <w:r w:rsidRPr="007D7A70">
        <w:lastRenderedPageBreak/>
        <w:t>information collection services, if performed by the respondent, is part of usual and customary business practices</w:t>
      </w:r>
      <w:r w:rsidRPr="007D7A70" w:rsidR="001C6E26">
        <w:t>,</w:t>
      </w:r>
      <w:r w:rsidRPr="007D7A70">
        <w:t xml:space="preserve"> not specifically required for </w:t>
      </w:r>
      <w:r w:rsidRPr="007D7A70" w:rsidR="001C6E26">
        <w:t xml:space="preserve">providing </w:t>
      </w:r>
      <w:r w:rsidRPr="007D7A70">
        <w:t>information</w:t>
      </w:r>
      <w:r w:rsidRPr="007D7A70" w:rsidR="001C6E26">
        <w:t xml:space="preserve"> to BJS</w:t>
      </w:r>
      <w:r w:rsidRPr="007D7A70">
        <w:t xml:space="preserve">. </w:t>
      </w:r>
    </w:p>
    <w:p w:rsidRPr="007D7A70" w:rsidR="00945A3E" w:rsidP="007D7A70" w:rsidRDefault="00945A3E" w14:paraId="67777515" w14:textId="6D09942A">
      <w:proofErr w:type="gramStart"/>
      <w:r w:rsidRPr="007D7A70">
        <w:t xml:space="preserve">Based on the total burden hours at an </w:t>
      </w:r>
      <w:r w:rsidRPr="007D7A70" w:rsidR="00015BA9">
        <w:t xml:space="preserve">average </w:t>
      </w:r>
      <w:r w:rsidRPr="007D7A70" w:rsidR="001C6E26">
        <w:t xml:space="preserve">labor cost </w:t>
      </w:r>
      <w:r w:rsidRPr="007D7A70">
        <w:t xml:space="preserve">of </w:t>
      </w:r>
      <w:r w:rsidRPr="007D7A70" w:rsidR="00D34B39">
        <w:t xml:space="preserve">about </w:t>
      </w:r>
      <w:r w:rsidRPr="007D7A70">
        <w:t>$23.</w:t>
      </w:r>
      <w:r w:rsidR="00EA36A0">
        <w:t>7</w:t>
      </w:r>
      <w:r w:rsidRPr="007D7A70">
        <w:t>0 per hour (based on Bureau of Labor Statistics data</w:t>
      </w:r>
      <w:r w:rsidRPr="007D7A70" w:rsidR="00D34B39">
        <w:t xml:space="preserve">: </w:t>
      </w:r>
      <w:hyperlink w:history="1" r:id="rId21">
        <w:r w:rsidRPr="007D7A70" w:rsidR="00D34B39">
          <w:rPr>
            <w:rStyle w:val="Hyperlink"/>
          </w:rPr>
          <w:t>https://www.bls.gov/oes/current/oes333012.htm</w:t>
        </w:r>
      </w:hyperlink>
      <w:r w:rsidRPr="007D7A70">
        <w:t xml:space="preserve">), we estimate </w:t>
      </w:r>
      <w:r w:rsidR="00936E8E">
        <w:t>that the labor</w:t>
      </w:r>
      <w:r w:rsidRPr="007D7A70">
        <w:t xml:space="preserve"> cost to respondents </w:t>
      </w:r>
      <w:r w:rsidR="00936E8E">
        <w:t xml:space="preserve">will be </w:t>
      </w:r>
      <w:r w:rsidRPr="007D7A70" w:rsidR="008D0548">
        <w:t xml:space="preserve">approximately </w:t>
      </w:r>
      <w:r w:rsidR="00936E8E">
        <w:t>$50.29 per jail (for a total of $47,779) each year in 2020 and 2021 and $34.50 per jail (for a total of $32,777) in 2022</w:t>
      </w:r>
      <w:r w:rsidRPr="007D7A70">
        <w:t>.</w:t>
      </w:r>
      <w:proofErr w:type="gramEnd"/>
      <w:r w:rsidRPr="007D7A70">
        <w:t xml:space="preserve"> </w:t>
      </w:r>
    </w:p>
    <w:p w:rsidRPr="007D7A70" w:rsidR="00C416F3" w:rsidP="00EE492D" w:rsidRDefault="009826D4" w14:paraId="566EC3DA" w14:textId="71B1D705">
      <w:pPr>
        <w:pStyle w:val="Heading2"/>
      </w:pPr>
      <w:r w:rsidRPr="007D7A70">
        <w:t>14</w:t>
      </w:r>
      <w:r w:rsidRPr="007D7A70" w:rsidR="000F529B">
        <w:t xml:space="preserve">. </w:t>
      </w:r>
      <w:r w:rsidRPr="007D7A70" w:rsidR="002F144E">
        <w:tab/>
      </w:r>
      <w:r w:rsidRPr="007D7A70">
        <w:t xml:space="preserve">Estimated </w:t>
      </w:r>
      <w:r w:rsidRPr="007D7A70" w:rsidR="00A51E64">
        <w:t>Cost to the Federal Government</w:t>
      </w:r>
      <w:r w:rsidRPr="007D7A70" w:rsidR="00761365">
        <w:t xml:space="preserve"> </w:t>
      </w:r>
    </w:p>
    <w:p w:rsidRPr="007D7A70" w:rsidR="000A3B0F" w:rsidP="007D7A70" w:rsidRDefault="000A3B0F" w14:paraId="5BA69C75" w14:textId="43F32360">
      <w:r w:rsidRPr="007D7A70">
        <w:t xml:space="preserve">Total cost to the federal government for all aspects of the </w:t>
      </w:r>
      <w:r w:rsidR="000D0199">
        <w:t>ASJ</w:t>
      </w:r>
      <w:r w:rsidRPr="007D7A70" w:rsidR="000D0199">
        <w:t xml:space="preserve"> </w:t>
      </w:r>
      <w:r w:rsidRPr="007D7A70">
        <w:t>will be $</w:t>
      </w:r>
      <w:r w:rsidR="003417B6">
        <w:t>448</w:t>
      </w:r>
      <w:r w:rsidRPr="007D7A70" w:rsidR="00864FF3">
        <w:t>,</w:t>
      </w:r>
      <w:r w:rsidR="003417B6">
        <w:t>8</w:t>
      </w:r>
      <w:r w:rsidRPr="007D7A70" w:rsidR="00864FF3">
        <w:t>00</w:t>
      </w:r>
      <w:r w:rsidRPr="007D7A70">
        <w:t xml:space="preserve">. Currently, the division of labor for a data collection cycle of </w:t>
      </w:r>
      <w:r w:rsidR="00182755">
        <w:t>AS</w:t>
      </w:r>
      <w:r w:rsidRPr="007D7A70">
        <w:t>J is as follows: The data collection agent (</w:t>
      </w:r>
      <w:r w:rsidRPr="007D7A70" w:rsidR="004A559F">
        <w:t>Research Triangle Institute (RTI)</w:t>
      </w:r>
      <w:r w:rsidRPr="007D7A70" w:rsidR="00C45CFF">
        <w:t>)</w:t>
      </w:r>
      <w:r w:rsidRPr="007D7A70">
        <w:t xml:space="preserve"> maintains and updates the responden</w:t>
      </w:r>
      <w:r w:rsidR="0009736C">
        <w:t>t contact information database</w:t>
      </w:r>
      <w:r w:rsidRPr="007D7A70">
        <w:t>, develops the web instrument</w:t>
      </w:r>
      <w:r w:rsidRPr="007D7A70" w:rsidR="00BB28F5">
        <w:t>s</w:t>
      </w:r>
      <w:r w:rsidRPr="007D7A70">
        <w:t xml:space="preserve">, collects data through the web, fax, email, or mail, conducts follow-up, cleans data and impute missing data, and prepares a </w:t>
      </w:r>
      <w:r w:rsidRPr="007D7A70" w:rsidR="00C45CFF">
        <w:t xml:space="preserve">final </w:t>
      </w:r>
      <w:r w:rsidRPr="007D7A70">
        <w:t>dataset for BJS use. BJS staff design the survey form</w:t>
      </w:r>
      <w:r w:rsidRPr="007D7A70" w:rsidR="00622110">
        <w:t>s</w:t>
      </w:r>
      <w:r w:rsidRPr="007D7A70">
        <w:t xml:space="preserve">, analyze the data, prepare statistical tables, and write reports based on these data. </w:t>
      </w:r>
    </w:p>
    <w:p w:rsidRPr="00962036" w:rsidR="00503C66" w:rsidP="007D7A70" w:rsidRDefault="000A3B0F" w14:paraId="7750F125" w14:textId="31E5C9B5">
      <w:r w:rsidRPr="007D7A70">
        <w:t xml:space="preserve">Based upon contractual costs, the estimated costs to the government associated with the collection, processing, and publication of reports, and preparation of data tables </w:t>
      </w:r>
      <w:proofErr w:type="gramStart"/>
      <w:r w:rsidRPr="007D7A70">
        <w:t>are projected</w:t>
      </w:r>
      <w:proofErr w:type="gramEnd"/>
      <w:r w:rsidRPr="007D7A70">
        <w:t xml:space="preserve"> for 2019 in table 2</w:t>
      </w:r>
      <w:r w:rsidRPr="007D7A70" w:rsidR="00C1230B">
        <w:t xml:space="preserve"> (below)</w:t>
      </w:r>
      <w:r w:rsidRPr="007D7A70">
        <w:t>. A total estimated cost of $</w:t>
      </w:r>
      <w:r w:rsidR="003417B6">
        <w:t>448</w:t>
      </w:r>
      <w:r w:rsidRPr="007D7A70" w:rsidR="00FE5A28">
        <w:t>,</w:t>
      </w:r>
      <w:r w:rsidR="003417B6">
        <w:t>8</w:t>
      </w:r>
      <w:r w:rsidRPr="007D7A70" w:rsidR="003417B6">
        <w:t xml:space="preserve">00 </w:t>
      </w:r>
      <w:proofErr w:type="gramStart"/>
      <w:r w:rsidRPr="007D7A70">
        <w:t>is divided</w:t>
      </w:r>
      <w:proofErr w:type="gramEnd"/>
      <w:r w:rsidRPr="007D7A70">
        <w:t xml:space="preserve"> between RTI for </w:t>
      </w:r>
      <w:r w:rsidRPr="007D7A70" w:rsidR="00FE5A28">
        <w:t xml:space="preserve">respondent outreach efforts, </w:t>
      </w:r>
      <w:r w:rsidRPr="007D7A70">
        <w:t xml:space="preserve">data collection </w:t>
      </w:r>
      <w:r w:rsidRPr="007D7A70" w:rsidR="00FE5A28">
        <w:t xml:space="preserve">and follow-up, data imputation, </w:t>
      </w:r>
      <w:r w:rsidRPr="007D7A70">
        <w:t xml:space="preserve">and </w:t>
      </w:r>
      <w:r w:rsidRPr="007D7A70" w:rsidR="00FE5A28">
        <w:t>dataset preparation</w:t>
      </w:r>
      <w:r w:rsidRPr="007D7A70">
        <w:t xml:space="preserve"> ($</w:t>
      </w:r>
      <w:r w:rsidR="00AB40D3">
        <w:t>311</w:t>
      </w:r>
      <w:r w:rsidRPr="007D7A70" w:rsidR="00FE5A28">
        <w:t>,000</w:t>
      </w:r>
      <w:r w:rsidRPr="007D7A70">
        <w:t>) and BJS for program management, analysis, and reporting and dissemination ($</w:t>
      </w:r>
      <w:r w:rsidRPr="007D7A70" w:rsidR="003417B6">
        <w:t>1</w:t>
      </w:r>
      <w:r w:rsidR="003417B6">
        <w:t>37</w:t>
      </w:r>
      <w:r w:rsidRPr="007D7A70" w:rsidR="00FE5A28">
        <w:t>,</w:t>
      </w:r>
      <w:r w:rsidR="003417B6">
        <w:t>8</w:t>
      </w:r>
      <w:r w:rsidRPr="007D7A70" w:rsidR="003417B6">
        <w:t>00</w:t>
      </w:r>
      <w:r w:rsidRPr="007D7A70">
        <w:t xml:space="preserve">). Both BJS and RTI costs include </w:t>
      </w:r>
      <w:r w:rsidR="00962036">
        <w:t xml:space="preserve">salary, fringe, and overhead.  </w:t>
      </w:r>
      <w:r w:rsidRPr="007D7A70">
        <w:t xml:space="preserve">       </w:t>
      </w:r>
    </w:p>
    <w:tbl>
      <w:tblPr>
        <w:tblpPr w:leftFromText="180" w:rightFromText="180" w:vertAnchor="text" w:horzAnchor="margin" w:tblpXSpec="center" w:tblpY="40"/>
        <w:tblW w:w="9360" w:type="dxa"/>
        <w:tblLook w:val="00A0" w:firstRow="1" w:lastRow="0" w:firstColumn="1" w:lastColumn="0" w:noHBand="0" w:noVBand="0"/>
      </w:tblPr>
      <w:tblGrid>
        <w:gridCol w:w="556"/>
        <w:gridCol w:w="512"/>
        <w:gridCol w:w="5082"/>
        <w:gridCol w:w="3210"/>
      </w:tblGrid>
      <w:tr w:rsidRPr="007D7A70" w:rsidR="00C86375" w:rsidTr="00E07298" w14:paraId="3720E8C7" w14:textId="77777777">
        <w:trPr>
          <w:trHeight w:val="229"/>
        </w:trPr>
        <w:tc>
          <w:tcPr>
            <w:tcW w:w="9360" w:type="dxa"/>
            <w:gridSpan w:val="4"/>
            <w:tcBorders>
              <w:top w:val="single" w:color="auto" w:sz="4" w:space="0"/>
              <w:left w:val="single" w:color="auto" w:sz="4" w:space="0"/>
              <w:bottom w:val="single" w:color="auto" w:sz="4" w:space="0"/>
              <w:right w:val="single" w:color="auto" w:sz="4" w:space="0"/>
            </w:tcBorders>
            <w:vAlign w:val="bottom"/>
          </w:tcPr>
          <w:p w:rsidRPr="007D7A70" w:rsidR="00C86375" w:rsidP="000B3FDD" w:rsidRDefault="000A3B0F" w14:paraId="2B109B41" w14:textId="79E2CC24">
            <w:pPr>
              <w:rPr>
                <w:highlight w:val="yellow"/>
              </w:rPr>
            </w:pPr>
            <w:r w:rsidRPr="007D7A70">
              <w:t xml:space="preserve">Table 2. Estimated costs for the </w:t>
            </w:r>
            <w:r w:rsidR="000B3FDD">
              <w:t>2020</w:t>
            </w:r>
            <w:r w:rsidRPr="007D7A70" w:rsidR="00AF05AA">
              <w:t xml:space="preserve"> </w:t>
            </w:r>
            <w:r w:rsidR="000B3FDD">
              <w:t>Annual Survey of Jails</w:t>
            </w:r>
          </w:p>
        </w:tc>
      </w:tr>
      <w:tr w:rsidRPr="007D7A70" w:rsidR="00503C66" w:rsidTr="00E07298" w14:paraId="51CA1107" w14:textId="77777777">
        <w:trPr>
          <w:trHeight w:val="229"/>
        </w:trPr>
        <w:tc>
          <w:tcPr>
            <w:tcW w:w="9360" w:type="dxa"/>
            <w:gridSpan w:val="4"/>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57D998DC" w14:textId="77777777">
            <w:r w:rsidRPr="007D7A70">
              <w:t>BJS costs</w:t>
            </w:r>
          </w:p>
        </w:tc>
      </w:tr>
      <w:tr w:rsidRPr="007D7A70" w:rsidR="00503C66" w:rsidTr="00E07298" w14:paraId="150556B1" w14:textId="77777777">
        <w:trPr>
          <w:trHeight w:val="229"/>
        </w:trPr>
        <w:tc>
          <w:tcPr>
            <w:tcW w:w="556" w:type="dxa"/>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4FFC22F7" w14:textId="77777777"/>
        </w:tc>
        <w:tc>
          <w:tcPr>
            <w:tcW w:w="5594" w:type="dxa"/>
            <w:gridSpan w:val="2"/>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16D64D60" w14:textId="77777777">
            <w:r w:rsidRPr="007D7A70">
              <w:t>Staff salaries</w:t>
            </w:r>
          </w:p>
        </w:tc>
        <w:tc>
          <w:tcPr>
            <w:tcW w:w="3210" w:type="dxa"/>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36632814" w14:textId="77777777"/>
        </w:tc>
      </w:tr>
      <w:tr w:rsidRPr="007D7A70" w:rsidR="00503C66" w:rsidTr="00E07298" w14:paraId="527A5B01"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08DB8C76"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69A83B45"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503C66" w:rsidP="007D7A70" w:rsidRDefault="00503C66" w14:paraId="75F6ACF1" w14:textId="12784DA2">
            <w:r w:rsidRPr="007D7A70">
              <w:t>GS-14 Statistician (</w:t>
            </w:r>
            <w:r w:rsidR="007305E9">
              <w:t>20</w:t>
            </w:r>
            <w:r w:rsidRPr="007D7A70">
              <w:t>%)</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503C66" w:rsidP="002F1F42" w:rsidRDefault="00503C66" w14:paraId="13558274" w14:textId="13B3BDEA">
            <w:r w:rsidRPr="007D7A70">
              <w:t>$</w:t>
            </w:r>
            <w:r w:rsidR="002F1F42">
              <w:t>27</w:t>
            </w:r>
            <w:r w:rsidRPr="007D7A70" w:rsidR="008A01CA">
              <w:t>,</w:t>
            </w:r>
            <w:r w:rsidR="002F1F42">
              <w:t>5</w:t>
            </w:r>
            <w:r w:rsidRPr="007D7A70" w:rsidR="008A01CA">
              <w:t>00</w:t>
            </w:r>
            <w:r w:rsidRPr="007D7A70">
              <w:t xml:space="preserve"> </w:t>
            </w:r>
          </w:p>
        </w:tc>
      </w:tr>
      <w:tr w:rsidRPr="007D7A70" w:rsidR="00330AA7" w:rsidTr="00E07298" w14:paraId="432B6C22"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330AA7" w:rsidP="007D7A70" w:rsidRDefault="00330AA7" w14:paraId="3B021E6A"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330AA7" w:rsidP="007D7A70" w:rsidRDefault="00330AA7" w14:paraId="5B55954F"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330AA7" w:rsidP="00350BA2" w:rsidRDefault="00AF05AA" w14:paraId="7D4DD881" w14:textId="577538E7">
            <w:r w:rsidRPr="007D7A70">
              <w:t>GS-</w:t>
            </w:r>
            <w:r w:rsidRPr="007D7A70" w:rsidR="00350BA2">
              <w:t>1</w:t>
            </w:r>
            <w:r w:rsidR="00350BA2">
              <w:t>3</w:t>
            </w:r>
            <w:r w:rsidRPr="007D7A70" w:rsidR="00350BA2">
              <w:t xml:space="preserve"> </w:t>
            </w:r>
            <w:r w:rsidRPr="007D7A70">
              <w:t>Statistician (</w:t>
            </w:r>
            <w:r w:rsidR="007305E9">
              <w:t>4</w:t>
            </w:r>
            <w:r w:rsidRPr="007D7A70">
              <w:t>0%)</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330AA7" w:rsidP="002F1F42" w:rsidRDefault="00330AA7" w14:paraId="2E77C0C7" w14:textId="00A948EB">
            <w:r w:rsidRPr="007D7A70">
              <w:t>$</w:t>
            </w:r>
            <w:r w:rsidR="002F1F42">
              <w:t>46</w:t>
            </w:r>
            <w:r w:rsidRPr="007D7A70" w:rsidR="008A01CA">
              <w:t>,</w:t>
            </w:r>
            <w:r w:rsidR="002F1F42">
              <w:t>5</w:t>
            </w:r>
            <w:r w:rsidRPr="007D7A70" w:rsidR="00AF05AA">
              <w:t xml:space="preserve">00 </w:t>
            </w:r>
          </w:p>
        </w:tc>
      </w:tr>
      <w:tr w:rsidRPr="007D7A70" w:rsidR="00AF05AA" w:rsidTr="00E07298" w14:paraId="50D0BB8F"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621849B9"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58D120D0"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69E4A6E6" w14:textId="10335752">
            <w:r w:rsidRPr="007D7A70">
              <w:t>GS-15 Supervisory Statistician (1%)</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DE0B7C" w:rsidRDefault="00AF05AA" w14:paraId="03E3AF82" w14:textId="0C622FD0">
            <w:r w:rsidRPr="007D7A70">
              <w:t>$1,</w:t>
            </w:r>
            <w:r w:rsidR="00DE0B7C">
              <w:t>6</w:t>
            </w:r>
            <w:r w:rsidRPr="007D7A70">
              <w:t xml:space="preserve">00 </w:t>
            </w:r>
          </w:p>
        </w:tc>
      </w:tr>
      <w:tr w:rsidRPr="007D7A70" w:rsidR="00AF05AA" w:rsidTr="00E07298" w14:paraId="7F5D523D"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73E02605"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791F8D91"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4A86E857" w14:textId="77777777">
            <w:r w:rsidRPr="007D7A70">
              <w:t>GS-15 Chief Editor (1%)</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DE0B7C" w:rsidRDefault="00AF05AA" w14:paraId="348C2467" w14:textId="1104A295">
            <w:r w:rsidRPr="007D7A70">
              <w:t>$1,</w:t>
            </w:r>
            <w:r w:rsidR="00DE0B7C">
              <w:t>6</w:t>
            </w:r>
            <w:r w:rsidRPr="007D7A70">
              <w:t xml:space="preserve">00 </w:t>
            </w:r>
          </w:p>
        </w:tc>
      </w:tr>
      <w:tr w:rsidRPr="007D7A70" w:rsidR="00AF05AA" w:rsidTr="00E07298" w14:paraId="6CB7A80F"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3A28F1A9"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4FCBB1D7"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54726FF4" w14:textId="77777777">
            <w:r w:rsidRPr="007D7A70">
              <w:t>Other Editorial Staff (3%)</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7D7A70" w:rsidRDefault="00AF05AA" w14:paraId="453DBE3B" w14:textId="0FE95A40">
            <w:r w:rsidRPr="007D7A70">
              <w:t xml:space="preserve">$3,000 </w:t>
            </w:r>
          </w:p>
        </w:tc>
      </w:tr>
      <w:tr w:rsidRPr="007D7A70" w:rsidR="00AF05AA" w:rsidTr="00E07298" w14:paraId="5FD70ABF"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5CB7445A"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7DC6291A"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3623C6AD" w14:textId="7B3CED76">
            <w:r w:rsidRPr="007D7A70">
              <w:t>Front-Office Staff (GS-15 &amp; Directors)</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7D7A70" w:rsidRDefault="007305E9" w14:paraId="1589BAFC" w14:textId="3582FB68">
            <w:r>
              <w:t>$5,9</w:t>
            </w:r>
            <w:r w:rsidRPr="007D7A70" w:rsidR="00AF05AA">
              <w:t xml:space="preserve">00 </w:t>
            </w:r>
          </w:p>
        </w:tc>
      </w:tr>
      <w:tr w:rsidRPr="007D7A70" w:rsidR="00AF05AA" w:rsidTr="00E07298" w14:paraId="2B53BA69"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57C419E0" w14:textId="77777777"/>
        </w:tc>
        <w:tc>
          <w:tcPr>
            <w:tcW w:w="51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19219413" w14:textId="77777777"/>
        </w:tc>
        <w:tc>
          <w:tcPr>
            <w:tcW w:w="5082"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383A4D62" w14:textId="77777777">
            <w:r w:rsidRPr="007D7A70">
              <w:t>Subtotal salaries</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3417B6" w:rsidRDefault="00AF05AA" w14:paraId="2FB77016" w14:textId="7A239B55">
            <w:r w:rsidRPr="007D7A70">
              <w:t>$</w:t>
            </w:r>
            <w:r w:rsidR="003417B6">
              <w:t>86,100</w:t>
            </w:r>
          </w:p>
        </w:tc>
      </w:tr>
      <w:tr w:rsidRPr="007D7A70" w:rsidR="00AF05AA" w:rsidTr="00E07298" w14:paraId="5DFAAB8A"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46230D62" w14:textId="77777777"/>
        </w:tc>
        <w:tc>
          <w:tcPr>
            <w:tcW w:w="5594" w:type="dxa"/>
            <w:gridSpan w:val="2"/>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49C54E21" w14:textId="77777777">
            <w:r w:rsidRPr="007D7A70">
              <w:t>Fringe benefits (33% of salaries)</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7D7A70" w:rsidRDefault="003417B6" w14:paraId="3153268D" w14:textId="30003E39">
            <w:r>
              <w:t>$28,7</w:t>
            </w:r>
            <w:r w:rsidRPr="007D7A70" w:rsidR="00AF05AA">
              <w:t>00</w:t>
            </w:r>
          </w:p>
        </w:tc>
      </w:tr>
      <w:tr w:rsidRPr="007D7A70" w:rsidR="00AF05AA" w:rsidTr="00E07298" w14:paraId="376F4D3F" w14:textId="77777777">
        <w:trPr>
          <w:trHeight w:val="309"/>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7493AF70" w14:textId="77777777"/>
        </w:tc>
        <w:tc>
          <w:tcPr>
            <w:tcW w:w="5594" w:type="dxa"/>
            <w:gridSpan w:val="2"/>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60BE4183" w14:textId="77777777">
            <w:r w:rsidRPr="007D7A70">
              <w:t>Subtotal: Salary &amp; fringe</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3417B6" w:rsidRDefault="00AF05AA" w14:paraId="7DE43918" w14:textId="28D61970">
            <w:r w:rsidRPr="007D7A70">
              <w:t>$</w:t>
            </w:r>
            <w:r w:rsidR="003417B6">
              <w:t>114</w:t>
            </w:r>
            <w:r w:rsidRPr="007D7A70">
              <w:t>,</w:t>
            </w:r>
            <w:r w:rsidR="003417B6">
              <w:t>8</w:t>
            </w:r>
            <w:r w:rsidRPr="007D7A70">
              <w:t>00</w:t>
            </w:r>
          </w:p>
        </w:tc>
      </w:tr>
      <w:tr w:rsidRPr="007D7A70" w:rsidR="00AF05AA" w:rsidTr="00E07298" w14:paraId="48FDEE74" w14:textId="77777777">
        <w:trPr>
          <w:trHeight w:val="232"/>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43F349B8" w14:textId="77777777"/>
        </w:tc>
        <w:tc>
          <w:tcPr>
            <w:tcW w:w="5594" w:type="dxa"/>
            <w:gridSpan w:val="2"/>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675FFDE5" w14:textId="77777777">
            <w:r w:rsidRPr="007D7A70">
              <w:t>Other administrative costs of salary &amp; fringe (20%)</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7D7A70" w:rsidRDefault="003417B6" w14:paraId="689C232A" w14:textId="20027713">
            <w:r>
              <w:t>$23</w:t>
            </w:r>
            <w:r w:rsidRPr="007D7A70" w:rsidR="00AF05AA">
              <w:t>,000</w:t>
            </w:r>
          </w:p>
        </w:tc>
      </w:tr>
      <w:tr w:rsidRPr="007D7A70" w:rsidR="00AF05AA" w:rsidTr="00E07298" w14:paraId="1AB12B84" w14:textId="77777777">
        <w:trPr>
          <w:trHeight w:val="309"/>
        </w:trPr>
        <w:tc>
          <w:tcPr>
            <w:tcW w:w="556" w:type="dxa"/>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50B1BD11" w14:textId="77777777"/>
        </w:tc>
        <w:tc>
          <w:tcPr>
            <w:tcW w:w="5594" w:type="dxa"/>
            <w:gridSpan w:val="2"/>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4DAF28B7" w14:textId="77777777">
            <w:r w:rsidRPr="007D7A70">
              <w:t>Subtotal: BJS costs</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3417B6" w:rsidRDefault="00AF05AA" w14:paraId="53B9D1C4" w14:textId="5A318631">
            <w:r w:rsidRPr="007D7A70">
              <w:t>$1</w:t>
            </w:r>
            <w:r w:rsidR="003417B6">
              <w:t>37</w:t>
            </w:r>
            <w:r w:rsidRPr="007D7A70">
              <w:t>,</w:t>
            </w:r>
            <w:r w:rsidR="003417B6">
              <w:t>8</w:t>
            </w:r>
            <w:r w:rsidRPr="007D7A70">
              <w:t>00</w:t>
            </w:r>
          </w:p>
        </w:tc>
      </w:tr>
      <w:tr w:rsidRPr="007D7A70" w:rsidR="00AF05AA" w:rsidTr="00E07298" w14:paraId="112F709F" w14:textId="77777777">
        <w:trPr>
          <w:trHeight w:val="300"/>
        </w:trPr>
        <w:tc>
          <w:tcPr>
            <w:tcW w:w="6150" w:type="dxa"/>
            <w:gridSpan w:val="3"/>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19DF1C3B" w14:textId="59A35096">
            <w:r w:rsidRPr="007D7A70">
              <w:t>RTI costs (data collection agent)</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7D7A70" w:rsidRDefault="00AF05AA" w14:paraId="1F4ABC88" w14:textId="77777777"/>
        </w:tc>
      </w:tr>
      <w:tr w:rsidRPr="007D7A70" w:rsidR="00AF05AA" w:rsidTr="00E07298" w14:paraId="56AA7A98" w14:textId="77777777">
        <w:trPr>
          <w:trHeight w:val="300"/>
        </w:trPr>
        <w:tc>
          <w:tcPr>
            <w:tcW w:w="6150" w:type="dxa"/>
            <w:gridSpan w:val="3"/>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6400349D" w14:textId="6957793C">
            <w:pPr>
              <w:rPr>
                <w:b/>
                <w:bCs/>
              </w:rPr>
            </w:pPr>
            <w:r w:rsidRPr="007D7A70">
              <w:t>RTI costs (salaries, fringe benefits, mail-out, fax, email and telephone follow-up, programming, table creation, and overhead)</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AB40D3" w:rsidRDefault="00AF05AA" w14:paraId="76EF555B" w14:textId="0498E59A">
            <w:r w:rsidRPr="007D7A70">
              <w:t>$</w:t>
            </w:r>
            <w:r w:rsidR="00AB40D3">
              <w:t>311,000</w:t>
            </w:r>
          </w:p>
        </w:tc>
      </w:tr>
      <w:tr w:rsidRPr="007D7A70" w:rsidR="00AF05AA" w:rsidTr="00E07298" w14:paraId="19279289" w14:textId="77777777">
        <w:trPr>
          <w:trHeight w:val="300"/>
        </w:trPr>
        <w:tc>
          <w:tcPr>
            <w:tcW w:w="6150" w:type="dxa"/>
            <w:gridSpan w:val="3"/>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652E00D8" w14:textId="77777777"/>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7D7A70" w:rsidRDefault="00AF05AA" w14:paraId="30E34054" w14:textId="77777777"/>
        </w:tc>
      </w:tr>
      <w:tr w:rsidRPr="007D7A70" w:rsidR="00AF05AA" w:rsidTr="00E07298" w14:paraId="541714AD" w14:textId="77777777">
        <w:trPr>
          <w:trHeight w:val="300"/>
        </w:trPr>
        <w:tc>
          <w:tcPr>
            <w:tcW w:w="6150" w:type="dxa"/>
            <w:gridSpan w:val="3"/>
            <w:tcBorders>
              <w:top w:val="single" w:color="auto" w:sz="4" w:space="0"/>
              <w:left w:val="single" w:color="auto" w:sz="4" w:space="0"/>
              <w:bottom w:val="single" w:color="auto" w:sz="4" w:space="0"/>
              <w:right w:val="single" w:color="auto" w:sz="4" w:space="0"/>
            </w:tcBorders>
            <w:vAlign w:val="bottom"/>
          </w:tcPr>
          <w:p w:rsidRPr="007D7A70" w:rsidR="00AF05AA" w:rsidP="007D7A70" w:rsidRDefault="00AF05AA" w14:paraId="1E2D5834" w14:textId="77777777">
            <w:r w:rsidRPr="007D7A70">
              <w:t>Total estimated costs</w:t>
            </w:r>
          </w:p>
        </w:tc>
        <w:tc>
          <w:tcPr>
            <w:tcW w:w="3210" w:type="dxa"/>
            <w:tcBorders>
              <w:top w:val="single" w:color="auto" w:sz="4" w:space="0"/>
              <w:left w:val="single" w:color="auto" w:sz="4" w:space="0"/>
              <w:bottom w:val="single" w:color="auto" w:sz="4" w:space="0"/>
              <w:right w:val="single" w:color="auto" w:sz="4" w:space="0"/>
            </w:tcBorders>
            <w:noWrap/>
            <w:vAlign w:val="bottom"/>
          </w:tcPr>
          <w:p w:rsidRPr="007D7A70" w:rsidR="00AF05AA" w:rsidP="003417B6" w:rsidRDefault="00AF05AA" w14:paraId="4C9D92D7" w14:textId="63ADF15C">
            <w:r w:rsidRPr="007D7A70">
              <w:t>$</w:t>
            </w:r>
            <w:r w:rsidR="003417B6">
              <w:t>448</w:t>
            </w:r>
            <w:r w:rsidRPr="007D7A70">
              <w:t>,</w:t>
            </w:r>
            <w:r w:rsidR="003417B6">
              <w:t>8</w:t>
            </w:r>
            <w:r w:rsidR="00AB40D3">
              <w:t>00</w:t>
            </w:r>
          </w:p>
        </w:tc>
      </w:tr>
    </w:tbl>
    <w:p w:rsidRPr="007D7A70" w:rsidR="00503C66" w:rsidP="007D7A70" w:rsidRDefault="00503C66" w14:paraId="48144BED" w14:textId="77777777">
      <w:pPr>
        <w:rPr>
          <w:highlight w:val="yellow"/>
        </w:rPr>
      </w:pPr>
    </w:p>
    <w:p w:rsidRPr="007D7A70" w:rsidR="009873C4" w:rsidP="00EE492D" w:rsidRDefault="0079681D" w14:paraId="549CF159" w14:textId="1790E0F9">
      <w:pPr>
        <w:pStyle w:val="Heading2"/>
      </w:pPr>
      <w:r w:rsidRPr="007D7A70">
        <w:t>15.</w:t>
      </w:r>
      <w:r w:rsidR="00EE492D">
        <w:tab/>
      </w:r>
      <w:r w:rsidRPr="007D7A70" w:rsidR="009873C4">
        <w:t>Changes in Respondent Burden</w:t>
      </w:r>
    </w:p>
    <w:p w:rsidRPr="007D7A70" w:rsidR="00C416F3" w:rsidP="007D7A70" w:rsidRDefault="001F6B28" w14:paraId="4612E74D" w14:textId="330382C9">
      <w:r w:rsidRPr="007D7A70">
        <w:t>The</w:t>
      </w:r>
      <w:r w:rsidR="00EE492D">
        <w:t xml:space="preserve"> estimated </w:t>
      </w:r>
      <w:r w:rsidRPr="007D7A70">
        <w:t xml:space="preserve">burden </w:t>
      </w:r>
      <w:r w:rsidR="00EE492D">
        <w:t xml:space="preserve">of </w:t>
      </w:r>
      <w:r w:rsidR="0009736C">
        <w:t xml:space="preserve">each iteration of </w:t>
      </w:r>
      <w:r w:rsidR="00EE492D">
        <w:t>2020</w:t>
      </w:r>
      <w:r w:rsidR="0009736C">
        <w:t>-22</w:t>
      </w:r>
      <w:r w:rsidR="00EE492D">
        <w:t xml:space="preserve"> ASJ</w:t>
      </w:r>
      <w:r w:rsidR="00772BE2">
        <w:t xml:space="preserve"> (</w:t>
      </w:r>
      <w:r w:rsidR="00936E8E">
        <w:t xml:space="preserve">2,016 hours in 2020 and 2021; </w:t>
      </w:r>
      <w:r w:rsidR="00D9719E">
        <w:t>1,383</w:t>
      </w:r>
      <w:r w:rsidR="00FC52F1">
        <w:t xml:space="preserve"> hour</w:t>
      </w:r>
      <w:r w:rsidR="00936E8E">
        <w:t xml:space="preserve"> in 2022</w:t>
      </w:r>
      <w:r w:rsidR="00FC52F1">
        <w:t>s</w:t>
      </w:r>
      <w:r w:rsidR="00772BE2">
        <w:t>)</w:t>
      </w:r>
      <w:r w:rsidR="00FC52F1">
        <w:t xml:space="preserve"> </w:t>
      </w:r>
      <w:r w:rsidR="00D27168">
        <w:t xml:space="preserve">is </w:t>
      </w:r>
      <w:r w:rsidR="00FC52F1">
        <w:t>less</w:t>
      </w:r>
      <w:r w:rsidR="00D27168">
        <w:t xml:space="preserve"> than </w:t>
      </w:r>
      <w:r w:rsidR="00772BE2">
        <w:t xml:space="preserve">the burden of the </w:t>
      </w:r>
      <w:r w:rsidR="00FE191A">
        <w:t>application</w:t>
      </w:r>
      <w:r w:rsidR="00772BE2">
        <w:t xml:space="preserve"> </w:t>
      </w:r>
      <w:r w:rsidR="00FC52F1">
        <w:t xml:space="preserve">previously approved </w:t>
      </w:r>
      <w:r w:rsidR="00904F3A">
        <w:t xml:space="preserve">under </w:t>
      </w:r>
      <w:r w:rsidR="00FC52F1">
        <w:t>OMB clearance No. 1121-0094</w:t>
      </w:r>
      <w:r w:rsidR="00FE191A">
        <w:t xml:space="preserve"> (2,711 hours)</w:t>
      </w:r>
      <w:r w:rsidR="00FC52F1">
        <w:t xml:space="preserve">. This is </w:t>
      </w:r>
      <w:r w:rsidR="00904F3A">
        <w:t>because</w:t>
      </w:r>
      <w:r w:rsidR="00FC52F1">
        <w:t xml:space="preserve"> the last </w:t>
      </w:r>
      <w:r w:rsidR="00772BE2">
        <w:t xml:space="preserve">OMB </w:t>
      </w:r>
      <w:r w:rsidR="008126F9">
        <w:t>clearance</w:t>
      </w:r>
      <w:r w:rsidR="00FC52F1">
        <w:t xml:space="preserve"> include</w:t>
      </w:r>
      <w:r w:rsidR="00BB5486">
        <w:t>s</w:t>
      </w:r>
      <w:r w:rsidR="00FC52F1">
        <w:t xml:space="preserve"> three jail collections—ASJ, MCI</w:t>
      </w:r>
      <w:r w:rsidR="00182B14">
        <w:t>-</w:t>
      </w:r>
      <w:r w:rsidR="00FC52F1">
        <w:t>Jails, and SJIC</w:t>
      </w:r>
      <w:r w:rsidR="00547F0E">
        <w:t>. T</w:t>
      </w:r>
      <w:r w:rsidR="00BB5486">
        <w:t xml:space="preserve">he </w:t>
      </w:r>
      <w:r w:rsidR="00FD02F3">
        <w:t xml:space="preserve">burden for the current ASJ is </w:t>
      </w:r>
      <w:r w:rsidR="00D9719E">
        <w:t>greater than</w:t>
      </w:r>
      <w:r w:rsidR="00FD02F3">
        <w:t xml:space="preserve"> the </w:t>
      </w:r>
      <w:r w:rsidR="00BB5486">
        <w:t xml:space="preserve">portion attributable to the </w:t>
      </w:r>
      <w:r w:rsidR="0040727B">
        <w:t>last approved</w:t>
      </w:r>
      <w:r w:rsidR="00BB5486">
        <w:t xml:space="preserve"> ASJ </w:t>
      </w:r>
      <w:r w:rsidR="00E97CA7">
        <w:t>(1,173 hours</w:t>
      </w:r>
      <w:r w:rsidR="003261E2">
        <w:t>,</w:t>
      </w:r>
      <w:r w:rsidR="00E97CA7">
        <w:t xml:space="preserve"> not including data quality follow-up and facility verification)</w:t>
      </w:r>
      <w:r w:rsidR="00192FF1">
        <w:t xml:space="preserve"> due to the added </w:t>
      </w:r>
      <w:r w:rsidR="00D9719E">
        <w:t>questions</w:t>
      </w:r>
      <w:r w:rsidR="00AF189D">
        <w:t xml:space="preserve">. </w:t>
      </w:r>
    </w:p>
    <w:p w:rsidR="00C416F3" w:rsidP="00EE492D" w:rsidRDefault="0079681D" w14:paraId="47895DC0" w14:textId="6EBADD54">
      <w:pPr>
        <w:pStyle w:val="Heading2"/>
      </w:pPr>
      <w:r w:rsidRPr="007D7A70">
        <w:t>16</w:t>
      </w:r>
      <w:r w:rsidRPr="007D7A70" w:rsidR="00A51E64">
        <w:t>.</w:t>
      </w:r>
      <w:r w:rsidRPr="007D7A70">
        <w:tab/>
      </w:r>
      <w:r w:rsidR="003C34E4">
        <w:t>Project Schedule</w:t>
      </w:r>
      <w:r w:rsidRPr="007D7A70" w:rsidR="00B13B53">
        <w:t xml:space="preserve"> and Publication Plans</w:t>
      </w:r>
    </w:p>
    <w:p w:rsidRPr="00E359C7" w:rsidR="00E359C7" w:rsidP="00E359C7" w:rsidRDefault="00E874D3" w14:paraId="1705154F" w14:textId="577B4A4E">
      <w:pPr>
        <w:widowControl w:val="0"/>
        <w:autoSpaceDE w:val="0"/>
        <w:autoSpaceDN w:val="0"/>
        <w:adjustRightInd w:val="0"/>
      </w:pPr>
      <w:r>
        <w:t xml:space="preserve">Each cycle of </w:t>
      </w:r>
      <w:r w:rsidR="00B41561">
        <w:t xml:space="preserve">ASJ collection runs from early June </w:t>
      </w:r>
      <w:r w:rsidRPr="007D7A70" w:rsidR="00613387">
        <w:t xml:space="preserve">through </w:t>
      </w:r>
      <w:r w:rsidR="000A605A">
        <w:t>November 20</w:t>
      </w:r>
      <w:r w:rsidR="00045B46">
        <w:t xml:space="preserve"> (see Part B for a d</w:t>
      </w:r>
      <w:r w:rsidR="00375EB5">
        <w:t xml:space="preserve">etailed data collection </w:t>
      </w:r>
      <w:r w:rsidRPr="007D7A70" w:rsidR="00375EB5">
        <w:t>schedule</w:t>
      </w:r>
      <w:r w:rsidR="00375EB5">
        <w:t xml:space="preserve">.) </w:t>
      </w:r>
      <w:r w:rsidR="00831124">
        <w:t xml:space="preserve">About one month after data collection </w:t>
      </w:r>
      <w:proofErr w:type="gramStart"/>
      <w:r w:rsidR="00831124">
        <w:t>closes</w:t>
      </w:r>
      <w:r w:rsidRPr="007D7A70" w:rsidR="00831124">
        <w:t>,</w:t>
      </w:r>
      <w:proofErr w:type="gramEnd"/>
      <w:r w:rsidRPr="007D7A70" w:rsidR="00831124">
        <w:t xml:space="preserve"> the data collection agent will deliver a </w:t>
      </w:r>
      <w:r w:rsidR="00831124">
        <w:t xml:space="preserve">clean and edited </w:t>
      </w:r>
      <w:r w:rsidRPr="007D7A70" w:rsidR="00831124">
        <w:t>data file to BJS.</w:t>
      </w:r>
      <w:r w:rsidR="00831124">
        <w:t xml:space="preserve"> </w:t>
      </w:r>
      <w:r w:rsidRPr="00E359C7" w:rsidR="00E359C7">
        <w:t xml:space="preserve">During the next three years, BJS expects to publish the following standard reports </w:t>
      </w:r>
      <w:r w:rsidR="00D337C7">
        <w:t>and data product</w:t>
      </w:r>
      <w:r w:rsidR="006C258F">
        <w:t>s</w:t>
      </w:r>
      <w:r w:rsidR="00D337C7">
        <w:t xml:space="preserve"> </w:t>
      </w:r>
      <w:r w:rsidRPr="00E359C7" w:rsidR="00E359C7">
        <w:t xml:space="preserve">using </w:t>
      </w:r>
      <w:r w:rsidR="00C02DEB">
        <w:t>ASJ</w:t>
      </w:r>
      <w:r w:rsidRPr="00E359C7" w:rsidR="00E359C7">
        <w:t xml:space="preserve"> data:</w:t>
      </w:r>
    </w:p>
    <w:p w:rsidRPr="007D7A70" w:rsidR="00CE6272" w:rsidP="007D7A70" w:rsidRDefault="001F6B28" w14:paraId="231C8845" w14:textId="69B4E4D8">
      <w:r w:rsidRPr="007D7A70">
        <w:t xml:space="preserve">The </w:t>
      </w:r>
      <w:r w:rsidR="00913471">
        <w:rPr>
          <w:b/>
        </w:rPr>
        <w:t>A</w:t>
      </w:r>
      <w:r w:rsidR="00182755">
        <w:rPr>
          <w:b/>
        </w:rPr>
        <w:t>nnua</w:t>
      </w:r>
      <w:r w:rsidR="00261218">
        <w:rPr>
          <w:b/>
        </w:rPr>
        <w:t>l Jail In</w:t>
      </w:r>
      <w:r w:rsidR="00182755">
        <w:rPr>
          <w:b/>
        </w:rPr>
        <w:t>m</w:t>
      </w:r>
      <w:r w:rsidR="00261218">
        <w:rPr>
          <w:b/>
        </w:rPr>
        <w:t>a</w:t>
      </w:r>
      <w:r w:rsidR="00182755">
        <w:rPr>
          <w:b/>
        </w:rPr>
        <w:t>tes</w:t>
      </w:r>
      <w:r w:rsidRPr="007D7A70">
        <w:rPr>
          <w:b/>
        </w:rPr>
        <w:t xml:space="preserve"> bulletin</w:t>
      </w:r>
      <w:r w:rsidRPr="007D7A70">
        <w:t xml:space="preserve"> (</w:t>
      </w:r>
      <w:hyperlink w:history="1" r:id="rId22">
        <w:r w:rsidR="00F7121C">
          <w:rPr>
            <w:rStyle w:val="Hyperlink"/>
          </w:rPr>
          <w:t>https://www.bjs.gov/index.cfm?ty=pbse&amp;sid=38</w:t>
        </w:r>
      </w:hyperlink>
      <w:r w:rsidRPr="007D7A70" w:rsidR="00A81768">
        <w:t xml:space="preserve">) </w:t>
      </w:r>
      <w:r w:rsidRPr="007D7A70">
        <w:t>present</w:t>
      </w:r>
      <w:r w:rsidR="00CB122C">
        <w:t>s</w:t>
      </w:r>
      <w:r w:rsidRPr="007D7A70">
        <w:t xml:space="preserve"> state</w:t>
      </w:r>
      <w:r w:rsidRPr="007D7A70" w:rsidR="008A6862">
        <w:t xml:space="preserve"> and national</w:t>
      </w:r>
      <w:r w:rsidRPr="007D7A70">
        <w:t xml:space="preserve">-level estimates of the number of inmates confined in local jails, by sex, race, and Hispanic origin. It </w:t>
      </w:r>
      <w:r w:rsidRPr="007D7A70" w:rsidR="008A6862">
        <w:t xml:space="preserve">will </w:t>
      </w:r>
      <w:r w:rsidRPr="007D7A70">
        <w:t xml:space="preserve">also provide information on changes </w:t>
      </w:r>
      <w:r w:rsidRPr="007D7A70" w:rsidR="00A36E16">
        <w:t xml:space="preserve">over time </w:t>
      </w:r>
      <w:r w:rsidRPr="007D7A70">
        <w:t xml:space="preserve">in the incarceration rate, average daily population, </w:t>
      </w:r>
      <w:r w:rsidRPr="007D7A70" w:rsidR="00A36E16">
        <w:t xml:space="preserve">number of </w:t>
      </w:r>
      <w:r w:rsidRPr="007D7A70">
        <w:t>admissions, expected length of stay, rated capacity, percent of capacity occupied, and inmate-to-correctional officer ratios</w:t>
      </w:r>
      <w:r w:rsidRPr="007D7A70" w:rsidR="008A6862">
        <w:t>, as well as</w:t>
      </w:r>
      <w:r w:rsidRPr="007D7A70">
        <w:t xml:space="preserve"> the number of inmates confined to jail and persons admitted to jail during the year</w:t>
      </w:r>
      <w:r w:rsidRPr="007D7A70" w:rsidR="008A6862">
        <w:t xml:space="preserve"> by jurisdiction size</w:t>
      </w:r>
      <w:r w:rsidRPr="007D7A70">
        <w:t xml:space="preserve">. </w:t>
      </w:r>
    </w:p>
    <w:p w:rsidRPr="007D7A70" w:rsidR="00A86CDC" w:rsidP="007D7A70" w:rsidRDefault="008A6862" w14:paraId="32CE9BEA" w14:textId="34CB4D75">
      <w:r w:rsidRPr="007D7A70">
        <w:t>T</w:t>
      </w:r>
      <w:r w:rsidRPr="007D7A70" w:rsidR="00A86CDC">
        <w:t xml:space="preserve">he </w:t>
      </w:r>
      <w:r w:rsidR="00913471">
        <w:t>AS</w:t>
      </w:r>
      <w:r w:rsidRPr="007D7A70" w:rsidR="00A86CDC">
        <w:t xml:space="preserve">J data </w:t>
      </w:r>
      <w:proofErr w:type="gramStart"/>
      <w:r w:rsidRPr="007D7A70">
        <w:t>will be incorporated</w:t>
      </w:r>
      <w:proofErr w:type="gramEnd"/>
      <w:r w:rsidRPr="007D7A70">
        <w:t xml:space="preserve"> into the </w:t>
      </w:r>
      <w:r w:rsidRPr="007D7A70" w:rsidR="00A86CDC">
        <w:t xml:space="preserve">annual </w:t>
      </w:r>
      <w:r w:rsidRPr="007D7A70" w:rsidR="00A86CDC">
        <w:rPr>
          <w:b/>
        </w:rPr>
        <w:t>Correctional Populations in the United States</w:t>
      </w:r>
      <w:r w:rsidRPr="007D7A70" w:rsidDel="00A86CDC" w:rsidR="00A86CDC">
        <w:t xml:space="preserve"> </w:t>
      </w:r>
      <w:r w:rsidRPr="007D7A70" w:rsidR="00A86CDC">
        <w:rPr>
          <w:b/>
        </w:rPr>
        <w:t>bulletin</w:t>
      </w:r>
      <w:r w:rsidRPr="007D7A70" w:rsidR="00A86CDC">
        <w:t xml:space="preserve"> (</w:t>
      </w:r>
      <w:r w:rsidRPr="007D7A70" w:rsidR="00A86CDC">
        <w:rPr>
          <w:rStyle w:val="Hyperlink"/>
        </w:rPr>
        <w:t>https://www.bjs.gov/index.cfm?ty=pbse&amp;sid=5</w:t>
      </w:r>
      <w:r w:rsidRPr="007D7A70" w:rsidR="00A86CDC">
        <w:t xml:space="preserve">). </w:t>
      </w:r>
      <w:r w:rsidRPr="007D7A70">
        <w:t xml:space="preserve">This </w:t>
      </w:r>
      <w:r w:rsidRPr="007D7A70" w:rsidR="00A86CDC">
        <w:t xml:space="preserve">report </w:t>
      </w:r>
      <w:r w:rsidRPr="007D7A70">
        <w:t xml:space="preserve">will </w:t>
      </w:r>
      <w:r w:rsidRPr="007D7A70" w:rsidR="00A86CDC">
        <w:t>present statistics on persons supervised by U.S. adult correctional systems, including persons supervised in the community on probation or parole</w:t>
      </w:r>
      <w:r w:rsidRPr="007D7A70" w:rsidR="00507D11">
        <w:t>,</w:t>
      </w:r>
      <w:r w:rsidRPr="007D7A70" w:rsidR="00A86CDC">
        <w:t xml:space="preserve"> and those incarcerated in state or federal prison or local jail. </w:t>
      </w:r>
    </w:p>
    <w:p w:rsidRPr="007D7A70" w:rsidR="00A51E64" w:rsidP="007D7A70" w:rsidRDefault="003A3B60" w14:paraId="7B67BAD7" w14:textId="6E89DA99">
      <w:r w:rsidRPr="007D7A70">
        <w:lastRenderedPageBreak/>
        <w:t xml:space="preserve">BJS will archive </w:t>
      </w:r>
      <w:r w:rsidRPr="007D7A70" w:rsidR="00565757">
        <w:t xml:space="preserve">the </w:t>
      </w:r>
      <w:r w:rsidR="00913471">
        <w:t>AS</w:t>
      </w:r>
      <w:r w:rsidRPr="007D7A70" w:rsidR="001F6B28">
        <w:t xml:space="preserve">J </w:t>
      </w:r>
      <w:r w:rsidRPr="007D7A70">
        <w:t xml:space="preserve">data at </w:t>
      </w:r>
      <w:r w:rsidRPr="007D7A70" w:rsidR="008A6862">
        <w:t xml:space="preserve">the National Archives of Criminal Justice Data </w:t>
      </w:r>
      <w:r w:rsidRPr="007D7A70" w:rsidR="002638EB">
        <w:t xml:space="preserve">(NACJD) </w:t>
      </w:r>
      <w:r w:rsidRPr="007D7A70" w:rsidR="007549E0">
        <w:t>(</w:t>
      </w:r>
      <w:hyperlink w:history="1" r:id="rId23">
        <w:r w:rsidR="001C4421">
          <w:rPr>
            <w:rStyle w:val="Hyperlink"/>
          </w:rPr>
          <w:t>https://www.icpsr.umich.edu/icpsrweb/ICPSR/series/7</w:t>
        </w:r>
      </w:hyperlink>
      <w:r w:rsidRPr="007D7A70" w:rsidR="007549E0">
        <w:t xml:space="preserve">) </w:t>
      </w:r>
      <w:r w:rsidR="006C258F">
        <w:t xml:space="preserve">about one month </w:t>
      </w:r>
      <w:r w:rsidRPr="007D7A70" w:rsidR="008F5B55">
        <w:t xml:space="preserve">after </w:t>
      </w:r>
      <w:r w:rsidRPr="007D7A70">
        <w:t xml:space="preserve">release of the </w:t>
      </w:r>
      <w:r w:rsidR="002A008E">
        <w:t>annual</w:t>
      </w:r>
      <w:r w:rsidR="00913471">
        <w:t xml:space="preserve"> AS</w:t>
      </w:r>
      <w:r w:rsidRPr="007D7A70" w:rsidR="001F6B28">
        <w:t>J bulletin</w:t>
      </w:r>
      <w:r w:rsidRPr="007D7A70" w:rsidR="00D91F48">
        <w:t>.</w:t>
      </w:r>
      <w:r w:rsidRPr="007D7A70" w:rsidR="00565757">
        <w:t xml:space="preserve"> </w:t>
      </w:r>
    </w:p>
    <w:tbl>
      <w:tblPr>
        <w:tblpPr w:leftFromText="180" w:rightFromText="180" w:vertAnchor="text" w:horzAnchor="margin" w:tblpX="85" w:tblpY="64"/>
        <w:tblW w:w="9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5040"/>
        <w:gridCol w:w="2175"/>
      </w:tblGrid>
      <w:tr w:rsidRPr="007D7A70" w:rsidR="008C73B0" w:rsidTr="00197F27" w14:paraId="016A0513" w14:textId="77777777">
        <w:trPr>
          <w:trHeight w:val="540"/>
        </w:trPr>
        <w:tc>
          <w:tcPr>
            <w:tcW w:w="9280" w:type="dxa"/>
            <w:gridSpan w:val="3"/>
            <w:shd w:val="clear" w:color="auto" w:fill="auto"/>
            <w:vAlign w:val="center"/>
          </w:tcPr>
          <w:p w:rsidRPr="007D7A70" w:rsidR="008C73B0" w:rsidP="00E359C7" w:rsidRDefault="008C73B0" w14:paraId="06B24E14" w14:textId="2704101F">
            <w:pPr>
              <w:rPr>
                <w:bCs/>
                <w:color w:val="000000"/>
              </w:rPr>
            </w:pPr>
            <w:r w:rsidRPr="007D7A70">
              <w:t xml:space="preserve">Table </w:t>
            </w:r>
            <w:r w:rsidR="00E359C7">
              <w:t>3</w:t>
            </w:r>
            <w:r w:rsidRPr="007D7A70">
              <w:t xml:space="preserve">. </w:t>
            </w:r>
            <w:r w:rsidR="00E31B0D">
              <w:t>2020</w:t>
            </w:r>
            <w:r w:rsidR="00E359C7">
              <w:t>-22</w:t>
            </w:r>
            <w:r w:rsidR="00E31B0D">
              <w:t xml:space="preserve"> AS</w:t>
            </w:r>
            <w:r w:rsidRPr="007D7A70" w:rsidR="001F6B28">
              <w:t xml:space="preserve">J </w:t>
            </w:r>
            <w:r w:rsidRPr="007D7A70">
              <w:t>Publications</w:t>
            </w:r>
          </w:p>
        </w:tc>
      </w:tr>
      <w:tr w:rsidRPr="007D7A70" w:rsidR="008C73B0" w:rsidTr="00197F27" w14:paraId="751876F2" w14:textId="77777777">
        <w:trPr>
          <w:trHeight w:val="540"/>
        </w:trPr>
        <w:tc>
          <w:tcPr>
            <w:tcW w:w="2065" w:type="dxa"/>
            <w:shd w:val="clear" w:color="auto" w:fill="auto"/>
            <w:vAlign w:val="center"/>
            <w:hideMark/>
          </w:tcPr>
          <w:p w:rsidRPr="007D7A70" w:rsidR="008C73B0" w:rsidP="007D7A70" w:rsidRDefault="008C73B0" w14:paraId="5B515908" w14:textId="77777777">
            <w:r w:rsidRPr="007D7A70">
              <w:t>Publication type</w:t>
            </w:r>
          </w:p>
        </w:tc>
        <w:tc>
          <w:tcPr>
            <w:tcW w:w="5040" w:type="dxa"/>
            <w:shd w:val="clear" w:color="auto" w:fill="auto"/>
            <w:vAlign w:val="center"/>
            <w:hideMark/>
          </w:tcPr>
          <w:p w:rsidRPr="007D7A70" w:rsidR="008C73B0" w:rsidP="007D7A70" w:rsidRDefault="008C73B0" w14:paraId="5AD16B69" w14:textId="77777777">
            <w:r w:rsidRPr="007D7A70">
              <w:t>Title/topic of publication</w:t>
            </w:r>
          </w:p>
        </w:tc>
        <w:tc>
          <w:tcPr>
            <w:tcW w:w="2175" w:type="dxa"/>
            <w:shd w:val="clear" w:color="auto" w:fill="auto"/>
            <w:vAlign w:val="center"/>
            <w:hideMark/>
          </w:tcPr>
          <w:p w:rsidRPr="007D7A70" w:rsidR="008C73B0" w:rsidP="007D7A70" w:rsidRDefault="008C73B0" w14:paraId="2F1288D7" w14:textId="77777777">
            <w:r w:rsidRPr="007D7A70">
              <w:t xml:space="preserve">Estimated publication date </w:t>
            </w:r>
          </w:p>
        </w:tc>
      </w:tr>
      <w:tr w:rsidRPr="007D7A70" w:rsidR="00CA4DD3" w:rsidTr="00197F27" w14:paraId="2D66A9A0" w14:textId="77777777">
        <w:trPr>
          <w:trHeight w:val="540"/>
        </w:trPr>
        <w:tc>
          <w:tcPr>
            <w:tcW w:w="2065" w:type="dxa"/>
            <w:shd w:val="clear" w:color="auto" w:fill="auto"/>
          </w:tcPr>
          <w:p w:rsidRPr="007D7A70" w:rsidR="00CA4DD3" w:rsidP="007D7A70" w:rsidRDefault="00CA4DD3" w14:paraId="5DBE44E3" w14:textId="0FEDE445">
            <w:r>
              <w:t>Special Report</w:t>
            </w:r>
          </w:p>
        </w:tc>
        <w:tc>
          <w:tcPr>
            <w:tcW w:w="5040" w:type="dxa"/>
            <w:shd w:val="clear" w:color="auto" w:fill="auto"/>
          </w:tcPr>
          <w:p w:rsidRPr="007D7A70" w:rsidR="00CA4DD3" w:rsidP="001C4421" w:rsidRDefault="00CA4DD3" w14:paraId="6765A316" w14:textId="574F877F">
            <w:r>
              <w:t>Impact of COVID-19 on Local Jails, 2020</w:t>
            </w:r>
          </w:p>
        </w:tc>
        <w:tc>
          <w:tcPr>
            <w:tcW w:w="2175" w:type="dxa"/>
            <w:shd w:val="clear" w:color="auto" w:fill="auto"/>
          </w:tcPr>
          <w:p w:rsidR="00CA4DD3" w:rsidP="007D7A70" w:rsidRDefault="006D6B91" w14:paraId="412E6F0A" w14:textId="42751C9B">
            <w:r>
              <w:t>Spring</w:t>
            </w:r>
            <w:r w:rsidR="00CA4DD3">
              <w:t xml:space="preserve"> </w:t>
            </w:r>
            <w:r w:rsidRPr="007D7A70" w:rsidR="00CA4DD3">
              <w:t>202</w:t>
            </w:r>
            <w:r w:rsidR="00CA4DD3">
              <w:t>1</w:t>
            </w:r>
          </w:p>
        </w:tc>
      </w:tr>
      <w:tr w:rsidRPr="007D7A70" w:rsidR="001F6B28" w:rsidTr="00197F27" w14:paraId="57C2577D" w14:textId="77777777">
        <w:trPr>
          <w:trHeight w:val="540"/>
        </w:trPr>
        <w:tc>
          <w:tcPr>
            <w:tcW w:w="2065" w:type="dxa"/>
            <w:shd w:val="clear" w:color="auto" w:fill="auto"/>
          </w:tcPr>
          <w:p w:rsidRPr="007D7A70" w:rsidR="001F6B28" w:rsidP="007D7A70" w:rsidRDefault="00FD5726" w14:paraId="37EFC3E6" w14:textId="124CDC86">
            <w:pPr>
              <w:rPr>
                <w:color w:val="000000"/>
                <w:highlight w:val="yellow"/>
              </w:rPr>
            </w:pPr>
            <w:r w:rsidRPr="007D7A70">
              <w:t>Bulletin</w:t>
            </w:r>
          </w:p>
        </w:tc>
        <w:tc>
          <w:tcPr>
            <w:tcW w:w="5040" w:type="dxa"/>
            <w:shd w:val="clear" w:color="auto" w:fill="auto"/>
          </w:tcPr>
          <w:p w:rsidRPr="007D7A70" w:rsidR="001F6B28" w:rsidP="001C4421" w:rsidRDefault="001F6B28" w14:paraId="043B2C4B" w14:textId="126557FA">
            <w:pPr>
              <w:rPr>
                <w:i/>
                <w:iCs/>
                <w:color w:val="000000"/>
                <w:highlight w:val="yellow"/>
              </w:rPr>
            </w:pPr>
            <w:r w:rsidRPr="007D7A70">
              <w:t>Jail</w:t>
            </w:r>
            <w:r w:rsidR="001C4421">
              <w:t xml:space="preserve"> Inmate</w:t>
            </w:r>
            <w:r w:rsidRPr="007D7A70">
              <w:t>s, 20</w:t>
            </w:r>
            <w:r w:rsidR="001C4421">
              <w:t>20</w:t>
            </w:r>
          </w:p>
        </w:tc>
        <w:tc>
          <w:tcPr>
            <w:tcW w:w="2175" w:type="dxa"/>
            <w:shd w:val="clear" w:color="auto" w:fill="auto"/>
          </w:tcPr>
          <w:p w:rsidRPr="007D7A70" w:rsidR="001F6B28" w:rsidP="007D7A70" w:rsidRDefault="001C4421" w14:paraId="6D1EF5A3" w14:textId="5FB0F798">
            <w:pPr>
              <w:rPr>
                <w:color w:val="000000"/>
                <w:highlight w:val="yellow"/>
              </w:rPr>
            </w:pPr>
            <w:r>
              <w:t xml:space="preserve">Winter </w:t>
            </w:r>
            <w:r w:rsidRPr="007D7A70" w:rsidR="001F6B28">
              <w:t>202</w:t>
            </w:r>
            <w:r w:rsidR="00585892">
              <w:t>1</w:t>
            </w:r>
          </w:p>
        </w:tc>
      </w:tr>
      <w:tr w:rsidRPr="007D7A70" w:rsidR="00197F27" w:rsidTr="00197F27" w14:paraId="61C93C6E" w14:textId="77777777">
        <w:trPr>
          <w:trHeight w:val="540"/>
        </w:trPr>
        <w:tc>
          <w:tcPr>
            <w:tcW w:w="2065" w:type="dxa"/>
            <w:shd w:val="clear" w:color="auto" w:fill="auto"/>
          </w:tcPr>
          <w:p w:rsidRPr="007D7A70" w:rsidR="00197F27" w:rsidP="00197F27" w:rsidRDefault="00197F27" w14:paraId="379D0A4C" w14:textId="74ACD8D2">
            <w:r w:rsidRPr="007D7A70">
              <w:t>Bulletin</w:t>
            </w:r>
          </w:p>
        </w:tc>
        <w:tc>
          <w:tcPr>
            <w:tcW w:w="5040" w:type="dxa"/>
            <w:shd w:val="clear" w:color="auto" w:fill="auto"/>
          </w:tcPr>
          <w:p w:rsidR="00197F27" w:rsidP="00197F27" w:rsidRDefault="00197F27" w14:paraId="1EA0E153" w14:textId="512F5902">
            <w:r w:rsidRPr="007D7A70">
              <w:t xml:space="preserve">Correctional Populations in the United States, </w:t>
            </w:r>
            <w:r>
              <w:t>2020</w:t>
            </w:r>
          </w:p>
        </w:tc>
        <w:tc>
          <w:tcPr>
            <w:tcW w:w="2175" w:type="dxa"/>
            <w:shd w:val="clear" w:color="auto" w:fill="auto"/>
          </w:tcPr>
          <w:p w:rsidR="00197F27" w:rsidP="00197F27" w:rsidRDefault="00197F27" w14:paraId="1CF0ED38" w14:textId="519E1629">
            <w:r w:rsidRPr="007D7A70">
              <w:t>Winter 202</w:t>
            </w:r>
            <w:r w:rsidR="00585892">
              <w:t>1</w:t>
            </w:r>
          </w:p>
        </w:tc>
      </w:tr>
      <w:tr w:rsidRPr="007D7A70" w:rsidR="006C258F" w:rsidTr="00197F27" w14:paraId="6CB34376" w14:textId="77777777">
        <w:trPr>
          <w:trHeight w:val="540"/>
        </w:trPr>
        <w:tc>
          <w:tcPr>
            <w:tcW w:w="2065" w:type="dxa"/>
            <w:shd w:val="clear" w:color="auto" w:fill="auto"/>
          </w:tcPr>
          <w:p w:rsidRPr="007D7A70" w:rsidR="006C258F" w:rsidP="00BF1BD4" w:rsidRDefault="00BF1BD4" w14:paraId="2FC4BCC3" w14:textId="18C9569A">
            <w:r>
              <w:t>Online Data Tool</w:t>
            </w:r>
          </w:p>
        </w:tc>
        <w:tc>
          <w:tcPr>
            <w:tcW w:w="5040" w:type="dxa"/>
            <w:shd w:val="clear" w:color="auto" w:fill="auto"/>
          </w:tcPr>
          <w:p w:rsidRPr="007D7A70" w:rsidR="006C258F" w:rsidP="00197F27" w:rsidRDefault="006C258F" w14:paraId="298A4607" w14:textId="3AE10CEC">
            <w:r w:rsidRPr="006C258F">
              <w:rPr>
                <w:rFonts w:eastAsia="Times New Roman"/>
              </w:rPr>
              <w:t xml:space="preserve">Corrections Statistical Analysis Tool – </w:t>
            </w:r>
            <w:r>
              <w:rPr>
                <w:rFonts w:eastAsia="Times New Roman"/>
              </w:rPr>
              <w:t>Jail Inmates</w:t>
            </w:r>
          </w:p>
        </w:tc>
        <w:tc>
          <w:tcPr>
            <w:tcW w:w="2175" w:type="dxa"/>
            <w:shd w:val="clear" w:color="auto" w:fill="auto"/>
          </w:tcPr>
          <w:p w:rsidRPr="007D7A70" w:rsidR="006C258F" w:rsidP="00197F27" w:rsidRDefault="006C258F" w14:paraId="38AD556F" w14:textId="408D46B2">
            <w:r>
              <w:t>Winter 2021</w:t>
            </w:r>
          </w:p>
        </w:tc>
      </w:tr>
      <w:tr w:rsidRPr="007D7A70" w:rsidR="00A86CDC" w:rsidTr="00197F27" w14:paraId="03E6F467" w14:textId="77777777">
        <w:trPr>
          <w:trHeight w:val="540"/>
        </w:trPr>
        <w:tc>
          <w:tcPr>
            <w:tcW w:w="2065" w:type="dxa"/>
            <w:shd w:val="clear" w:color="auto" w:fill="auto"/>
          </w:tcPr>
          <w:p w:rsidRPr="007D7A70" w:rsidR="00A86CDC" w:rsidP="007D7A70" w:rsidRDefault="00A86CDC" w14:paraId="22877C13" w14:textId="1214000F">
            <w:r w:rsidRPr="007D7A70">
              <w:t>Data Archive</w:t>
            </w:r>
          </w:p>
        </w:tc>
        <w:tc>
          <w:tcPr>
            <w:tcW w:w="5040" w:type="dxa"/>
            <w:shd w:val="clear" w:color="auto" w:fill="auto"/>
          </w:tcPr>
          <w:p w:rsidRPr="007D7A70" w:rsidR="00A86CDC" w:rsidP="00E359C7" w:rsidRDefault="002A008E" w14:paraId="42AFA318" w14:textId="32E554F1">
            <w:r>
              <w:t>Annual Survey of Jails</w:t>
            </w:r>
            <w:r w:rsidR="00E359C7">
              <w:t>-Jail Level Data</w:t>
            </w:r>
            <w:r>
              <w:t>, 202</w:t>
            </w:r>
            <w:r w:rsidR="00CA5D56">
              <w:t>0</w:t>
            </w:r>
          </w:p>
        </w:tc>
        <w:tc>
          <w:tcPr>
            <w:tcW w:w="2175" w:type="dxa"/>
            <w:shd w:val="clear" w:color="auto" w:fill="auto"/>
          </w:tcPr>
          <w:p w:rsidRPr="007D7A70" w:rsidR="00A86CDC" w:rsidP="002A008E" w:rsidRDefault="002A008E" w14:paraId="6710A06A" w14:textId="3F477BE6">
            <w:r>
              <w:t>Spring</w:t>
            </w:r>
            <w:r w:rsidRPr="007D7A70" w:rsidR="00A86CDC">
              <w:t xml:space="preserve"> 202</w:t>
            </w:r>
            <w:r w:rsidR="00585892">
              <w:t>2</w:t>
            </w:r>
          </w:p>
        </w:tc>
      </w:tr>
      <w:tr w:rsidRPr="007D7A70" w:rsidR="00A32FB1" w:rsidTr="00197F27" w14:paraId="3C244D44" w14:textId="77777777">
        <w:trPr>
          <w:trHeight w:val="540"/>
        </w:trPr>
        <w:tc>
          <w:tcPr>
            <w:tcW w:w="2065" w:type="dxa"/>
            <w:shd w:val="clear" w:color="auto" w:fill="auto"/>
          </w:tcPr>
          <w:p w:rsidRPr="007D7A70" w:rsidR="00A32FB1" w:rsidP="00A32FB1" w:rsidRDefault="00A32FB1" w14:paraId="17F40DDB" w14:textId="2164E97F">
            <w:r w:rsidRPr="007D7A70">
              <w:t>Bulletin</w:t>
            </w:r>
          </w:p>
        </w:tc>
        <w:tc>
          <w:tcPr>
            <w:tcW w:w="5040" w:type="dxa"/>
            <w:shd w:val="clear" w:color="auto" w:fill="auto"/>
          </w:tcPr>
          <w:p w:rsidR="00A32FB1" w:rsidP="00A32FB1" w:rsidRDefault="00A32FB1" w14:paraId="08C4551E" w14:textId="122FB4DD">
            <w:r w:rsidRPr="007D7A70">
              <w:t>Jail</w:t>
            </w:r>
            <w:r>
              <w:t xml:space="preserve"> Inmate</w:t>
            </w:r>
            <w:r w:rsidRPr="007D7A70">
              <w:t>s, 20</w:t>
            </w:r>
            <w:r>
              <w:t>2</w:t>
            </w:r>
            <w:r w:rsidR="00CA5D56">
              <w:t>1</w:t>
            </w:r>
          </w:p>
        </w:tc>
        <w:tc>
          <w:tcPr>
            <w:tcW w:w="2175" w:type="dxa"/>
            <w:shd w:val="clear" w:color="auto" w:fill="auto"/>
          </w:tcPr>
          <w:p w:rsidR="00A32FB1" w:rsidP="00A32FB1" w:rsidRDefault="00A32FB1" w14:paraId="6F02091B" w14:textId="62DA82AC">
            <w:r>
              <w:t xml:space="preserve">Winter </w:t>
            </w:r>
            <w:r w:rsidRPr="007D7A70">
              <w:t>202</w:t>
            </w:r>
            <w:r w:rsidR="00585892">
              <w:t>2</w:t>
            </w:r>
          </w:p>
        </w:tc>
      </w:tr>
      <w:tr w:rsidRPr="007D7A70" w:rsidR="00A32FB1" w:rsidTr="00197F27" w14:paraId="45BF7809" w14:textId="77777777">
        <w:trPr>
          <w:trHeight w:val="540"/>
        </w:trPr>
        <w:tc>
          <w:tcPr>
            <w:tcW w:w="2065" w:type="dxa"/>
            <w:shd w:val="clear" w:color="auto" w:fill="auto"/>
          </w:tcPr>
          <w:p w:rsidRPr="007D7A70" w:rsidR="00A32FB1" w:rsidP="00A32FB1" w:rsidRDefault="00A32FB1" w14:paraId="074B3BDB" w14:textId="10102981">
            <w:r w:rsidRPr="007D7A70">
              <w:t>Bulletin</w:t>
            </w:r>
          </w:p>
        </w:tc>
        <w:tc>
          <w:tcPr>
            <w:tcW w:w="5040" w:type="dxa"/>
            <w:shd w:val="clear" w:color="auto" w:fill="auto"/>
          </w:tcPr>
          <w:p w:rsidR="00A32FB1" w:rsidP="00A32FB1" w:rsidRDefault="00A32FB1" w14:paraId="6C43FE4C" w14:textId="23C45269">
            <w:r w:rsidRPr="007D7A70">
              <w:t xml:space="preserve">Correctional Populations in the United States, </w:t>
            </w:r>
            <w:r>
              <w:t>202</w:t>
            </w:r>
            <w:r w:rsidR="00CA5D56">
              <w:t>1</w:t>
            </w:r>
          </w:p>
        </w:tc>
        <w:tc>
          <w:tcPr>
            <w:tcW w:w="2175" w:type="dxa"/>
            <w:shd w:val="clear" w:color="auto" w:fill="auto"/>
          </w:tcPr>
          <w:p w:rsidR="00A32FB1" w:rsidP="00A32FB1" w:rsidRDefault="00A32FB1" w14:paraId="077F9D3A" w14:textId="56341002">
            <w:r w:rsidRPr="007D7A70">
              <w:t>Winter 202</w:t>
            </w:r>
            <w:r w:rsidR="00585892">
              <w:t>2</w:t>
            </w:r>
          </w:p>
        </w:tc>
      </w:tr>
      <w:tr w:rsidRPr="007D7A70" w:rsidR="00A32FB1" w:rsidTr="00197F27" w14:paraId="0A0CA2A0" w14:textId="77777777">
        <w:trPr>
          <w:trHeight w:val="540"/>
        </w:trPr>
        <w:tc>
          <w:tcPr>
            <w:tcW w:w="2065" w:type="dxa"/>
            <w:shd w:val="clear" w:color="auto" w:fill="auto"/>
          </w:tcPr>
          <w:p w:rsidRPr="007D7A70" w:rsidR="00A32FB1" w:rsidP="00A32FB1" w:rsidRDefault="00A32FB1" w14:paraId="146C9E24" w14:textId="289DE5DB">
            <w:r w:rsidRPr="007D7A70">
              <w:t>Data Archive</w:t>
            </w:r>
          </w:p>
        </w:tc>
        <w:tc>
          <w:tcPr>
            <w:tcW w:w="5040" w:type="dxa"/>
            <w:shd w:val="clear" w:color="auto" w:fill="auto"/>
          </w:tcPr>
          <w:p w:rsidR="00A32FB1" w:rsidP="00A32FB1" w:rsidRDefault="00A32FB1" w14:paraId="25FB94FF" w14:textId="4811C6F9">
            <w:r>
              <w:t>Annual Survey of Jails-Jail Level Data, 202</w:t>
            </w:r>
            <w:r w:rsidR="00CA5D56">
              <w:t>1</w:t>
            </w:r>
          </w:p>
        </w:tc>
        <w:tc>
          <w:tcPr>
            <w:tcW w:w="2175" w:type="dxa"/>
            <w:shd w:val="clear" w:color="auto" w:fill="auto"/>
          </w:tcPr>
          <w:p w:rsidR="00A32FB1" w:rsidP="00A32FB1" w:rsidRDefault="00A32FB1" w14:paraId="3F8FC886" w14:textId="3A9B9F6D">
            <w:r>
              <w:t>Spring</w:t>
            </w:r>
            <w:r w:rsidRPr="007D7A70">
              <w:t xml:space="preserve"> 202</w:t>
            </w:r>
            <w:r w:rsidR="00585892">
              <w:t>3</w:t>
            </w:r>
          </w:p>
        </w:tc>
      </w:tr>
      <w:tr w:rsidRPr="007D7A70" w:rsidR="00A32FB1" w:rsidTr="00197F27" w14:paraId="7C0DCE8F" w14:textId="77777777">
        <w:trPr>
          <w:trHeight w:val="540"/>
        </w:trPr>
        <w:tc>
          <w:tcPr>
            <w:tcW w:w="2065" w:type="dxa"/>
            <w:shd w:val="clear" w:color="auto" w:fill="auto"/>
          </w:tcPr>
          <w:p w:rsidRPr="007D7A70" w:rsidR="00A32FB1" w:rsidP="00A32FB1" w:rsidRDefault="00A32FB1" w14:paraId="6D609633" w14:textId="7E723DC1">
            <w:r w:rsidRPr="007D7A70">
              <w:t>Bulletin</w:t>
            </w:r>
          </w:p>
        </w:tc>
        <w:tc>
          <w:tcPr>
            <w:tcW w:w="5040" w:type="dxa"/>
            <w:shd w:val="clear" w:color="auto" w:fill="auto"/>
          </w:tcPr>
          <w:p w:rsidR="00A32FB1" w:rsidP="00A32FB1" w:rsidRDefault="00A32FB1" w14:paraId="2D6F1924" w14:textId="2122CFD9">
            <w:r w:rsidRPr="007D7A70">
              <w:t>Jail</w:t>
            </w:r>
            <w:r>
              <w:t xml:space="preserve"> Inmate</w:t>
            </w:r>
            <w:r w:rsidRPr="007D7A70">
              <w:t>s, 20</w:t>
            </w:r>
            <w:r>
              <w:t>2</w:t>
            </w:r>
            <w:r w:rsidR="00CA5D56">
              <w:t>2</w:t>
            </w:r>
          </w:p>
        </w:tc>
        <w:tc>
          <w:tcPr>
            <w:tcW w:w="2175" w:type="dxa"/>
            <w:shd w:val="clear" w:color="auto" w:fill="auto"/>
          </w:tcPr>
          <w:p w:rsidR="00A32FB1" w:rsidP="00A32FB1" w:rsidRDefault="00A32FB1" w14:paraId="1A24423D" w14:textId="35127847">
            <w:r>
              <w:t xml:space="preserve">Winter </w:t>
            </w:r>
            <w:r w:rsidRPr="007D7A70">
              <w:t>202</w:t>
            </w:r>
            <w:r w:rsidR="00585892">
              <w:t>3</w:t>
            </w:r>
          </w:p>
        </w:tc>
      </w:tr>
      <w:tr w:rsidRPr="007D7A70" w:rsidR="00A32FB1" w:rsidTr="00197F27" w14:paraId="7088CD2B" w14:textId="77777777">
        <w:trPr>
          <w:trHeight w:val="540"/>
        </w:trPr>
        <w:tc>
          <w:tcPr>
            <w:tcW w:w="2065" w:type="dxa"/>
            <w:shd w:val="clear" w:color="auto" w:fill="auto"/>
          </w:tcPr>
          <w:p w:rsidRPr="007D7A70" w:rsidR="00A32FB1" w:rsidP="00A32FB1" w:rsidRDefault="00A32FB1" w14:paraId="55708114" w14:textId="4E653542">
            <w:r w:rsidRPr="007D7A70">
              <w:t>Bulletin</w:t>
            </w:r>
          </w:p>
        </w:tc>
        <w:tc>
          <w:tcPr>
            <w:tcW w:w="5040" w:type="dxa"/>
            <w:shd w:val="clear" w:color="auto" w:fill="auto"/>
          </w:tcPr>
          <w:p w:rsidR="00A32FB1" w:rsidP="00A32FB1" w:rsidRDefault="00A32FB1" w14:paraId="5814BA26" w14:textId="753BC5A0">
            <w:r w:rsidRPr="007D7A70">
              <w:t xml:space="preserve">Correctional Populations in the United States, </w:t>
            </w:r>
            <w:r>
              <w:t>202</w:t>
            </w:r>
            <w:r w:rsidR="00CA5D56">
              <w:t>2</w:t>
            </w:r>
          </w:p>
        </w:tc>
        <w:tc>
          <w:tcPr>
            <w:tcW w:w="2175" w:type="dxa"/>
            <w:shd w:val="clear" w:color="auto" w:fill="auto"/>
          </w:tcPr>
          <w:p w:rsidR="00A32FB1" w:rsidP="00A32FB1" w:rsidRDefault="00A32FB1" w14:paraId="2E363480" w14:textId="3530077E">
            <w:r w:rsidRPr="007D7A70">
              <w:t>Winter 202</w:t>
            </w:r>
            <w:r w:rsidR="00585892">
              <w:t>3</w:t>
            </w:r>
          </w:p>
        </w:tc>
      </w:tr>
      <w:tr w:rsidRPr="007D7A70" w:rsidR="00A32FB1" w:rsidTr="00197F27" w14:paraId="34C8FA80" w14:textId="77777777">
        <w:trPr>
          <w:trHeight w:val="540"/>
        </w:trPr>
        <w:tc>
          <w:tcPr>
            <w:tcW w:w="2065" w:type="dxa"/>
            <w:shd w:val="clear" w:color="auto" w:fill="auto"/>
          </w:tcPr>
          <w:p w:rsidRPr="007D7A70" w:rsidR="00A32FB1" w:rsidP="00A32FB1" w:rsidRDefault="00A32FB1" w14:paraId="06475606" w14:textId="08078900">
            <w:r w:rsidRPr="007D7A70">
              <w:t>Data Archive</w:t>
            </w:r>
          </w:p>
        </w:tc>
        <w:tc>
          <w:tcPr>
            <w:tcW w:w="5040" w:type="dxa"/>
            <w:shd w:val="clear" w:color="auto" w:fill="auto"/>
          </w:tcPr>
          <w:p w:rsidR="00A32FB1" w:rsidP="00A32FB1" w:rsidRDefault="00A32FB1" w14:paraId="79BBE657" w14:textId="7C23AFC1">
            <w:r>
              <w:t>Annual Survey of Jails-Jail Level Data, 202</w:t>
            </w:r>
            <w:r w:rsidR="00CA5D56">
              <w:t>2</w:t>
            </w:r>
          </w:p>
        </w:tc>
        <w:tc>
          <w:tcPr>
            <w:tcW w:w="2175" w:type="dxa"/>
            <w:shd w:val="clear" w:color="auto" w:fill="auto"/>
          </w:tcPr>
          <w:p w:rsidR="00A32FB1" w:rsidP="00A32FB1" w:rsidRDefault="00A32FB1" w14:paraId="3880805B" w14:textId="40095968">
            <w:r>
              <w:t>Spring</w:t>
            </w:r>
            <w:r w:rsidRPr="007D7A70">
              <w:t xml:space="preserve"> 202</w:t>
            </w:r>
            <w:r w:rsidR="00585892">
              <w:t>4</w:t>
            </w:r>
          </w:p>
        </w:tc>
      </w:tr>
    </w:tbl>
    <w:p w:rsidR="008C73B0" w:rsidP="007D7A70" w:rsidRDefault="008C73B0" w14:paraId="1C84D56D" w14:textId="2AD4AEBD"/>
    <w:p w:rsidRPr="007D7A70" w:rsidR="00A51E64" w:rsidP="001C4421" w:rsidRDefault="00A51E64" w14:paraId="05EC1D41" w14:textId="280F9191">
      <w:pPr>
        <w:pStyle w:val="Heading2"/>
      </w:pPr>
      <w:r w:rsidRPr="007D7A70">
        <w:t>17.</w:t>
      </w:r>
      <w:r w:rsidRPr="007D7A70">
        <w:tab/>
        <w:t>Expiration Date</w:t>
      </w:r>
      <w:r w:rsidRPr="007D7A70" w:rsidR="0079681D">
        <w:t xml:space="preserve"> Approval</w:t>
      </w:r>
    </w:p>
    <w:p w:rsidRPr="007D7A70" w:rsidR="004B3EE2" w:rsidP="007D7A70" w:rsidRDefault="0079681D" w14:paraId="3A3F57D7" w14:textId="4A7A2DD3">
      <w:r w:rsidRPr="007D7A70">
        <w:t xml:space="preserve">The OMB Control Number and the expiration date </w:t>
      </w:r>
      <w:proofErr w:type="gramStart"/>
      <w:r w:rsidRPr="007D7A70">
        <w:t>will be published</w:t>
      </w:r>
      <w:proofErr w:type="gramEnd"/>
      <w:r w:rsidRPr="007D7A70">
        <w:t xml:space="preserve"> on instructions provided to all respondents.</w:t>
      </w:r>
    </w:p>
    <w:p w:rsidRPr="007D7A70" w:rsidR="00A51E64" w:rsidP="001C4421" w:rsidRDefault="00A51E64" w14:paraId="7BE6ABE4" w14:textId="3227485B">
      <w:pPr>
        <w:pStyle w:val="Heading2"/>
      </w:pPr>
      <w:r w:rsidRPr="007D7A70">
        <w:t>18.</w:t>
      </w:r>
      <w:r w:rsidRPr="007D7A70">
        <w:tab/>
        <w:t>Exceptions to the Certification</w:t>
      </w:r>
    </w:p>
    <w:p w:rsidRPr="007D7A70" w:rsidR="00FC0BE9" w:rsidP="007D7A70" w:rsidRDefault="0079681D" w14:paraId="6482C92E" w14:textId="78EE3C14">
      <w:pPr>
        <w:rPr>
          <w:b/>
        </w:rPr>
      </w:pPr>
      <w:r w:rsidRPr="007D7A70">
        <w:t xml:space="preserve">There are no exceptions to the Certification Statement. The collection is consistent with all the guidelines set forth in </w:t>
      </w:r>
      <w:proofErr w:type="gramStart"/>
      <w:r w:rsidRPr="007D7A70">
        <w:t>5</w:t>
      </w:r>
      <w:proofErr w:type="gramEnd"/>
      <w:r w:rsidRPr="007D7A70">
        <w:t xml:space="preserve"> CFR 1320.9.</w:t>
      </w:r>
    </w:p>
    <w:sectPr w:rsidRPr="007D7A70" w:rsidR="00FC0BE9" w:rsidSect="00D26BAA">
      <w:headerReference w:type="default" r:id="rId24"/>
      <w:footerReference w:type="even" r:id="rId25"/>
      <w:footerReference w:type="default" r:id="rId26"/>
      <w:footnotePr>
        <w:numStart w:val="2"/>
      </w:footnotePr>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CC7E" w14:textId="77777777" w:rsidR="00101A63" w:rsidRDefault="00101A63" w:rsidP="007D7A70">
      <w:r>
        <w:separator/>
      </w:r>
    </w:p>
    <w:p w14:paraId="2C53C76E" w14:textId="77777777" w:rsidR="00101A63" w:rsidRDefault="00101A63" w:rsidP="007D7A70"/>
    <w:p w14:paraId="25168FA5" w14:textId="77777777" w:rsidR="00101A63" w:rsidRDefault="00101A63" w:rsidP="007D7A70"/>
    <w:p w14:paraId="6D9167C2" w14:textId="77777777" w:rsidR="00101A63" w:rsidRDefault="00101A63" w:rsidP="007D7A70"/>
  </w:endnote>
  <w:endnote w:type="continuationSeparator" w:id="0">
    <w:p w14:paraId="6EF1C92B" w14:textId="77777777" w:rsidR="00101A63" w:rsidRDefault="00101A63" w:rsidP="007D7A70">
      <w:r>
        <w:continuationSeparator/>
      </w:r>
    </w:p>
    <w:p w14:paraId="4CBF69A3" w14:textId="77777777" w:rsidR="00101A63" w:rsidRDefault="00101A63" w:rsidP="007D7A70"/>
    <w:p w14:paraId="66446529" w14:textId="77777777" w:rsidR="00101A63" w:rsidRDefault="00101A63" w:rsidP="007D7A70"/>
    <w:p w14:paraId="68E9B2A7" w14:textId="77777777" w:rsidR="00101A63" w:rsidRDefault="00101A63" w:rsidP="007D7A70"/>
  </w:endnote>
  <w:endnote w:type="continuationNotice" w:id="1">
    <w:p w14:paraId="520B7538" w14:textId="77777777" w:rsidR="00101A63" w:rsidRDefault="00101A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A32F" w14:textId="77777777" w:rsidR="009A542A" w:rsidRDefault="009A542A" w:rsidP="007D7A7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BD3551" w14:textId="77777777" w:rsidR="009A542A" w:rsidRDefault="009A542A" w:rsidP="007D7A70">
    <w:pPr>
      <w:pStyle w:val="Footer"/>
    </w:pPr>
  </w:p>
  <w:p w14:paraId="2846D33C" w14:textId="77777777" w:rsidR="009A542A" w:rsidRDefault="009A542A" w:rsidP="007D7A70"/>
  <w:p w14:paraId="3EE5D28C" w14:textId="77777777" w:rsidR="009A542A" w:rsidRDefault="009A542A" w:rsidP="007D7A70"/>
  <w:p w14:paraId="3582CA32" w14:textId="77777777" w:rsidR="009A542A" w:rsidRDefault="009A542A" w:rsidP="007D7A7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F2815" w14:textId="2AE7A342" w:rsidR="009A542A" w:rsidRDefault="009A542A" w:rsidP="00D26BAA">
    <w:pPr>
      <w:pStyle w:val="Footer"/>
      <w:jc w:val="right"/>
    </w:pPr>
    <w:r>
      <w:rPr>
        <w:rStyle w:val="PageNumber"/>
      </w:rPr>
      <w:fldChar w:fldCharType="begin"/>
    </w:r>
    <w:r>
      <w:rPr>
        <w:rStyle w:val="PageNumber"/>
      </w:rPr>
      <w:instrText xml:space="preserve">PAGE  </w:instrText>
    </w:r>
    <w:r>
      <w:rPr>
        <w:rStyle w:val="PageNumber"/>
      </w:rPr>
      <w:fldChar w:fldCharType="separate"/>
    </w:r>
    <w:r w:rsidR="00FA14C5">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7806B" w14:textId="77777777" w:rsidR="00101A63" w:rsidRDefault="00101A63" w:rsidP="007D7A70">
      <w:r>
        <w:separator/>
      </w:r>
    </w:p>
  </w:footnote>
  <w:footnote w:type="continuationSeparator" w:id="0">
    <w:p w14:paraId="5B82CDAA" w14:textId="77777777" w:rsidR="00101A63" w:rsidRDefault="00101A63" w:rsidP="007D7A70">
      <w:r>
        <w:continuationSeparator/>
      </w:r>
    </w:p>
    <w:p w14:paraId="4418E865" w14:textId="77777777" w:rsidR="00101A63" w:rsidRDefault="00101A63" w:rsidP="007D7A70"/>
    <w:p w14:paraId="0A984B47" w14:textId="77777777" w:rsidR="00101A63" w:rsidRDefault="00101A63" w:rsidP="007D7A70"/>
    <w:p w14:paraId="0F8C9B71" w14:textId="77777777" w:rsidR="00101A63" w:rsidRDefault="00101A63" w:rsidP="007D7A70"/>
  </w:footnote>
  <w:footnote w:type="continuationNotice" w:id="1">
    <w:p w14:paraId="059D0482" w14:textId="77777777" w:rsidR="00101A63" w:rsidRDefault="00101A63">
      <w:pPr>
        <w:spacing w:after="0"/>
      </w:pPr>
    </w:p>
  </w:footnote>
  <w:footnote w:id="2">
    <w:p w14:paraId="4011012A" w14:textId="39A35B3C" w:rsidR="009A542A" w:rsidRPr="00B75EDF" w:rsidRDefault="009A542A" w:rsidP="00D26BAA">
      <w:pPr>
        <w:pStyle w:val="footnote"/>
      </w:pPr>
      <w:r w:rsidRPr="003D106F">
        <w:rPr>
          <w:rStyle w:val="FootnoteReference"/>
          <w:vertAlign w:val="superscript"/>
        </w:rPr>
        <w:t>1</w:t>
      </w:r>
      <w:r w:rsidRPr="007D7A70">
        <w:rPr>
          <w:rStyle w:val="FootnoteTextChar"/>
        </w:rPr>
        <w:t>Zeng, Z. (</w:t>
      </w:r>
      <w:r>
        <w:t>2020</w:t>
      </w:r>
      <w:r w:rsidRPr="007D7A70">
        <w:rPr>
          <w:rStyle w:val="FootnoteTextChar"/>
        </w:rPr>
        <w:t xml:space="preserve">). </w:t>
      </w:r>
      <w:r w:rsidRPr="00FE4B29">
        <w:rPr>
          <w:rStyle w:val="FootnoteTextChar"/>
          <w:i/>
        </w:rPr>
        <w:t>Jail Inmates in 2018</w:t>
      </w:r>
      <w:r w:rsidRPr="007D7A70">
        <w:rPr>
          <w:rStyle w:val="FootnoteTextChar"/>
        </w:rPr>
        <w:t xml:space="preserve">. Bureau of Justice Statistics, Washington, D.C. NCJ </w:t>
      </w:r>
      <w:r>
        <w:rPr>
          <w:rStyle w:val="FootnoteTextChar"/>
        </w:rPr>
        <w:t>253044.</w:t>
      </w:r>
    </w:p>
  </w:footnote>
  <w:footnote w:id="3">
    <w:p w14:paraId="5EEABE39" w14:textId="60EF1DB7" w:rsidR="009A542A" w:rsidRDefault="009A542A" w:rsidP="007D7A70">
      <w:pPr>
        <w:pStyle w:val="footnote"/>
        <w:rPr>
          <w:sz w:val="20"/>
          <w:szCs w:val="20"/>
        </w:rPr>
      </w:pPr>
      <w:r>
        <w:rPr>
          <w:vertAlign w:val="superscript"/>
        </w:rPr>
        <w:t>2</w:t>
      </w:r>
      <w:r>
        <w:t xml:space="preserve">James, D. (2004). </w:t>
      </w:r>
      <w:r w:rsidRPr="00784AEE">
        <w:rPr>
          <w:i/>
        </w:rPr>
        <w:t>Profile of Jail Inmates, 2002</w:t>
      </w:r>
      <w:r>
        <w:t xml:space="preserve">. </w:t>
      </w:r>
      <w:r w:rsidRPr="006E517F">
        <w:t>Bureau of Justice Statistics, Washington, D.C. NCJ 201932.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6B3C" w14:textId="77777777" w:rsidR="009A542A" w:rsidRDefault="009A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0C10B3"/>
    <w:multiLevelType w:val="hybridMultilevel"/>
    <w:tmpl w:val="17AB8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351DA7"/>
    <w:multiLevelType w:val="hybridMultilevel"/>
    <w:tmpl w:val="0C7E99E4"/>
    <w:lvl w:ilvl="0" w:tplc="2A5EDA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7200AF"/>
    <w:multiLevelType w:val="hybridMultilevel"/>
    <w:tmpl w:val="1DA2256E"/>
    <w:lvl w:ilvl="0" w:tplc="75E07F4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A06B0"/>
    <w:multiLevelType w:val="hybridMultilevel"/>
    <w:tmpl w:val="83BAFC9E"/>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5" w15:restartNumberingAfterBreak="0">
    <w:nsid w:val="06831047"/>
    <w:multiLevelType w:val="hybridMultilevel"/>
    <w:tmpl w:val="6E040FA8"/>
    <w:lvl w:ilvl="0" w:tplc="3A26279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D2390"/>
    <w:multiLevelType w:val="hybridMultilevel"/>
    <w:tmpl w:val="20142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7DF15BB"/>
    <w:multiLevelType w:val="hybridMultilevel"/>
    <w:tmpl w:val="80CA3226"/>
    <w:lvl w:ilvl="0" w:tplc="8A9E5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513337"/>
    <w:multiLevelType w:val="hybridMultilevel"/>
    <w:tmpl w:val="F7F88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8600070"/>
    <w:multiLevelType w:val="hybridMultilevel"/>
    <w:tmpl w:val="02C24B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 w15:restartNumberingAfterBreak="0">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C4497"/>
    <w:multiLevelType w:val="hybridMultilevel"/>
    <w:tmpl w:val="0FE8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D2FFB"/>
    <w:multiLevelType w:val="hybridMultilevel"/>
    <w:tmpl w:val="D1B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275696"/>
    <w:multiLevelType w:val="multilevel"/>
    <w:tmpl w:val="F64E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77610E"/>
    <w:multiLevelType w:val="hybridMultilevel"/>
    <w:tmpl w:val="0AB0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AC5EAC"/>
    <w:multiLevelType w:val="hybridMultilevel"/>
    <w:tmpl w:val="8946D2C0"/>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8" w15:restartNumberingAfterBreak="0">
    <w:nsid w:val="1BA00FB0"/>
    <w:multiLevelType w:val="hybridMultilevel"/>
    <w:tmpl w:val="84647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24792"/>
    <w:multiLevelType w:val="hybridMultilevel"/>
    <w:tmpl w:val="4AD8BB58"/>
    <w:lvl w:ilvl="0" w:tplc="DB6410FE">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221112"/>
    <w:multiLevelType w:val="hybridMultilevel"/>
    <w:tmpl w:val="0F3237A6"/>
    <w:lvl w:ilvl="0" w:tplc="4EE28CE8">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0281F"/>
    <w:multiLevelType w:val="hybridMultilevel"/>
    <w:tmpl w:val="CAB8A18A"/>
    <w:lvl w:ilvl="0" w:tplc="92706C78">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E75E92"/>
    <w:multiLevelType w:val="hybridMultilevel"/>
    <w:tmpl w:val="983E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8F7C63"/>
    <w:multiLevelType w:val="hybridMultilevel"/>
    <w:tmpl w:val="FE5E1D88"/>
    <w:lvl w:ilvl="0" w:tplc="7A44FA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40C01"/>
    <w:multiLevelType w:val="hybridMultilevel"/>
    <w:tmpl w:val="6F3E29B0"/>
    <w:lvl w:ilvl="0" w:tplc="0D5CED62">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8" w15:restartNumberingAfterBreak="0">
    <w:nsid w:val="278F5BB2"/>
    <w:multiLevelType w:val="hybridMultilevel"/>
    <w:tmpl w:val="9FD2ABB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9" w15:restartNumberingAfterBreak="0">
    <w:nsid w:val="2CD93272"/>
    <w:multiLevelType w:val="multilevel"/>
    <w:tmpl w:val="D70E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D357A1C"/>
    <w:multiLevelType w:val="hybridMultilevel"/>
    <w:tmpl w:val="4C4A4ABE"/>
    <w:lvl w:ilvl="0" w:tplc="A9CEF1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932208"/>
    <w:multiLevelType w:val="hybridMultilevel"/>
    <w:tmpl w:val="3A9E43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2" w15:restartNumberingAfterBreak="0">
    <w:nsid w:val="2DFE33FA"/>
    <w:multiLevelType w:val="hybridMultilevel"/>
    <w:tmpl w:val="7042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4941BE"/>
    <w:multiLevelType w:val="hybridMultilevel"/>
    <w:tmpl w:val="0BD2F34E"/>
    <w:lvl w:ilvl="0" w:tplc="7A906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2F6C78D8"/>
    <w:multiLevelType w:val="hybridMultilevel"/>
    <w:tmpl w:val="8F4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0E502D0"/>
    <w:multiLevelType w:val="hybridMultilevel"/>
    <w:tmpl w:val="BEA690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31195083"/>
    <w:multiLevelType w:val="multilevel"/>
    <w:tmpl w:val="D4123548"/>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7" w15:restartNumberingAfterBreak="0">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81D7941"/>
    <w:multiLevelType w:val="hybridMultilevel"/>
    <w:tmpl w:val="1B54C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868317C"/>
    <w:multiLevelType w:val="hybridMultilevel"/>
    <w:tmpl w:val="58902428"/>
    <w:lvl w:ilvl="0" w:tplc="01241C5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42" w15:restartNumberingAfterBreak="0">
    <w:nsid w:val="3AB204AA"/>
    <w:multiLevelType w:val="multilevel"/>
    <w:tmpl w:val="378C7CD8"/>
    <w:lvl w:ilvl="0">
      <w:start w:val="1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D3149B0"/>
    <w:multiLevelType w:val="hybridMultilevel"/>
    <w:tmpl w:val="6E82FBC8"/>
    <w:lvl w:ilvl="0" w:tplc="46267638">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44" w15:restartNumberingAfterBreak="0">
    <w:nsid w:val="3F5267F7"/>
    <w:multiLevelType w:val="hybridMultilevel"/>
    <w:tmpl w:val="52B2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973A7E"/>
    <w:multiLevelType w:val="hybridMultilevel"/>
    <w:tmpl w:val="6096D3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41824808"/>
    <w:multiLevelType w:val="hybridMultilevel"/>
    <w:tmpl w:val="2300F9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42A858ED"/>
    <w:multiLevelType w:val="hybridMultilevel"/>
    <w:tmpl w:val="008E9888"/>
    <w:lvl w:ilvl="0" w:tplc="3C3C44B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4343EF"/>
    <w:multiLevelType w:val="hybridMultilevel"/>
    <w:tmpl w:val="5A18C070"/>
    <w:lvl w:ilvl="0" w:tplc="7A14C23E">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50" w15:restartNumberingAfterBreak="0">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565BF6"/>
    <w:multiLevelType w:val="hybridMultilevel"/>
    <w:tmpl w:val="A11C47BA"/>
    <w:lvl w:ilvl="0" w:tplc="B8FAC0C4">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625A7"/>
    <w:multiLevelType w:val="hybridMultilevel"/>
    <w:tmpl w:val="A1D61A2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3" w15:restartNumberingAfterBreak="0">
    <w:nsid w:val="504D69A4"/>
    <w:multiLevelType w:val="hybridMultilevel"/>
    <w:tmpl w:val="378C7CD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3F2B8B"/>
    <w:multiLevelType w:val="hybridMultilevel"/>
    <w:tmpl w:val="551A3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8601BDB"/>
    <w:multiLevelType w:val="hybridMultilevel"/>
    <w:tmpl w:val="6E82FBC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57" w15:restartNumberingAfterBreak="0">
    <w:nsid w:val="59502226"/>
    <w:multiLevelType w:val="hybridMultilevel"/>
    <w:tmpl w:val="659EC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602AE7"/>
    <w:multiLevelType w:val="multilevel"/>
    <w:tmpl w:val="571E80FE"/>
    <w:lvl w:ilvl="0">
      <w:start w:val="15"/>
      <w:numFmt w:val="decimal"/>
      <w:lvlText w:val="%1."/>
      <w:legacy w:legacy="1" w:legacySpace="0" w:legacyIndent="0"/>
      <w:lvlJc w:val="left"/>
      <w:rPr>
        <w:rFonts w:cs="Times New Roman"/>
      </w:rPr>
    </w:lvl>
    <w:lvl w:ilvl="1">
      <w:start w:val="9"/>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9" w15:restartNumberingAfterBreak="0">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4C6322"/>
    <w:multiLevelType w:val="hybridMultilevel"/>
    <w:tmpl w:val="C716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EB6F4A"/>
    <w:multiLevelType w:val="hybridMultilevel"/>
    <w:tmpl w:val="293C37D0"/>
    <w:lvl w:ilvl="0" w:tplc="E69813F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62" w15:restartNumberingAfterBreak="0">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C61E95"/>
    <w:multiLevelType w:val="hybridMultilevel"/>
    <w:tmpl w:val="3AD207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63754F16"/>
    <w:multiLevelType w:val="hybridMultilevel"/>
    <w:tmpl w:val="6F3E29B0"/>
    <w:lvl w:ilvl="0" w:tplc="0D5CED62">
      <w:start w:val="1"/>
      <w:numFmt w:val="lowerLetter"/>
      <w:lvlText w:val="(%1)"/>
      <w:lvlJc w:val="left"/>
      <w:pPr>
        <w:ind w:left="615" w:hanging="61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15:restartNumberingAfterBreak="0">
    <w:nsid w:val="63BF4FDD"/>
    <w:multiLevelType w:val="hybridMultilevel"/>
    <w:tmpl w:val="F1B8C734"/>
    <w:lvl w:ilvl="0" w:tplc="587AAC3C">
      <w:start w:val="1"/>
      <w:numFmt w:val="lowerLetter"/>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66" w15:restartNumberingAfterBreak="0">
    <w:nsid w:val="663E2653"/>
    <w:multiLevelType w:val="hybridMultilevel"/>
    <w:tmpl w:val="E4D08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B9169A8"/>
    <w:multiLevelType w:val="hybridMultilevel"/>
    <w:tmpl w:val="546ACC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DF07CE"/>
    <w:multiLevelType w:val="hybridMultilevel"/>
    <w:tmpl w:val="3BA6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251EC3"/>
    <w:multiLevelType w:val="multilevel"/>
    <w:tmpl w:val="A3A0C97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70" w15:restartNumberingAfterBreak="0">
    <w:nsid w:val="710C2CD1"/>
    <w:multiLevelType w:val="hybridMultilevel"/>
    <w:tmpl w:val="A534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121F8E"/>
    <w:multiLevelType w:val="hybridMultilevel"/>
    <w:tmpl w:val="D95E7332"/>
    <w:lvl w:ilvl="0" w:tplc="D72C4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257BB5"/>
    <w:multiLevelType w:val="hybridMultilevel"/>
    <w:tmpl w:val="5F1C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4676A61"/>
    <w:multiLevelType w:val="multilevel"/>
    <w:tmpl w:val="C9369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5A47898"/>
    <w:multiLevelType w:val="hybridMultilevel"/>
    <w:tmpl w:val="87D0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FE393C"/>
    <w:multiLevelType w:val="hybridMultilevel"/>
    <w:tmpl w:val="C2F6E44E"/>
    <w:lvl w:ilvl="0" w:tplc="6C1003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2A5482"/>
    <w:multiLevelType w:val="hybridMultilevel"/>
    <w:tmpl w:val="69CE9F48"/>
    <w:lvl w:ilvl="0" w:tplc="0736E6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6"/>
  </w:num>
  <w:num w:numId="3">
    <w:abstractNumId w:val="35"/>
  </w:num>
  <w:num w:numId="4">
    <w:abstractNumId w:val="10"/>
  </w:num>
  <w:num w:numId="5">
    <w:abstractNumId w:val="58"/>
  </w:num>
  <w:num w:numId="6">
    <w:abstractNumId w:val="76"/>
  </w:num>
  <w:num w:numId="7">
    <w:abstractNumId w:val="40"/>
  </w:num>
  <w:num w:numId="8">
    <w:abstractNumId w:val="38"/>
  </w:num>
  <w:num w:numId="9">
    <w:abstractNumId w:val="39"/>
  </w:num>
  <w:num w:numId="10">
    <w:abstractNumId w:val="55"/>
  </w:num>
  <w:num w:numId="11">
    <w:abstractNumId w:val="43"/>
  </w:num>
  <w:num w:numId="12">
    <w:abstractNumId w:val="61"/>
  </w:num>
  <w:num w:numId="13">
    <w:abstractNumId w:val="49"/>
  </w:num>
  <w:num w:numId="14">
    <w:abstractNumId w:val="65"/>
  </w:num>
  <w:num w:numId="15">
    <w:abstractNumId w:val="17"/>
  </w:num>
  <w:num w:numId="16">
    <w:abstractNumId w:val="33"/>
  </w:num>
  <w:num w:numId="17">
    <w:abstractNumId w:val="46"/>
  </w:num>
  <w:num w:numId="18">
    <w:abstractNumId w:val="27"/>
  </w:num>
  <w:num w:numId="19">
    <w:abstractNumId w:val="41"/>
  </w:num>
  <w:num w:numId="20">
    <w:abstractNumId w:val="52"/>
  </w:num>
  <w:num w:numId="21">
    <w:abstractNumId w:val="45"/>
  </w:num>
  <w:num w:numId="22">
    <w:abstractNumId w:val="63"/>
  </w:num>
  <w:num w:numId="23">
    <w:abstractNumId w:val="31"/>
  </w:num>
  <w:num w:numId="24">
    <w:abstractNumId w:val="34"/>
  </w:num>
  <w:num w:numId="25">
    <w:abstractNumId w:val="7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num>
  <w:num w:numId="28">
    <w:abstractNumId w:val="75"/>
  </w:num>
  <w:num w:numId="29">
    <w:abstractNumId w:val="21"/>
  </w:num>
  <w:num w:numId="30">
    <w:abstractNumId w:val="59"/>
  </w:num>
  <w:num w:numId="31">
    <w:abstractNumId w:val="37"/>
  </w:num>
  <w:num w:numId="32">
    <w:abstractNumId w:val="13"/>
  </w:num>
  <w:num w:numId="33">
    <w:abstractNumId w:val="22"/>
  </w:num>
  <w:num w:numId="34">
    <w:abstractNumId w:val="53"/>
  </w:num>
  <w:num w:numId="35">
    <w:abstractNumId w:val="15"/>
  </w:num>
  <w:num w:numId="36">
    <w:abstractNumId w:val="24"/>
  </w:num>
  <w:num w:numId="37">
    <w:abstractNumId w:val="7"/>
  </w:num>
  <w:num w:numId="38">
    <w:abstractNumId w:val="11"/>
  </w:num>
  <w:num w:numId="39">
    <w:abstractNumId w:val="18"/>
  </w:num>
  <w:num w:numId="40">
    <w:abstractNumId w:val="44"/>
  </w:num>
  <w:num w:numId="41">
    <w:abstractNumId w:val="54"/>
  </w:num>
  <w:num w:numId="42">
    <w:abstractNumId w:val="62"/>
  </w:num>
  <w:num w:numId="43">
    <w:abstractNumId w:val="50"/>
  </w:num>
  <w:num w:numId="44">
    <w:abstractNumId w:val="3"/>
  </w:num>
  <w:num w:numId="45">
    <w:abstractNumId w:val="28"/>
  </w:num>
  <w:num w:numId="46">
    <w:abstractNumId w:val="48"/>
  </w:num>
  <w:num w:numId="47">
    <w:abstractNumId w:val="6"/>
  </w:num>
  <w:num w:numId="48">
    <w:abstractNumId w:val="16"/>
  </w:num>
  <w:num w:numId="49">
    <w:abstractNumId w:val="19"/>
  </w:num>
  <w:num w:numId="50">
    <w:abstractNumId w:val="71"/>
  </w:num>
  <w:num w:numId="51">
    <w:abstractNumId w:val="51"/>
  </w:num>
  <w:num w:numId="52">
    <w:abstractNumId w:val="9"/>
  </w:num>
  <w:num w:numId="53">
    <w:abstractNumId w:val="8"/>
  </w:num>
  <w:num w:numId="54">
    <w:abstractNumId w:val="2"/>
  </w:num>
  <w:num w:numId="55">
    <w:abstractNumId w:val="56"/>
  </w:num>
  <w:num w:numId="56">
    <w:abstractNumId w:val="26"/>
  </w:num>
  <w:num w:numId="57">
    <w:abstractNumId w:val="77"/>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42"/>
  </w:num>
  <w:num w:numId="62">
    <w:abstractNumId w:val="20"/>
  </w:num>
  <w:num w:numId="63">
    <w:abstractNumId w:val="5"/>
  </w:num>
  <w:num w:numId="64">
    <w:abstractNumId w:val="23"/>
  </w:num>
  <w:num w:numId="65">
    <w:abstractNumId w:val="29"/>
  </w:num>
  <w:num w:numId="66">
    <w:abstractNumId w:val="73"/>
  </w:num>
  <w:num w:numId="67">
    <w:abstractNumId w:val="70"/>
  </w:num>
  <w:num w:numId="68">
    <w:abstractNumId w:val="68"/>
  </w:num>
  <w:num w:numId="69">
    <w:abstractNumId w:val="67"/>
  </w:num>
  <w:num w:numId="70">
    <w:abstractNumId w:val="60"/>
  </w:num>
  <w:num w:numId="71">
    <w:abstractNumId w:val="57"/>
  </w:num>
  <w:num w:numId="72">
    <w:abstractNumId w:val="74"/>
  </w:num>
  <w:num w:numId="73">
    <w:abstractNumId w:val="25"/>
  </w:num>
  <w:num w:numId="74">
    <w:abstractNumId w:val="0"/>
  </w:num>
  <w:num w:numId="75">
    <w:abstractNumId w:val="12"/>
  </w:num>
  <w:num w:numId="76">
    <w:abstractNumId w:val="4"/>
  </w:num>
  <w:num w:numId="77">
    <w:abstractNumId w:val="47"/>
  </w:num>
  <w:num w:numId="78">
    <w:abstractNumId w:val="66"/>
  </w:num>
  <w:num w:numId="79">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numStart w:val="2"/>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31796"/>
    <w:rsid w:val="000010B2"/>
    <w:rsid w:val="00001B70"/>
    <w:rsid w:val="0000265C"/>
    <w:rsid w:val="000035E5"/>
    <w:rsid w:val="00003EDF"/>
    <w:rsid w:val="00004331"/>
    <w:rsid w:val="00004BEA"/>
    <w:rsid w:val="00006272"/>
    <w:rsid w:val="000062E4"/>
    <w:rsid w:val="00006569"/>
    <w:rsid w:val="000116D0"/>
    <w:rsid w:val="00011D28"/>
    <w:rsid w:val="00012370"/>
    <w:rsid w:val="00012943"/>
    <w:rsid w:val="00012A50"/>
    <w:rsid w:val="00012B55"/>
    <w:rsid w:val="0001337C"/>
    <w:rsid w:val="000134F1"/>
    <w:rsid w:val="0001375A"/>
    <w:rsid w:val="00013F7D"/>
    <w:rsid w:val="000149AB"/>
    <w:rsid w:val="000149D3"/>
    <w:rsid w:val="00014FD2"/>
    <w:rsid w:val="00015799"/>
    <w:rsid w:val="000159E5"/>
    <w:rsid w:val="00015BA9"/>
    <w:rsid w:val="00015C3B"/>
    <w:rsid w:val="00016132"/>
    <w:rsid w:val="000166C7"/>
    <w:rsid w:val="000167B4"/>
    <w:rsid w:val="00016DE2"/>
    <w:rsid w:val="000177ED"/>
    <w:rsid w:val="0001788D"/>
    <w:rsid w:val="00020047"/>
    <w:rsid w:val="000210F0"/>
    <w:rsid w:val="000216E9"/>
    <w:rsid w:val="000220B0"/>
    <w:rsid w:val="00022DBA"/>
    <w:rsid w:val="00023057"/>
    <w:rsid w:val="00023C79"/>
    <w:rsid w:val="00024129"/>
    <w:rsid w:val="00024DE6"/>
    <w:rsid w:val="0002505F"/>
    <w:rsid w:val="00025ADC"/>
    <w:rsid w:val="00026634"/>
    <w:rsid w:val="00026DD7"/>
    <w:rsid w:val="0002703C"/>
    <w:rsid w:val="0002793A"/>
    <w:rsid w:val="00027B8C"/>
    <w:rsid w:val="00027D6A"/>
    <w:rsid w:val="0003075F"/>
    <w:rsid w:val="00030885"/>
    <w:rsid w:val="00030ADF"/>
    <w:rsid w:val="00031244"/>
    <w:rsid w:val="0003182E"/>
    <w:rsid w:val="000320DE"/>
    <w:rsid w:val="0003338E"/>
    <w:rsid w:val="000342DE"/>
    <w:rsid w:val="0003481B"/>
    <w:rsid w:val="00034933"/>
    <w:rsid w:val="00036339"/>
    <w:rsid w:val="00037044"/>
    <w:rsid w:val="000372D1"/>
    <w:rsid w:val="00037669"/>
    <w:rsid w:val="00037981"/>
    <w:rsid w:val="00040058"/>
    <w:rsid w:val="00040160"/>
    <w:rsid w:val="00040393"/>
    <w:rsid w:val="00041D84"/>
    <w:rsid w:val="00041F63"/>
    <w:rsid w:val="000421B3"/>
    <w:rsid w:val="00042AEE"/>
    <w:rsid w:val="0004346C"/>
    <w:rsid w:val="000434C3"/>
    <w:rsid w:val="00043F23"/>
    <w:rsid w:val="000445D7"/>
    <w:rsid w:val="0004471D"/>
    <w:rsid w:val="00044B8C"/>
    <w:rsid w:val="00045B46"/>
    <w:rsid w:val="00046A18"/>
    <w:rsid w:val="0004723B"/>
    <w:rsid w:val="000475C7"/>
    <w:rsid w:val="00050033"/>
    <w:rsid w:val="000504ED"/>
    <w:rsid w:val="00050726"/>
    <w:rsid w:val="000512A6"/>
    <w:rsid w:val="00051596"/>
    <w:rsid w:val="00051884"/>
    <w:rsid w:val="000519F3"/>
    <w:rsid w:val="00051EEF"/>
    <w:rsid w:val="00052DB4"/>
    <w:rsid w:val="000539DE"/>
    <w:rsid w:val="00053DCC"/>
    <w:rsid w:val="00055ED9"/>
    <w:rsid w:val="00056D6E"/>
    <w:rsid w:val="00056DB4"/>
    <w:rsid w:val="00056DFB"/>
    <w:rsid w:val="00057121"/>
    <w:rsid w:val="000614B5"/>
    <w:rsid w:val="00062158"/>
    <w:rsid w:val="00062900"/>
    <w:rsid w:val="00062A60"/>
    <w:rsid w:val="000630A2"/>
    <w:rsid w:val="00063C6E"/>
    <w:rsid w:val="00064B65"/>
    <w:rsid w:val="000658C6"/>
    <w:rsid w:val="00065B63"/>
    <w:rsid w:val="000661D7"/>
    <w:rsid w:val="000661D9"/>
    <w:rsid w:val="00066343"/>
    <w:rsid w:val="00066835"/>
    <w:rsid w:val="00066C62"/>
    <w:rsid w:val="00066E45"/>
    <w:rsid w:val="00067366"/>
    <w:rsid w:val="00070079"/>
    <w:rsid w:val="0007062F"/>
    <w:rsid w:val="00070F8B"/>
    <w:rsid w:val="0007112C"/>
    <w:rsid w:val="00071C46"/>
    <w:rsid w:val="00071CA5"/>
    <w:rsid w:val="00071F6F"/>
    <w:rsid w:val="000727AB"/>
    <w:rsid w:val="000729DD"/>
    <w:rsid w:val="00073410"/>
    <w:rsid w:val="00073797"/>
    <w:rsid w:val="000738F6"/>
    <w:rsid w:val="00073A2B"/>
    <w:rsid w:val="000742E5"/>
    <w:rsid w:val="0007579A"/>
    <w:rsid w:val="00076CC4"/>
    <w:rsid w:val="00080576"/>
    <w:rsid w:val="00080BFD"/>
    <w:rsid w:val="0008156B"/>
    <w:rsid w:val="00082774"/>
    <w:rsid w:val="00082CF7"/>
    <w:rsid w:val="00083995"/>
    <w:rsid w:val="000858BF"/>
    <w:rsid w:val="00085BD3"/>
    <w:rsid w:val="0008609A"/>
    <w:rsid w:val="000860DA"/>
    <w:rsid w:val="000874E7"/>
    <w:rsid w:val="00087A7D"/>
    <w:rsid w:val="000904F7"/>
    <w:rsid w:val="00090E9A"/>
    <w:rsid w:val="0009111D"/>
    <w:rsid w:val="00091405"/>
    <w:rsid w:val="000916F4"/>
    <w:rsid w:val="000925BC"/>
    <w:rsid w:val="000938E4"/>
    <w:rsid w:val="00093BDD"/>
    <w:rsid w:val="000947B7"/>
    <w:rsid w:val="00094A23"/>
    <w:rsid w:val="000952D5"/>
    <w:rsid w:val="000963CC"/>
    <w:rsid w:val="00096932"/>
    <w:rsid w:val="00096D95"/>
    <w:rsid w:val="00097015"/>
    <w:rsid w:val="0009736C"/>
    <w:rsid w:val="00097860"/>
    <w:rsid w:val="000A040A"/>
    <w:rsid w:val="000A0F66"/>
    <w:rsid w:val="000A1176"/>
    <w:rsid w:val="000A166A"/>
    <w:rsid w:val="000A2323"/>
    <w:rsid w:val="000A353F"/>
    <w:rsid w:val="000A3B0F"/>
    <w:rsid w:val="000A4622"/>
    <w:rsid w:val="000A514F"/>
    <w:rsid w:val="000A5264"/>
    <w:rsid w:val="000A567B"/>
    <w:rsid w:val="000A605A"/>
    <w:rsid w:val="000A6429"/>
    <w:rsid w:val="000A6FA6"/>
    <w:rsid w:val="000A7076"/>
    <w:rsid w:val="000A78E3"/>
    <w:rsid w:val="000A7E07"/>
    <w:rsid w:val="000B0FC3"/>
    <w:rsid w:val="000B11B3"/>
    <w:rsid w:val="000B1EDF"/>
    <w:rsid w:val="000B34B9"/>
    <w:rsid w:val="000B3A44"/>
    <w:rsid w:val="000B3EAA"/>
    <w:rsid w:val="000B3FDD"/>
    <w:rsid w:val="000B4B38"/>
    <w:rsid w:val="000B4D29"/>
    <w:rsid w:val="000B7DE9"/>
    <w:rsid w:val="000C225C"/>
    <w:rsid w:val="000C39C7"/>
    <w:rsid w:val="000C66B4"/>
    <w:rsid w:val="000C69D9"/>
    <w:rsid w:val="000C7671"/>
    <w:rsid w:val="000D0199"/>
    <w:rsid w:val="000D0873"/>
    <w:rsid w:val="000D0A92"/>
    <w:rsid w:val="000D13C1"/>
    <w:rsid w:val="000D1F38"/>
    <w:rsid w:val="000D345D"/>
    <w:rsid w:val="000D3FC1"/>
    <w:rsid w:val="000D4D26"/>
    <w:rsid w:val="000D64BD"/>
    <w:rsid w:val="000D6620"/>
    <w:rsid w:val="000D6D3A"/>
    <w:rsid w:val="000D7773"/>
    <w:rsid w:val="000D7FCA"/>
    <w:rsid w:val="000E0D1C"/>
    <w:rsid w:val="000E1625"/>
    <w:rsid w:val="000E26B3"/>
    <w:rsid w:val="000E2980"/>
    <w:rsid w:val="000E2F55"/>
    <w:rsid w:val="000E479D"/>
    <w:rsid w:val="000E4B17"/>
    <w:rsid w:val="000E5290"/>
    <w:rsid w:val="000E5E88"/>
    <w:rsid w:val="000E644F"/>
    <w:rsid w:val="000E6B11"/>
    <w:rsid w:val="000E6CB2"/>
    <w:rsid w:val="000E6EA0"/>
    <w:rsid w:val="000E7B61"/>
    <w:rsid w:val="000E7E0B"/>
    <w:rsid w:val="000F022A"/>
    <w:rsid w:val="000F04F7"/>
    <w:rsid w:val="000F1699"/>
    <w:rsid w:val="000F184D"/>
    <w:rsid w:val="000F18F5"/>
    <w:rsid w:val="000F1FAB"/>
    <w:rsid w:val="000F21DE"/>
    <w:rsid w:val="000F23B9"/>
    <w:rsid w:val="000F2561"/>
    <w:rsid w:val="000F2AE5"/>
    <w:rsid w:val="000F2F68"/>
    <w:rsid w:val="000F3959"/>
    <w:rsid w:val="000F529B"/>
    <w:rsid w:val="000F5C21"/>
    <w:rsid w:val="000F6272"/>
    <w:rsid w:val="000F6796"/>
    <w:rsid w:val="000F745B"/>
    <w:rsid w:val="00100D90"/>
    <w:rsid w:val="00101744"/>
    <w:rsid w:val="00101A63"/>
    <w:rsid w:val="001024CD"/>
    <w:rsid w:val="001036BA"/>
    <w:rsid w:val="001047F8"/>
    <w:rsid w:val="001049BD"/>
    <w:rsid w:val="00105132"/>
    <w:rsid w:val="00105B21"/>
    <w:rsid w:val="0010632E"/>
    <w:rsid w:val="001076C6"/>
    <w:rsid w:val="0010773E"/>
    <w:rsid w:val="00110493"/>
    <w:rsid w:val="00111138"/>
    <w:rsid w:val="00111A1B"/>
    <w:rsid w:val="00111C5E"/>
    <w:rsid w:val="00112021"/>
    <w:rsid w:val="0011256A"/>
    <w:rsid w:val="001127C4"/>
    <w:rsid w:val="00112891"/>
    <w:rsid w:val="00112B73"/>
    <w:rsid w:val="00113D24"/>
    <w:rsid w:val="0011415B"/>
    <w:rsid w:val="0011435A"/>
    <w:rsid w:val="00114D4C"/>
    <w:rsid w:val="00115CB1"/>
    <w:rsid w:val="00115EA8"/>
    <w:rsid w:val="00116755"/>
    <w:rsid w:val="001170C1"/>
    <w:rsid w:val="00117C14"/>
    <w:rsid w:val="00120396"/>
    <w:rsid w:val="001213FA"/>
    <w:rsid w:val="001223E3"/>
    <w:rsid w:val="00122EAB"/>
    <w:rsid w:val="0012307E"/>
    <w:rsid w:val="0012317E"/>
    <w:rsid w:val="00124784"/>
    <w:rsid w:val="0012591A"/>
    <w:rsid w:val="001265AF"/>
    <w:rsid w:val="00126EE0"/>
    <w:rsid w:val="0013022D"/>
    <w:rsid w:val="0013028E"/>
    <w:rsid w:val="00130FC1"/>
    <w:rsid w:val="00131D41"/>
    <w:rsid w:val="00132AE8"/>
    <w:rsid w:val="00132C08"/>
    <w:rsid w:val="0013636A"/>
    <w:rsid w:val="00136503"/>
    <w:rsid w:val="001374F3"/>
    <w:rsid w:val="001375F6"/>
    <w:rsid w:val="0013798D"/>
    <w:rsid w:val="001400EB"/>
    <w:rsid w:val="00141861"/>
    <w:rsid w:val="00141DDB"/>
    <w:rsid w:val="001420F6"/>
    <w:rsid w:val="00143E07"/>
    <w:rsid w:val="001503B6"/>
    <w:rsid w:val="001505A3"/>
    <w:rsid w:val="00150FDC"/>
    <w:rsid w:val="00151382"/>
    <w:rsid w:val="00151CAB"/>
    <w:rsid w:val="001521E3"/>
    <w:rsid w:val="001525A6"/>
    <w:rsid w:val="00152987"/>
    <w:rsid w:val="00154BC5"/>
    <w:rsid w:val="0015502E"/>
    <w:rsid w:val="00157090"/>
    <w:rsid w:val="00157352"/>
    <w:rsid w:val="0015735F"/>
    <w:rsid w:val="001573AA"/>
    <w:rsid w:val="00160623"/>
    <w:rsid w:val="00162697"/>
    <w:rsid w:val="001633DF"/>
    <w:rsid w:val="001635B9"/>
    <w:rsid w:val="00163763"/>
    <w:rsid w:val="001637F4"/>
    <w:rsid w:val="00164C48"/>
    <w:rsid w:val="001650DB"/>
    <w:rsid w:val="001652BF"/>
    <w:rsid w:val="00165761"/>
    <w:rsid w:val="00171AC6"/>
    <w:rsid w:val="001722D6"/>
    <w:rsid w:val="00173665"/>
    <w:rsid w:val="00173E2C"/>
    <w:rsid w:val="0017590D"/>
    <w:rsid w:val="00175FCE"/>
    <w:rsid w:val="00176E63"/>
    <w:rsid w:val="001779AE"/>
    <w:rsid w:val="00177CBE"/>
    <w:rsid w:val="0018128A"/>
    <w:rsid w:val="00182755"/>
    <w:rsid w:val="001827BE"/>
    <w:rsid w:val="001829DC"/>
    <w:rsid w:val="00182B14"/>
    <w:rsid w:val="00182C86"/>
    <w:rsid w:val="00182E8D"/>
    <w:rsid w:val="00184607"/>
    <w:rsid w:val="00184822"/>
    <w:rsid w:val="001848FA"/>
    <w:rsid w:val="00185E98"/>
    <w:rsid w:val="0018691C"/>
    <w:rsid w:val="00186FC5"/>
    <w:rsid w:val="00190679"/>
    <w:rsid w:val="00191A9F"/>
    <w:rsid w:val="0019224A"/>
    <w:rsid w:val="0019239B"/>
    <w:rsid w:val="00192FF1"/>
    <w:rsid w:val="00195141"/>
    <w:rsid w:val="00196244"/>
    <w:rsid w:val="001965D8"/>
    <w:rsid w:val="00197497"/>
    <w:rsid w:val="00197809"/>
    <w:rsid w:val="00197F27"/>
    <w:rsid w:val="001A0103"/>
    <w:rsid w:val="001A0772"/>
    <w:rsid w:val="001A1027"/>
    <w:rsid w:val="001A12E4"/>
    <w:rsid w:val="001A158A"/>
    <w:rsid w:val="001A177A"/>
    <w:rsid w:val="001A1D0C"/>
    <w:rsid w:val="001A1D82"/>
    <w:rsid w:val="001A228C"/>
    <w:rsid w:val="001A2CFB"/>
    <w:rsid w:val="001A3386"/>
    <w:rsid w:val="001A35C9"/>
    <w:rsid w:val="001A3822"/>
    <w:rsid w:val="001A3CE4"/>
    <w:rsid w:val="001A4033"/>
    <w:rsid w:val="001A4574"/>
    <w:rsid w:val="001A4655"/>
    <w:rsid w:val="001A4DF3"/>
    <w:rsid w:val="001A5A6B"/>
    <w:rsid w:val="001A5F7E"/>
    <w:rsid w:val="001A7590"/>
    <w:rsid w:val="001A7755"/>
    <w:rsid w:val="001A7C52"/>
    <w:rsid w:val="001B011D"/>
    <w:rsid w:val="001B130D"/>
    <w:rsid w:val="001B1325"/>
    <w:rsid w:val="001B17F5"/>
    <w:rsid w:val="001B19FE"/>
    <w:rsid w:val="001B1DC4"/>
    <w:rsid w:val="001B2816"/>
    <w:rsid w:val="001B2EBC"/>
    <w:rsid w:val="001B335D"/>
    <w:rsid w:val="001B34F3"/>
    <w:rsid w:val="001B3982"/>
    <w:rsid w:val="001B43CF"/>
    <w:rsid w:val="001B44DD"/>
    <w:rsid w:val="001B509B"/>
    <w:rsid w:val="001B59A7"/>
    <w:rsid w:val="001B640D"/>
    <w:rsid w:val="001B788C"/>
    <w:rsid w:val="001B799D"/>
    <w:rsid w:val="001B7ABC"/>
    <w:rsid w:val="001C0DAB"/>
    <w:rsid w:val="001C13F7"/>
    <w:rsid w:val="001C18F7"/>
    <w:rsid w:val="001C2BDB"/>
    <w:rsid w:val="001C3588"/>
    <w:rsid w:val="001C37FA"/>
    <w:rsid w:val="001C4294"/>
    <w:rsid w:val="001C43D1"/>
    <w:rsid w:val="001C4421"/>
    <w:rsid w:val="001C4E12"/>
    <w:rsid w:val="001C596E"/>
    <w:rsid w:val="001C6078"/>
    <w:rsid w:val="001C6461"/>
    <w:rsid w:val="001C65AA"/>
    <w:rsid w:val="001C6E26"/>
    <w:rsid w:val="001C6FF5"/>
    <w:rsid w:val="001D0F43"/>
    <w:rsid w:val="001D13AD"/>
    <w:rsid w:val="001D169C"/>
    <w:rsid w:val="001D1B3A"/>
    <w:rsid w:val="001D26D2"/>
    <w:rsid w:val="001D2714"/>
    <w:rsid w:val="001D45D5"/>
    <w:rsid w:val="001D4977"/>
    <w:rsid w:val="001D587A"/>
    <w:rsid w:val="001D5960"/>
    <w:rsid w:val="001D6CB6"/>
    <w:rsid w:val="001D7CB3"/>
    <w:rsid w:val="001D7F23"/>
    <w:rsid w:val="001E03AD"/>
    <w:rsid w:val="001E0406"/>
    <w:rsid w:val="001E1CB6"/>
    <w:rsid w:val="001E45E5"/>
    <w:rsid w:val="001E4918"/>
    <w:rsid w:val="001E590A"/>
    <w:rsid w:val="001E760A"/>
    <w:rsid w:val="001E79ED"/>
    <w:rsid w:val="001F038E"/>
    <w:rsid w:val="001F0D3B"/>
    <w:rsid w:val="001F0FE9"/>
    <w:rsid w:val="001F1305"/>
    <w:rsid w:val="001F2C36"/>
    <w:rsid w:val="001F35AA"/>
    <w:rsid w:val="001F4726"/>
    <w:rsid w:val="001F48B7"/>
    <w:rsid w:val="001F4ECC"/>
    <w:rsid w:val="001F6B28"/>
    <w:rsid w:val="001F7149"/>
    <w:rsid w:val="001F7425"/>
    <w:rsid w:val="00200B8D"/>
    <w:rsid w:val="00200D7D"/>
    <w:rsid w:val="00201B79"/>
    <w:rsid w:val="00201F4D"/>
    <w:rsid w:val="00202514"/>
    <w:rsid w:val="00202892"/>
    <w:rsid w:val="00202C05"/>
    <w:rsid w:val="00203520"/>
    <w:rsid w:val="0020439C"/>
    <w:rsid w:val="00204A6C"/>
    <w:rsid w:val="00206DC0"/>
    <w:rsid w:val="00206FFC"/>
    <w:rsid w:val="0020719F"/>
    <w:rsid w:val="00207C92"/>
    <w:rsid w:val="00207E42"/>
    <w:rsid w:val="002120DB"/>
    <w:rsid w:val="00212129"/>
    <w:rsid w:val="002122AB"/>
    <w:rsid w:val="002125B5"/>
    <w:rsid w:val="00212A79"/>
    <w:rsid w:val="00215C99"/>
    <w:rsid w:val="00217ABC"/>
    <w:rsid w:val="002204F1"/>
    <w:rsid w:val="002215C2"/>
    <w:rsid w:val="00221D69"/>
    <w:rsid w:val="00222648"/>
    <w:rsid w:val="00224716"/>
    <w:rsid w:val="00227D53"/>
    <w:rsid w:val="00230574"/>
    <w:rsid w:val="00230750"/>
    <w:rsid w:val="00232120"/>
    <w:rsid w:val="00233470"/>
    <w:rsid w:val="002344C4"/>
    <w:rsid w:val="0023527B"/>
    <w:rsid w:val="00235847"/>
    <w:rsid w:val="00236703"/>
    <w:rsid w:val="00236809"/>
    <w:rsid w:val="00236B5C"/>
    <w:rsid w:val="00237755"/>
    <w:rsid w:val="0024083B"/>
    <w:rsid w:val="00240905"/>
    <w:rsid w:val="00240D3C"/>
    <w:rsid w:val="00241934"/>
    <w:rsid w:val="002420B3"/>
    <w:rsid w:val="002420EC"/>
    <w:rsid w:val="00242789"/>
    <w:rsid w:val="0024284F"/>
    <w:rsid w:val="00242CEA"/>
    <w:rsid w:val="002442BA"/>
    <w:rsid w:val="002445A2"/>
    <w:rsid w:val="0024558B"/>
    <w:rsid w:val="00245822"/>
    <w:rsid w:val="00245EA6"/>
    <w:rsid w:val="00246DD2"/>
    <w:rsid w:val="0024716F"/>
    <w:rsid w:val="002479D5"/>
    <w:rsid w:val="0025080A"/>
    <w:rsid w:val="002513DA"/>
    <w:rsid w:val="00251417"/>
    <w:rsid w:val="00251679"/>
    <w:rsid w:val="00251C91"/>
    <w:rsid w:val="00252A1C"/>
    <w:rsid w:val="0025311B"/>
    <w:rsid w:val="0025366A"/>
    <w:rsid w:val="0025392F"/>
    <w:rsid w:val="0025396D"/>
    <w:rsid w:val="00253B4F"/>
    <w:rsid w:val="0025409E"/>
    <w:rsid w:val="00254399"/>
    <w:rsid w:val="00254ECF"/>
    <w:rsid w:val="0025550A"/>
    <w:rsid w:val="0025553A"/>
    <w:rsid w:val="0025573A"/>
    <w:rsid w:val="00255CE8"/>
    <w:rsid w:val="002563BB"/>
    <w:rsid w:val="002563D8"/>
    <w:rsid w:val="002565F7"/>
    <w:rsid w:val="00256B78"/>
    <w:rsid w:val="002571A1"/>
    <w:rsid w:val="002608D5"/>
    <w:rsid w:val="00261218"/>
    <w:rsid w:val="00261356"/>
    <w:rsid w:val="00262D3F"/>
    <w:rsid w:val="00263625"/>
    <w:rsid w:val="002638EB"/>
    <w:rsid w:val="00264263"/>
    <w:rsid w:val="0026546B"/>
    <w:rsid w:val="002659B8"/>
    <w:rsid w:val="00265EF5"/>
    <w:rsid w:val="002666E0"/>
    <w:rsid w:val="002669CC"/>
    <w:rsid w:val="0027121E"/>
    <w:rsid w:val="00271D89"/>
    <w:rsid w:val="00272183"/>
    <w:rsid w:val="00272973"/>
    <w:rsid w:val="00272F9D"/>
    <w:rsid w:val="002740B7"/>
    <w:rsid w:val="00274257"/>
    <w:rsid w:val="00274687"/>
    <w:rsid w:val="00275235"/>
    <w:rsid w:val="00275FBF"/>
    <w:rsid w:val="00275FE2"/>
    <w:rsid w:val="00276769"/>
    <w:rsid w:val="00276C9D"/>
    <w:rsid w:val="00277741"/>
    <w:rsid w:val="002802BF"/>
    <w:rsid w:val="002803F8"/>
    <w:rsid w:val="002805AD"/>
    <w:rsid w:val="0028069A"/>
    <w:rsid w:val="002806CC"/>
    <w:rsid w:val="00281A05"/>
    <w:rsid w:val="0028281A"/>
    <w:rsid w:val="00282F71"/>
    <w:rsid w:val="00283636"/>
    <w:rsid w:val="00283C7A"/>
    <w:rsid w:val="00283FC1"/>
    <w:rsid w:val="00285907"/>
    <w:rsid w:val="00285FB2"/>
    <w:rsid w:val="00285FB5"/>
    <w:rsid w:val="002865A7"/>
    <w:rsid w:val="00286791"/>
    <w:rsid w:val="00290808"/>
    <w:rsid w:val="00290DAE"/>
    <w:rsid w:val="00291805"/>
    <w:rsid w:val="00291E87"/>
    <w:rsid w:val="00293176"/>
    <w:rsid w:val="0029336D"/>
    <w:rsid w:val="002938A5"/>
    <w:rsid w:val="00293A3A"/>
    <w:rsid w:val="002943C5"/>
    <w:rsid w:val="00294A1A"/>
    <w:rsid w:val="00294C84"/>
    <w:rsid w:val="0029608E"/>
    <w:rsid w:val="002961E8"/>
    <w:rsid w:val="002965F2"/>
    <w:rsid w:val="002967F6"/>
    <w:rsid w:val="0029764E"/>
    <w:rsid w:val="00297EBF"/>
    <w:rsid w:val="002A008E"/>
    <w:rsid w:val="002A071F"/>
    <w:rsid w:val="002A1D50"/>
    <w:rsid w:val="002A27DB"/>
    <w:rsid w:val="002A28E8"/>
    <w:rsid w:val="002A3AC0"/>
    <w:rsid w:val="002A3CF7"/>
    <w:rsid w:val="002A5B7C"/>
    <w:rsid w:val="002A69A7"/>
    <w:rsid w:val="002A6C1A"/>
    <w:rsid w:val="002A6DD0"/>
    <w:rsid w:val="002B06A0"/>
    <w:rsid w:val="002B0F9C"/>
    <w:rsid w:val="002B1258"/>
    <w:rsid w:val="002B1816"/>
    <w:rsid w:val="002B18A0"/>
    <w:rsid w:val="002B1F10"/>
    <w:rsid w:val="002B215F"/>
    <w:rsid w:val="002B3C90"/>
    <w:rsid w:val="002B3EA5"/>
    <w:rsid w:val="002B4AF0"/>
    <w:rsid w:val="002B4DAA"/>
    <w:rsid w:val="002C005B"/>
    <w:rsid w:val="002C182B"/>
    <w:rsid w:val="002C2A1A"/>
    <w:rsid w:val="002C3277"/>
    <w:rsid w:val="002C3623"/>
    <w:rsid w:val="002C42DA"/>
    <w:rsid w:val="002C4BE3"/>
    <w:rsid w:val="002C4E22"/>
    <w:rsid w:val="002C5696"/>
    <w:rsid w:val="002C6E44"/>
    <w:rsid w:val="002C745A"/>
    <w:rsid w:val="002D142E"/>
    <w:rsid w:val="002D150F"/>
    <w:rsid w:val="002D1764"/>
    <w:rsid w:val="002D23A3"/>
    <w:rsid w:val="002D376E"/>
    <w:rsid w:val="002D5BF8"/>
    <w:rsid w:val="002D704E"/>
    <w:rsid w:val="002D723E"/>
    <w:rsid w:val="002E07C0"/>
    <w:rsid w:val="002E1BBB"/>
    <w:rsid w:val="002E1C34"/>
    <w:rsid w:val="002E1C49"/>
    <w:rsid w:val="002E1E1B"/>
    <w:rsid w:val="002E2D0E"/>
    <w:rsid w:val="002E2EF6"/>
    <w:rsid w:val="002E37A1"/>
    <w:rsid w:val="002E3DC0"/>
    <w:rsid w:val="002E49A4"/>
    <w:rsid w:val="002E4C56"/>
    <w:rsid w:val="002E4EDB"/>
    <w:rsid w:val="002E5D20"/>
    <w:rsid w:val="002E5EAB"/>
    <w:rsid w:val="002E6284"/>
    <w:rsid w:val="002E6CD4"/>
    <w:rsid w:val="002E73CD"/>
    <w:rsid w:val="002E75D4"/>
    <w:rsid w:val="002E79AB"/>
    <w:rsid w:val="002F044D"/>
    <w:rsid w:val="002F0ACB"/>
    <w:rsid w:val="002F144E"/>
    <w:rsid w:val="002F1F42"/>
    <w:rsid w:val="002F2105"/>
    <w:rsid w:val="002F3796"/>
    <w:rsid w:val="002F3ED4"/>
    <w:rsid w:val="002F59ED"/>
    <w:rsid w:val="002F696E"/>
    <w:rsid w:val="002F6FFA"/>
    <w:rsid w:val="002F7358"/>
    <w:rsid w:val="002F78C2"/>
    <w:rsid w:val="002F7930"/>
    <w:rsid w:val="00300698"/>
    <w:rsid w:val="00301259"/>
    <w:rsid w:val="00302986"/>
    <w:rsid w:val="00302B59"/>
    <w:rsid w:val="00302D71"/>
    <w:rsid w:val="00303837"/>
    <w:rsid w:val="00303C56"/>
    <w:rsid w:val="00304AF8"/>
    <w:rsid w:val="00305975"/>
    <w:rsid w:val="00305E15"/>
    <w:rsid w:val="003063A1"/>
    <w:rsid w:val="00306541"/>
    <w:rsid w:val="00306CD5"/>
    <w:rsid w:val="00307E3B"/>
    <w:rsid w:val="0031102D"/>
    <w:rsid w:val="00311B02"/>
    <w:rsid w:val="003121E4"/>
    <w:rsid w:val="00312ED6"/>
    <w:rsid w:val="00312FB5"/>
    <w:rsid w:val="00314457"/>
    <w:rsid w:val="00314A05"/>
    <w:rsid w:val="00315CA8"/>
    <w:rsid w:val="003161F7"/>
    <w:rsid w:val="00316D81"/>
    <w:rsid w:val="0031737C"/>
    <w:rsid w:val="00317DBE"/>
    <w:rsid w:val="00320822"/>
    <w:rsid w:val="003216B2"/>
    <w:rsid w:val="00321D82"/>
    <w:rsid w:val="00323067"/>
    <w:rsid w:val="00323656"/>
    <w:rsid w:val="00323F5E"/>
    <w:rsid w:val="003244FF"/>
    <w:rsid w:val="00324D59"/>
    <w:rsid w:val="003250BC"/>
    <w:rsid w:val="003251B8"/>
    <w:rsid w:val="0032540D"/>
    <w:rsid w:val="003261E2"/>
    <w:rsid w:val="00326218"/>
    <w:rsid w:val="00326A99"/>
    <w:rsid w:val="00326DE3"/>
    <w:rsid w:val="003273C6"/>
    <w:rsid w:val="0033096A"/>
    <w:rsid w:val="00330AA7"/>
    <w:rsid w:val="0033138C"/>
    <w:rsid w:val="00332744"/>
    <w:rsid w:val="00332FF5"/>
    <w:rsid w:val="003334AB"/>
    <w:rsid w:val="00333768"/>
    <w:rsid w:val="00333E2F"/>
    <w:rsid w:val="00333EFE"/>
    <w:rsid w:val="00333F41"/>
    <w:rsid w:val="003342FC"/>
    <w:rsid w:val="00334E0B"/>
    <w:rsid w:val="003362BD"/>
    <w:rsid w:val="00336996"/>
    <w:rsid w:val="00337A9D"/>
    <w:rsid w:val="00337CA1"/>
    <w:rsid w:val="00340283"/>
    <w:rsid w:val="00340789"/>
    <w:rsid w:val="00340C1F"/>
    <w:rsid w:val="003412C6"/>
    <w:rsid w:val="003417B6"/>
    <w:rsid w:val="00342317"/>
    <w:rsid w:val="00343B6C"/>
    <w:rsid w:val="003455D3"/>
    <w:rsid w:val="00346634"/>
    <w:rsid w:val="00347979"/>
    <w:rsid w:val="003503A6"/>
    <w:rsid w:val="0035087E"/>
    <w:rsid w:val="00350BA2"/>
    <w:rsid w:val="00350DEB"/>
    <w:rsid w:val="00351CED"/>
    <w:rsid w:val="00351D6A"/>
    <w:rsid w:val="003535C7"/>
    <w:rsid w:val="00354070"/>
    <w:rsid w:val="00355581"/>
    <w:rsid w:val="0035610E"/>
    <w:rsid w:val="0035656A"/>
    <w:rsid w:val="003568FC"/>
    <w:rsid w:val="0035714B"/>
    <w:rsid w:val="003571D3"/>
    <w:rsid w:val="003579AE"/>
    <w:rsid w:val="00357C8C"/>
    <w:rsid w:val="00361968"/>
    <w:rsid w:val="00361E0D"/>
    <w:rsid w:val="003620DA"/>
    <w:rsid w:val="00362582"/>
    <w:rsid w:val="00362E51"/>
    <w:rsid w:val="00362EB7"/>
    <w:rsid w:val="00363393"/>
    <w:rsid w:val="003648F8"/>
    <w:rsid w:val="00365381"/>
    <w:rsid w:val="003653FA"/>
    <w:rsid w:val="0036542E"/>
    <w:rsid w:val="00365929"/>
    <w:rsid w:val="00367DA5"/>
    <w:rsid w:val="00367F9A"/>
    <w:rsid w:val="00367FB5"/>
    <w:rsid w:val="00370327"/>
    <w:rsid w:val="00370819"/>
    <w:rsid w:val="00370C4F"/>
    <w:rsid w:val="00372933"/>
    <w:rsid w:val="00372CD7"/>
    <w:rsid w:val="00373B1A"/>
    <w:rsid w:val="00373FF9"/>
    <w:rsid w:val="00374347"/>
    <w:rsid w:val="00374B7F"/>
    <w:rsid w:val="00374DB5"/>
    <w:rsid w:val="003758FE"/>
    <w:rsid w:val="00375EB5"/>
    <w:rsid w:val="00375EEC"/>
    <w:rsid w:val="00375EED"/>
    <w:rsid w:val="00376251"/>
    <w:rsid w:val="003768C6"/>
    <w:rsid w:val="00376BB3"/>
    <w:rsid w:val="0037713B"/>
    <w:rsid w:val="0037770F"/>
    <w:rsid w:val="003809B9"/>
    <w:rsid w:val="00381B7F"/>
    <w:rsid w:val="00381F82"/>
    <w:rsid w:val="00382A47"/>
    <w:rsid w:val="00383896"/>
    <w:rsid w:val="00384316"/>
    <w:rsid w:val="00385B5C"/>
    <w:rsid w:val="003867B2"/>
    <w:rsid w:val="00386C5F"/>
    <w:rsid w:val="00386FA2"/>
    <w:rsid w:val="0038775D"/>
    <w:rsid w:val="0038776C"/>
    <w:rsid w:val="00390BFB"/>
    <w:rsid w:val="00390FB2"/>
    <w:rsid w:val="00391A7C"/>
    <w:rsid w:val="003923FD"/>
    <w:rsid w:val="00392CBD"/>
    <w:rsid w:val="0039314A"/>
    <w:rsid w:val="00395347"/>
    <w:rsid w:val="003958DB"/>
    <w:rsid w:val="00395E9E"/>
    <w:rsid w:val="0039617A"/>
    <w:rsid w:val="0039642A"/>
    <w:rsid w:val="00396B6C"/>
    <w:rsid w:val="003979EB"/>
    <w:rsid w:val="003A0DBE"/>
    <w:rsid w:val="003A1395"/>
    <w:rsid w:val="003A14A5"/>
    <w:rsid w:val="003A23C1"/>
    <w:rsid w:val="003A2410"/>
    <w:rsid w:val="003A259F"/>
    <w:rsid w:val="003A2BEB"/>
    <w:rsid w:val="003A2CFF"/>
    <w:rsid w:val="003A2E9E"/>
    <w:rsid w:val="003A31A8"/>
    <w:rsid w:val="003A375B"/>
    <w:rsid w:val="003A3A19"/>
    <w:rsid w:val="003A3B60"/>
    <w:rsid w:val="003A4572"/>
    <w:rsid w:val="003A5340"/>
    <w:rsid w:val="003A5513"/>
    <w:rsid w:val="003A60B3"/>
    <w:rsid w:val="003A6390"/>
    <w:rsid w:val="003A63A7"/>
    <w:rsid w:val="003A6997"/>
    <w:rsid w:val="003A6C17"/>
    <w:rsid w:val="003A6FB5"/>
    <w:rsid w:val="003A7B17"/>
    <w:rsid w:val="003B0DDA"/>
    <w:rsid w:val="003B1E17"/>
    <w:rsid w:val="003B365B"/>
    <w:rsid w:val="003B3DEF"/>
    <w:rsid w:val="003B4D9B"/>
    <w:rsid w:val="003B4F97"/>
    <w:rsid w:val="003B51E1"/>
    <w:rsid w:val="003B5477"/>
    <w:rsid w:val="003B553A"/>
    <w:rsid w:val="003B5A48"/>
    <w:rsid w:val="003B5DA5"/>
    <w:rsid w:val="003B6C8F"/>
    <w:rsid w:val="003B6DCE"/>
    <w:rsid w:val="003B7DFF"/>
    <w:rsid w:val="003C0262"/>
    <w:rsid w:val="003C02D9"/>
    <w:rsid w:val="003C051F"/>
    <w:rsid w:val="003C1358"/>
    <w:rsid w:val="003C23AE"/>
    <w:rsid w:val="003C34E4"/>
    <w:rsid w:val="003C3A14"/>
    <w:rsid w:val="003C3C03"/>
    <w:rsid w:val="003C43B8"/>
    <w:rsid w:val="003C4C10"/>
    <w:rsid w:val="003C7CC9"/>
    <w:rsid w:val="003C7DAF"/>
    <w:rsid w:val="003D106F"/>
    <w:rsid w:val="003D191A"/>
    <w:rsid w:val="003D1EB8"/>
    <w:rsid w:val="003D242E"/>
    <w:rsid w:val="003D2654"/>
    <w:rsid w:val="003D26C4"/>
    <w:rsid w:val="003D29B5"/>
    <w:rsid w:val="003D2A0C"/>
    <w:rsid w:val="003D3411"/>
    <w:rsid w:val="003D3701"/>
    <w:rsid w:val="003D3DB2"/>
    <w:rsid w:val="003D3E91"/>
    <w:rsid w:val="003D483A"/>
    <w:rsid w:val="003D54C0"/>
    <w:rsid w:val="003D5A61"/>
    <w:rsid w:val="003D611E"/>
    <w:rsid w:val="003D66DA"/>
    <w:rsid w:val="003D6932"/>
    <w:rsid w:val="003D76E2"/>
    <w:rsid w:val="003D7C2A"/>
    <w:rsid w:val="003E0DBB"/>
    <w:rsid w:val="003E0FB9"/>
    <w:rsid w:val="003E1203"/>
    <w:rsid w:val="003E15D2"/>
    <w:rsid w:val="003E160D"/>
    <w:rsid w:val="003E24E0"/>
    <w:rsid w:val="003E25B8"/>
    <w:rsid w:val="003E308E"/>
    <w:rsid w:val="003E3916"/>
    <w:rsid w:val="003E3E9E"/>
    <w:rsid w:val="003E4DB9"/>
    <w:rsid w:val="003E5032"/>
    <w:rsid w:val="003F0116"/>
    <w:rsid w:val="003F0584"/>
    <w:rsid w:val="003F0933"/>
    <w:rsid w:val="003F0DC8"/>
    <w:rsid w:val="003F14BF"/>
    <w:rsid w:val="003F1583"/>
    <w:rsid w:val="003F1DA6"/>
    <w:rsid w:val="003F1F19"/>
    <w:rsid w:val="003F28EB"/>
    <w:rsid w:val="003F2B83"/>
    <w:rsid w:val="003F2EB7"/>
    <w:rsid w:val="003F33B1"/>
    <w:rsid w:val="003F3678"/>
    <w:rsid w:val="003F3E98"/>
    <w:rsid w:val="003F48AB"/>
    <w:rsid w:val="003F4C65"/>
    <w:rsid w:val="003F4E73"/>
    <w:rsid w:val="003F5CD6"/>
    <w:rsid w:val="003F6807"/>
    <w:rsid w:val="003F7D06"/>
    <w:rsid w:val="00401294"/>
    <w:rsid w:val="00402A8A"/>
    <w:rsid w:val="0040329F"/>
    <w:rsid w:val="0040376D"/>
    <w:rsid w:val="00403B20"/>
    <w:rsid w:val="00405B9E"/>
    <w:rsid w:val="004060B9"/>
    <w:rsid w:val="00406BCF"/>
    <w:rsid w:val="0040727B"/>
    <w:rsid w:val="00407341"/>
    <w:rsid w:val="0041069D"/>
    <w:rsid w:val="00410B62"/>
    <w:rsid w:val="0041103F"/>
    <w:rsid w:val="0041109D"/>
    <w:rsid w:val="004120C3"/>
    <w:rsid w:val="00412A19"/>
    <w:rsid w:val="004133FC"/>
    <w:rsid w:val="00414199"/>
    <w:rsid w:val="00414DC5"/>
    <w:rsid w:val="004155DD"/>
    <w:rsid w:val="00416E28"/>
    <w:rsid w:val="00416F7B"/>
    <w:rsid w:val="00417EE7"/>
    <w:rsid w:val="00420B77"/>
    <w:rsid w:val="00420CEC"/>
    <w:rsid w:val="0042113D"/>
    <w:rsid w:val="004211A3"/>
    <w:rsid w:val="0042127F"/>
    <w:rsid w:val="00421614"/>
    <w:rsid w:val="0042171E"/>
    <w:rsid w:val="00421C99"/>
    <w:rsid w:val="00422579"/>
    <w:rsid w:val="00422C06"/>
    <w:rsid w:val="00423025"/>
    <w:rsid w:val="00423C4D"/>
    <w:rsid w:val="00423EE5"/>
    <w:rsid w:val="004243D0"/>
    <w:rsid w:val="00425690"/>
    <w:rsid w:val="00426693"/>
    <w:rsid w:val="00431898"/>
    <w:rsid w:val="00431E08"/>
    <w:rsid w:val="0043372F"/>
    <w:rsid w:val="0043432C"/>
    <w:rsid w:val="00434E4A"/>
    <w:rsid w:val="00435919"/>
    <w:rsid w:val="00436965"/>
    <w:rsid w:val="004369BC"/>
    <w:rsid w:val="00436A93"/>
    <w:rsid w:val="004377AD"/>
    <w:rsid w:val="00437C22"/>
    <w:rsid w:val="004409CB"/>
    <w:rsid w:val="00441ED5"/>
    <w:rsid w:val="0044298F"/>
    <w:rsid w:val="004436B3"/>
    <w:rsid w:val="00443D14"/>
    <w:rsid w:val="00443F8E"/>
    <w:rsid w:val="004442B7"/>
    <w:rsid w:val="0044581C"/>
    <w:rsid w:val="004458A3"/>
    <w:rsid w:val="004459FF"/>
    <w:rsid w:val="00446A6F"/>
    <w:rsid w:val="00446D77"/>
    <w:rsid w:val="00447588"/>
    <w:rsid w:val="004478AF"/>
    <w:rsid w:val="00447AB3"/>
    <w:rsid w:val="00447DB4"/>
    <w:rsid w:val="00450363"/>
    <w:rsid w:val="00450942"/>
    <w:rsid w:val="00450D67"/>
    <w:rsid w:val="00450DF0"/>
    <w:rsid w:val="00451398"/>
    <w:rsid w:val="00451E96"/>
    <w:rsid w:val="00452834"/>
    <w:rsid w:val="004532C3"/>
    <w:rsid w:val="0045427B"/>
    <w:rsid w:val="00454598"/>
    <w:rsid w:val="0045497A"/>
    <w:rsid w:val="00454ACD"/>
    <w:rsid w:val="00455805"/>
    <w:rsid w:val="00455A9D"/>
    <w:rsid w:val="00455B2B"/>
    <w:rsid w:val="004560A8"/>
    <w:rsid w:val="0046004C"/>
    <w:rsid w:val="00460515"/>
    <w:rsid w:val="0046057F"/>
    <w:rsid w:val="004607C5"/>
    <w:rsid w:val="00460B87"/>
    <w:rsid w:val="00460FB5"/>
    <w:rsid w:val="00461121"/>
    <w:rsid w:val="004612A7"/>
    <w:rsid w:val="00461A23"/>
    <w:rsid w:val="00463301"/>
    <w:rsid w:val="004635C7"/>
    <w:rsid w:val="00464123"/>
    <w:rsid w:val="004650D9"/>
    <w:rsid w:val="004653DB"/>
    <w:rsid w:val="00465881"/>
    <w:rsid w:val="004676D9"/>
    <w:rsid w:val="004678F3"/>
    <w:rsid w:val="00467A76"/>
    <w:rsid w:val="00467B1E"/>
    <w:rsid w:val="00467E68"/>
    <w:rsid w:val="004705C4"/>
    <w:rsid w:val="00471A07"/>
    <w:rsid w:val="00471CE3"/>
    <w:rsid w:val="00471ED3"/>
    <w:rsid w:val="00472448"/>
    <w:rsid w:val="004725EE"/>
    <w:rsid w:val="0047298A"/>
    <w:rsid w:val="00472F9B"/>
    <w:rsid w:val="00473612"/>
    <w:rsid w:val="00473FCA"/>
    <w:rsid w:val="004742D4"/>
    <w:rsid w:val="004744E6"/>
    <w:rsid w:val="00474628"/>
    <w:rsid w:val="0047543A"/>
    <w:rsid w:val="00476BC1"/>
    <w:rsid w:val="00477B0F"/>
    <w:rsid w:val="00477FB3"/>
    <w:rsid w:val="0048083B"/>
    <w:rsid w:val="004810CF"/>
    <w:rsid w:val="00481DEA"/>
    <w:rsid w:val="0048384F"/>
    <w:rsid w:val="00483AFA"/>
    <w:rsid w:val="00483CFF"/>
    <w:rsid w:val="00484115"/>
    <w:rsid w:val="0048437B"/>
    <w:rsid w:val="00485F08"/>
    <w:rsid w:val="00487632"/>
    <w:rsid w:val="00487834"/>
    <w:rsid w:val="004905EC"/>
    <w:rsid w:val="00490D27"/>
    <w:rsid w:val="00491A8D"/>
    <w:rsid w:val="004927F1"/>
    <w:rsid w:val="004931FE"/>
    <w:rsid w:val="004932EE"/>
    <w:rsid w:val="00493A02"/>
    <w:rsid w:val="00493E33"/>
    <w:rsid w:val="004943EC"/>
    <w:rsid w:val="00494756"/>
    <w:rsid w:val="004948B8"/>
    <w:rsid w:val="00494A87"/>
    <w:rsid w:val="00494AC2"/>
    <w:rsid w:val="00494B04"/>
    <w:rsid w:val="00494C77"/>
    <w:rsid w:val="004959FA"/>
    <w:rsid w:val="00495E8C"/>
    <w:rsid w:val="00495FC4"/>
    <w:rsid w:val="0049600B"/>
    <w:rsid w:val="004A06B4"/>
    <w:rsid w:val="004A14AE"/>
    <w:rsid w:val="004A1E6A"/>
    <w:rsid w:val="004A2244"/>
    <w:rsid w:val="004A35D9"/>
    <w:rsid w:val="004A427B"/>
    <w:rsid w:val="004A4307"/>
    <w:rsid w:val="004A46EB"/>
    <w:rsid w:val="004A559F"/>
    <w:rsid w:val="004A57A5"/>
    <w:rsid w:val="004A617F"/>
    <w:rsid w:val="004A6562"/>
    <w:rsid w:val="004B022F"/>
    <w:rsid w:val="004B098F"/>
    <w:rsid w:val="004B0D89"/>
    <w:rsid w:val="004B3866"/>
    <w:rsid w:val="004B3EE2"/>
    <w:rsid w:val="004B4360"/>
    <w:rsid w:val="004B46A1"/>
    <w:rsid w:val="004B58A3"/>
    <w:rsid w:val="004B650C"/>
    <w:rsid w:val="004B6B46"/>
    <w:rsid w:val="004C0221"/>
    <w:rsid w:val="004C065B"/>
    <w:rsid w:val="004C13AF"/>
    <w:rsid w:val="004C31D2"/>
    <w:rsid w:val="004C3E0B"/>
    <w:rsid w:val="004C3EB2"/>
    <w:rsid w:val="004C4255"/>
    <w:rsid w:val="004C57BE"/>
    <w:rsid w:val="004C57C5"/>
    <w:rsid w:val="004C5AF8"/>
    <w:rsid w:val="004C6E38"/>
    <w:rsid w:val="004C7090"/>
    <w:rsid w:val="004C71D6"/>
    <w:rsid w:val="004C7630"/>
    <w:rsid w:val="004C7FD3"/>
    <w:rsid w:val="004D0811"/>
    <w:rsid w:val="004D0EEA"/>
    <w:rsid w:val="004D1355"/>
    <w:rsid w:val="004D13B6"/>
    <w:rsid w:val="004D182B"/>
    <w:rsid w:val="004D1BFB"/>
    <w:rsid w:val="004D1F0B"/>
    <w:rsid w:val="004D29E0"/>
    <w:rsid w:val="004D30E1"/>
    <w:rsid w:val="004D4564"/>
    <w:rsid w:val="004D5EF8"/>
    <w:rsid w:val="004D75F4"/>
    <w:rsid w:val="004D792B"/>
    <w:rsid w:val="004E076E"/>
    <w:rsid w:val="004E10C4"/>
    <w:rsid w:val="004E27AC"/>
    <w:rsid w:val="004E2B4C"/>
    <w:rsid w:val="004E2EA1"/>
    <w:rsid w:val="004E3254"/>
    <w:rsid w:val="004E3CE7"/>
    <w:rsid w:val="004E4AD5"/>
    <w:rsid w:val="004E5952"/>
    <w:rsid w:val="004E5AC6"/>
    <w:rsid w:val="004E6AB5"/>
    <w:rsid w:val="004E7A3F"/>
    <w:rsid w:val="004E7CEE"/>
    <w:rsid w:val="004F090B"/>
    <w:rsid w:val="004F17B8"/>
    <w:rsid w:val="004F1D5A"/>
    <w:rsid w:val="004F46AA"/>
    <w:rsid w:val="004F46E4"/>
    <w:rsid w:val="004F48CC"/>
    <w:rsid w:val="004F4A9F"/>
    <w:rsid w:val="004F5106"/>
    <w:rsid w:val="004F5424"/>
    <w:rsid w:val="004F57C5"/>
    <w:rsid w:val="004F5836"/>
    <w:rsid w:val="004F65B6"/>
    <w:rsid w:val="004F6A1B"/>
    <w:rsid w:val="00500091"/>
    <w:rsid w:val="00500E80"/>
    <w:rsid w:val="00500F0E"/>
    <w:rsid w:val="00501105"/>
    <w:rsid w:val="0050128B"/>
    <w:rsid w:val="00501814"/>
    <w:rsid w:val="00501B42"/>
    <w:rsid w:val="005025B0"/>
    <w:rsid w:val="00502A4F"/>
    <w:rsid w:val="00503B31"/>
    <w:rsid w:val="00503C66"/>
    <w:rsid w:val="005042B4"/>
    <w:rsid w:val="00504E68"/>
    <w:rsid w:val="005054C9"/>
    <w:rsid w:val="00506055"/>
    <w:rsid w:val="00506D00"/>
    <w:rsid w:val="00507199"/>
    <w:rsid w:val="00507D11"/>
    <w:rsid w:val="00510776"/>
    <w:rsid w:val="005117CF"/>
    <w:rsid w:val="00511D62"/>
    <w:rsid w:val="00512278"/>
    <w:rsid w:val="0051232F"/>
    <w:rsid w:val="00513778"/>
    <w:rsid w:val="00513DD6"/>
    <w:rsid w:val="00515844"/>
    <w:rsid w:val="00515B8D"/>
    <w:rsid w:val="005161FA"/>
    <w:rsid w:val="00516A49"/>
    <w:rsid w:val="00516C4E"/>
    <w:rsid w:val="005176A6"/>
    <w:rsid w:val="00517707"/>
    <w:rsid w:val="00517BB1"/>
    <w:rsid w:val="00520F8E"/>
    <w:rsid w:val="00522A35"/>
    <w:rsid w:val="00522EE9"/>
    <w:rsid w:val="00523B3D"/>
    <w:rsid w:val="005245EA"/>
    <w:rsid w:val="005254EE"/>
    <w:rsid w:val="005258B8"/>
    <w:rsid w:val="00526083"/>
    <w:rsid w:val="00526DE7"/>
    <w:rsid w:val="0052778A"/>
    <w:rsid w:val="00527B94"/>
    <w:rsid w:val="00527E12"/>
    <w:rsid w:val="005310C2"/>
    <w:rsid w:val="00531277"/>
    <w:rsid w:val="00531FD7"/>
    <w:rsid w:val="00532B8C"/>
    <w:rsid w:val="00532C6A"/>
    <w:rsid w:val="00533854"/>
    <w:rsid w:val="00533EFB"/>
    <w:rsid w:val="00534946"/>
    <w:rsid w:val="00534FA6"/>
    <w:rsid w:val="00535CA8"/>
    <w:rsid w:val="005365FC"/>
    <w:rsid w:val="005367C9"/>
    <w:rsid w:val="0053744E"/>
    <w:rsid w:val="00537458"/>
    <w:rsid w:val="00537EFC"/>
    <w:rsid w:val="00537F81"/>
    <w:rsid w:val="0054241C"/>
    <w:rsid w:val="00542E8F"/>
    <w:rsid w:val="00542E95"/>
    <w:rsid w:val="005433B1"/>
    <w:rsid w:val="00543750"/>
    <w:rsid w:val="00543A32"/>
    <w:rsid w:val="00544792"/>
    <w:rsid w:val="005453F5"/>
    <w:rsid w:val="0054650E"/>
    <w:rsid w:val="00547F0E"/>
    <w:rsid w:val="0055025C"/>
    <w:rsid w:val="00551A92"/>
    <w:rsid w:val="00551F3E"/>
    <w:rsid w:val="00553723"/>
    <w:rsid w:val="00553F0D"/>
    <w:rsid w:val="00553F5C"/>
    <w:rsid w:val="0055494C"/>
    <w:rsid w:val="00554C34"/>
    <w:rsid w:val="00554DE9"/>
    <w:rsid w:val="00556278"/>
    <w:rsid w:val="00556392"/>
    <w:rsid w:val="00556C4D"/>
    <w:rsid w:val="00556EF2"/>
    <w:rsid w:val="00557314"/>
    <w:rsid w:val="00560123"/>
    <w:rsid w:val="00560321"/>
    <w:rsid w:val="005607E3"/>
    <w:rsid w:val="005614CC"/>
    <w:rsid w:val="0056240B"/>
    <w:rsid w:val="00562C42"/>
    <w:rsid w:val="00565757"/>
    <w:rsid w:val="00565775"/>
    <w:rsid w:val="0056665F"/>
    <w:rsid w:val="00567C8E"/>
    <w:rsid w:val="00567FC5"/>
    <w:rsid w:val="005702F0"/>
    <w:rsid w:val="00570D4F"/>
    <w:rsid w:val="005718F6"/>
    <w:rsid w:val="005720B1"/>
    <w:rsid w:val="0057269C"/>
    <w:rsid w:val="00572825"/>
    <w:rsid w:val="0057294E"/>
    <w:rsid w:val="00572AE9"/>
    <w:rsid w:val="00573424"/>
    <w:rsid w:val="0057379D"/>
    <w:rsid w:val="005737A2"/>
    <w:rsid w:val="00573C52"/>
    <w:rsid w:val="005751FC"/>
    <w:rsid w:val="00575749"/>
    <w:rsid w:val="00575C29"/>
    <w:rsid w:val="00575EB1"/>
    <w:rsid w:val="00576A4A"/>
    <w:rsid w:val="00577468"/>
    <w:rsid w:val="00577E4D"/>
    <w:rsid w:val="00580355"/>
    <w:rsid w:val="00580B36"/>
    <w:rsid w:val="00580D52"/>
    <w:rsid w:val="005815CD"/>
    <w:rsid w:val="0058208F"/>
    <w:rsid w:val="00584573"/>
    <w:rsid w:val="005845A9"/>
    <w:rsid w:val="00584B82"/>
    <w:rsid w:val="00584D69"/>
    <w:rsid w:val="005850E3"/>
    <w:rsid w:val="00585433"/>
    <w:rsid w:val="00585892"/>
    <w:rsid w:val="00585A6B"/>
    <w:rsid w:val="00586966"/>
    <w:rsid w:val="00586AFD"/>
    <w:rsid w:val="00586D0C"/>
    <w:rsid w:val="0058751A"/>
    <w:rsid w:val="005875EC"/>
    <w:rsid w:val="005877ED"/>
    <w:rsid w:val="0058792B"/>
    <w:rsid w:val="005908A2"/>
    <w:rsid w:val="005908D0"/>
    <w:rsid w:val="00590BB5"/>
    <w:rsid w:val="00590F82"/>
    <w:rsid w:val="00591162"/>
    <w:rsid w:val="005917CD"/>
    <w:rsid w:val="00591FDF"/>
    <w:rsid w:val="0059277A"/>
    <w:rsid w:val="00592E65"/>
    <w:rsid w:val="0059331D"/>
    <w:rsid w:val="005934BC"/>
    <w:rsid w:val="0059384E"/>
    <w:rsid w:val="00594D32"/>
    <w:rsid w:val="00595B31"/>
    <w:rsid w:val="00597165"/>
    <w:rsid w:val="005974C7"/>
    <w:rsid w:val="00597E3E"/>
    <w:rsid w:val="00597E53"/>
    <w:rsid w:val="005A0220"/>
    <w:rsid w:val="005A1098"/>
    <w:rsid w:val="005A1721"/>
    <w:rsid w:val="005A19AC"/>
    <w:rsid w:val="005A1D0A"/>
    <w:rsid w:val="005A1D4B"/>
    <w:rsid w:val="005A2740"/>
    <w:rsid w:val="005A4D3B"/>
    <w:rsid w:val="005A5703"/>
    <w:rsid w:val="005A5A53"/>
    <w:rsid w:val="005A5F37"/>
    <w:rsid w:val="005A7701"/>
    <w:rsid w:val="005A7944"/>
    <w:rsid w:val="005B12B1"/>
    <w:rsid w:val="005B1F62"/>
    <w:rsid w:val="005B23DD"/>
    <w:rsid w:val="005B328A"/>
    <w:rsid w:val="005B34A7"/>
    <w:rsid w:val="005B4383"/>
    <w:rsid w:val="005B45DD"/>
    <w:rsid w:val="005B4717"/>
    <w:rsid w:val="005B472A"/>
    <w:rsid w:val="005B4E7E"/>
    <w:rsid w:val="005B5181"/>
    <w:rsid w:val="005B5D99"/>
    <w:rsid w:val="005B5EA0"/>
    <w:rsid w:val="005B64A2"/>
    <w:rsid w:val="005B7291"/>
    <w:rsid w:val="005B7602"/>
    <w:rsid w:val="005B7B0B"/>
    <w:rsid w:val="005B7BDE"/>
    <w:rsid w:val="005B7E8E"/>
    <w:rsid w:val="005C0908"/>
    <w:rsid w:val="005C09F5"/>
    <w:rsid w:val="005C0F16"/>
    <w:rsid w:val="005C0F6E"/>
    <w:rsid w:val="005C1167"/>
    <w:rsid w:val="005C1489"/>
    <w:rsid w:val="005C2C39"/>
    <w:rsid w:val="005C3C95"/>
    <w:rsid w:val="005C3F4F"/>
    <w:rsid w:val="005C43FE"/>
    <w:rsid w:val="005C4B19"/>
    <w:rsid w:val="005C4DF0"/>
    <w:rsid w:val="005C568A"/>
    <w:rsid w:val="005C57A3"/>
    <w:rsid w:val="005C5CF6"/>
    <w:rsid w:val="005C5EEB"/>
    <w:rsid w:val="005C6B8B"/>
    <w:rsid w:val="005C6DF2"/>
    <w:rsid w:val="005C71B5"/>
    <w:rsid w:val="005C7319"/>
    <w:rsid w:val="005C7372"/>
    <w:rsid w:val="005C7F5B"/>
    <w:rsid w:val="005D11F4"/>
    <w:rsid w:val="005D1A55"/>
    <w:rsid w:val="005D1BC1"/>
    <w:rsid w:val="005D25FB"/>
    <w:rsid w:val="005D2B7E"/>
    <w:rsid w:val="005D379F"/>
    <w:rsid w:val="005D4E59"/>
    <w:rsid w:val="005D56B3"/>
    <w:rsid w:val="005D750A"/>
    <w:rsid w:val="005D7787"/>
    <w:rsid w:val="005D7B69"/>
    <w:rsid w:val="005E00AD"/>
    <w:rsid w:val="005E2D53"/>
    <w:rsid w:val="005E33B4"/>
    <w:rsid w:val="005E3B4A"/>
    <w:rsid w:val="005E3E1B"/>
    <w:rsid w:val="005E4285"/>
    <w:rsid w:val="005E44CC"/>
    <w:rsid w:val="005E4A91"/>
    <w:rsid w:val="005E5320"/>
    <w:rsid w:val="005E58E5"/>
    <w:rsid w:val="005E5A32"/>
    <w:rsid w:val="005E6D5D"/>
    <w:rsid w:val="005E6E54"/>
    <w:rsid w:val="005E7082"/>
    <w:rsid w:val="005E7BB2"/>
    <w:rsid w:val="005E7CCA"/>
    <w:rsid w:val="005F1379"/>
    <w:rsid w:val="005F17A4"/>
    <w:rsid w:val="005F1CB6"/>
    <w:rsid w:val="005F1CE7"/>
    <w:rsid w:val="005F213D"/>
    <w:rsid w:val="005F23A4"/>
    <w:rsid w:val="005F23DA"/>
    <w:rsid w:val="005F2C07"/>
    <w:rsid w:val="005F2D18"/>
    <w:rsid w:val="005F3063"/>
    <w:rsid w:val="005F35C2"/>
    <w:rsid w:val="005F568F"/>
    <w:rsid w:val="005F6212"/>
    <w:rsid w:val="005F6854"/>
    <w:rsid w:val="005F6895"/>
    <w:rsid w:val="005F6921"/>
    <w:rsid w:val="005F6A07"/>
    <w:rsid w:val="006009CA"/>
    <w:rsid w:val="00600C9C"/>
    <w:rsid w:val="00601BBD"/>
    <w:rsid w:val="0060304D"/>
    <w:rsid w:val="00603555"/>
    <w:rsid w:val="00603835"/>
    <w:rsid w:val="00604298"/>
    <w:rsid w:val="00604479"/>
    <w:rsid w:val="00604BCE"/>
    <w:rsid w:val="00605903"/>
    <w:rsid w:val="00605DB4"/>
    <w:rsid w:val="00605FBA"/>
    <w:rsid w:val="0060658D"/>
    <w:rsid w:val="00606635"/>
    <w:rsid w:val="00606A79"/>
    <w:rsid w:val="00606D67"/>
    <w:rsid w:val="006103ED"/>
    <w:rsid w:val="00610BC6"/>
    <w:rsid w:val="00610F8D"/>
    <w:rsid w:val="00611C2F"/>
    <w:rsid w:val="00611EDA"/>
    <w:rsid w:val="00612CB5"/>
    <w:rsid w:val="00612D50"/>
    <w:rsid w:val="00612F44"/>
    <w:rsid w:val="00613387"/>
    <w:rsid w:val="00614409"/>
    <w:rsid w:val="0061447E"/>
    <w:rsid w:val="00614AB7"/>
    <w:rsid w:val="006208FF"/>
    <w:rsid w:val="00621001"/>
    <w:rsid w:val="0062134E"/>
    <w:rsid w:val="00621993"/>
    <w:rsid w:val="00621CB9"/>
    <w:rsid w:val="00622110"/>
    <w:rsid w:val="00623758"/>
    <w:rsid w:val="00623DC2"/>
    <w:rsid w:val="006241FF"/>
    <w:rsid w:val="00624479"/>
    <w:rsid w:val="00624FA6"/>
    <w:rsid w:val="0062614C"/>
    <w:rsid w:val="0062689D"/>
    <w:rsid w:val="00627518"/>
    <w:rsid w:val="00627FF2"/>
    <w:rsid w:val="006316BA"/>
    <w:rsid w:val="00632D64"/>
    <w:rsid w:val="00633734"/>
    <w:rsid w:val="00633907"/>
    <w:rsid w:val="00633F49"/>
    <w:rsid w:val="00634216"/>
    <w:rsid w:val="006343FD"/>
    <w:rsid w:val="006346A5"/>
    <w:rsid w:val="00635443"/>
    <w:rsid w:val="00635964"/>
    <w:rsid w:val="00636566"/>
    <w:rsid w:val="006365F7"/>
    <w:rsid w:val="006378A3"/>
    <w:rsid w:val="00637AA1"/>
    <w:rsid w:val="00637F10"/>
    <w:rsid w:val="00640FFA"/>
    <w:rsid w:val="0064223D"/>
    <w:rsid w:val="00642E3D"/>
    <w:rsid w:val="006432B7"/>
    <w:rsid w:val="006436DE"/>
    <w:rsid w:val="006447F6"/>
    <w:rsid w:val="0064581C"/>
    <w:rsid w:val="00645E50"/>
    <w:rsid w:val="006463CF"/>
    <w:rsid w:val="00646A08"/>
    <w:rsid w:val="0064779D"/>
    <w:rsid w:val="00647F0C"/>
    <w:rsid w:val="0065078F"/>
    <w:rsid w:val="00651050"/>
    <w:rsid w:val="0065130F"/>
    <w:rsid w:val="006517F9"/>
    <w:rsid w:val="0065183A"/>
    <w:rsid w:val="006533D4"/>
    <w:rsid w:val="00653AE7"/>
    <w:rsid w:val="00653B8D"/>
    <w:rsid w:val="00653BDE"/>
    <w:rsid w:val="006563BD"/>
    <w:rsid w:val="00657C30"/>
    <w:rsid w:val="00657C7E"/>
    <w:rsid w:val="00662411"/>
    <w:rsid w:val="0066254C"/>
    <w:rsid w:val="006630F5"/>
    <w:rsid w:val="006638A9"/>
    <w:rsid w:val="00663F86"/>
    <w:rsid w:val="00664662"/>
    <w:rsid w:val="006655E1"/>
    <w:rsid w:val="00666349"/>
    <w:rsid w:val="0066736E"/>
    <w:rsid w:val="006679B7"/>
    <w:rsid w:val="00670565"/>
    <w:rsid w:val="00670987"/>
    <w:rsid w:val="00670F64"/>
    <w:rsid w:val="0067114F"/>
    <w:rsid w:val="00673C05"/>
    <w:rsid w:val="006748A5"/>
    <w:rsid w:val="00675961"/>
    <w:rsid w:val="0067598F"/>
    <w:rsid w:val="00676162"/>
    <w:rsid w:val="0067629F"/>
    <w:rsid w:val="00676487"/>
    <w:rsid w:val="00677E58"/>
    <w:rsid w:val="00677F77"/>
    <w:rsid w:val="00680281"/>
    <w:rsid w:val="006820DD"/>
    <w:rsid w:val="00682BDF"/>
    <w:rsid w:val="00683100"/>
    <w:rsid w:val="006832CA"/>
    <w:rsid w:val="00684478"/>
    <w:rsid w:val="00684B1A"/>
    <w:rsid w:val="006862AE"/>
    <w:rsid w:val="006864F2"/>
    <w:rsid w:val="00686913"/>
    <w:rsid w:val="00686F5E"/>
    <w:rsid w:val="00686FDA"/>
    <w:rsid w:val="006875EF"/>
    <w:rsid w:val="00687758"/>
    <w:rsid w:val="00690017"/>
    <w:rsid w:val="006903AF"/>
    <w:rsid w:val="006910F0"/>
    <w:rsid w:val="006912AB"/>
    <w:rsid w:val="00691471"/>
    <w:rsid w:val="00691CCF"/>
    <w:rsid w:val="00691F99"/>
    <w:rsid w:val="006921FF"/>
    <w:rsid w:val="00693D35"/>
    <w:rsid w:val="00694196"/>
    <w:rsid w:val="0069495C"/>
    <w:rsid w:val="006953AD"/>
    <w:rsid w:val="00695471"/>
    <w:rsid w:val="0069751F"/>
    <w:rsid w:val="00697FB5"/>
    <w:rsid w:val="006A0239"/>
    <w:rsid w:val="006A0680"/>
    <w:rsid w:val="006A074C"/>
    <w:rsid w:val="006A091E"/>
    <w:rsid w:val="006A0D6B"/>
    <w:rsid w:val="006A1776"/>
    <w:rsid w:val="006A2532"/>
    <w:rsid w:val="006A268D"/>
    <w:rsid w:val="006A2A61"/>
    <w:rsid w:val="006A356F"/>
    <w:rsid w:val="006A4813"/>
    <w:rsid w:val="006A4CFD"/>
    <w:rsid w:val="006A76EA"/>
    <w:rsid w:val="006A7EED"/>
    <w:rsid w:val="006B01C6"/>
    <w:rsid w:val="006B08DB"/>
    <w:rsid w:val="006B1E2C"/>
    <w:rsid w:val="006B1F08"/>
    <w:rsid w:val="006B25DD"/>
    <w:rsid w:val="006B295F"/>
    <w:rsid w:val="006B4585"/>
    <w:rsid w:val="006B560D"/>
    <w:rsid w:val="006B5684"/>
    <w:rsid w:val="006B56E9"/>
    <w:rsid w:val="006B5879"/>
    <w:rsid w:val="006B5E71"/>
    <w:rsid w:val="006C0071"/>
    <w:rsid w:val="006C02EA"/>
    <w:rsid w:val="006C05C1"/>
    <w:rsid w:val="006C0E31"/>
    <w:rsid w:val="006C11D8"/>
    <w:rsid w:val="006C1914"/>
    <w:rsid w:val="006C1B4C"/>
    <w:rsid w:val="006C258F"/>
    <w:rsid w:val="006C2B3E"/>
    <w:rsid w:val="006C45B9"/>
    <w:rsid w:val="006C4E2A"/>
    <w:rsid w:val="006C5E52"/>
    <w:rsid w:val="006C761D"/>
    <w:rsid w:val="006C7B8B"/>
    <w:rsid w:val="006D014D"/>
    <w:rsid w:val="006D0926"/>
    <w:rsid w:val="006D194F"/>
    <w:rsid w:val="006D2789"/>
    <w:rsid w:val="006D28B2"/>
    <w:rsid w:val="006D424E"/>
    <w:rsid w:val="006D4441"/>
    <w:rsid w:val="006D4526"/>
    <w:rsid w:val="006D4DB6"/>
    <w:rsid w:val="006D52D7"/>
    <w:rsid w:val="006D5BBA"/>
    <w:rsid w:val="006D63C8"/>
    <w:rsid w:val="006D677E"/>
    <w:rsid w:val="006D6B91"/>
    <w:rsid w:val="006D7E22"/>
    <w:rsid w:val="006E03AA"/>
    <w:rsid w:val="006E12E1"/>
    <w:rsid w:val="006E2D30"/>
    <w:rsid w:val="006E2D58"/>
    <w:rsid w:val="006E32C7"/>
    <w:rsid w:val="006E3A65"/>
    <w:rsid w:val="006E3FE6"/>
    <w:rsid w:val="006E4733"/>
    <w:rsid w:val="006E517F"/>
    <w:rsid w:val="006E565D"/>
    <w:rsid w:val="006E5C33"/>
    <w:rsid w:val="006E67CD"/>
    <w:rsid w:val="006F0643"/>
    <w:rsid w:val="006F0B95"/>
    <w:rsid w:val="006F0D54"/>
    <w:rsid w:val="006F13E4"/>
    <w:rsid w:val="006F1717"/>
    <w:rsid w:val="006F1958"/>
    <w:rsid w:val="006F19FA"/>
    <w:rsid w:val="006F256F"/>
    <w:rsid w:val="006F3703"/>
    <w:rsid w:val="006F3A12"/>
    <w:rsid w:val="006F3A5E"/>
    <w:rsid w:val="006F3B1A"/>
    <w:rsid w:val="006F3EB2"/>
    <w:rsid w:val="006F490A"/>
    <w:rsid w:val="006F4E59"/>
    <w:rsid w:val="006F5212"/>
    <w:rsid w:val="006F6B05"/>
    <w:rsid w:val="006F6C8F"/>
    <w:rsid w:val="006F6D67"/>
    <w:rsid w:val="00700E71"/>
    <w:rsid w:val="007011F9"/>
    <w:rsid w:val="00701616"/>
    <w:rsid w:val="00702881"/>
    <w:rsid w:val="00702885"/>
    <w:rsid w:val="00704294"/>
    <w:rsid w:val="00704556"/>
    <w:rsid w:val="007053E6"/>
    <w:rsid w:val="00705453"/>
    <w:rsid w:val="00705D31"/>
    <w:rsid w:val="0070669E"/>
    <w:rsid w:val="00707518"/>
    <w:rsid w:val="00710192"/>
    <w:rsid w:val="007107F5"/>
    <w:rsid w:val="007109EA"/>
    <w:rsid w:val="00710DCE"/>
    <w:rsid w:val="00710E87"/>
    <w:rsid w:val="007114BE"/>
    <w:rsid w:val="007114CD"/>
    <w:rsid w:val="007138EF"/>
    <w:rsid w:val="00713D9D"/>
    <w:rsid w:val="00714318"/>
    <w:rsid w:val="00715D49"/>
    <w:rsid w:val="00716669"/>
    <w:rsid w:val="00717202"/>
    <w:rsid w:val="007173F0"/>
    <w:rsid w:val="007175F6"/>
    <w:rsid w:val="007179EA"/>
    <w:rsid w:val="00721057"/>
    <w:rsid w:val="007218E0"/>
    <w:rsid w:val="00721ACF"/>
    <w:rsid w:val="00722C55"/>
    <w:rsid w:val="00723590"/>
    <w:rsid w:val="00723B1F"/>
    <w:rsid w:val="00724183"/>
    <w:rsid w:val="00724D4D"/>
    <w:rsid w:val="0072524D"/>
    <w:rsid w:val="007257EB"/>
    <w:rsid w:val="007267E2"/>
    <w:rsid w:val="00726AAE"/>
    <w:rsid w:val="0073036E"/>
    <w:rsid w:val="007305E9"/>
    <w:rsid w:val="00730813"/>
    <w:rsid w:val="0073130A"/>
    <w:rsid w:val="007317D0"/>
    <w:rsid w:val="00731EAE"/>
    <w:rsid w:val="00731FF9"/>
    <w:rsid w:val="00732389"/>
    <w:rsid w:val="00732C62"/>
    <w:rsid w:val="00734A44"/>
    <w:rsid w:val="0073502D"/>
    <w:rsid w:val="007350D9"/>
    <w:rsid w:val="00735398"/>
    <w:rsid w:val="0073583E"/>
    <w:rsid w:val="00735893"/>
    <w:rsid w:val="00735F01"/>
    <w:rsid w:val="00735FB2"/>
    <w:rsid w:val="007373EA"/>
    <w:rsid w:val="00740E5B"/>
    <w:rsid w:val="00740EC5"/>
    <w:rsid w:val="00741949"/>
    <w:rsid w:val="00742C6D"/>
    <w:rsid w:val="00742C93"/>
    <w:rsid w:val="00743772"/>
    <w:rsid w:val="00743967"/>
    <w:rsid w:val="00743B41"/>
    <w:rsid w:val="007440EA"/>
    <w:rsid w:val="00744157"/>
    <w:rsid w:val="0074506B"/>
    <w:rsid w:val="0074550C"/>
    <w:rsid w:val="00745E2A"/>
    <w:rsid w:val="007460ED"/>
    <w:rsid w:val="007465CF"/>
    <w:rsid w:val="00746746"/>
    <w:rsid w:val="007471CD"/>
    <w:rsid w:val="00747A91"/>
    <w:rsid w:val="0075013D"/>
    <w:rsid w:val="00750697"/>
    <w:rsid w:val="00750D4B"/>
    <w:rsid w:val="0075210F"/>
    <w:rsid w:val="007529E6"/>
    <w:rsid w:val="00753227"/>
    <w:rsid w:val="00753626"/>
    <w:rsid w:val="00753C45"/>
    <w:rsid w:val="007545D5"/>
    <w:rsid w:val="007549E0"/>
    <w:rsid w:val="00754D4A"/>
    <w:rsid w:val="00756D10"/>
    <w:rsid w:val="00756EF7"/>
    <w:rsid w:val="007606A8"/>
    <w:rsid w:val="00760A39"/>
    <w:rsid w:val="00761365"/>
    <w:rsid w:val="00763316"/>
    <w:rsid w:val="00763D5B"/>
    <w:rsid w:val="00763F05"/>
    <w:rsid w:val="007643F9"/>
    <w:rsid w:val="00764AB3"/>
    <w:rsid w:val="007651A2"/>
    <w:rsid w:val="0076542C"/>
    <w:rsid w:val="007674A8"/>
    <w:rsid w:val="00767C08"/>
    <w:rsid w:val="00770BCC"/>
    <w:rsid w:val="007722E9"/>
    <w:rsid w:val="00772BE2"/>
    <w:rsid w:val="00772CBE"/>
    <w:rsid w:val="00772FC7"/>
    <w:rsid w:val="007732E2"/>
    <w:rsid w:val="007734C5"/>
    <w:rsid w:val="00774A66"/>
    <w:rsid w:val="00774CD1"/>
    <w:rsid w:val="007762B0"/>
    <w:rsid w:val="00776D65"/>
    <w:rsid w:val="007805F0"/>
    <w:rsid w:val="00780740"/>
    <w:rsid w:val="00780CFA"/>
    <w:rsid w:val="0078147E"/>
    <w:rsid w:val="00781868"/>
    <w:rsid w:val="0078186B"/>
    <w:rsid w:val="00781A34"/>
    <w:rsid w:val="00782C91"/>
    <w:rsid w:val="00784706"/>
    <w:rsid w:val="007858F6"/>
    <w:rsid w:val="00786156"/>
    <w:rsid w:val="00786BAF"/>
    <w:rsid w:val="007870B5"/>
    <w:rsid w:val="00787500"/>
    <w:rsid w:val="007876DE"/>
    <w:rsid w:val="007903B8"/>
    <w:rsid w:val="00790F36"/>
    <w:rsid w:val="007916EB"/>
    <w:rsid w:val="00791CAA"/>
    <w:rsid w:val="00791D84"/>
    <w:rsid w:val="00792E1A"/>
    <w:rsid w:val="00792FDF"/>
    <w:rsid w:val="0079374B"/>
    <w:rsid w:val="00794601"/>
    <w:rsid w:val="007950D1"/>
    <w:rsid w:val="007954B6"/>
    <w:rsid w:val="007959F2"/>
    <w:rsid w:val="00796360"/>
    <w:rsid w:val="007967B3"/>
    <w:rsid w:val="0079681D"/>
    <w:rsid w:val="00796E47"/>
    <w:rsid w:val="00797F59"/>
    <w:rsid w:val="007A0321"/>
    <w:rsid w:val="007A069B"/>
    <w:rsid w:val="007A1043"/>
    <w:rsid w:val="007A1523"/>
    <w:rsid w:val="007A174C"/>
    <w:rsid w:val="007A3CC4"/>
    <w:rsid w:val="007A5C98"/>
    <w:rsid w:val="007A5E1B"/>
    <w:rsid w:val="007A6E2E"/>
    <w:rsid w:val="007A6EED"/>
    <w:rsid w:val="007A7568"/>
    <w:rsid w:val="007A778C"/>
    <w:rsid w:val="007A7FDB"/>
    <w:rsid w:val="007B08F5"/>
    <w:rsid w:val="007B221C"/>
    <w:rsid w:val="007B2450"/>
    <w:rsid w:val="007B2CD7"/>
    <w:rsid w:val="007B3949"/>
    <w:rsid w:val="007B65AC"/>
    <w:rsid w:val="007B7ABF"/>
    <w:rsid w:val="007B7BEE"/>
    <w:rsid w:val="007C0ED0"/>
    <w:rsid w:val="007C1A3A"/>
    <w:rsid w:val="007C1EEE"/>
    <w:rsid w:val="007C2B7F"/>
    <w:rsid w:val="007C2BBA"/>
    <w:rsid w:val="007C39AF"/>
    <w:rsid w:val="007C3BC9"/>
    <w:rsid w:val="007C3D40"/>
    <w:rsid w:val="007C3D57"/>
    <w:rsid w:val="007C5133"/>
    <w:rsid w:val="007C5406"/>
    <w:rsid w:val="007C5CCA"/>
    <w:rsid w:val="007C62EA"/>
    <w:rsid w:val="007C70EF"/>
    <w:rsid w:val="007D08C0"/>
    <w:rsid w:val="007D11CA"/>
    <w:rsid w:val="007D280C"/>
    <w:rsid w:val="007D3423"/>
    <w:rsid w:val="007D3892"/>
    <w:rsid w:val="007D3916"/>
    <w:rsid w:val="007D3C62"/>
    <w:rsid w:val="007D4005"/>
    <w:rsid w:val="007D6448"/>
    <w:rsid w:val="007D71FD"/>
    <w:rsid w:val="007D7A70"/>
    <w:rsid w:val="007E00E2"/>
    <w:rsid w:val="007E020D"/>
    <w:rsid w:val="007E1B68"/>
    <w:rsid w:val="007E23F6"/>
    <w:rsid w:val="007E24B2"/>
    <w:rsid w:val="007E2751"/>
    <w:rsid w:val="007E2D52"/>
    <w:rsid w:val="007E3100"/>
    <w:rsid w:val="007E3378"/>
    <w:rsid w:val="007E4B8C"/>
    <w:rsid w:val="007E555C"/>
    <w:rsid w:val="007E79C3"/>
    <w:rsid w:val="007F0317"/>
    <w:rsid w:val="007F1CF5"/>
    <w:rsid w:val="007F2029"/>
    <w:rsid w:val="007F27EF"/>
    <w:rsid w:val="007F2852"/>
    <w:rsid w:val="007F33AF"/>
    <w:rsid w:val="007F3441"/>
    <w:rsid w:val="007F3EB0"/>
    <w:rsid w:val="007F3F4D"/>
    <w:rsid w:val="007F41BF"/>
    <w:rsid w:val="007F43EA"/>
    <w:rsid w:val="007F49DA"/>
    <w:rsid w:val="007F4A80"/>
    <w:rsid w:val="007F4BB5"/>
    <w:rsid w:val="007F589B"/>
    <w:rsid w:val="007F6040"/>
    <w:rsid w:val="007F699E"/>
    <w:rsid w:val="007F76B5"/>
    <w:rsid w:val="007F78E6"/>
    <w:rsid w:val="007F7C2C"/>
    <w:rsid w:val="008003FE"/>
    <w:rsid w:val="008004F1"/>
    <w:rsid w:val="00800713"/>
    <w:rsid w:val="00800AF9"/>
    <w:rsid w:val="008022FD"/>
    <w:rsid w:val="00802A84"/>
    <w:rsid w:val="00802F3F"/>
    <w:rsid w:val="008031D0"/>
    <w:rsid w:val="008033AE"/>
    <w:rsid w:val="00803F29"/>
    <w:rsid w:val="00804323"/>
    <w:rsid w:val="00804A3D"/>
    <w:rsid w:val="0080503D"/>
    <w:rsid w:val="00805609"/>
    <w:rsid w:val="00805912"/>
    <w:rsid w:val="00805D53"/>
    <w:rsid w:val="00806624"/>
    <w:rsid w:val="00810D34"/>
    <w:rsid w:val="0081105B"/>
    <w:rsid w:val="00811388"/>
    <w:rsid w:val="00811713"/>
    <w:rsid w:val="00811CBF"/>
    <w:rsid w:val="008126F9"/>
    <w:rsid w:val="00813028"/>
    <w:rsid w:val="0081308A"/>
    <w:rsid w:val="00814A06"/>
    <w:rsid w:val="008157E5"/>
    <w:rsid w:val="008177B1"/>
    <w:rsid w:val="008201FF"/>
    <w:rsid w:val="00820989"/>
    <w:rsid w:val="008209B0"/>
    <w:rsid w:val="00822808"/>
    <w:rsid w:val="008231E4"/>
    <w:rsid w:val="0082375A"/>
    <w:rsid w:val="00823B6D"/>
    <w:rsid w:val="00823C53"/>
    <w:rsid w:val="00826869"/>
    <w:rsid w:val="00827510"/>
    <w:rsid w:val="00827A46"/>
    <w:rsid w:val="00827CF3"/>
    <w:rsid w:val="00827E3C"/>
    <w:rsid w:val="00827FE4"/>
    <w:rsid w:val="00830553"/>
    <w:rsid w:val="0083055C"/>
    <w:rsid w:val="00830CAE"/>
    <w:rsid w:val="00831124"/>
    <w:rsid w:val="0083187A"/>
    <w:rsid w:val="0083424E"/>
    <w:rsid w:val="008344C0"/>
    <w:rsid w:val="00834CC4"/>
    <w:rsid w:val="00834DCF"/>
    <w:rsid w:val="00834FCF"/>
    <w:rsid w:val="0083647E"/>
    <w:rsid w:val="00836896"/>
    <w:rsid w:val="0084058F"/>
    <w:rsid w:val="00840ED2"/>
    <w:rsid w:val="00841448"/>
    <w:rsid w:val="00842859"/>
    <w:rsid w:val="00842EE2"/>
    <w:rsid w:val="008431CE"/>
    <w:rsid w:val="0084393E"/>
    <w:rsid w:val="00843B0A"/>
    <w:rsid w:val="00844072"/>
    <w:rsid w:val="008440B1"/>
    <w:rsid w:val="00845099"/>
    <w:rsid w:val="00845386"/>
    <w:rsid w:val="00847592"/>
    <w:rsid w:val="008475DB"/>
    <w:rsid w:val="008477A4"/>
    <w:rsid w:val="0084781C"/>
    <w:rsid w:val="00847B92"/>
    <w:rsid w:val="00847D5D"/>
    <w:rsid w:val="008503BD"/>
    <w:rsid w:val="00850C12"/>
    <w:rsid w:val="00850C18"/>
    <w:rsid w:val="00850D94"/>
    <w:rsid w:val="00851667"/>
    <w:rsid w:val="0085234D"/>
    <w:rsid w:val="00852EDD"/>
    <w:rsid w:val="008531F7"/>
    <w:rsid w:val="00853699"/>
    <w:rsid w:val="00853996"/>
    <w:rsid w:val="00853CA4"/>
    <w:rsid w:val="00853CDA"/>
    <w:rsid w:val="0085498D"/>
    <w:rsid w:val="00854D2D"/>
    <w:rsid w:val="00856753"/>
    <w:rsid w:val="0085682A"/>
    <w:rsid w:val="00856847"/>
    <w:rsid w:val="00857111"/>
    <w:rsid w:val="0086083C"/>
    <w:rsid w:val="00861781"/>
    <w:rsid w:val="008623D8"/>
    <w:rsid w:val="00862631"/>
    <w:rsid w:val="00863523"/>
    <w:rsid w:val="008640AC"/>
    <w:rsid w:val="00864998"/>
    <w:rsid w:val="00864C78"/>
    <w:rsid w:val="00864FF3"/>
    <w:rsid w:val="00865067"/>
    <w:rsid w:val="0086567F"/>
    <w:rsid w:val="00865732"/>
    <w:rsid w:val="0086594F"/>
    <w:rsid w:val="00866C31"/>
    <w:rsid w:val="0086751B"/>
    <w:rsid w:val="0087018A"/>
    <w:rsid w:val="008703BF"/>
    <w:rsid w:val="00871842"/>
    <w:rsid w:val="0087291D"/>
    <w:rsid w:val="00873205"/>
    <w:rsid w:val="00873D71"/>
    <w:rsid w:val="00873EA6"/>
    <w:rsid w:val="008744FB"/>
    <w:rsid w:val="00875471"/>
    <w:rsid w:val="00876F09"/>
    <w:rsid w:val="00877F07"/>
    <w:rsid w:val="008803A0"/>
    <w:rsid w:val="008804BF"/>
    <w:rsid w:val="008806F5"/>
    <w:rsid w:val="00880EE9"/>
    <w:rsid w:val="00880F45"/>
    <w:rsid w:val="00882EF8"/>
    <w:rsid w:val="00882F25"/>
    <w:rsid w:val="00882FC1"/>
    <w:rsid w:val="00883C44"/>
    <w:rsid w:val="00883FD3"/>
    <w:rsid w:val="0088603C"/>
    <w:rsid w:val="008860B3"/>
    <w:rsid w:val="0088627D"/>
    <w:rsid w:val="008863E4"/>
    <w:rsid w:val="008864A1"/>
    <w:rsid w:val="0089122D"/>
    <w:rsid w:val="008918CF"/>
    <w:rsid w:val="00891C79"/>
    <w:rsid w:val="00891E00"/>
    <w:rsid w:val="00891F5D"/>
    <w:rsid w:val="00892106"/>
    <w:rsid w:val="008922C2"/>
    <w:rsid w:val="0089240E"/>
    <w:rsid w:val="00892482"/>
    <w:rsid w:val="00892595"/>
    <w:rsid w:val="008935ED"/>
    <w:rsid w:val="0089453F"/>
    <w:rsid w:val="0089628F"/>
    <w:rsid w:val="0089648B"/>
    <w:rsid w:val="008968CC"/>
    <w:rsid w:val="008975C7"/>
    <w:rsid w:val="00897805"/>
    <w:rsid w:val="00897871"/>
    <w:rsid w:val="008A01CA"/>
    <w:rsid w:val="008A06D1"/>
    <w:rsid w:val="008A0B46"/>
    <w:rsid w:val="008A150E"/>
    <w:rsid w:val="008A1E48"/>
    <w:rsid w:val="008A1FE7"/>
    <w:rsid w:val="008A2E23"/>
    <w:rsid w:val="008A3712"/>
    <w:rsid w:val="008A3742"/>
    <w:rsid w:val="008A37E2"/>
    <w:rsid w:val="008A4928"/>
    <w:rsid w:val="008A4A6D"/>
    <w:rsid w:val="008A4ADF"/>
    <w:rsid w:val="008A50D5"/>
    <w:rsid w:val="008A66E9"/>
    <w:rsid w:val="008A6862"/>
    <w:rsid w:val="008A7714"/>
    <w:rsid w:val="008A7E8D"/>
    <w:rsid w:val="008B010B"/>
    <w:rsid w:val="008B0AB2"/>
    <w:rsid w:val="008B0CA1"/>
    <w:rsid w:val="008B1A84"/>
    <w:rsid w:val="008B1F4D"/>
    <w:rsid w:val="008B309B"/>
    <w:rsid w:val="008B4DD7"/>
    <w:rsid w:val="008B5076"/>
    <w:rsid w:val="008B5BAE"/>
    <w:rsid w:val="008B5D2E"/>
    <w:rsid w:val="008B63D5"/>
    <w:rsid w:val="008B6A80"/>
    <w:rsid w:val="008B751E"/>
    <w:rsid w:val="008C0F8F"/>
    <w:rsid w:val="008C1FF7"/>
    <w:rsid w:val="008C2042"/>
    <w:rsid w:val="008C2491"/>
    <w:rsid w:val="008C28A3"/>
    <w:rsid w:val="008C2E76"/>
    <w:rsid w:val="008C2EB1"/>
    <w:rsid w:val="008C4AA2"/>
    <w:rsid w:val="008C4F17"/>
    <w:rsid w:val="008C63E6"/>
    <w:rsid w:val="008C6957"/>
    <w:rsid w:val="008C6DFE"/>
    <w:rsid w:val="008C73B0"/>
    <w:rsid w:val="008C7643"/>
    <w:rsid w:val="008C78F9"/>
    <w:rsid w:val="008C797E"/>
    <w:rsid w:val="008C7C58"/>
    <w:rsid w:val="008C7C72"/>
    <w:rsid w:val="008D0222"/>
    <w:rsid w:val="008D038C"/>
    <w:rsid w:val="008D0548"/>
    <w:rsid w:val="008D245F"/>
    <w:rsid w:val="008D29A7"/>
    <w:rsid w:val="008D2CD6"/>
    <w:rsid w:val="008D3147"/>
    <w:rsid w:val="008D3F03"/>
    <w:rsid w:val="008D4B2A"/>
    <w:rsid w:val="008D4FE1"/>
    <w:rsid w:val="008D5A0B"/>
    <w:rsid w:val="008D6F7C"/>
    <w:rsid w:val="008D7897"/>
    <w:rsid w:val="008E1A92"/>
    <w:rsid w:val="008E1D84"/>
    <w:rsid w:val="008E21C2"/>
    <w:rsid w:val="008E2B13"/>
    <w:rsid w:val="008E43AE"/>
    <w:rsid w:val="008E4B6F"/>
    <w:rsid w:val="008E5545"/>
    <w:rsid w:val="008E5B2C"/>
    <w:rsid w:val="008E637F"/>
    <w:rsid w:val="008E6CDB"/>
    <w:rsid w:val="008E7B87"/>
    <w:rsid w:val="008E7D35"/>
    <w:rsid w:val="008E7F96"/>
    <w:rsid w:val="008F0091"/>
    <w:rsid w:val="008F0440"/>
    <w:rsid w:val="008F18E8"/>
    <w:rsid w:val="008F2835"/>
    <w:rsid w:val="008F453C"/>
    <w:rsid w:val="008F4D4B"/>
    <w:rsid w:val="008F5B55"/>
    <w:rsid w:val="008F6217"/>
    <w:rsid w:val="008F673C"/>
    <w:rsid w:val="008F6FE0"/>
    <w:rsid w:val="008F7B1D"/>
    <w:rsid w:val="008F7BE7"/>
    <w:rsid w:val="009008BE"/>
    <w:rsid w:val="00900CB7"/>
    <w:rsid w:val="0090139F"/>
    <w:rsid w:val="00902DD6"/>
    <w:rsid w:val="0090318F"/>
    <w:rsid w:val="009043C4"/>
    <w:rsid w:val="009047BF"/>
    <w:rsid w:val="00904854"/>
    <w:rsid w:val="00904EAC"/>
    <w:rsid w:val="00904F3A"/>
    <w:rsid w:val="00910504"/>
    <w:rsid w:val="00910A80"/>
    <w:rsid w:val="009110FB"/>
    <w:rsid w:val="00912DA1"/>
    <w:rsid w:val="00913471"/>
    <w:rsid w:val="00913FD3"/>
    <w:rsid w:val="00914F1C"/>
    <w:rsid w:val="009151B5"/>
    <w:rsid w:val="00915B35"/>
    <w:rsid w:val="0091604D"/>
    <w:rsid w:val="00916C0B"/>
    <w:rsid w:val="009172FC"/>
    <w:rsid w:val="009204DD"/>
    <w:rsid w:val="00920FA3"/>
    <w:rsid w:val="00921CB0"/>
    <w:rsid w:val="00921EB5"/>
    <w:rsid w:val="00922639"/>
    <w:rsid w:val="009238F6"/>
    <w:rsid w:val="009246B9"/>
    <w:rsid w:val="00924900"/>
    <w:rsid w:val="00924BC2"/>
    <w:rsid w:val="0092529D"/>
    <w:rsid w:val="0092646B"/>
    <w:rsid w:val="0092674E"/>
    <w:rsid w:val="00927876"/>
    <w:rsid w:val="00927A30"/>
    <w:rsid w:val="00927E6F"/>
    <w:rsid w:val="00930334"/>
    <w:rsid w:val="00930CF7"/>
    <w:rsid w:val="00930EE8"/>
    <w:rsid w:val="00931417"/>
    <w:rsid w:val="009314F9"/>
    <w:rsid w:val="009319E0"/>
    <w:rsid w:val="00931BB0"/>
    <w:rsid w:val="0093208C"/>
    <w:rsid w:val="0093232E"/>
    <w:rsid w:val="00932649"/>
    <w:rsid w:val="009326E8"/>
    <w:rsid w:val="00932FA2"/>
    <w:rsid w:val="00933173"/>
    <w:rsid w:val="00933D68"/>
    <w:rsid w:val="00934620"/>
    <w:rsid w:val="00934F93"/>
    <w:rsid w:val="009362BF"/>
    <w:rsid w:val="00936631"/>
    <w:rsid w:val="00936E8E"/>
    <w:rsid w:val="00940116"/>
    <w:rsid w:val="00940A34"/>
    <w:rsid w:val="00940C3A"/>
    <w:rsid w:val="00941C9A"/>
    <w:rsid w:val="00942074"/>
    <w:rsid w:val="00942C6C"/>
    <w:rsid w:val="00943557"/>
    <w:rsid w:val="00943F84"/>
    <w:rsid w:val="00944416"/>
    <w:rsid w:val="00944A90"/>
    <w:rsid w:val="00945551"/>
    <w:rsid w:val="00945A3E"/>
    <w:rsid w:val="0094665A"/>
    <w:rsid w:val="00946830"/>
    <w:rsid w:val="00946A50"/>
    <w:rsid w:val="00950F75"/>
    <w:rsid w:val="00951A8E"/>
    <w:rsid w:val="00951F17"/>
    <w:rsid w:val="0095225D"/>
    <w:rsid w:val="009527B5"/>
    <w:rsid w:val="009527C7"/>
    <w:rsid w:val="00953BF9"/>
    <w:rsid w:val="00953F2B"/>
    <w:rsid w:val="00953FD5"/>
    <w:rsid w:val="00954226"/>
    <w:rsid w:val="00954C15"/>
    <w:rsid w:val="00955C55"/>
    <w:rsid w:val="00955D3F"/>
    <w:rsid w:val="009561C8"/>
    <w:rsid w:val="00956C4B"/>
    <w:rsid w:val="00956CFA"/>
    <w:rsid w:val="00957471"/>
    <w:rsid w:val="009605C5"/>
    <w:rsid w:val="00960984"/>
    <w:rsid w:val="00960C9E"/>
    <w:rsid w:val="00962036"/>
    <w:rsid w:val="009624DE"/>
    <w:rsid w:val="00962FD0"/>
    <w:rsid w:val="009639E6"/>
    <w:rsid w:val="00963BA5"/>
    <w:rsid w:val="009650FA"/>
    <w:rsid w:val="009654D3"/>
    <w:rsid w:val="00965DDA"/>
    <w:rsid w:val="00965DDC"/>
    <w:rsid w:val="00966009"/>
    <w:rsid w:val="009664B9"/>
    <w:rsid w:val="0096680E"/>
    <w:rsid w:val="00966D3E"/>
    <w:rsid w:val="00967931"/>
    <w:rsid w:val="00967C36"/>
    <w:rsid w:val="00970CA8"/>
    <w:rsid w:val="009716CE"/>
    <w:rsid w:val="00971FC9"/>
    <w:rsid w:val="009722EB"/>
    <w:rsid w:val="00972396"/>
    <w:rsid w:val="00973229"/>
    <w:rsid w:val="009738B3"/>
    <w:rsid w:val="00973F21"/>
    <w:rsid w:val="009742B9"/>
    <w:rsid w:val="00974945"/>
    <w:rsid w:val="00975276"/>
    <w:rsid w:val="00975413"/>
    <w:rsid w:val="00977926"/>
    <w:rsid w:val="00977E20"/>
    <w:rsid w:val="00980013"/>
    <w:rsid w:val="0098007F"/>
    <w:rsid w:val="0098258B"/>
    <w:rsid w:val="009826D4"/>
    <w:rsid w:val="00982BFA"/>
    <w:rsid w:val="009852CB"/>
    <w:rsid w:val="00985966"/>
    <w:rsid w:val="00986343"/>
    <w:rsid w:val="009873C4"/>
    <w:rsid w:val="009877BE"/>
    <w:rsid w:val="00990A92"/>
    <w:rsid w:val="00990D21"/>
    <w:rsid w:val="00991209"/>
    <w:rsid w:val="00991278"/>
    <w:rsid w:val="00991A06"/>
    <w:rsid w:val="00992935"/>
    <w:rsid w:val="00992E7F"/>
    <w:rsid w:val="00994C9E"/>
    <w:rsid w:val="00995293"/>
    <w:rsid w:val="00995BC4"/>
    <w:rsid w:val="00997196"/>
    <w:rsid w:val="00997895"/>
    <w:rsid w:val="00997F35"/>
    <w:rsid w:val="009A0178"/>
    <w:rsid w:val="009A1385"/>
    <w:rsid w:val="009A20A1"/>
    <w:rsid w:val="009A2227"/>
    <w:rsid w:val="009A31CC"/>
    <w:rsid w:val="009A542A"/>
    <w:rsid w:val="009A5575"/>
    <w:rsid w:val="009A70E8"/>
    <w:rsid w:val="009B04E5"/>
    <w:rsid w:val="009B296B"/>
    <w:rsid w:val="009B34CC"/>
    <w:rsid w:val="009B3B40"/>
    <w:rsid w:val="009B3B8B"/>
    <w:rsid w:val="009B4123"/>
    <w:rsid w:val="009B44FC"/>
    <w:rsid w:val="009B4699"/>
    <w:rsid w:val="009B4984"/>
    <w:rsid w:val="009B4A78"/>
    <w:rsid w:val="009B5DC8"/>
    <w:rsid w:val="009B601E"/>
    <w:rsid w:val="009B61DD"/>
    <w:rsid w:val="009B621E"/>
    <w:rsid w:val="009B645C"/>
    <w:rsid w:val="009B7BA3"/>
    <w:rsid w:val="009C04C9"/>
    <w:rsid w:val="009C0E24"/>
    <w:rsid w:val="009C15ED"/>
    <w:rsid w:val="009C1CA8"/>
    <w:rsid w:val="009C1D70"/>
    <w:rsid w:val="009C201C"/>
    <w:rsid w:val="009C2122"/>
    <w:rsid w:val="009C22A7"/>
    <w:rsid w:val="009C2809"/>
    <w:rsid w:val="009C3D89"/>
    <w:rsid w:val="009C3E2C"/>
    <w:rsid w:val="009C495C"/>
    <w:rsid w:val="009C6BB8"/>
    <w:rsid w:val="009C6FBD"/>
    <w:rsid w:val="009C7263"/>
    <w:rsid w:val="009C7786"/>
    <w:rsid w:val="009C7AFE"/>
    <w:rsid w:val="009D033F"/>
    <w:rsid w:val="009D0CA2"/>
    <w:rsid w:val="009D1DCD"/>
    <w:rsid w:val="009D257A"/>
    <w:rsid w:val="009D2AE2"/>
    <w:rsid w:val="009D3744"/>
    <w:rsid w:val="009D44C6"/>
    <w:rsid w:val="009D4688"/>
    <w:rsid w:val="009D5789"/>
    <w:rsid w:val="009D5EDD"/>
    <w:rsid w:val="009D7066"/>
    <w:rsid w:val="009D70E7"/>
    <w:rsid w:val="009D724B"/>
    <w:rsid w:val="009D72AA"/>
    <w:rsid w:val="009D73F1"/>
    <w:rsid w:val="009E02C8"/>
    <w:rsid w:val="009E1008"/>
    <w:rsid w:val="009E175F"/>
    <w:rsid w:val="009E1B92"/>
    <w:rsid w:val="009E1E7D"/>
    <w:rsid w:val="009E2329"/>
    <w:rsid w:val="009E2EA0"/>
    <w:rsid w:val="009E350A"/>
    <w:rsid w:val="009E56E4"/>
    <w:rsid w:val="009E587D"/>
    <w:rsid w:val="009E64C3"/>
    <w:rsid w:val="009E758C"/>
    <w:rsid w:val="009E76B9"/>
    <w:rsid w:val="009E7E31"/>
    <w:rsid w:val="009F0007"/>
    <w:rsid w:val="009F03A0"/>
    <w:rsid w:val="009F06B6"/>
    <w:rsid w:val="009F0E16"/>
    <w:rsid w:val="009F1BD9"/>
    <w:rsid w:val="009F1CFD"/>
    <w:rsid w:val="009F23F6"/>
    <w:rsid w:val="009F2671"/>
    <w:rsid w:val="009F3250"/>
    <w:rsid w:val="009F3EF6"/>
    <w:rsid w:val="009F47A7"/>
    <w:rsid w:val="009F4B59"/>
    <w:rsid w:val="009F5EE2"/>
    <w:rsid w:val="009F6114"/>
    <w:rsid w:val="009F6D23"/>
    <w:rsid w:val="009F7490"/>
    <w:rsid w:val="009F760F"/>
    <w:rsid w:val="009F7C4C"/>
    <w:rsid w:val="00A012C2"/>
    <w:rsid w:val="00A01CBF"/>
    <w:rsid w:val="00A025B9"/>
    <w:rsid w:val="00A028EF"/>
    <w:rsid w:val="00A04B3B"/>
    <w:rsid w:val="00A05735"/>
    <w:rsid w:val="00A05E50"/>
    <w:rsid w:val="00A064B9"/>
    <w:rsid w:val="00A071A7"/>
    <w:rsid w:val="00A1084F"/>
    <w:rsid w:val="00A13448"/>
    <w:rsid w:val="00A14ABE"/>
    <w:rsid w:val="00A15147"/>
    <w:rsid w:val="00A152B0"/>
    <w:rsid w:val="00A1534F"/>
    <w:rsid w:val="00A154BA"/>
    <w:rsid w:val="00A15AA7"/>
    <w:rsid w:val="00A15C4F"/>
    <w:rsid w:val="00A16041"/>
    <w:rsid w:val="00A1780F"/>
    <w:rsid w:val="00A2087F"/>
    <w:rsid w:val="00A21FD3"/>
    <w:rsid w:val="00A22713"/>
    <w:rsid w:val="00A22C85"/>
    <w:rsid w:val="00A2388F"/>
    <w:rsid w:val="00A23ED6"/>
    <w:rsid w:val="00A240D8"/>
    <w:rsid w:val="00A244EE"/>
    <w:rsid w:val="00A24F54"/>
    <w:rsid w:val="00A25845"/>
    <w:rsid w:val="00A259BF"/>
    <w:rsid w:val="00A26250"/>
    <w:rsid w:val="00A266A7"/>
    <w:rsid w:val="00A269D1"/>
    <w:rsid w:val="00A270FC"/>
    <w:rsid w:val="00A27508"/>
    <w:rsid w:val="00A276E8"/>
    <w:rsid w:val="00A30A0B"/>
    <w:rsid w:val="00A31DA0"/>
    <w:rsid w:val="00A3269B"/>
    <w:rsid w:val="00A32734"/>
    <w:rsid w:val="00A32977"/>
    <w:rsid w:val="00A32FB1"/>
    <w:rsid w:val="00A34258"/>
    <w:rsid w:val="00A3516F"/>
    <w:rsid w:val="00A35FE7"/>
    <w:rsid w:val="00A36120"/>
    <w:rsid w:val="00A361C0"/>
    <w:rsid w:val="00A36E16"/>
    <w:rsid w:val="00A4011F"/>
    <w:rsid w:val="00A40ADA"/>
    <w:rsid w:val="00A40FF8"/>
    <w:rsid w:val="00A41DE7"/>
    <w:rsid w:val="00A43FE3"/>
    <w:rsid w:val="00A440E9"/>
    <w:rsid w:val="00A452AF"/>
    <w:rsid w:val="00A45B19"/>
    <w:rsid w:val="00A46455"/>
    <w:rsid w:val="00A46B84"/>
    <w:rsid w:val="00A46EBE"/>
    <w:rsid w:val="00A47BF9"/>
    <w:rsid w:val="00A507B9"/>
    <w:rsid w:val="00A51AD9"/>
    <w:rsid w:val="00A51BA4"/>
    <w:rsid w:val="00A51E64"/>
    <w:rsid w:val="00A52097"/>
    <w:rsid w:val="00A522E1"/>
    <w:rsid w:val="00A52889"/>
    <w:rsid w:val="00A53013"/>
    <w:rsid w:val="00A53023"/>
    <w:rsid w:val="00A53033"/>
    <w:rsid w:val="00A5361D"/>
    <w:rsid w:val="00A54CC5"/>
    <w:rsid w:val="00A55A10"/>
    <w:rsid w:val="00A56256"/>
    <w:rsid w:val="00A5664D"/>
    <w:rsid w:val="00A57211"/>
    <w:rsid w:val="00A606FE"/>
    <w:rsid w:val="00A60F5C"/>
    <w:rsid w:val="00A61392"/>
    <w:rsid w:val="00A61412"/>
    <w:rsid w:val="00A61566"/>
    <w:rsid w:val="00A62719"/>
    <w:rsid w:val="00A62CA1"/>
    <w:rsid w:val="00A64737"/>
    <w:rsid w:val="00A64C69"/>
    <w:rsid w:val="00A654DB"/>
    <w:rsid w:val="00A65EA2"/>
    <w:rsid w:val="00A66285"/>
    <w:rsid w:val="00A66345"/>
    <w:rsid w:val="00A66600"/>
    <w:rsid w:val="00A66F88"/>
    <w:rsid w:val="00A7209A"/>
    <w:rsid w:val="00A728F7"/>
    <w:rsid w:val="00A73977"/>
    <w:rsid w:val="00A74952"/>
    <w:rsid w:val="00A74D1E"/>
    <w:rsid w:val="00A7638C"/>
    <w:rsid w:val="00A765BF"/>
    <w:rsid w:val="00A7681A"/>
    <w:rsid w:val="00A76B93"/>
    <w:rsid w:val="00A76FD8"/>
    <w:rsid w:val="00A775AF"/>
    <w:rsid w:val="00A7780B"/>
    <w:rsid w:val="00A806EC"/>
    <w:rsid w:val="00A8084B"/>
    <w:rsid w:val="00A80876"/>
    <w:rsid w:val="00A80E15"/>
    <w:rsid w:val="00A81768"/>
    <w:rsid w:val="00A831E8"/>
    <w:rsid w:val="00A84828"/>
    <w:rsid w:val="00A84B7E"/>
    <w:rsid w:val="00A84BD9"/>
    <w:rsid w:val="00A85A29"/>
    <w:rsid w:val="00A85BE2"/>
    <w:rsid w:val="00A85CE8"/>
    <w:rsid w:val="00A86CDC"/>
    <w:rsid w:val="00A871D5"/>
    <w:rsid w:val="00A92238"/>
    <w:rsid w:val="00A92BEF"/>
    <w:rsid w:val="00A94D96"/>
    <w:rsid w:val="00A954C0"/>
    <w:rsid w:val="00A96059"/>
    <w:rsid w:val="00A96261"/>
    <w:rsid w:val="00A963EA"/>
    <w:rsid w:val="00A97110"/>
    <w:rsid w:val="00A97AAF"/>
    <w:rsid w:val="00A97C5A"/>
    <w:rsid w:val="00AA09F4"/>
    <w:rsid w:val="00AA1415"/>
    <w:rsid w:val="00AA1A0B"/>
    <w:rsid w:val="00AA1F10"/>
    <w:rsid w:val="00AA27BC"/>
    <w:rsid w:val="00AA2D0A"/>
    <w:rsid w:val="00AA3044"/>
    <w:rsid w:val="00AA36E3"/>
    <w:rsid w:val="00AA381A"/>
    <w:rsid w:val="00AA3C50"/>
    <w:rsid w:val="00AA3E78"/>
    <w:rsid w:val="00AA4099"/>
    <w:rsid w:val="00AA4219"/>
    <w:rsid w:val="00AA4295"/>
    <w:rsid w:val="00AA44E1"/>
    <w:rsid w:val="00AA4A33"/>
    <w:rsid w:val="00AA4D0B"/>
    <w:rsid w:val="00AA5E24"/>
    <w:rsid w:val="00AA60E6"/>
    <w:rsid w:val="00AA62FB"/>
    <w:rsid w:val="00AA6456"/>
    <w:rsid w:val="00AA7108"/>
    <w:rsid w:val="00AB0838"/>
    <w:rsid w:val="00AB0CB6"/>
    <w:rsid w:val="00AB2A5A"/>
    <w:rsid w:val="00AB40D3"/>
    <w:rsid w:val="00AB424D"/>
    <w:rsid w:val="00AB43BF"/>
    <w:rsid w:val="00AB491E"/>
    <w:rsid w:val="00AB49F8"/>
    <w:rsid w:val="00AB4C16"/>
    <w:rsid w:val="00AB7318"/>
    <w:rsid w:val="00AB7D05"/>
    <w:rsid w:val="00AC0409"/>
    <w:rsid w:val="00AC0A31"/>
    <w:rsid w:val="00AC0D47"/>
    <w:rsid w:val="00AC11EC"/>
    <w:rsid w:val="00AC136A"/>
    <w:rsid w:val="00AC1713"/>
    <w:rsid w:val="00AC193C"/>
    <w:rsid w:val="00AC2A40"/>
    <w:rsid w:val="00AC2B73"/>
    <w:rsid w:val="00AC2D41"/>
    <w:rsid w:val="00AC2E02"/>
    <w:rsid w:val="00AC2F2D"/>
    <w:rsid w:val="00AC3011"/>
    <w:rsid w:val="00AC3F2D"/>
    <w:rsid w:val="00AC5060"/>
    <w:rsid w:val="00AC6D78"/>
    <w:rsid w:val="00AC7CF4"/>
    <w:rsid w:val="00AD0969"/>
    <w:rsid w:val="00AD1C56"/>
    <w:rsid w:val="00AD1D62"/>
    <w:rsid w:val="00AD1E13"/>
    <w:rsid w:val="00AD34B5"/>
    <w:rsid w:val="00AD3DEE"/>
    <w:rsid w:val="00AD4D05"/>
    <w:rsid w:val="00AD50E2"/>
    <w:rsid w:val="00AD5D3E"/>
    <w:rsid w:val="00AD786E"/>
    <w:rsid w:val="00AD7E64"/>
    <w:rsid w:val="00AE0A47"/>
    <w:rsid w:val="00AE0C42"/>
    <w:rsid w:val="00AE0D5D"/>
    <w:rsid w:val="00AE14D2"/>
    <w:rsid w:val="00AE1B8C"/>
    <w:rsid w:val="00AE2EAB"/>
    <w:rsid w:val="00AE30C8"/>
    <w:rsid w:val="00AE343D"/>
    <w:rsid w:val="00AE37AB"/>
    <w:rsid w:val="00AE41BA"/>
    <w:rsid w:val="00AE43D1"/>
    <w:rsid w:val="00AE4463"/>
    <w:rsid w:val="00AE48B5"/>
    <w:rsid w:val="00AE4C7C"/>
    <w:rsid w:val="00AE4EA2"/>
    <w:rsid w:val="00AE4FEC"/>
    <w:rsid w:val="00AE5434"/>
    <w:rsid w:val="00AE5FBE"/>
    <w:rsid w:val="00AE62F4"/>
    <w:rsid w:val="00AE63BD"/>
    <w:rsid w:val="00AE6BB6"/>
    <w:rsid w:val="00AE72FC"/>
    <w:rsid w:val="00AE7955"/>
    <w:rsid w:val="00AF030C"/>
    <w:rsid w:val="00AF05AA"/>
    <w:rsid w:val="00AF0DFE"/>
    <w:rsid w:val="00AF189D"/>
    <w:rsid w:val="00AF2FFE"/>
    <w:rsid w:val="00AF39CD"/>
    <w:rsid w:val="00AF4909"/>
    <w:rsid w:val="00AF4BE5"/>
    <w:rsid w:val="00AF68D7"/>
    <w:rsid w:val="00B001A4"/>
    <w:rsid w:val="00B001B9"/>
    <w:rsid w:val="00B003B7"/>
    <w:rsid w:val="00B00F14"/>
    <w:rsid w:val="00B01898"/>
    <w:rsid w:val="00B01AD3"/>
    <w:rsid w:val="00B02AEC"/>
    <w:rsid w:val="00B0373E"/>
    <w:rsid w:val="00B04877"/>
    <w:rsid w:val="00B04A3C"/>
    <w:rsid w:val="00B0646C"/>
    <w:rsid w:val="00B06AED"/>
    <w:rsid w:val="00B105F4"/>
    <w:rsid w:val="00B10A3F"/>
    <w:rsid w:val="00B11DAC"/>
    <w:rsid w:val="00B1244F"/>
    <w:rsid w:val="00B12C41"/>
    <w:rsid w:val="00B12DAA"/>
    <w:rsid w:val="00B133D1"/>
    <w:rsid w:val="00B13411"/>
    <w:rsid w:val="00B13755"/>
    <w:rsid w:val="00B13B53"/>
    <w:rsid w:val="00B163E8"/>
    <w:rsid w:val="00B16C14"/>
    <w:rsid w:val="00B16E7B"/>
    <w:rsid w:val="00B17049"/>
    <w:rsid w:val="00B1711F"/>
    <w:rsid w:val="00B206C7"/>
    <w:rsid w:val="00B20F98"/>
    <w:rsid w:val="00B2109B"/>
    <w:rsid w:val="00B2176B"/>
    <w:rsid w:val="00B22AB4"/>
    <w:rsid w:val="00B22DE3"/>
    <w:rsid w:val="00B23634"/>
    <w:rsid w:val="00B23FDA"/>
    <w:rsid w:val="00B24258"/>
    <w:rsid w:val="00B25113"/>
    <w:rsid w:val="00B25A8E"/>
    <w:rsid w:val="00B2694C"/>
    <w:rsid w:val="00B26A43"/>
    <w:rsid w:val="00B26CB2"/>
    <w:rsid w:val="00B27E91"/>
    <w:rsid w:val="00B302B9"/>
    <w:rsid w:val="00B309AC"/>
    <w:rsid w:val="00B31796"/>
    <w:rsid w:val="00B32C9D"/>
    <w:rsid w:val="00B32D25"/>
    <w:rsid w:val="00B32E19"/>
    <w:rsid w:val="00B32EB7"/>
    <w:rsid w:val="00B32F9F"/>
    <w:rsid w:val="00B35078"/>
    <w:rsid w:val="00B37B6E"/>
    <w:rsid w:val="00B40333"/>
    <w:rsid w:val="00B41561"/>
    <w:rsid w:val="00B416F0"/>
    <w:rsid w:val="00B421A7"/>
    <w:rsid w:val="00B421E6"/>
    <w:rsid w:val="00B431E7"/>
    <w:rsid w:val="00B437D2"/>
    <w:rsid w:val="00B45CA9"/>
    <w:rsid w:val="00B461D1"/>
    <w:rsid w:val="00B46250"/>
    <w:rsid w:val="00B474F1"/>
    <w:rsid w:val="00B47EA7"/>
    <w:rsid w:val="00B503C7"/>
    <w:rsid w:val="00B5042F"/>
    <w:rsid w:val="00B50471"/>
    <w:rsid w:val="00B50AD7"/>
    <w:rsid w:val="00B519F5"/>
    <w:rsid w:val="00B51ECD"/>
    <w:rsid w:val="00B52973"/>
    <w:rsid w:val="00B52C7C"/>
    <w:rsid w:val="00B537AB"/>
    <w:rsid w:val="00B538D8"/>
    <w:rsid w:val="00B53A0A"/>
    <w:rsid w:val="00B53C55"/>
    <w:rsid w:val="00B53C5B"/>
    <w:rsid w:val="00B53D85"/>
    <w:rsid w:val="00B54963"/>
    <w:rsid w:val="00B551CA"/>
    <w:rsid w:val="00B557C6"/>
    <w:rsid w:val="00B557E9"/>
    <w:rsid w:val="00B55D82"/>
    <w:rsid w:val="00B57688"/>
    <w:rsid w:val="00B602C6"/>
    <w:rsid w:val="00B619EF"/>
    <w:rsid w:val="00B61A50"/>
    <w:rsid w:val="00B62302"/>
    <w:rsid w:val="00B62DE9"/>
    <w:rsid w:val="00B62E58"/>
    <w:rsid w:val="00B6526D"/>
    <w:rsid w:val="00B6632C"/>
    <w:rsid w:val="00B66BC8"/>
    <w:rsid w:val="00B67651"/>
    <w:rsid w:val="00B709DF"/>
    <w:rsid w:val="00B71CA1"/>
    <w:rsid w:val="00B71E58"/>
    <w:rsid w:val="00B72151"/>
    <w:rsid w:val="00B745DA"/>
    <w:rsid w:val="00B74D13"/>
    <w:rsid w:val="00B75456"/>
    <w:rsid w:val="00B75978"/>
    <w:rsid w:val="00B75EDF"/>
    <w:rsid w:val="00B7737E"/>
    <w:rsid w:val="00B77F26"/>
    <w:rsid w:val="00B801F9"/>
    <w:rsid w:val="00B8074D"/>
    <w:rsid w:val="00B81539"/>
    <w:rsid w:val="00B822B6"/>
    <w:rsid w:val="00B82352"/>
    <w:rsid w:val="00B823A7"/>
    <w:rsid w:val="00B82531"/>
    <w:rsid w:val="00B828B5"/>
    <w:rsid w:val="00B82A84"/>
    <w:rsid w:val="00B82FEE"/>
    <w:rsid w:val="00B834F7"/>
    <w:rsid w:val="00B83681"/>
    <w:rsid w:val="00B847D9"/>
    <w:rsid w:val="00B84E23"/>
    <w:rsid w:val="00B8509F"/>
    <w:rsid w:val="00B850AF"/>
    <w:rsid w:val="00B86CA1"/>
    <w:rsid w:val="00B8703D"/>
    <w:rsid w:val="00B905B6"/>
    <w:rsid w:val="00B9073C"/>
    <w:rsid w:val="00B90750"/>
    <w:rsid w:val="00B9243E"/>
    <w:rsid w:val="00B93FE3"/>
    <w:rsid w:val="00B948DC"/>
    <w:rsid w:val="00B94B51"/>
    <w:rsid w:val="00B9559E"/>
    <w:rsid w:val="00B96734"/>
    <w:rsid w:val="00B96EA0"/>
    <w:rsid w:val="00B97178"/>
    <w:rsid w:val="00B97E9B"/>
    <w:rsid w:val="00BA0151"/>
    <w:rsid w:val="00BA07E8"/>
    <w:rsid w:val="00BA0896"/>
    <w:rsid w:val="00BA1113"/>
    <w:rsid w:val="00BA1374"/>
    <w:rsid w:val="00BA1887"/>
    <w:rsid w:val="00BA1C73"/>
    <w:rsid w:val="00BA2875"/>
    <w:rsid w:val="00BA2895"/>
    <w:rsid w:val="00BA2969"/>
    <w:rsid w:val="00BA2D0A"/>
    <w:rsid w:val="00BA3667"/>
    <w:rsid w:val="00BA4467"/>
    <w:rsid w:val="00BA4876"/>
    <w:rsid w:val="00BA4D88"/>
    <w:rsid w:val="00BA577B"/>
    <w:rsid w:val="00BA5DCE"/>
    <w:rsid w:val="00BA6631"/>
    <w:rsid w:val="00BA6BF6"/>
    <w:rsid w:val="00BA6E64"/>
    <w:rsid w:val="00BA729B"/>
    <w:rsid w:val="00BA7B7D"/>
    <w:rsid w:val="00BB06C5"/>
    <w:rsid w:val="00BB17DC"/>
    <w:rsid w:val="00BB234C"/>
    <w:rsid w:val="00BB28F5"/>
    <w:rsid w:val="00BB2EE9"/>
    <w:rsid w:val="00BB37D7"/>
    <w:rsid w:val="00BB3BDA"/>
    <w:rsid w:val="00BB4146"/>
    <w:rsid w:val="00BB435B"/>
    <w:rsid w:val="00BB4D25"/>
    <w:rsid w:val="00BB5486"/>
    <w:rsid w:val="00BB565E"/>
    <w:rsid w:val="00BB5A0B"/>
    <w:rsid w:val="00BB6376"/>
    <w:rsid w:val="00BB797B"/>
    <w:rsid w:val="00BB7CDB"/>
    <w:rsid w:val="00BC0F61"/>
    <w:rsid w:val="00BC20EF"/>
    <w:rsid w:val="00BC2566"/>
    <w:rsid w:val="00BC2731"/>
    <w:rsid w:val="00BC2E48"/>
    <w:rsid w:val="00BC34F4"/>
    <w:rsid w:val="00BC3CBD"/>
    <w:rsid w:val="00BC41B9"/>
    <w:rsid w:val="00BC4862"/>
    <w:rsid w:val="00BC4F02"/>
    <w:rsid w:val="00BC55CE"/>
    <w:rsid w:val="00BC59D0"/>
    <w:rsid w:val="00BC62DC"/>
    <w:rsid w:val="00BC6E58"/>
    <w:rsid w:val="00BD0120"/>
    <w:rsid w:val="00BD0210"/>
    <w:rsid w:val="00BD0F1E"/>
    <w:rsid w:val="00BD1244"/>
    <w:rsid w:val="00BD12BE"/>
    <w:rsid w:val="00BD1D95"/>
    <w:rsid w:val="00BD2D93"/>
    <w:rsid w:val="00BD2EB2"/>
    <w:rsid w:val="00BD3868"/>
    <w:rsid w:val="00BD38ED"/>
    <w:rsid w:val="00BD4D05"/>
    <w:rsid w:val="00BD4F8C"/>
    <w:rsid w:val="00BD6260"/>
    <w:rsid w:val="00BD6BD4"/>
    <w:rsid w:val="00BD6FE8"/>
    <w:rsid w:val="00BD7A6D"/>
    <w:rsid w:val="00BE0238"/>
    <w:rsid w:val="00BE0D2E"/>
    <w:rsid w:val="00BE0D70"/>
    <w:rsid w:val="00BE12B9"/>
    <w:rsid w:val="00BE1E17"/>
    <w:rsid w:val="00BE223D"/>
    <w:rsid w:val="00BE247A"/>
    <w:rsid w:val="00BE290F"/>
    <w:rsid w:val="00BE3494"/>
    <w:rsid w:val="00BE5580"/>
    <w:rsid w:val="00BE619D"/>
    <w:rsid w:val="00BE7688"/>
    <w:rsid w:val="00BF018D"/>
    <w:rsid w:val="00BF0989"/>
    <w:rsid w:val="00BF0BD6"/>
    <w:rsid w:val="00BF124F"/>
    <w:rsid w:val="00BF1BD4"/>
    <w:rsid w:val="00BF1C52"/>
    <w:rsid w:val="00BF24A6"/>
    <w:rsid w:val="00BF37C7"/>
    <w:rsid w:val="00BF48C5"/>
    <w:rsid w:val="00BF4AC2"/>
    <w:rsid w:val="00BF4B11"/>
    <w:rsid w:val="00BF50B9"/>
    <w:rsid w:val="00BF562B"/>
    <w:rsid w:val="00BF683C"/>
    <w:rsid w:val="00BF6CEC"/>
    <w:rsid w:val="00BF6E7A"/>
    <w:rsid w:val="00BF7B46"/>
    <w:rsid w:val="00C013A1"/>
    <w:rsid w:val="00C0176C"/>
    <w:rsid w:val="00C0254A"/>
    <w:rsid w:val="00C02855"/>
    <w:rsid w:val="00C02DEB"/>
    <w:rsid w:val="00C03165"/>
    <w:rsid w:val="00C034AC"/>
    <w:rsid w:val="00C03B19"/>
    <w:rsid w:val="00C05902"/>
    <w:rsid w:val="00C060BF"/>
    <w:rsid w:val="00C06154"/>
    <w:rsid w:val="00C074F6"/>
    <w:rsid w:val="00C10498"/>
    <w:rsid w:val="00C106F5"/>
    <w:rsid w:val="00C10DC2"/>
    <w:rsid w:val="00C10E08"/>
    <w:rsid w:val="00C1146B"/>
    <w:rsid w:val="00C11F24"/>
    <w:rsid w:val="00C1230B"/>
    <w:rsid w:val="00C1361A"/>
    <w:rsid w:val="00C13D87"/>
    <w:rsid w:val="00C13E3B"/>
    <w:rsid w:val="00C1502E"/>
    <w:rsid w:val="00C1529C"/>
    <w:rsid w:val="00C15395"/>
    <w:rsid w:val="00C15B92"/>
    <w:rsid w:val="00C15EA0"/>
    <w:rsid w:val="00C16281"/>
    <w:rsid w:val="00C1766D"/>
    <w:rsid w:val="00C20298"/>
    <w:rsid w:val="00C20E39"/>
    <w:rsid w:val="00C210BB"/>
    <w:rsid w:val="00C215D5"/>
    <w:rsid w:val="00C21D43"/>
    <w:rsid w:val="00C223BF"/>
    <w:rsid w:val="00C2274F"/>
    <w:rsid w:val="00C22D07"/>
    <w:rsid w:val="00C237D2"/>
    <w:rsid w:val="00C23F2A"/>
    <w:rsid w:val="00C2427C"/>
    <w:rsid w:val="00C24579"/>
    <w:rsid w:val="00C2491F"/>
    <w:rsid w:val="00C24DDF"/>
    <w:rsid w:val="00C250A3"/>
    <w:rsid w:val="00C255EC"/>
    <w:rsid w:val="00C26032"/>
    <w:rsid w:val="00C2629B"/>
    <w:rsid w:val="00C2664D"/>
    <w:rsid w:val="00C27230"/>
    <w:rsid w:val="00C27A01"/>
    <w:rsid w:val="00C27C49"/>
    <w:rsid w:val="00C27E66"/>
    <w:rsid w:val="00C30C30"/>
    <w:rsid w:val="00C31D3B"/>
    <w:rsid w:val="00C32A6E"/>
    <w:rsid w:val="00C33395"/>
    <w:rsid w:val="00C33683"/>
    <w:rsid w:val="00C33DA3"/>
    <w:rsid w:val="00C34039"/>
    <w:rsid w:val="00C3424C"/>
    <w:rsid w:val="00C35E40"/>
    <w:rsid w:val="00C35FCF"/>
    <w:rsid w:val="00C3657D"/>
    <w:rsid w:val="00C36E55"/>
    <w:rsid w:val="00C36F4B"/>
    <w:rsid w:val="00C373D6"/>
    <w:rsid w:val="00C416F3"/>
    <w:rsid w:val="00C41800"/>
    <w:rsid w:val="00C4241B"/>
    <w:rsid w:val="00C42FDE"/>
    <w:rsid w:val="00C4308A"/>
    <w:rsid w:val="00C431C9"/>
    <w:rsid w:val="00C43DEC"/>
    <w:rsid w:val="00C44AF0"/>
    <w:rsid w:val="00C4558B"/>
    <w:rsid w:val="00C45CFF"/>
    <w:rsid w:val="00C46CF4"/>
    <w:rsid w:val="00C46E77"/>
    <w:rsid w:val="00C46FF1"/>
    <w:rsid w:val="00C47891"/>
    <w:rsid w:val="00C47A55"/>
    <w:rsid w:val="00C50890"/>
    <w:rsid w:val="00C50B56"/>
    <w:rsid w:val="00C5113A"/>
    <w:rsid w:val="00C5199D"/>
    <w:rsid w:val="00C51A27"/>
    <w:rsid w:val="00C5292E"/>
    <w:rsid w:val="00C53594"/>
    <w:rsid w:val="00C538D9"/>
    <w:rsid w:val="00C53AB8"/>
    <w:rsid w:val="00C5432C"/>
    <w:rsid w:val="00C55C1A"/>
    <w:rsid w:val="00C57123"/>
    <w:rsid w:val="00C571EC"/>
    <w:rsid w:val="00C573C1"/>
    <w:rsid w:val="00C575AC"/>
    <w:rsid w:val="00C57FAD"/>
    <w:rsid w:val="00C6038E"/>
    <w:rsid w:val="00C60CB9"/>
    <w:rsid w:val="00C612DA"/>
    <w:rsid w:val="00C61742"/>
    <w:rsid w:val="00C61F43"/>
    <w:rsid w:val="00C6279F"/>
    <w:rsid w:val="00C63FBD"/>
    <w:rsid w:val="00C644F1"/>
    <w:rsid w:val="00C64E59"/>
    <w:rsid w:val="00C65B8C"/>
    <w:rsid w:val="00C65E38"/>
    <w:rsid w:val="00C66614"/>
    <w:rsid w:val="00C6682D"/>
    <w:rsid w:val="00C67580"/>
    <w:rsid w:val="00C71783"/>
    <w:rsid w:val="00C73195"/>
    <w:rsid w:val="00C74D41"/>
    <w:rsid w:val="00C75233"/>
    <w:rsid w:val="00C756AE"/>
    <w:rsid w:val="00C758FC"/>
    <w:rsid w:val="00C759E0"/>
    <w:rsid w:val="00C762D8"/>
    <w:rsid w:val="00C76E62"/>
    <w:rsid w:val="00C7737C"/>
    <w:rsid w:val="00C77E74"/>
    <w:rsid w:val="00C77EF2"/>
    <w:rsid w:val="00C80399"/>
    <w:rsid w:val="00C80923"/>
    <w:rsid w:val="00C80B65"/>
    <w:rsid w:val="00C81736"/>
    <w:rsid w:val="00C83BF3"/>
    <w:rsid w:val="00C83DC7"/>
    <w:rsid w:val="00C84C34"/>
    <w:rsid w:val="00C84E27"/>
    <w:rsid w:val="00C84E3C"/>
    <w:rsid w:val="00C8516B"/>
    <w:rsid w:val="00C85261"/>
    <w:rsid w:val="00C859B0"/>
    <w:rsid w:val="00C85E7F"/>
    <w:rsid w:val="00C86006"/>
    <w:rsid w:val="00C86049"/>
    <w:rsid w:val="00C86375"/>
    <w:rsid w:val="00C901F3"/>
    <w:rsid w:val="00C9094E"/>
    <w:rsid w:val="00C90BE0"/>
    <w:rsid w:val="00C91244"/>
    <w:rsid w:val="00C91BFC"/>
    <w:rsid w:val="00C92527"/>
    <w:rsid w:val="00C935A4"/>
    <w:rsid w:val="00C93A72"/>
    <w:rsid w:val="00C93EB5"/>
    <w:rsid w:val="00C9564F"/>
    <w:rsid w:val="00C95A84"/>
    <w:rsid w:val="00C96608"/>
    <w:rsid w:val="00C96B82"/>
    <w:rsid w:val="00C97B2D"/>
    <w:rsid w:val="00CA0316"/>
    <w:rsid w:val="00CA03C6"/>
    <w:rsid w:val="00CA05C0"/>
    <w:rsid w:val="00CA06BA"/>
    <w:rsid w:val="00CA11B7"/>
    <w:rsid w:val="00CA39C6"/>
    <w:rsid w:val="00CA4358"/>
    <w:rsid w:val="00CA4A4A"/>
    <w:rsid w:val="00CA4DD3"/>
    <w:rsid w:val="00CA50F5"/>
    <w:rsid w:val="00CA53C0"/>
    <w:rsid w:val="00CA5D56"/>
    <w:rsid w:val="00CA5F7B"/>
    <w:rsid w:val="00CA652F"/>
    <w:rsid w:val="00CA6652"/>
    <w:rsid w:val="00CA6876"/>
    <w:rsid w:val="00CA6978"/>
    <w:rsid w:val="00CA6C8B"/>
    <w:rsid w:val="00CA7090"/>
    <w:rsid w:val="00CA762B"/>
    <w:rsid w:val="00CB0654"/>
    <w:rsid w:val="00CB0BD4"/>
    <w:rsid w:val="00CB122C"/>
    <w:rsid w:val="00CB1EB4"/>
    <w:rsid w:val="00CB2FA9"/>
    <w:rsid w:val="00CB3A83"/>
    <w:rsid w:val="00CB3ACB"/>
    <w:rsid w:val="00CB3CDE"/>
    <w:rsid w:val="00CB3DAF"/>
    <w:rsid w:val="00CB435C"/>
    <w:rsid w:val="00CB5969"/>
    <w:rsid w:val="00CB703E"/>
    <w:rsid w:val="00CC014E"/>
    <w:rsid w:val="00CC01C8"/>
    <w:rsid w:val="00CC0D73"/>
    <w:rsid w:val="00CC1FFC"/>
    <w:rsid w:val="00CC217D"/>
    <w:rsid w:val="00CC226A"/>
    <w:rsid w:val="00CC2ACD"/>
    <w:rsid w:val="00CC341E"/>
    <w:rsid w:val="00CC3FAA"/>
    <w:rsid w:val="00CC426E"/>
    <w:rsid w:val="00CC4291"/>
    <w:rsid w:val="00CC4CEC"/>
    <w:rsid w:val="00CC5DD6"/>
    <w:rsid w:val="00CC5F74"/>
    <w:rsid w:val="00CD05AA"/>
    <w:rsid w:val="00CD09B1"/>
    <w:rsid w:val="00CD11D2"/>
    <w:rsid w:val="00CD1A5B"/>
    <w:rsid w:val="00CD1E44"/>
    <w:rsid w:val="00CD3C4C"/>
    <w:rsid w:val="00CD4D34"/>
    <w:rsid w:val="00CD50D7"/>
    <w:rsid w:val="00CD546E"/>
    <w:rsid w:val="00CD5D54"/>
    <w:rsid w:val="00CD799E"/>
    <w:rsid w:val="00CD7C0E"/>
    <w:rsid w:val="00CE066E"/>
    <w:rsid w:val="00CE08FE"/>
    <w:rsid w:val="00CE0F3C"/>
    <w:rsid w:val="00CE11E9"/>
    <w:rsid w:val="00CE14E2"/>
    <w:rsid w:val="00CE19B3"/>
    <w:rsid w:val="00CE2B30"/>
    <w:rsid w:val="00CE2BD4"/>
    <w:rsid w:val="00CE4253"/>
    <w:rsid w:val="00CE4300"/>
    <w:rsid w:val="00CE44F6"/>
    <w:rsid w:val="00CE469A"/>
    <w:rsid w:val="00CE5487"/>
    <w:rsid w:val="00CE5735"/>
    <w:rsid w:val="00CE6272"/>
    <w:rsid w:val="00CE62C4"/>
    <w:rsid w:val="00CE6E11"/>
    <w:rsid w:val="00CF0BB4"/>
    <w:rsid w:val="00CF0BF7"/>
    <w:rsid w:val="00CF1E17"/>
    <w:rsid w:val="00CF202B"/>
    <w:rsid w:val="00CF211C"/>
    <w:rsid w:val="00CF2380"/>
    <w:rsid w:val="00CF26B4"/>
    <w:rsid w:val="00CF2F0C"/>
    <w:rsid w:val="00CF3FD0"/>
    <w:rsid w:val="00CF65C0"/>
    <w:rsid w:val="00CF6D88"/>
    <w:rsid w:val="00CF79B5"/>
    <w:rsid w:val="00D00178"/>
    <w:rsid w:val="00D00A27"/>
    <w:rsid w:val="00D00B6A"/>
    <w:rsid w:val="00D00EA4"/>
    <w:rsid w:val="00D01D17"/>
    <w:rsid w:val="00D0254E"/>
    <w:rsid w:val="00D02799"/>
    <w:rsid w:val="00D03139"/>
    <w:rsid w:val="00D033C3"/>
    <w:rsid w:val="00D03D2F"/>
    <w:rsid w:val="00D03D92"/>
    <w:rsid w:val="00D048DC"/>
    <w:rsid w:val="00D04915"/>
    <w:rsid w:val="00D05269"/>
    <w:rsid w:val="00D0648D"/>
    <w:rsid w:val="00D0688B"/>
    <w:rsid w:val="00D06F98"/>
    <w:rsid w:val="00D074C5"/>
    <w:rsid w:val="00D07802"/>
    <w:rsid w:val="00D07C01"/>
    <w:rsid w:val="00D113EF"/>
    <w:rsid w:val="00D1285C"/>
    <w:rsid w:val="00D1294D"/>
    <w:rsid w:val="00D12CF9"/>
    <w:rsid w:val="00D1375B"/>
    <w:rsid w:val="00D140AA"/>
    <w:rsid w:val="00D153BE"/>
    <w:rsid w:val="00D17097"/>
    <w:rsid w:val="00D1775A"/>
    <w:rsid w:val="00D2305F"/>
    <w:rsid w:val="00D2348D"/>
    <w:rsid w:val="00D23514"/>
    <w:rsid w:val="00D239F0"/>
    <w:rsid w:val="00D24BC5"/>
    <w:rsid w:val="00D253C1"/>
    <w:rsid w:val="00D26BAA"/>
    <w:rsid w:val="00D27168"/>
    <w:rsid w:val="00D27740"/>
    <w:rsid w:val="00D30D4F"/>
    <w:rsid w:val="00D317A0"/>
    <w:rsid w:val="00D31968"/>
    <w:rsid w:val="00D31B4D"/>
    <w:rsid w:val="00D31C93"/>
    <w:rsid w:val="00D31D7B"/>
    <w:rsid w:val="00D327BC"/>
    <w:rsid w:val="00D33195"/>
    <w:rsid w:val="00D337C7"/>
    <w:rsid w:val="00D34AC9"/>
    <w:rsid w:val="00D34B39"/>
    <w:rsid w:val="00D34DB0"/>
    <w:rsid w:val="00D36444"/>
    <w:rsid w:val="00D36585"/>
    <w:rsid w:val="00D365EB"/>
    <w:rsid w:val="00D36B1A"/>
    <w:rsid w:val="00D36DC4"/>
    <w:rsid w:val="00D370DB"/>
    <w:rsid w:val="00D40D6F"/>
    <w:rsid w:val="00D41571"/>
    <w:rsid w:val="00D41892"/>
    <w:rsid w:val="00D41B2E"/>
    <w:rsid w:val="00D41E63"/>
    <w:rsid w:val="00D42122"/>
    <w:rsid w:val="00D42863"/>
    <w:rsid w:val="00D42944"/>
    <w:rsid w:val="00D42CA6"/>
    <w:rsid w:val="00D43997"/>
    <w:rsid w:val="00D44367"/>
    <w:rsid w:val="00D44B10"/>
    <w:rsid w:val="00D44F51"/>
    <w:rsid w:val="00D452EE"/>
    <w:rsid w:val="00D461AC"/>
    <w:rsid w:val="00D46217"/>
    <w:rsid w:val="00D4758F"/>
    <w:rsid w:val="00D5003F"/>
    <w:rsid w:val="00D50395"/>
    <w:rsid w:val="00D50E56"/>
    <w:rsid w:val="00D50EE5"/>
    <w:rsid w:val="00D50F8D"/>
    <w:rsid w:val="00D512C4"/>
    <w:rsid w:val="00D514DB"/>
    <w:rsid w:val="00D51639"/>
    <w:rsid w:val="00D518F4"/>
    <w:rsid w:val="00D51DCB"/>
    <w:rsid w:val="00D52381"/>
    <w:rsid w:val="00D52E4A"/>
    <w:rsid w:val="00D54BE5"/>
    <w:rsid w:val="00D56284"/>
    <w:rsid w:val="00D562C2"/>
    <w:rsid w:val="00D56891"/>
    <w:rsid w:val="00D605FA"/>
    <w:rsid w:val="00D6060E"/>
    <w:rsid w:val="00D61608"/>
    <w:rsid w:val="00D65111"/>
    <w:rsid w:val="00D6541D"/>
    <w:rsid w:val="00D65E69"/>
    <w:rsid w:val="00D668AA"/>
    <w:rsid w:val="00D66BDE"/>
    <w:rsid w:val="00D67FD7"/>
    <w:rsid w:val="00D71083"/>
    <w:rsid w:val="00D71C55"/>
    <w:rsid w:val="00D71D6A"/>
    <w:rsid w:val="00D71ECD"/>
    <w:rsid w:val="00D72ABE"/>
    <w:rsid w:val="00D72C14"/>
    <w:rsid w:val="00D73237"/>
    <w:rsid w:val="00D75210"/>
    <w:rsid w:val="00D80571"/>
    <w:rsid w:val="00D810A8"/>
    <w:rsid w:val="00D814D1"/>
    <w:rsid w:val="00D816DB"/>
    <w:rsid w:val="00D819D1"/>
    <w:rsid w:val="00D82380"/>
    <w:rsid w:val="00D8365F"/>
    <w:rsid w:val="00D839FA"/>
    <w:rsid w:val="00D859CB"/>
    <w:rsid w:val="00D86610"/>
    <w:rsid w:val="00D872A2"/>
    <w:rsid w:val="00D91396"/>
    <w:rsid w:val="00D913E6"/>
    <w:rsid w:val="00D91B5A"/>
    <w:rsid w:val="00D91C84"/>
    <w:rsid w:val="00D91E84"/>
    <w:rsid w:val="00D91F48"/>
    <w:rsid w:val="00D928E3"/>
    <w:rsid w:val="00D929C0"/>
    <w:rsid w:val="00D93C29"/>
    <w:rsid w:val="00D93DA6"/>
    <w:rsid w:val="00D9569D"/>
    <w:rsid w:val="00D95AD7"/>
    <w:rsid w:val="00D96543"/>
    <w:rsid w:val="00D965F5"/>
    <w:rsid w:val="00D96FE6"/>
    <w:rsid w:val="00D97044"/>
    <w:rsid w:val="00D9719E"/>
    <w:rsid w:val="00D97409"/>
    <w:rsid w:val="00D97F54"/>
    <w:rsid w:val="00DA0164"/>
    <w:rsid w:val="00DA0A50"/>
    <w:rsid w:val="00DA0F69"/>
    <w:rsid w:val="00DA46C6"/>
    <w:rsid w:val="00DA48F0"/>
    <w:rsid w:val="00DA49D4"/>
    <w:rsid w:val="00DA4D03"/>
    <w:rsid w:val="00DA6639"/>
    <w:rsid w:val="00DA6ED3"/>
    <w:rsid w:val="00DB01EE"/>
    <w:rsid w:val="00DB0D4D"/>
    <w:rsid w:val="00DB1ABE"/>
    <w:rsid w:val="00DB22BF"/>
    <w:rsid w:val="00DB32B0"/>
    <w:rsid w:val="00DB40A3"/>
    <w:rsid w:val="00DB40D5"/>
    <w:rsid w:val="00DB4967"/>
    <w:rsid w:val="00DB4DB0"/>
    <w:rsid w:val="00DB4E79"/>
    <w:rsid w:val="00DB5245"/>
    <w:rsid w:val="00DB5C79"/>
    <w:rsid w:val="00DB6E2A"/>
    <w:rsid w:val="00DB6FD4"/>
    <w:rsid w:val="00DB7BBD"/>
    <w:rsid w:val="00DC0A27"/>
    <w:rsid w:val="00DC12E3"/>
    <w:rsid w:val="00DC15CA"/>
    <w:rsid w:val="00DC190F"/>
    <w:rsid w:val="00DC19FC"/>
    <w:rsid w:val="00DC242D"/>
    <w:rsid w:val="00DC3305"/>
    <w:rsid w:val="00DC4251"/>
    <w:rsid w:val="00DC42A0"/>
    <w:rsid w:val="00DC4800"/>
    <w:rsid w:val="00DC50AA"/>
    <w:rsid w:val="00DC63F6"/>
    <w:rsid w:val="00DC6471"/>
    <w:rsid w:val="00DC691A"/>
    <w:rsid w:val="00DC74FC"/>
    <w:rsid w:val="00DC7D48"/>
    <w:rsid w:val="00DD048E"/>
    <w:rsid w:val="00DD09C0"/>
    <w:rsid w:val="00DD1FA9"/>
    <w:rsid w:val="00DD2CB9"/>
    <w:rsid w:val="00DD2E19"/>
    <w:rsid w:val="00DD31FC"/>
    <w:rsid w:val="00DD35F3"/>
    <w:rsid w:val="00DD3C77"/>
    <w:rsid w:val="00DD3EBF"/>
    <w:rsid w:val="00DD578F"/>
    <w:rsid w:val="00DD5969"/>
    <w:rsid w:val="00DD5BCD"/>
    <w:rsid w:val="00DD6008"/>
    <w:rsid w:val="00DD64C9"/>
    <w:rsid w:val="00DD6BB2"/>
    <w:rsid w:val="00DD716C"/>
    <w:rsid w:val="00DD7394"/>
    <w:rsid w:val="00DD7D90"/>
    <w:rsid w:val="00DE0788"/>
    <w:rsid w:val="00DE0922"/>
    <w:rsid w:val="00DE0B7C"/>
    <w:rsid w:val="00DE0D68"/>
    <w:rsid w:val="00DE1141"/>
    <w:rsid w:val="00DE14A2"/>
    <w:rsid w:val="00DE2154"/>
    <w:rsid w:val="00DE2372"/>
    <w:rsid w:val="00DE344C"/>
    <w:rsid w:val="00DE3495"/>
    <w:rsid w:val="00DE3658"/>
    <w:rsid w:val="00DE3E26"/>
    <w:rsid w:val="00DE511E"/>
    <w:rsid w:val="00DE5F5D"/>
    <w:rsid w:val="00DE6262"/>
    <w:rsid w:val="00DE6CB4"/>
    <w:rsid w:val="00DE6E01"/>
    <w:rsid w:val="00DF00ED"/>
    <w:rsid w:val="00DF050C"/>
    <w:rsid w:val="00DF0F57"/>
    <w:rsid w:val="00DF0FD5"/>
    <w:rsid w:val="00DF1F25"/>
    <w:rsid w:val="00DF2483"/>
    <w:rsid w:val="00DF4721"/>
    <w:rsid w:val="00DF4DC7"/>
    <w:rsid w:val="00DF4FBA"/>
    <w:rsid w:val="00DF56E9"/>
    <w:rsid w:val="00DF577C"/>
    <w:rsid w:val="00DF604D"/>
    <w:rsid w:val="00DF740D"/>
    <w:rsid w:val="00DF7C5A"/>
    <w:rsid w:val="00E0017D"/>
    <w:rsid w:val="00E00471"/>
    <w:rsid w:val="00E02BD1"/>
    <w:rsid w:val="00E032D2"/>
    <w:rsid w:val="00E03BA9"/>
    <w:rsid w:val="00E04504"/>
    <w:rsid w:val="00E04732"/>
    <w:rsid w:val="00E04B39"/>
    <w:rsid w:val="00E066EF"/>
    <w:rsid w:val="00E06703"/>
    <w:rsid w:val="00E06AF6"/>
    <w:rsid w:val="00E07298"/>
    <w:rsid w:val="00E07919"/>
    <w:rsid w:val="00E105A6"/>
    <w:rsid w:val="00E112EB"/>
    <w:rsid w:val="00E1174E"/>
    <w:rsid w:val="00E12114"/>
    <w:rsid w:val="00E1269C"/>
    <w:rsid w:val="00E12B9D"/>
    <w:rsid w:val="00E130BF"/>
    <w:rsid w:val="00E1340B"/>
    <w:rsid w:val="00E13599"/>
    <w:rsid w:val="00E14EF9"/>
    <w:rsid w:val="00E1506D"/>
    <w:rsid w:val="00E155A6"/>
    <w:rsid w:val="00E156E8"/>
    <w:rsid w:val="00E164CF"/>
    <w:rsid w:val="00E16B1F"/>
    <w:rsid w:val="00E17784"/>
    <w:rsid w:val="00E20779"/>
    <w:rsid w:val="00E20B7E"/>
    <w:rsid w:val="00E20E10"/>
    <w:rsid w:val="00E2118F"/>
    <w:rsid w:val="00E213FA"/>
    <w:rsid w:val="00E214FD"/>
    <w:rsid w:val="00E21DEE"/>
    <w:rsid w:val="00E22145"/>
    <w:rsid w:val="00E2242B"/>
    <w:rsid w:val="00E23465"/>
    <w:rsid w:val="00E23493"/>
    <w:rsid w:val="00E2395D"/>
    <w:rsid w:val="00E240FB"/>
    <w:rsid w:val="00E244C5"/>
    <w:rsid w:val="00E2505F"/>
    <w:rsid w:val="00E2516C"/>
    <w:rsid w:val="00E26CAD"/>
    <w:rsid w:val="00E277CB"/>
    <w:rsid w:val="00E3062E"/>
    <w:rsid w:val="00E3073C"/>
    <w:rsid w:val="00E30A58"/>
    <w:rsid w:val="00E31044"/>
    <w:rsid w:val="00E311BC"/>
    <w:rsid w:val="00E31634"/>
    <w:rsid w:val="00E31B0D"/>
    <w:rsid w:val="00E31EE3"/>
    <w:rsid w:val="00E34AB7"/>
    <w:rsid w:val="00E35134"/>
    <w:rsid w:val="00E3578B"/>
    <w:rsid w:val="00E359C7"/>
    <w:rsid w:val="00E35BAA"/>
    <w:rsid w:val="00E36E43"/>
    <w:rsid w:val="00E37823"/>
    <w:rsid w:val="00E378A6"/>
    <w:rsid w:val="00E37E82"/>
    <w:rsid w:val="00E40566"/>
    <w:rsid w:val="00E40794"/>
    <w:rsid w:val="00E40F7C"/>
    <w:rsid w:val="00E425E7"/>
    <w:rsid w:val="00E42777"/>
    <w:rsid w:val="00E42891"/>
    <w:rsid w:val="00E42DA1"/>
    <w:rsid w:val="00E442F4"/>
    <w:rsid w:val="00E4488A"/>
    <w:rsid w:val="00E4498B"/>
    <w:rsid w:val="00E45042"/>
    <w:rsid w:val="00E45916"/>
    <w:rsid w:val="00E45C15"/>
    <w:rsid w:val="00E46447"/>
    <w:rsid w:val="00E46584"/>
    <w:rsid w:val="00E47244"/>
    <w:rsid w:val="00E475C2"/>
    <w:rsid w:val="00E47F3E"/>
    <w:rsid w:val="00E50342"/>
    <w:rsid w:val="00E503EB"/>
    <w:rsid w:val="00E50714"/>
    <w:rsid w:val="00E51DCC"/>
    <w:rsid w:val="00E52AD3"/>
    <w:rsid w:val="00E52DD1"/>
    <w:rsid w:val="00E53AFF"/>
    <w:rsid w:val="00E5400A"/>
    <w:rsid w:val="00E5421E"/>
    <w:rsid w:val="00E5440D"/>
    <w:rsid w:val="00E552BC"/>
    <w:rsid w:val="00E5540A"/>
    <w:rsid w:val="00E558F0"/>
    <w:rsid w:val="00E55FD6"/>
    <w:rsid w:val="00E5631A"/>
    <w:rsid w:val="00E56630"/>
    <w:rsid w:val="00E5704B"/>
    <w:rsid w:val="00E575A7"/>
    <w:rsid w:val="00E57D2C"/>
    <w:rsid w:val="00E57E3E"/>
    <w:rsid w:val="00E57EF7"/>
    <w:rsid w:val="00E60DDE"/>
    <w:rsid w:val="00E6197C"/>
    <w:rsid w:val="00E62AFC"/>
    <w:rsid w:val="00E6312F"/>
    <w:rsid w:val="00E63A29"/>
    <w:rsid w:val="00E63F76"/>
    <w:rsid w:val="00E644B2"/>
    <w:rsid w:val="00E64655"/>
    <w:rsid w:val="00E65556"/>
    <w:rsid w:val="00E659EE"/>
    <w:rsid w:val="00E6740F"/>
    <w:rsid w:val="00E679C8"/>
    <w:rsid w:val="00E67C2D"/>
    <w:rsid w:val="00E70823"/>
    <w:rsid w:val="00E70F9D"/>
    <w:rsid w:val="00E71B01"/>
    <w:rsid w:val="00E71B1F"/>
    <w:rsid w:val="00E71EBA"/>
    <w:rsid w:val="00E71F00"/>
    <w:rsid w:val="00E7214A"/>
    <w:rsid w:val="00E731DA"/>
    <w:rsid w:val="00E73F6A"/>
    <w:rsid w:val="00E7414F"/>
    <w:rsid w:val="00E74222"/>
    <w:rsid w:val="00E75115"/>
    <w:rsid w:val="00E7574D"/>
    <w:rsid w:val="00E75975"/>
    <w:rsid w:val="00E75EB9"/>
    <w:rsid w:val="00E75FB9"/>
    <w:rsid w:val="00E75FBF"/>
    <w:rsid w:val="00E760AE"/>
    <w:rsid w:val="00E76401"/>
    <w:rsid w:val="00E76767"/>
    <w:rsid w:val="00E76B88"/>
    <w:rsid w:val="00E77858"/>
    <w:rsid w:val="00E8059F"/>
    <w:rsid w:val="00E80D7A"/>
    <w:rsid w:val="00E80D91"/>
    <w:rsid w:val="00E81740"/>
    <w:rsid w:val="00E8264D"/>
    <w:rsid w:val="00E82B15"/>
    <w:rsid w:val="00E8377B"/>
    <w:rsid w:val="00E83F2B"/>
    <w:rsid w:val="00E8463F"/>
    <w:rsid w:val="00E84D08"/>
    <w:rsid w:val="00E84DF3"/>
    <w:rsid w:val="00E85DCD"/>
    <w:rsid w:val="00E86914"/>
    <w:rsid w:val="00E8738D"/>
    <w:rsid w:val="00E874D3"/>
    <w:rsid w:val="00E90A4E"/>
    <w:rsid w:val="00E916CE"/>
    <w:rsid w:val="00E92785"/>
    <w:rsid w:val="00E9543A"/>
    <w:rsid w:val="00E95654"/>
    <w:rsid w:val="00E9580F"/>
    <w:rsid w:val="00E9603F"/>
    <w:rsid w:val="00E96FD9"/>
    <w:rsid w:val="00E97B59"/>
    <w:rsid w:val="00E97CA7"/>
    <w:rsid w:val="00EA0AFF"/>
    <w:rsid w:val="00EA1090"/>
    <w:rsid w:val="00EA2467"/>
    <w:rsid w:val="00EA32F9"/>
    <w:rsid w:val="00EA36A0"/>
    <w:rsid w:val="00EA3E6B"/>
    <w:rsid w:val="00EA3EB3"/>
    <w:rsid w:val="00EA4266"/>
    <w:rsid w:val="00EA4947"/>
    <w:rsid w:val="00EA6EF4"/>
    <w:rsid w:val="00EA7973"/>
    <w:rsid w:val="00EA7F73"/>
    <w:rsid w:val="00EB00FC"/>
    <w:rsid w:val="00EB0831"/>
    <w:rsid w:val="00EB1279"/>
    <w:rsid w:val="00EB19C3"/>
    <w:rsid w:val="00EB2C32"/>
    <w:rsid w:val="00EB2E5F"/>
    <w:rsid w:val="00EB2F81"/>
    <w:rsid w:val="00EB381F"/>
    <w:rsid w:val="00EB4181"/>
    <w:rsid w:val="00EB5344"/>
    <w:rsid w:val="00EB57FC"/>
    <w:rsid w:val="00EB5CE8"/>
    <w:rsid w:val="00EB5E5F"/>
    <w:rsid w:val="00EB6057"/>
    <w:rsid w:val="00EB6169"/>
    <w:rsid w:val="00EB66DD"/>
    <w:rsid w:val="00EB7249"/>
    <w:rsid w:val="00EC00C8"/>
    <w:rsid w:val="00EC03A2"/>
    <w:rsid w:val="00EC057D"/>
    <w:rsid w:val="00EC0B07"/>
    <w:rsid w:val="00EC0CA5"/>
    <w:rsid w:val="00EC15CC"/>
    <w:rsid w:val="00EC184B"/>
    <w:rsid w:val="00EC1D0F"/>
    <w:rsid w:val="00EC2159"/>
    <w:rsid w:val="00EC23C5"/>
    <w:rsid w:val="00EC2498"/>
    <w:rsid w:val="00EC2847"/>
    <w:rsid w:val="00EC4E42"/>
    <w:rsid w:val="00EC5361"/>
    <w:rsid w:val="00EC5D6F"/>
    <w:rsid w:val="00EC636E"/>
    <w:rsid w:val="00ED10E9"/>
    <w:rsid w:val="00ED455A"/>
    <w:rsid w:val="00ED5723"/>
    <w:rsid w:val="00ED74CF"/>
    <w:rsid w:val="00EE0870"/>
    <w:rsid w:val="00EE0F3F"/>
    <w:rsid w:val="00EE1209"/>
    <w:rsid w:val="00EE13ED"/>
    <w:rsid w:val="00EE165F"/>
    <w:rsid w:val="00EE4414"/>
    <w:rsid w:val="00EE46B6"/>
    <w:rsid w:val="00EE492D"/>
    <w:rsid w:val="00EE4F77"/>
    <w:rsid w:val="00EE594E"/>
    <w:rsid w:val="00EE6665"/>
    <w:rsid w:val="00EE6704"/>
    <w:rsid w:val="00EE6D1E"/>
    <w:rsid w:val="00EE75A2"/>
    <w:rsid w:val="00EF089E"/>
    <w:rsid w:val="00EF0FE3"/>
    <w:rsid w:val="00EF1484"/>
    <w:rsid w:val="00EF161B"/>
    <w:rsid w:val="00EF20DF"/>
    <w:rsid w:val="00EF21FE"/>
    <w:rsid w:val="00EF22D2"/>
    <w:rsid w:val="00EF2D18"/>
    <w:rsid w:val="00EF3EAD"/>
    <w:rsid w:val="00EF4083"/>
    <w:rsid w:val="00EF4200"/>
    <w:rsid w:val="00EF528A"/>
    <w:rsid w:val="00EF7454"/>
    <w:rsid w:val="00EF7E64"/>
    <w:rsid w:val="00F00FA7"/>
    <w:rsid w:val="00F01299"/>
    <w:rsid w:val="00F01422"/>
    <w:rsid w:val="00F0192D"/>
    <w:rsid w:val="00F02719"/>
    <w:rsid w:val="00F0277F"/>
    <w:rsid w:val="00F027D4"/>
    <w:rsid w:val="00F034DA"/>
    <w:rsid w:val="00F03A89"/>
    <w:rsid w:val="00F04927"/>
    <w:rsid w:val="00F0679B"/>
    <w:rsid w:val="00F06CB9"/>
    <w:rsid w:val="00F07061"/>
    <w:rsid w:val="00F076F8"/>
    <w:rsid w:val="00F07808"/>
    <w:rsid w:val="00F10630"/>
    <w:rsid w:val="00F107BB"/>
    <w:rsid w:val="00F10C7B"/>
    <w:rsid w:val="00F10CBF"/>
    <w:rsid w:val="00F11140"/>
    <w:rsid w:val="00F122FB"/>
    <w:rsid w:val="00F124BB"/>
    <w:rsid w:val="00F13D21"/>
    <w:rsid w:val="00F13EE6"/>
    <w:rsid w:val="00F14771"/>
    <w:rsid w:val="00F14B17"/>
    <w:rsid w:val="00F162CE"/>
    <w:rsid w:val="00F16B1A"/>
    <w:rsid w:val="00F17167"/>
    <w:rsid w:val="00F2034A"/>
    <w:rsid w:val="00F208A1"/>
    <w:rsid w:val="00F209F0"/>
    <w:rsid w:val="00F20C2F"/>
    <w:rsid w:val="00F20FEA"/>
    <w:rsid w:val="00F212A4"/>
    <w:rsid w:val="00F21370"/>
    <w:rsid w:val="00F21728"/>
    <w:rsid w:val="00F22BFF"/>
    <w:rsid w:val="00F2313F"/>
    <w:rsid w:val="00F23438"/>
    <w:rsid w:val="00F2350D"/>
    <w:rsid w:val="00F248F8"/>
    <w:rsid w:val="00F24A62"/>
    <w:rsid w:val="00F24F93"/>
    <w:rsid w:val="00F256DA"/>
    <w:rsid w:val="00F27708"/>
    <w:rsid w:val="00F30536"/>
    <w:rsid w:val="00F30593"/>
    <w:rsid w:val="00F31DB7"/>
    <w:rsid w:val="00F3374E"/>
    <w:rsid w:val="00F342A8"/>
    <w:rsid w:val="00F35402"/>
    <w:rsid w:val="00F354C9"/>
    <w:rsid w:val="00F36236"/>
    <w:rsid w:val="00F364F0"/>
    <w:rsid w:val="00F375FE"/>
    <w:rsid w:val="00F37976"/>
    <w:rsid w:val="00F4008A"/>
    <w:rsid w:val="00F427B2"/>
    <w:rsid w:val="00F42F91"/>
    <w:rsid w:val="00F43301"/>
    <w:rsid w:val="00F434A0"/>
    <w:rsid w:val="00F43885"/>
    <w:rsid w:val="00F443DF"/>
    <w:rsid w:val="00F44FC2"/>
    <w:rsid w:val="00F45562"/>
    <w:rsid w:val="00F459DD"/>
    <w:rsid w:val="00F45EB4"/>
    <w:rsid w:val="00F461A7"/>
    <w:rsid w:val="00F46507"/>
    <w:rsid w:val="00F468E2"/>
    <w:rsid w:val="00F471C8"/>
    <w:rsid w:val="00F47593"/>
    <w:rsid w:val="00F508B1"/>
    <w:rsid w:val="00F517D4"/>
    <w:rsid w:val="00F518B8"/>
    <w:rsid w:val="00F518F2"/>
    <w:rsid w:val="00F51F18"/>
    <w:rsid w:val="00F52A44"/>
    <w:rsid w:val="00F5391B"/>
    <w:rsid w:val="00F54C6D"/>
    <w:rsid w:val="00F552EE"/>
    <w:rsid w:val="00F55670"/>
    <w:rsid w:val="00F55D50"/>
    <w:rsid w:val="00F55FCD"/>
    <w:rsid w:val="00F56F9D"/>
    <w:rsid w:val="00F57375"/>
    <w:rsid w:val="00F57525"/>
    <w:rsid w:val="00F575DF"/>
    <w:rsid w:val="00F603FF"/>
    <w:rsid w:val="00F611E4"/>
    <w:rsid w:val="00F6180D"/>
    <w:rsid w:val="00F62207"/>
    <w:rsid w:val="00F6235D"/>
    <w:rsid w:val="00F633DD"/>
    <w:rsid w:val="00F6350D"/>
    <w:rsid w:val="00F6375E"/>
    <w:rsid w:val="00F65626"/>
    <w:rsid w:val="00F656FC"/>
    <w:rsid w:val="00F6580A"/>
    <w:rsid w:val="00F65823"/>
    <w:rsid w:val="00F671C4"/>
    <w:rsid w:val="00F7121C"/>
    <w:rsid w:val="00F71645"/>
    <w:rsid w:val="00F71C02"/>
    <w:rsid w:val="00F721A2"/>
    <w:rsid w:val="00F72A78"/>
    <w:rsid w:val="00F72BDD"/>
    <w:rsid w:val="00F7388C"/>
    <w:rsid w:val="00F744FC"/>
    <w:rsid w:val="00F746E1"/>
    <w:rsid w:val="00F75676"/>
    <w:rsid w:val="00F75B2E"/>
    <w:rsid w:val="00F7605F"/>
    <w:rsid w:val="00F768F7"/>
    <w:rsid w:val="00F778F3"/>
    <w:rsid w:val="00F802A2"/>
    <w:rsid w:val="00F814E0"/>
    <w:rsid w:val="00F8168D"/>
    <w:rsid w:val="00F816E0"/>
    <w:rsid w:val="00F81DEC"/>
    <w:rsid w:val="00F81DF0"/>
    <w:rsid w:val="00F829F8"/>
    <w:rsid w:val="00F82BBE"/>
    <w:rsid w:val="00F83205"/>
    <w:rsid w:val="00F84441"/>
    <w:rsid w:val="00F844C6"/>
    <w:rsid w:val="00F8692F"/>
    <w:rsid w:val="00F912D4"/>
    <w:rsid w:val="00F913C0"/>
    <w:rsid w:val="00F918AA"/>
    <w:rsid w:val="00F918BC"/>
    <w:rsid w:val="00F91935"/>
    <w:rsid w:val="00F91F5F"/>
    <w:rsid w:val="00F9340A"/>
    <w:rsid w:val="00F94BE6"/>
    <w:rsid w:val="00F95025"/>
    <w:rsid w:val="00F9557B"/>
    <w:rsid w:val="00F95A22"/>
    <w:rsid w:val="00F96375"/>
    <w:rsid w:val="00F9646B"/>
    <w:rsid w:val="00FA05DE"/>
    <w:rsid w:val="00FA0730"/>
    <w:rsid w:val="00FA14C5"/>
    <w:rsid w:val="00FA1D39"/>
    <w:rsid w:val="00FA26F9"/>
    <w:rsid w:val="00FA2954"/>
    <w:rsid w:val="00FA2A07"/>
    <w:rsid w:val="00FA2C5E"/>
    <w:rsid w:val="00FA422A"/>
    <w:rsid w:val="00FA531A"/>
    <w:rsid w:val="00FA655E"/>
    <w:rsid w:val="00FA661F"/>
    <w:rsid w:val="00FA7C1F"/>
    <w:rsid w:val="00FA7C97"/>
    <w:rsid w:val="00FB1537"/>
    <w:rsid w:val="00FB17DB"/>
    <w:rsid w:val="00FB2547"/>
    <w:rsid w:val="00FB2F77"/>
    <w:rsid w:val="00FB3356"/>
    <w:rsid w:val="00FB38BB"/>
    <w:rsid w:val="00FB3AB4"/>
    <w:rsid w:val="00FB466F"/>
    <w:rsid w:val="00FB4C04"/>
    <w:rsid w:val="00FB5048"/>
    <w:rsid w:val="00FB52B1"/>
    <w:rsid w:val="00FB5313"/>
    <w:rsid w:val="00FB5976"/>
    <w:rsid w:val="00FB66C9"/>
    <w:rsid w:val="00FB66ED"/>
    <w:rsid w:val="00FB7FB2"/>
    <w:rsid w:val="00FC0693"/>
    <w:rsid w:val="00FC0B82"/>
    <w:rsid w:val="00FC0BE9"/>
    <w:rsid w:val="00FC11A7"/>
    <w:rsid w:val="00FC1530"/>
    <w:rsid w:val="00FC3512"/>
    <w:rsid w:val="00FC35E6"/>
    <w:rsid w:val="00FC3BC8"/>
    <w:rsid w:val="00FC4E91"/>
    <w:rsid w:val="00FC52F1"/>
    <w:rsid w:val="00FC5B0A"/>
    <w:rsid w:val="00FC6E6D"/>
    <w:rsid w:val="00FC73C1"/>
    <w:rsid w:val="00FC7873"/>
    <w:rsid w:val="00FD02F3"/>
    <w:rsid w:val="00FD03B5"/>
    <w:rsid w:val="00FD0467"/>
    <w:rsid w:val="00FD0B78"/>
    <w:rsid w:val="00FD169A"/>
    <w:rsid w:val="00FD18ED"/>
    <w:rsid w:val="00FD2246"/>
    <w:rsid w:val="00FD2815"/>
    <w:rsid w:val="00FD3AC4"/>
    <w:rsid w:val="00FD5269"/>
    <w:rsid w:val="00FD56C0"/>
    <w:rsid w:val="00FD56C2"/>
    <w:rsid w:val="00FD5726"/>
    <w:rsid w:val="00FD5950"/>
    <w:rsid w:val="00FD5CF7"/>
    <w:rsid w:val="00FD5D08"/>
    <w:rsid w:val="00FD67C5"/>
    <w:rsid w:val="00FD6FA9"/>
    <w:rsid w:val="00FE191A"/>
    <w:rsid w:val="00FE249E"/>
    <w:rsid w:val="00FE31B5"/>
    <w:rsid w:val="00FE31B8"/>
    <w:rsid w:val="00FE33D4"/>
    <w:rsid w:val="00FE340B"/>
    <w:rsid w:val="00FE3D67"/>
    <w:rsid w:val="00FE4023"/>
    <w:rsid w:val="00FE42D3"/>
    <w:rsid w:val="00FE4B29"/>
    <w:rsid w:val="00FE535B"/>
    <w:rsid w:val="00FE5A28"/>
    <w:rsid w:val="00FE6ABF"/>
    <w:rsid w:val="00FE726C"/>
    <w:rsid w:val="00FF05A3"/>
    <w:rsid w:val="00FF0D14"/>
    <w:rsid w:val="00FF0F4E"/>
    <w:rsid w:val="00FF126E"/>
    <w:rsid w:val="00FF2091"/>
    <w:rsid w:val="00FF2146"/>
    <w:rsid w:val="00FF267F"/>
    <w:rsid w:val="00FF293B"/>
    <w:rsid w:val="00FF3C7F"/>
    <w:rsid w:val="00FF6471"/>
    <w:rsid w:val="00FF693D"/>
    <w:rsid w:val="00FF6A24"/>
    <w:rsid w:val="00FF6E09"/>
    <w:rsid w:val="00FF7017"/>
    <w:rsid w:val="00FF70F7"/>
    <w:rsid w:val="00FF7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DAC3E"/>
  <w15:docId w15:val="{500B62DF-A378-41D5-A00B-77547F72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A70"/>
    <w:pPr>
      <w:spacing w:line="240" w:lineRule="auto"/>
      <w:jc w:val="left"/>
    </w:pPr>
    <w:rPr>
      <w:rFonts w:ascii="Times New Roman" w:hAnsi="Times New Roman" w:cs="Times New Roman"/>
      <w:sz w:val="24"/>
      <w:szCs w:val="24"/>
    </w:rPr>
  </w:style>
  <w:style w:type="paragraph" w:styleId="Heading1">
    <w:name w:val="heading 1"/>
    <w:basedOn w:val="Normal"/>
    <w:next w:val="Normal"/>
    <w:link w:val="Heading1Char"/>
    <w:uiPriority w:val="9"/>
    <w:qFormat/>
    <w:locked/>
    <w:rsid w:val="007D7A70"/>
    <w:pPr>
      <w:keepNext/>
      <w:keepLines/>
      <w:spacing w:before="480" w:after="320"/>
      <w:outlineLvl w:val="0"/>
    </w:pPr>
    <w:rPr>
      <w:rFonts w:eastAsiaTheme="majorEastAsia"/>
      <w:b/>
      <w:bCs/>
      <w:caps/>
      <w:spacing w:val="4"/>
    </w:rPr>
  </w:style>
  <w:style w:type="paragraph" w:styleId="Heading2">
    <w:name w:val="heading 2"/>
    <w:basedOn w:val="Normal"/>
    <w:next w:val="Normal"/>
    <w:link w:val="Heading2Char"/>
    <w:uiPriority w:val="9"/>
    <w:unhideWhenUsed/>
    <w:qFormat/>
    <w:locked/>
    <w:rsid w:val="007D7A70"/>
    <w:pPr>
      <w:keepNext/>
      <w:keepLines/>
      <w:spacing w:before="240" w:after="240"/>
      <w:outlineLvl w:val="1"/>
    </w:pPr>
    <w:rPr>
      <w:rFonts w:eastAsiaTheme="majorEastAsia"/>
      <w:b/>
      <w:bCs/>
    </w:rPr>
  </w:style>
  <w:style w:type="paragraph" w:styleId="Heading3">
    <w:name w:val="heading 3"/>
    <w:basedOn w:val="Normal"/>
    <w:next w:val="Normal"/>
    <w:link w:val="Heading3Char"/>
    <w:uiPriority w:val="9"/>
    <w:unhideWhenUsed/>
    <w:qFormat/>
    <w:locked/>
    <w:rsid w:val="00324D59"/>
    <w:pPr>
      <w:keepNext/>
      <w:keepLines/>
      <w:spacing w:before="240" w:after="240"/>
      <w:outlineLvl w:val="2"/>
    </w:pPr>
    <w:rPr>
      <w:rFonts w:eastAsiaTheme="majorEastAsia"/>
      <w:i/>
      <w:spacing w:val="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22"/>
    <w:qFormat/>
    <w:rsid w:val="000320DE"/>
    <w:rPr>
      <w:b/>
      <w:bCs/>
      <w:color w:val="auto"/>
    </w:rPr>
  </w:style>
  <w:style w:type="paragraph" w:styleId="ListParagraph">
    <w:name w:val="List Paragraph"/>
    <w:basedOn w:val="Normal"/>
    <w:uiPriority w:val="34"/>
    <w:qFormat/>
    <w:rsid w:val="005B64A2"/>
    <w:pPr>
      <w:numPr>
        <w:numId w:val="77"/>
      </w:num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iPriority w:val="99"/>
    <w:unhideWhenUsed/>
    <w:rsid w:val="001F038E"/>
    <w:rPr>
      <w:sz w:val="16"/>
      <w:szCs w:val="16"/>
    </w:rPr>
  </w:style>
  <w:style w:type="paragraph" w:styleId="CommentText">
    <w:name w:val="annotation text"/>
    <w:basedOn w:val="Normal"/>
    <w:link w:val="CommentTextChar"/>
    <w:uiPriority w:val="99"/>
    <w:unhideWhenUsed/>
    <w:rsid w:val="001F038E"/>
    <w:rPr>
      <w:sz w:val="20"/>
      <w:szCs w:val="20"/>
    </w:rPr>
  </w:style>
  <w:style w:type="character" w:customStyle="1" w:styleId="CommentTextChar">
    <w:name w:val="Comment Text Char"/>
    <w:basedOn w:val="DefaultParagraphFont"/>
    <w:link w:val="CommentText"/>
    <w:uiPriority w:val="99"/>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7D7A70"/>
    <w:rPr>
      <w:rFonts w:ascii="Times New Roman" w:eastAsiaTheme="majorEastAsia" w:hAnsi="Times New Roman" w:cs="Times New Roman"/>
      <w:b/>
      <w:bCs/>
      <w:caps/>
      <w:spacing w:val="4"/>
      <w:sz w:val="24"/>
      <w:szCs w:val="24"/>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uiPriority w:val="9"/>
    <w:rsid w:val="007D7A70"/>
    <w:rPr>
      <w:rFonts w:ascii="Times New Roman" w:eastAsiaTheme="majorEastAsia" w:hAnsi="Times New Roman" w:cs="Times New Roman"/>
      <w:b/>
      <w:bCs/>
      <w:sz w:val="24"/>
      <w:szCs w:val="24"/>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val="0"/>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324D59"/>
    <w:rPr>
      <w:rFonts w:ascii="Times New Roman" w:eastAsiaTheme="majorEastAsia" w:hAnsi="Times New Roman" w:cs="Times New Roman"/>
      <w: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val="0"/>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632D64"/>
    <w:pPr>
      <w:jc w:val="center"/>
    </w:pPr>
    <w:rPr>
      <w:b/>
    </w:rPr>
  </w:style>
  <w:style w:type="character" w:customStyle="1" w:styleId="TitleChar">
    <w:name w:val="Title Char"/>
    <w:basedOn w:val="DefaultParagraphFont"/>
    <w:link w:val="Title"/>
    <w:uiPriority w:val="10"/>
    <w:rsid w:val="00632D64"/>
    <w:rPr>
      <w:rFonts w:ascii="Times New Roman" w:hAnsi="Times New Roman" w:cs="Times New Roman"/>
      <w:b/>
      <w:sz w:val="24"/>
      <w:szCs w:val="24"/>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themeColor="text1" w:themeTint="80"/>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A06BA"/>
    <w:rPr>
      <w:rFonts w:ascii="Consolas" w:eastAsiaTheme="minorHAnsi" w:hAnsi="Consolas"/>
      <w:sz w:val="21"/>
      <w:szCs w:val="21"/>
    </w:rPr>
  </w:style>
  <w:style w:type="paragraph" w:styleId="EndnoteText">
    <w:name w:val="endnote text"/>
    <w:basedOn w:val="Normal"/>
    <w:link w:val="EndnoteTextChar"/>
    <w:uiPriority w:val="99"/>
    <w:semiHidden/>
    <w:unhideWhenUsed/>
    <w:rsid w:val="008D4FE1"/>
    <w:pPr>
      <w:spacing w:after="0"/>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otnote">
    <w:name w:val="footnote"/>
    <w:basedOn w:val="Normal"/>
    <w:rsid w:val="00C6038E"/>
    <w:rPr>
      <w:rFonts w:eastAsia="Times New Roman"/>
      <w:sz w:val="18"/>
      <w:szCs w:val="18"/>
    </w:rPr>
  </w:style>
  <w:style w:type="paragraph" w:customStyle="1" w:styleId="Pa3">
    <w:name w:val="Pa3"/>
    <w:basedOn w:val="Default"/>
    <w:next w:val="Default"/>
    <w:uiPriority w:val="99"/>
    <w:rsid w:val="006C02EA"/>
    <w:pPr>
      <w:spacing w:after="0" w:line="221" w:lineRule="atLeast"/>
      <w:jc w:val="left"/>
    </w:pPr>
    <w:rPr>
      <w:rFonts w:ascii="Minion Pro" w:hAnsi="Minion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372">
      <w:bodyDiv w:val="1"/>
      <w:marLeft w:val="0"/>
      <w:marRight w:val="0"/>
      <w:marTop w:val="0"/>
      <w:marBottom w:val="0"/>
      <w:divBdr>
        <w:top w:val="none" w:sz="0" w:space="0" w:color="auto"/>
        <w:left w:val="none" w:sz="0" w:space="0" w:color="auto"/>
        <w:bottom w:val="none" w:sz="0" w:space="0" w:color="auto"/>
        <w:right w:val="none" w:sz="0" w:space="0" w:color="auto"/>
      </w:divBdr>
    </w:div>
    <w:div w:id="30964345">
      <w:bodyDiv w:val="1"/>
      <w:marLeft w:val="0"/>
      <w:marRight w:val="0"/>
      <w:marTop w:val="0"/>
      <w:marBottom w:val="0"/>
      <w:divBdr>
        <w:top w:val="none" w:sz="0" w:space="0" w:color="auto"/>
        <w:left w:val="none" w:sz="0" w:space="0" w:color="auto"/>
        <w:bottom w:val="none" w:sz="0" w:space="0" w:color="auto"/>
        <w:right w:val="none" w:sz="0" w:space="0" w:color="auto"/>
      </w:divBdr>
    </w:div>
    <w:div w:id="91174275">
      <w:bodyDiv w:val="1"/>
      <w:marLeft w:val="0"/>
      <w:marRight w:val="0"/>
      <w:marTop w:val="0"/>
      <w:marBottom w:val="0"/>
      <w:divBdr>
        <w:top w:val="none" w:sz="0" w:space="0" w:color="auto"/>
        <w:left w:val="none" w:sz="0" w:space="0" w:color="auto"/>
        <w:bottom w:val="none" w:sz="0" w:space="0" w:color="auto"/>
        <w:right w:val="none" w:sz="0" w:space="0" w:color="auto"/>
      </w:divBdr>
    </w:div>
    <w:div w:id="116726247">
      <w:bodyDiv w:val="1"/>
      <w:marLeft w:val="0"/>
      <w:marRight w:val="0"/>
      <w:marTop w:val="0"/>
      <w:marBottom w:val="0"/>
      <w:divBdr>
        <w:top w:val="none" w:sz="0" w:space="0" w:color="auto"/>
        <w:left w:val="none" w:sz="0" w:space="0" w:color="auto"/>
        <w:bottom w:val="none" w:sz="0" w:space="0" w:color="auto"/>
        <w:right w:val="none" w:sz="0" w:space="0" w:color="auto"/>
      </w:divBdr>
      <w:divsChild>
        <w:div w:id="1952320980">
          <w:marLeft w:val="0"/>
          <w:marRight w:val="0"/>
          <w:marTop w:val="0"/>
          <w:marBottom w:val="0"/>
          <w:divBdr>
            <w:top w:val="none" w:sz="0" w:space="0" w:color="auto"/>
            <w:left w:val="none" w:sz="0" w:space="0" w:color="auto"/>
            <w:bottom w:val="none" w:sz="0" w:space="0" w:color="auto"/>
            <w:right w:val="none" w:sz="0" w:space="0" w:color="auto"/>
          </w:divBdr>
          <w:divsChild>
            <w:div w:id="1654868273">
              <w:marLeft w:val="0"/>
              <w:marRight w:val="0"/>
              <w:marTop w:val="0"/>
              <w:marBottom w:val="0"/>
              <w:divBdr>
                <w:top w:val="none" w:sz="0" w:space="0" w:color="auto"/>
                <w:left w:val="none" w:sz="0" w:space="0" w:color="auto"/>
                <w:bottom w:val="none" w:sz="0" w:space="0" w:color="auto"/>
                <w:right w:val="none" w:sz="0" w:space="0" w:color="auto"/>
              </w:divBdr>
              <w:divsChild>
                <w:div w:id="456680514">
                  <w:marLeft w:val="0"/>
                  <w:marRight w:val="0"/>
                  <w:marTop w:val="0"/>
                  <w:marBottom w:val="0"/>
                  <w:divBdr>
                    <w:top w:val="none" w:sz="0" w:space="0" w:color="auto"/>
                    <w:left w:val="none" w:sz="0" w:space="0" w:color="auto"/>
                    <w:bottom w:val="none" w:sz="0" w:space="0" w:color="auto"/>
                    <w:right w:val="none" w:sz="0" w:space="0" w:color="auto"/>
                  </w:divBdr>
                  <w:divsChild>
                    <w:div w:id="1268151835">
                      <w:marLeft w:val="0"/>
                      <w:marRight w:val="0"/>
                      <w:marTop w:val="0"/>
                      <w:marBottom w:val="0"/>
                      <w:divBdr>
                        <w:top w:val="none" w:sz="0" w:space="0" w:color="auto"/>
                        <w:left w:val="none" w:sz="0" w:space="0" w:color="auto"/>
                        <w:bottom w:val="none" w:sz="0" w:space="0" w:color="auto"/>
                        <w:right w:val="none" w:sz="0" w:space="0" w:color="auto"/>
                      </w:divBdr>
                      <w:divsChild>
                        <w:div w:id="346292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781370">
      <w:bodyDiv w:val="1"/>
      <w:marLeft w:val="0"/>
      <w:marRight w:val="0"/>
      <w:marTop w:val="0"/>
      <w:marBottom w:val="0"/>
      <w:divBdr>
        <w:top w:val="none" w:sz="0" w:space="0" w:color="auto"/>
        <w:left w:val="none" w:sz="0" w:space="0" w:color="auto"/>
        <w:bottom w:val="none" w:sz="0" w:space="0" w:color="auto"/>
        <w:right w:val="none" w:sz="0" w:space="0" w:color="auto"/>
      </w:divBdr>
      <w:divsChild>
        <w:div w:id="741755129">
          <w:marLeft w:val="0"/>
          <w:marRight w:val="0"/>
          <w:marTop w:val="100"/>
          <w:marBottom w:val="100"/>
          <w:divBdr>
            <w:top w:val="none" w:sz="0" w:space="0" w:color="auto"/>
            <w:left w:val="none" w:sz="0" w:space="0" w:color="auto"/>
            <w:bottom w:val="none" w:sz="0" w:space="0" w:color="auto"/>
            <w:right w:val="none" w:sz="0" w:space="0" w:color="auto"/>
          </w:divBdr>
          <w:divsChild>
            <w:div w:id="1988123532">
              <w:marLeft w:val="0"/>
              <w:marRight w:val="0"/>
              <w:marTop w:val="0"/>
              <w:marBottom w:val="0"/>
              <w:divBdr>
                <w:top w:val="none" w:sz="0" w:space="0" w:color="auto"/>
                <w:left w:val="none" w:sz="0" w:space="0" w:color="auto"/>
                <w:bottom w:val="none" w:sz="0" w:space="0" w:color="auto"/>
                <w:right w:val="none" w:sz="0" w:space="0" w:color="auto"/>
              </w:divBdr>
              <w:divsChild>
                <w:div w:id="1069573467">
                  <w:marLeft w:val="0"/>
                  <w:marRight w:val="0"/>
                  <w:marTop w:val="0"/>
                  <w:marBottom w:val="0"/>
                  <w:divBdr>
                    <w:top w:val="none" w:sz="0" w:space="0" w:color="auto"/>
                    <w:left w:val="none" w:sz="0" w:space="0" w:color="auto"/>
                    <w:bottom w:val="none" w:sz="0" w:space="0" w:color="auto"/>
                    <w:right w:val="none" w:sz="0" w:space="0" w:color="auto"/>
                  </w:divBdr>
                  <w:divsChild>
                    <w:div w:id="1022051508">
                      <w:marLeft w:val="0"/>
                      <w:marRight w:val="0"/>
                      <w:marTop w:val="0"/>
                      <w:marBottom w:val="0"/>
                      <w:divBdr>
                        <w:top w:val="none" w:sz="0" w:space="0" w:color="auto"/>
                        <w:left w:val="none" w:sz="0" w:space="0" w:color="auto"/>
                        <w:bottom w:val="none" w:sz="0" w:space="0" w:color="auto"/>
                        <w:right w:val="none" w:sz="0" w:space="0" w:color="auto"/>
                      </w:divBdr>
                      <w:divsChild>
                        <w:div w:id="1851408210">
                          <w:marLeft w:val="0"/>
                          <w:marRight w:val="0"/>
                          <w:marTop w:val="0"/>
                          <w:marBottom w:val="0"/>
                          <w:divBdr>
                            <w:top w:val="none" w:sz="0" w:space="0" w:color="auto"/>
                            <w:left w:val="none" w:sz="0" w:space="0" w:color="auto"/>
                            <w:bottom w:val="none" w:sz="0" w:space="0" w:color="auto"/>
                            <w:right w:val="none" w:sz="0" w:space="0" w:color="auto"/>
                          </w:divBdr>
                          <w:divsChild>
                            <w:div w:id="318733003">
                              <w:marLeft w:val="0"/>
                              <w:marRight w:val="0"/>
                              <w:marTop w:val="0"/>
                              <w:marBottom w:val="0"/>
                              <w:divBdr>
                                <w:top w:val="none" w:sz="0" w:space="0" w:color="auto"/>
                                <w:left w:val="none" w:sz="0" w:space="0" w:color="auto"/>
                                <w:bottom w:val="none" w:sz="0" w:space="0" w:color="auto"/>
                                <w:right w:val="none" w:sz="0" w:space="0" w:color="auto"/>
                              </w:divBdr>
                              <w:divsChild>
                                <w:div w:id="73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943021">
      <w:bodyDiv w:val="1"/>
      <w:marLeft w:val="0"/>
      <w:marRight w:val="0"/>
      <w:marTop w:val="0"/>
      <w:marBottom w:val="0"/>
      <w:divBdr>
        <w:top w:val="none" w:sz="0" w:space="0" w:color="auto"/>
        <w:left w:val="none" w:sz="0" w:space="0" w:color="auto"/>
        <w:bottom w:val="none" w:sz="0" w:space="0" w:color="auto"/>
        <w:right w:val="none" w:sz="0" w:space="0" w:color="auto"/>
      </w:divBdr>
    </w:div>
    <w:div w:id="304706710">
      <w:bodyDiv w:val="1"/>
      <w:marLeft w:val="0"/>
      <w:marRight w:val="0"/>
      <w:marTop w:val="0"/>
      <w:marBottom w:val="0"/>
      <w:divBdr>
        <w:top w:val="none" w:sz="0" w:space="0" w:color="auto"/>
        <w:left w:val="none" w:sz="0" w:space="0" w:color="auto"/>
        <w:bottom w:val="none" w:sz="0" w:space="0" w:color="auto"/>
        <w:right w:val="none" w:sz="0" w:space="0" w:color="auto"/>
      </w:divBdr>
    </w:div>
    <w:div w:id="492571980">
      <w:bodyDiv w:val="1"/>
      <w:marLeft w:val="0"/>
      <w:marRight w:val="0"/>
      <w:marTop w:val="0"/>
      <w:marBottom w:val="0"/>
      <w:divBdr>
        <w:top w:val="none" w:sz="0" w:space="0" w:color="auto"/>
        <w:left w:val="none" w:sz="0" w:space="0" w:color="auto"/>
        <w:bottom w:val="none" w:sz="0" w:space="0" w:color="auto"/>
        <w:right w:val="none" w:sz="0" w:space="0" w:color="auto"/>
      </w:divBdr>
      <w:divsChild>
        <w:div w:id="297223365">
          <w:marLeft w:val="0"/>
          <w:marRight w:val="0"/>
          <w:marTop w:val="0"/>
          <w:marBottom w:val="0"/>
          <w:divBdr>
            <w:top w:val="none" w:sz="0" w:space="0" w:color="auto"/>
            <w:left w:val="none" w:sz="0" w:space="0" w:color="auto"/>
            <w:bottom w:val="none" w:sz="0" w:space="0" w:color="auto"/>
            <w:right w:val="none" w:sz="0" w:space="0" w:color="auto"/>
          </w:divBdr>
          <w:divsChild>
            <w:div w:id="135219975">
              <w:marLeft w:val="0"/>
              <w:marRight w:val="0"/>
              <w:marTop w:val="0"/>
              <w:marBottom w:val="0"/>
              <w:divBdr>
                <w:top w:val="none" w:sz="0" w:space="0" w:color="auto"/>
                <w:left w:val="none" w:sz="0" w:space="0" w:color="auto"/>
                <w:bottom w:val="none" w:sz="0" w:space="0" w:color="auto"/>
                <w:right w:val="none" w:sz="0" w:space="0" w:color="auto"/>
              </w:divBdr>
            </w:div>
            <w:div w:id="1358195540">
              <w:marLeft w:val="0"/>
              <w:marRight w:val="0"/>
              <w:marTop w:val="0"/>
              <w:marBottom w:val="0"/>
              <w:divBdr>
                <w:top w:val="none" w:sz="0" w:space="0" w:color="auto"/>
                <w:left w:val="none" w:sz="0" w:space="0" w:color="auto"/>
                <w:bottom w:val="none" w:sz="0" w:space="0" w:color="auto"/>
                <w:right w:val="none" w:sz="0" w:space="0" w:color="auto"/>
              </w:divBdr>
              <w:divsChild>
                <w:div w:id="1663578368">
                  <w:marLeft w:val="0"/>
                  <w:marRight w:val="0"/>
                  <w:marTop w:val="0"/>
                  <w:marBottom w:val="0"/>
                  <w:divBdr>
                    <w:top w:val="none" w:sz="0" w:space="0" w:color="auto"/>
                    <w:left w:val="none" w:sz="0" w:space="0" w:color="auto"/>
                    <w:bottom w:val="none" w:sz="0" w:space="0" w:color="auto"/>
                    <w:right w:val="none" w:sz="0" w:space="0" w:color="auto"/>
                  </w:divBdr>
                  <w:divsChild>
                    <w:div w:id="721708918">
                      <w:marLeft w:val="0"/>
                      <w:marRight w:val="0"/>
                      <w:marTop w:val="0"/>
                      <w:marBottom w:val="0"/>
                      <w:divBdr>
                        <w:top w:val="none" w:sz="0" w:space="0" w:color="auto"/>
                        <w:left w:val="none" w:sz="0" w:space="0" w:color="auto"/>
                        <w:bottom w:val="none" w:sz="0" w:space="0" w:color="auto"/>
                        <w:right w:val="none" w:sz="0" w:space="0" w:color="auto"/>
                      </w:divBdr>
                      <w:divsChild>
                        <w:div w:id="2085491301">
                          <w:marLeft w:val="0"/>
                          <w:marRight w:val="0"/>
                          <w:marTop w:val="0"/>
                          <w:marBottom w:val="0"/>
                          <w:divBdr>
                            <w:top w:val="none" w:sz="0" w:space="0" w:color="auto"/>
                            <w:left w:val="none" w:sz="0" w:space="0" w:color="auto"/>
                            <w:bottom w:val="none" w:sz="0" w:space="0" w:color="auto"/>
                            <w:right w:val="none" w:sz="0" w:space="0" w:color="auto"/>
                          </w:divBdr>
                        </w:div>
                      </w:divsChild>
                    </w:div>
                    <w:div w:id="1328286297">
                      <w:marLeft w:val="0"/>
                      <w:marRight w:val="0"/>
                      <w:marTop w:val="0"/>
                      <w:marBottom w:val="0"/>
                      <w:divBdr>
                        <w:top w:val="none" w:sz="0" w:space="0" w:color="auto"/>
                        <w:left w:val="none" w:sz="0" w:space="0" w:color="auto"/>
                        <w:bottom w:val="none" w:sz="0" w:space="0" w:color="auto"/>
                        <w:right w:val="none" w:sz="0" w:space="0" w:color="auto"/>
                      </w:divBdr>
                    </w:div>
                    <w:div w:id="20315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906">
          <w:marLeft w:val="0"/>
          <w:marRight w:val="0"/>
          <w:marTop w:val="0"/>
          <w:marBottom w:val="0"/>
          <w:divBdr>
            <w:top w:val="none" w:sz="0" w:space="0" w:color="auto"/>
            <w:left w:val="none" w:sz="0" w:space="0" w:color="auto"/>
            <w:bottom w:val="none" w:sz="0" w:space="0" w:color="auto"/>
            <w:right w:val="none" w:sz="0" w:space="0" w:color="auto"/>
          </w:divBdr>
          <w:divsChild>
            <w:div w:id="156042908">
              <w:marLeft w:val="0"/>
              <w:marRight w:val="0"/>
              <w:marTop w:val="0"/>
              <w:marBottom w:val="0"/>
              <w:divBdr>
                <w:top w:val="none" w:sz="0" w:space="0" w:color="auto"/>
                <w:left w:val="none" w:sz="0" w:space="0" w:color="auto"/>
                <w:bottom w:val="none" w:sz="0" w:space="0" w:color="auto"/>
                <w:right w:val="none" w:sz="0" w:space="0" w:color="auto"/>
              </w:divBdr>
            </w:div>
            <w:div w:id="169948515">
              <w:marLeft w:val="0"/>
              <w:marRight w:val="0"/>
              <w:marTop w:val="0"/>
              <w:marBottom w:val="0"/>
              <w:divBdr>
                <w:top w:val="none" w:sz="0" w:space="0" w:color="auto"/>
                <w:left w:val="none" w:sz="0" w:space="0" w:color="auto"/>
                <w:bottom w:val="none" w:sz="0" w:space="0" w:color="auto"/>
                <w:right w:val="none" w:sz="0" w:space="0" w:color="auto"/>
              </w:divBdr>
            </w:div>
            <w:div w:id="1084300784">
              <w:marLeft w:val="0"/>
              <w:marRight w:val="0"/>
              <w:marTop w:val="0"/>
              <w:marBottom w:val="0"/>
              <w:divBdr>
                <w:top w:val="none" w:sz="0" w:space="0" w:color="auto"/>
                <w:left w:val="none" w:sz="0" w:space="0" w:color="auto"/>
                <w:bottom w:val="none" w:sz="0" w:space="0" w:color="auto"/>
                <w:right w:val="none" w:sz="0" w:space="0" w:color="auto"/>
              </w:divBdr>
              <w:divsChild>
                <w:div w:id="287980780">
                  <w:marLeft w:val="0"/>
                  <w:marRight w:val="0"/>
                  <w:marTop w:val="0"/>
                  <w:marBottom w:val="0"/>
                  <w:divBdr>
                    <w:top w:val="none" w:sz="0" w:space="0" w:color="auto"/>
                    <w:left w:val="none" w:sz="0" w:space="0" w:color="auto"/>
                    <w:bottom w:val="none" w:sz="0" w:space="0" w:color="auto"/>
                    <w:right w:val="none" w:sz="0" w:space="0" w:color="auto"/>
                  </w:divBdr>
                  <w:divsChild>
                    <w:div w:id="1154417661">
                      <w:marLeft w:val="0"/>
                      <w:marRight w:val="0"/>
                      <w:marTop w:val="0"/>
                      <w:marBottom w:val="0"/>
                      <w:divBdr>
                        <w:top w:val="none" w:sz="0" w:space="0" w:color="auto"/>
                        <w:left w:val="none" w:sz="0" w:space="0" w:color="auto"/>
                        <w:bottom w:val="none" w:sz="0" w:space="0" w:color="auto"/>
                        <w:right w:val="none" w:sz="0" w:space="0" w:color="auto"/>
                      </w:divBdr>
                      <w:divsChild>
                        <w:div w:id="4806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099486">
          <w:marLeft w:val="0"/>
          <w:marRight w:val="0"/>
          <w:marTop w:val="0"/>
          <w:marBottom w:val="0"/>
          <w:divBdr>
            <w:top w:val="none" w:sz="0" w:space="0" w:color="auto"/>
            <w:left w:val="none" w:sz="0" w:space="0" w:color="auto"/>
            <w:bottom w:val="none" w:sz="0" w:space="0" w:color="auto"/>
            <w:right w:val="none" w:sz="0" w:space="0" w:color="auto"/>
          </w:divBdr>
          <w:divsChild>
            <w:div w:id="567496326">
              <w:marLeft w:val="0"/>
              <w:marRight w:val="0"/>
              <w:marTop w:val="0"/>
              <w:marBottom w:val="0"/>
              <w:divBdr>
                <w:top w:val="none" w:sz="0" w:space="0" w:color="auto"/>
                <w:left w:val="none" w:sz="0" w:space="0" w:color="auto"/>
                <w:bottom w:val="none" w:sz="0" w:space="0" w:color="auto"/>
                <w:right w:val="none" w:sz="0" w:space="0" w:color="auto"/>
              </w:divBdr>
            </w:div>
            <w:div w:id="657267665">
              <w:marLeft w:val="0"/>
              <w:marRight w:val="0"/>
              <w:marTop w:val="0"/>
              <w:marBottom w:val="0"/>
              <w:divBdr>
                <w:top w:val="none" w:sz="0" w:space="0" w:color="auto"/>
                <w:left w:val="none" w:sz="0" w:space="0" w:color="auto"/>
                <w:bottom w:val="none" w:sz="0" w:space="0" w:color="auto"/>
                <w:right w:val="none" w:sz="0" w:space="0" w:color="auto"/>
              </w:divBdr>
              <w:divsChild>
                <w:div w:id="150173078">
                  <w:marLeft w:val="0"/>
                  <w:marRight w:val="0"/>
                  <w:marTop w:val="0"/>
                  <w:marBottom w:val="0"/>
                  <w:divBdr>
                    <w:top w:val="none" w:sz="0" w:space="0" w:color="auto"/>
                    <w:left w:val="none" w:sz="0" w:space="0" w:color="auto"/>
                    <w:bottom w:val="none" w:sz="0" w:space="0" w:color="auto"/>
                    <w:right w:val="none" w:sz="0" w:space="0" w:color="auto"/>
                  </w:divBdr>
                  <w:divsChild>
                    <w:div w:id="157773804">
                      <w:marLeft w:val="0"/>
                      <w:marRight w:val="0"/>
                      <w:marTop w:val="0"/>
                      <w:marBottom w:val="0"/>
                      <w:divBdr>
                        <w:top w:val="none" w:sz="0" w:space="0" w:color="auto"/>
                        <w:left w:val="none" w:sz="0" w:space="0" w:color="auto"/>
                        <w:bottom w:val="none" w:sz="0" w:space="0" w:color="auto"/>
                        <w:right w:val="none" w:sz="0" w:space="0" w:color="auto"/>
                      </w:divBdr>
                    </w:div>
                    <w:div w:id="565189050">
                      <w:marLeft w:val="0"/>
                      <w:marRight w:val="0"/>
                      <w:marTop w:val="0"/>
                      <w:marBottom w:val="0"/>
                      <w:divBdr>
                        <w:top w:val="none" w:sz="0" w:space="0" w:color="auto"/>
                        <w:left w:val="none" w:sz="0" w:space="0" w:color="auto"/>
                        <w:bottom w:val="none" w:sz="0" w:space="0" w:color="auto"/>
                        <w:right w:val="none" w:sz="0" w:space="0" w:color="auto"/>
                      </w:divBdr>
                      <w:divsChild>
                        <w:div w:id="2060010768">
                          <w:marLeft w:val="0"/>
                          <w:marRight w:val="0"/>
                          <w:marTop w:val="0"/>
                          <w:marBottom w:val="0"/>
                          <w:divBdr>
                            <w:top w:val="none" w:sz="0" w:space="0" w:color="auto"/>
                            <w:left w:val="none" w:sz="0" w:space="0" w:color="auto"/>
                            <w:bottom w:val="none" w:sz="0" w:space="0" w:color="auto"/>
                            <w:right w:val="none" w:sz="0" w:space="0" w:color="auto"/>
                          </w:divBdr>
                        </w:div>
                      </w:divsChild>
                    </w:div>
                    <w:div w:id="15528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07113">
              <w:marLeft w:val="0"/>
              <w:marRight w:val="0"/>
              <w:marTop w:val="0"/>
              <w:marBottom w:val="0"/>
              <w:divBdr>
                <w:top w:val="none" w:sz="0" w:space="0" w:color="auto"/>
                <w:left w:val="none" w:sz="0" w:space="0" w:color="auto"/>
                <w:bottom w:val="none" w:sz="0" w:space="0" w:color="auto"/>
                <w:right w:val="none" w:sz="0" w:space="0" w:color="auto"/>
              </w:divBdr>
            </w:div>
          </w:divsChild>
        </w:div>
        <w:div w:id="1435784187">
          <w:marLeft w:val="0"/>
          <w:marRight w:val="0"/>
          <w:marTop w:val="0"/>
          <w:marBottom w:val="0"/>
          <w:divBdr>
            <w:top w:val="none" w:sz="0" w:space="0" w:color="auto"/>
            <w:left w:val="none" w:sz="0" w:space="0" w:color="auto"/>
            <w:bottom w:val="none" w:sz="0" w:space="0" w:color="auto"/>
            <w:right w:val="none" w:sz="0" w:space="0" w:color="auto"/>
          </w:divBdr>
          <w:divsChild>
            <w:div w:id="1370640949">
              <w:marLeft w:val="0"/>
              <w:marRight w:val="0"/>
              <w:marTop w:val="0"/>
              <w:marBottom w:val="0"/>
              <w:divBdr>
                <w:top w:val="none" w:sz="0" w:space="0" w:color="auto"/>
                <w:left w:val="none" w:sz="0" w:space="0" w:color="auto"/>
                <w:bottom w:val="none" w:sz="0" w:space="0" w:color="auto"/>
                <w:right w:val="none" w:sz="0" w:space="0" w:color="auto"/>
              </w:divBdr>
            </w:div>
            <w:div w:id="1960989314">
              <w:marLeft w:val="0"/>
              <w:marRight w:val="0"/>
              <w:marTop w:val="0"/>
              <w:marBottom w:val="0"/>
              <w:divBdr>
                <w:top w:val="none" w:sz="0" w:space="0" w:color="auto"/>
                <w:left w:val="none" w:sz="0" w:space="0" w:color="auto"/>
                <w:bottom w:val="none" w:sz="0" w:space="0" w:color="auto"/>
                <w:right w:val="none" w:sz="0" w:space="0" w:color="auto"/>
              </w:divBdr>
              <w:divsChild>
                <w:div w:id="1389961144">
                  <w:marLeft w:val="0"/>
                  <w:marRight w:val="0"/>
                  <w:marTop w:val="0"/>
                  <w:marBottom w:val="0"/>
                  <w:divBdr>
                    <w:top w:val="none" w:sz="0" w:space="0" w:color="auto"/>
                    <w:left w:val="none" w:sz="0" w:space="0" w:color="auto"/>
                    <w:bottom w:val="none" w:sz="0" w:space="0" w:color="auto"/>
                    <w:right w:val="none" w:sz="0" w:space="0" w:color="auto"/>
                  </w:divBdr>
                  <w:divsChild>
                    <w:div w:id="625545332">
                      <w:marLeft w:val="0"/>
                      <w:marRight w:val="0"/>
                      <w:marTop w:val="0"/>
                      <w:marBottom w:val="0"/>
                      <w:divBdr>
                        <w:top w:val="none" w:sz="0" w:space="0" w:color="auto"/>
                        <w:left w:val="none" w:sz="0" w:space="0" w:color="auto"/>
                        <w:bottom w:val="none" w:sz="0" w:space="0" w:color="auto"/>
                        <w:right w:val="none" w:sz="0" w:space="0" w:color="auto"/>
                      </w:divBdr>
                      <w:divsChild>
                        <w:div w:id="1460370255">
                          <w:marLeft w:val="0"/>
                          <w:marRight w:val="0"/>
                          <w:marTop w:val="0"/>
                          <w:marBottom w:val="0"/>
                          <w:divBdr>
                            <w:top w:val="none" w:sz="0" w:space="0" w:color="auto"/>
                            <w:left w:val="none" w:sz="0" w:space="0" w:color="auto"/>
                            <w:bottom w:val="none" w:sz="0" w:space="0" w:color="auto"/>
                            <w:right w:val="none" w:sz="0" w:space="0" w:color="auto"/>
                          </w:divBdr>
                        </w:div>
                      </w:divsChild>
                    </w:div>
                    <w:div w:id="1110199151">
                      <w:marLeft w:val="0"/>
                      <w:marRight w:val="0"/>
                      <w:marTop w:val="0"/>
                      <w:marBottom w:val="0"/>
                      <w:divBdr>
                        <w:top w:val="none" w:sz="0" w:space="0" w:color="auto"/>
                        <w:left w:val="none" w:sz="0" w:space="0" w:color="auto"/>
                        <w:bottom w:val="none" w:sz="0" w:space="0" w:color="auto"/>
                        <w:right w:val="none" w:sz="0" w:space="0" w:color="auto"/>
                      </w:divBdr>
                    </w:div>
                    <w:div w:id="2024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0734">
              <w:marLeft w:val="0"/>
              <w:marRight w:val="0"/>
              <w:marTop w:val="0"/>
              <w:marBottom w:val="0"/>
              <w:divBdr>
                <w:top w:val="none" w:sz="0" w:space="0" w:color="auto"/>
                <w:left w:val="none" w:sz="0" w:space="0" w:color="auto"/>
                <w:bottom w:val="none" w:sz="0" w:space="0" w:color="auto"/>
                <w:right w:val="none" w:sz="0" w:space="0" w:color="auto"/>
              </w:divBdr>
            </w:div>
          </w:divsChild>
        </w:div>
        <w:div w:id="1784349206">
          <w:marLeft w:val="0"/>
          <w:marRight w:val="0"/>
          <w:marTop w:val="0"/>
          <w:marBottom w:val="0"/>
          <w:divBdr>
            <w:top w:val="none" w:sz="0" w:space="0" w:color="auto"/>
            <w:left w:val="none" w:sz="0" w:space="0" w:color="auto"/>
            <w:bottom w:val="none" w:sz="0" w:space="0" w:color="auto"/>
            <w:right w:val="none" w:sz="0" w:space="0" w:color="auto"/>
          </w:divBdr>
          <w:divsChild>
            <w:div w:id="797459240">
              <w:marLeft w:val="0"/>
              <w:marRight w:val="0"/>
              <w:marTop w:val="0"/>
              <w:marBottom w:val="0"/>
              <w:divBdr>
                <w:top w:val="none" w:sz="0" w:space="0" w:color="auto"/>
                <w:left w:val="none" w:sz="0" w:space="0" w:color="auto"/>
                <w:bottom w:val="none" w:sz="0" w:space="0" w:color="auto"/>
                <w:right w:val="none" w:sz="0" w:space="0" w:color="auto"/>
              </w:divBdr>
              <w:divsChild>
                <w:div w:id="531311016">
                  <w:marLeft w:val="0"/>
                  <w:marRight w:val="0"/>
                  <w:marTop w:val="0"/>
                  <w:marBottom w:val="0"/>
                  <w:divBdr>
                    <w:top w:val="none" w:sz="0" w:space="0" w:color="auto"/>
                    <w:left w:val="none" w:sz="0" w:space="0" w:color="auto"/>
                    <w:bottom w:val="none" w:sz="0" w:space="0" w:color="auto"/>
                    <w:right w:val="none" w:sz="0" w:space="0" w:color="auto"/>
                  </w:divBdr>
                  <w:divsChild>
                    <w:div w:id="1381513050">
                      <w:marLeft w:val="0"/>
                      <w:marRight w:val="0"/>
                      <w:marTop w:val="0"/>
                      <w:marBottom w:val="0"/>
                      <w:divBdr>
                        <w:top w:val="none" w:sz="0" w:space="0" w:color="auto"/>
                        <w:left w:val="none" w:sz="0" w:space="0" w:color="auto"/>
                        <w:bottom w:val="none" w:sz="0" w:space="0" w:color="auto"/>
                        <w:right w:val="none" w:sz="0" w:space="0" w:color="auto"/>
                      </w:divBdr>
                    </w:div>
                    <w:div w:id="1431313208">
                      <w:marLeft w:val="0"/>
                      <w:marRight w:val="0"/>
                      <w:marTop w:val="0"/>
                      <w:marBottom w:val="0"/>
                      <w:divBdr>
                        <w:top w:val="none" w:sz="0" w:space="0" w:color="auto"/>
                        <w:left w:val="none" w:sz="0" w:space="0" w:color="auto"/>
                        <w:bottom w:val="none" w:sz="0" w:space="0" w:color="auto"/>
                        <w:right w:val="none" w:sz="0" w:space="0" w:color="auto"/>
                      </w:divBdr>
                      <w:divsChild>
                        <w:div w:id="18912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9808">
              <w:marLeft w:val="0"/>
              <w:marRight w:val="0"/>
              <w:marTop w:val="0"/>
              <w:marBottom w:val="0"/>
              <w:divBdr>
                <w:top w:val="none" w:sz="0" w:space="0" w:color="auto"/>
                <w:left w:val="none" w:sz="0" w:space="0" w:color="auto"/>
                <w:bottom w:val="none" w:sz="0" w:space="0" w:color="auto"/>
                <w:right w:val="none" w:sz="0" w:space="0" w:color="auto"/>
              </w:divBdr>
            </w:div>
            <w:div w:id="14156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14128">
      <w:bodyDiv w:val="1"/>
      <w:marLeft w:val="0"/>
      <w:marRight w:val="0"/>
      <w:marTop w:val="0"/>
      <w:marBottom w:val="0"/>
      <w:divBdr>
        <w:top w:val="none" w:sz="0" w:space="0" w:color="auto"/>
        <w:left w:val="none" w:sz="0" w:space="0" w:color="auto"/>
        <w:bottom w:val="none" w:sz="0" w:space="0" w:color="auto"/>
        <w:right w:val="none" w:sz="0" w:space="0" w:color="auto"/>
      </w:divBdr>
    </w:div>
    <w:div w:id="751703712">
      <w:bodyDiv w:val="1"/>
      <w:marLeft w:val="0"/>
      <w:marRight w:val="0"/>
      <w:marTop w:val="0"/>
      <w:marBottom w:val="0"/>
      <w:divBdr>
        <w:top w:val="none" w:sz="0" w:space="0" w:color="auto"/>
        <w:left w:val="none" w:sz="0" w:space="0" w:color="auto"/>
        <w:bottom w:val="none" w:sz="0" w:space="0" w:color="auto"/>
        <w:right w:val="none" w:sz="0" w:space="0" w:color="auto"/>
      </w:divBdr>
    </w:div>
    <w:div w:id="801115058">
      <w:bodyDiv w:val="1"/>
      <w:marLeft w:val="0"/>
      <w:marRight w:val="0"/>
      <w:marTop w:val="0"/>
      <w:marBottom w:val="0"/>
      <w:divBdr>
        <w:top w:val="none" w:sz="0" w:space="0" w:color="auto"/>
        <w:left w:val="none" w:sz="0" w:space="0" w:color="auto"/>
        <w:bottom w:val="none" w:sz="0" w:space="0" w:color="auto"/>
        <w:right w:val="none" w:sz="0" w:space="0" w:color="auto"/>
      </w:divBdr>
    </w:div>
    <w:div w:id="883910428">
      <w:marLeft w:val="0"/>
      <w:marRight w:val="0"/>
      <w:marTop w:val="0"/>
      <w:marBottom w:val="0"/>
      <w:divBdr>
        <w:top w:val="none" w:sz="0" w:space="0" w:color="auto"/>
        <w:left w:val="none" w:sz="0" w:space="0" w:color="auto"/>
        <w:bottom w:val="none" w:sz="0" w:space="0" w:color="auto"/>
        <w:right w:val="none" w:sz="0" w:space="0" w:color="auto"/>
      </w:divBdr>
    </w:div>
    <w:div w:id="883910434">
      <w:marLeft w:val="0"/>
      <w:marRight w:val="0"/>
      <w:marTop w:val="0"/>
      <w:marBottom w:val="0"/>
      <w:divBdr>
        <w:top w:val="none" w:sz="0" w:space="0" w:color="auto"/>
        <w:left w:val="none" w:sz="0" w:space="0" w:color="auto"/>
        <w:bottom w:val="none" w:sz="0" w:space="0" w:color="auto"/>
        <w:right w:val="none" w:sz="0" w:space="0" w:color="auto"/>
      </w:divBdr>
    </w:div>
    <w:div w:id="883910435">
      <w:marLeft w:val="0"/>
      <w:marRight w:val="0"/>
      <w:marTop w:val="0"/>
      <w:marBottom w:val="0"/>
      <w:divBdr>
        <w:top w:val="none" w:sz="0" w:space="0" w:color="auto"/>
        <w:left w:val="none" w:sz="0" w:space="0" w:color="auto"/>
        <w:bottom w:val="none" w:sz="0" w:space="0" w:color="auto"/>
        <w:right w:val="none" w:sz="0" w:space="0" w:color="auto"/>
      </w:divBdr>
    </w:div>
    <w:div w:id="883910436">
      <w:marLeft w:val="0"/>
      <w:marRight w:val="0"/>
      <w:marTop w:val="0"/>
      <w:marBottom w:val="0"/>
      <w:divBdr>
        <w:top w:val="none" w:sz="0" w:space="0" w:color="auto"/>
        <w:left w:val="none" w:sz="0" w:space="0" w:color="auto"/>
        <w:bottom w:val="none" w:sz="0" w:space="0" w:color="auto"/>
        <w:right w:val="none" w:sz="0" w:space="0" w:color="auto"/>
      </w:divBdr>
    </w:div>
    <w:div w:id="883910437">
      <w:marLeft w:val="0"/>
      <w:marRight w:val="0"/>
      <w:marTop w:val="0"/>
      <w:marBottom w:val="0"/>
      <w:divBdr>
        <w:top w:val="none" w:sz="0" w:space="0" w:color="auto"/>
        <w:left w:val="none" w:sz="0" w:space="0" w:color="auto"/>
        <w:bottom w:val="none" w:sz="0" w:space="0" w:color="auto"/>
        <w:right w:val="none" w:sz="0" w:space="0" w:color="auto"/>
      </w:divBdr>
    </w:div>
    <w:div w:id="883910438">
      <w:marLeft w:val="0"/>
      <w:marRight w:val="0"/>
      <w:marTop w:val="0"/>
      <w:marBottom w:val="0"/>
      <w:divBdr>
        <w:top w:val="none" w:sz="0" w:space="0" w:color="auto"/>
        <w:left w:val="none" w:sz="0" w:space="0" w:color="auto"/>
        <w:bottom w:val="none" w:sz="0" w:space="0" w:color="auto"/>
        <w:right w:val="none" w:sz="0" w:space="0" w:color="auto"/>
      </w:divBdr>
    </w:div>
    <w:div w:id="883910439">
      <w:marLeft w:val="0"/>
      <w:marRight w:val="0"/>
      <w:marTop w:val="0"/>
      <w:marBottom w:val="0"/>
      <w:divBdr>
        <w:top w:val="none" w:sz="0" w:space="0" w:color="auto"/>
        <w:left w:val="none" w:sz="0" w:space="0" w:color="auto"/>
        <w:bottom w:val="none" w:sz="0" w:space="0" w:color="auto"/>
        <w:right w:val="none" w:sz="0" w:space="0" w:color="auto"/>
      </w:divBdr>
    </w:div>
    <w:div w:id="883910440">
      <w:marLeft w:val="0"/>
      <w:marRight w:val="0"/>
      <w:marTop w:val="0"/>
      <w:marBottom w:val="0"/>
      <w:divBdr>
        <w:top w:val="none" w:sz="0" w:space="0" w:color="auto"/>
        <w:left w:val="none" w:sz="0" w:space="0" w:color="auto"/>
        <w:bottom w:val="none" w:sz="0" w:space="0" w:color="auto"/>
        <w:right w:val="none" w:sz="0" w:space="0" w:color="auto"/>
      </w:divBdr>
    </w:div>
    <w:div w:id="883910441">
      <w:marLeft w:val="0"/>
      <w:marRight w:val="0"/>
      <w:marTop w:val="0"/>
      <w:marBottom w:val="0"/>
      <w:divBdr>
        <w:top w:val="none" w:sz="0" w:space="0" w:color="auto"/>
        <w:left w:val="none" w:sz="0" w:space="0" w:color="auto"/>
        <w:bottom w:val="none" w:sz="0" w:space="0" w:color="auto"/>
        <w:right w:val="none" w:sz="0" w:space="0" w:color="auto"/>
      </w:divBdr>
    </w:div>
    <w:div w:id="883910442">
      <w:marLeft w:val="0"/>
      <w:marRight w:val="0"/>
      <w:marTop w:val="0"/>
      <w:marBottom w:val="0"/>
      <w:divBdr>
        <w:top w:val="none" w:sz="0" w:space="0" w:color="auto"/>
        <w:left w:val="none" w:sz="0" w:space="0" w:color="auto"/>
        <w:bottom w:val="none" w:sz="0" w:space="0" w:color="auto"/>
        <w:right w:val="none" w:sz="0" w:space="0" w:color="auto"/>
      </w:divBdr>
    </w:div>
    <w:div w:id="883910443">
      <w:marLeft w:val="0"/>
      <w:marRight w:val="0"/>
      <w:marTop w:val="0"/>
      <w:marBottom w:val="0"/>
      <w:divBdr>
        <w:top w:val="none" w:sz="0" w:space="0" w:color="auto"/>
        <w:left w:val="none" w:sz="0" w:space="0" w:color="auto"/>
        <w:bottom w:val="none" w:sz="0" w:space="0" w:color="auto"/>
        <w:right w:val="none" w:sz="0" w:space="0" w:color="auto"/>
      </w:divBdr>
    </w:div>
    <w:div w:id="883910444">
      <w:marLeft w:val="0"/>
      <w:marRight w:val="0"/>
      <w:marTop w:val="0"/>
      <w:marBottom w:val="0"/>
      <w:divBdr>
        <w:top w:val="none" w:sz="0" w:space="0" w:color="auto"/>
        <w:left w:val="none" w:sz="0" w:space="0" w:color="auto"/>
        <w:bottom w:val="none" w:sz="0" w:space="0" w:color="auto"/>
        <w:right w:val="none" w:sz="0" w:space="0" w:color="auto"/>
      </w:divBdr>
    </w:div>
    <w:div w:id="883910445">
      <w:marLeft w:val="0"/>
      <w:marRight w:val="0"/>
      <w:marTop w:val="0"/>
      <w:marBottom w:val="0"/>
      <w:divBdr>
        <w:top w:val="none" w:sz="0" w:space="0" w:color="auto"/>
        <w:left w:val="none" w:sz="0" w:space="0" w:color="auto"/>
        <w:bottom w:val="none" w:sz="0" w:space="0" w:color="auto"/>
        <w:right w:val="none" w:sz="0" w:space="0" w:color="auto"/>
      </w:divBdr>
    </w:div>
    <w:div w:id="883910446">
      <w:marLeft w:val="0"/>
      <w:marRight w:val="0"/>
      <w:marTop w:val="0"/>
      <w:marBottom w:val="0"/>
      <w:divBdr>
        <w:top w:val="none" w:sz="0" w:space="0" w:color="auto"/>
        <w:left w:val="none" w:sz="0" w:space="0" w:color="auto"/>
        <w:bottom w:val="none" w:sz="0" w:space="0" w:color="auto"/>
        <w:right w:val="none" w:sz="0" w:space="0" w:color="auto"/>
      </w:divBdr>
    </w:div>
    <w:div w:id="883910447">
      <w:marLeft w:val="0"/>
      <w:marRight w:val="0"/>
      <w:marTop w:val="0"/>
      <w:marBottom w:val="0"/>
      <w:divBdr>
        <w:top w:val="none" w:sz="0" w:space="0" w:color="auto"/>
        <w:left w:val="none" w:sz="0" w:space="0" w:color="auto"/>
        <w:bottom w:val="none" w:sz="0" w:space="0" w:color="auto"/>
        <w:right w:val="none" w:sz="0" w:space="0" w:color="auto"/>
      </w:divBdr>
    </w:div>
    <w:div w:id="883910448">
      <w:marLeft w:val="0"/>
      <w:marRight w:val="0"/>
      <w:marTop w:val="0"/>
      <w:marBottom w:val="0"/>
      <w:divBdr>
        <w:top w:val="none" w:sz="0" w:space="0" w:color="auto"/>
        <w:left w:val="none" w:sz="0" w:space="0" w:color="auto"/>
        <w:bottom w:val="none" w:sz="0" w:space="0" w:color="auto"/>
        <w:right w:val="none" w:sz="0" w:space="0" w:color="auto"/>
      </w:divBdr>
      <w:divsChild>
        <w:div w:id="883910430">
          <w:marLeft w:val="0"/>
          <w:marRight w:val="0"/>
          <w:marTop w:val="0"/>
          <w:marBottom w:val="0"/>
          <w:divBdr>
            <w:top w:val="none" w:sz="0" w:space="0" w:color="auto"/>
            <w:left w:val="none" w:sz="0" w:space="0" w:color="auto"/>
            <w:bottom w:val="none" w:sz="0" w:space="0" w:color="auto"/>
            <w:right w:val="none" w:sz="0" w:space="0" w:color="auto"/>
          </w:divBdr>
          <w:divsChild>
            <w:div w:id="883910432">
              <w:marLeft w:val="0"/>
              <w:marRight w:val="0"/>
              <w:marTop w:val="0"/>
              <w:marBottom w:val="0"/>
              <w:divBdr>
                <w:top w:val="none" w:sz="0" w:space="0" w:color="auto"/>
                <w:left w:val="none" w:sz="0" w:space="0" w:color="auto"/>
                <w:bottom w:val="none" w:sz="0" w:space="0" w:color="auto"/>
                <w:right w:val="none" w:sz="0" w:space="0" w:color="auto"/>
              </w:divBdr>
              <w:divsChild>
                <w:div w:id="883910433">
                  <w:marLeft w:val="0"/>
                  <w:marRight w:val="0"/>
                  <w:marTop w:val="0"/>
                  <w:marBottom w:val="0"/>
                  <w:divBdr>
                    <w:top w:val="single" w:sz="8" w:space="0" w:color="30773F"/>
                    <w:left w:val="single" w:sz="8" w:space="0" w:color="30773F"/>
                    <w:bottom w:val="single" w:sz="8" w:space="0" w:color="30773F"/>
                    <w:right w:val="single" w:sz="8" w:space="0" w:color="30773F"/>
                  </w:divBdr>
                  <w:divsChild>
                    <w:div w:id="883910429">
                      <w:marLeft w:val="0"/>
                      <w:marRight w:val="0"/>
                      <w:marTop w:val="0"/>
                      <w:marBottom w:val="0"/>
                      <w:divBdr>
                        <w:top w:val="none" w:sz="0" w:space="0" w:color="auto"/>
                        <w:left w:val="none" w:sz="0" w:space="0" w:color="auto"/>
                        <w:bottom w:val="none" w:sz="0" w:space="0" w:color="auto"/>
                        <w:right w:val="none" w:sz="0" w:space="0" w:color="auto"/>
                      </w:divBdr>
                    </w:div>
                    <w:div w:id="88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0449">
      <w:marLeft w:val="0"/>
      <w:marRight w:val="0"/>
      <w:marTop w:val="0"/>
      <w:marBottom w:val="0"/>
      <w:divBdr>
        <w:top w:val="none" w:sz="0" w:space="0" w:color="auto"/>
        <w:left w:val="none" w:sz="0" w:space="0" w:color="auto"/>
        <w:bottom w:val="none" w:sz="0" w:space="0" w:color="auto"/>
        <w:right w:val="none" w:sz="0" w:space="0" w:color="auto"/>
      </w:divBdr>
    </w:div>
    <w:div w:id="903950518">
      <w:bodyDiv w:val="1"/>
      <w:marLeft w:val="0"/>
      <w:marRight w:val="0"/>
      <w:marTop w:val="0"/>
      <w:marBottom w:val="0"/>
      <w:divBdr>
        <w:top w:val="none" w:sz="0" w:space="0" w:color="auto"/>
        <w:left w:val="none" w:sz="0" w:space="0" w:color="auto"/>
        <w:bottom w:val="none" w:sz="0" w:space="0" w:color="auto"/>
        <w:right w:val="none" w:sz="0" w:space="0" w:color="auto"/>
      </w:divBdr>
    </w:div>
    <w:div w:id="1044252393">
      <w:bodyDiv w:val="1"/>
      <w:marLeft w:val="0"/>
      <w:marRight w:val="0"/>
      <w:marTop w:val="0"/>
      <w:marBottom w:val="0"/>
      <w:divBdr>
        <w:top w:val="none" w:sz="0" w:space="0" w:color="auto"/>
        <w:left w:val="none" w:sz="0" w:space="0" w:color="auto"/>
        <w:bottom w:val="none" w:sz="0" w:space="0" w:color="auto"/>
        <w:right w:val="none" w:sz="0" w:space="0" w:color="auto"/>
      </w:divBdr>
    </w:div>
    <w:div w:id="1113401391">
      <w:bodyDiv w:val="1"/>
      <w:marLeft w:val="0"/>
      <w:marRight w:val="0"/>
      <w:marTop w:val="0"/>
      <w:marBottom w:val="0"/>
      <w:divBdr>
        <w:top w:val="none" w:sz="0" w:space="0" w:color="auto"/>
        <w:left w:val="none" w:sz="0" w:space="0" w:color="auto"/>
        <w:bottom w:val="none" w:sz="0" w:space="0" w:color="auto"/>
        <w:right w:val="none" w:sz="0" w:space="0" w:color="auto"/>
      </w:divBdr>
    </w:div>
    <w:div w:id="1237478806">
      <w:bodyDiv w:val="1"/>
      <w:marLeft w:val="0"/>
      <w:marRight w:val="0"/>
      <w:marTop w:val="0"/>
      <w:marBottom w:val="0"/>
      <w:divBdr>
        <w:top w:val="none" w:sz="0" w:space="0" w:color="auto"/>
        <w:left w:val="none" w:sz="0" w:space="0" w:color="auto"/>
        <w:bottom w:val="none" w:sz="0" w:space="0" w:color="auto"/>
        <w:right w:val="none" w:sz="0" w:space="0" w:color="auto"/>
      </w:divBdr>
    </w:div>
    <w:div w:id="1360396805">
      <w:bodyDiv w:val="1"/>
      <w:marLeft w:val="0"/>
      <w:marRight w:val="0"/>
      <w:marTop w:val="0"/>
      <w:marBottom w:val="0"/>
      <w:divBdr>
        <w:top w:val="none" w:sz="0" w:space="0" w:color="auto"/>
        <w:left w:val="none" w:sz="0" w:space="0" w:color="auto"/>
        <w:bottom w:val="none" w:sz="0" w:space="0" w:color="auto"/>
        <w:right w:val="none" w:sz="0" w:space="0" w:color="auto"/>
      </w:divBdr>
      <w:divsChild>
        <w:div w:id="55855777">
          <w:marLeft w:val="0"/>
          <w:marRight w:val="0"/>
          <w:marTop w:val="0"/>
          <w:marBottom w:val="0"/>
          <w:divBdr>
            <w:top w:val="none" w:sz="0" w:space="0" w:color="auto"/>
            <w:left w:val="none" w:sz="0" w:space="0" w:color="auto"/>
            <w:bottom w:val="none" w:sz="0" w:space="0" w:color="auto"/>
            <w:right w:val="none" w:sz="0" w:space="0" w:color="auto"/>
          </w:divBdr>
        </w:div>
        <w:div w:id="426656318">
          <w:marLeft w:val="0"/>
          <w:marRight w:val="0"/>
          <w:marTop w:val="0"/>
          <w:marBottom w:val="0"/>
          <w:divBdr>
            <w:top w:val="none" w:sz="0" w:space="0" w:color="auto"/>
            <w:left w:val="none" w:sz="0" w:space="0" w:color="auto"/>
            <w:bottom w:val="none" w:sz="0" w:space="0" w:color="auto"/>
            <w:right w:val="none" w:sz="0" w:space="0" w:color="auto"/>
          </w:divBdr>
        </w:div>
        <w:div w:id="714933171">
          <w:marLeft w:val="0"/>
          <w:marRight w:val="0"/>
          <w:marTop w:val="0"/>
          <w:marBottom w:val="0"/>
          <w:divBdr>
            <w:top w:val="none" w:sz="0" w:space="0" w:color="auto"/>
            <w:left w:val="none" w:sz="0" w:space="0" w:color="auto"/>
            <w:bottom w:val="none" w:sz="0" w:space="0" w:color="auto"/>
            <w:right w:val="none" w:sz="0" w:space="0" w:color="auto"/>
          </w:divBdr>
        </w:div>
        <w:div w:id="1291277247">
          <w:marLeft w:val="0"/>
          <w:marRight w:val="0"/>
          <w:marTop w:val="0"/>
          <w:marBottom w:val="0"/>
          <w:divBdr>
            <w:top w:val="none" w:sz="0" w:space="0" w:color="auto"/>
            <w:left w:val="none" w:sz="0" w:space="0" w:color="auto"/>
            <w:bottom w:val="none" w:sz="0" w:space="0" w:color="auto"/>
            <w:right w:val="none" w:sz="0" w:space="0" w:color="auto"/>
          </w:divBdr>
        </w:div>
        <w:div w:id="1468281272">
          <w:marLeft w:val="0"/>
          <w:marRight w:val="0"/>
          <w:marTop w:val="0"/>
          <w:marBottom w:val="0"/>
          <w:divBdr>
            <w:top w:val="none" w:sz="0" w:space="0" w:color="auto"/>
            <w:left w:val="none" w:sz="0" w:space="0" w:color="auto"/>
            <w:bottom w:val="none" w:sz="0" w:space="0" w:color="auto"/>
            <w:right w:val="none" w:sz="0" w:space="0" w:color="auto"/>
          </w:divBdr>
        </w:div>
        <w:div w:id="1491290487">
          <w:marLeft w:val="0"/>
          <w:marRight w:val="0"/>
          <w:marTop w:val="0"/>
          <w:marBottom w:val="0"/>
          <w:divBdr>
            <w:top w:val="none" w:sz="0" w:space="0" w:color="auto"/>
            <w:left w:val="none" w:sz="0" w:space="0" w:color="auto"/>
            <w:bottom w:val="none" w:sz="0" w:space="0" w:color="auto"/>
            <w:right w:val="none" w:sz="0" w:space="0" w:color="auto"/>
          </w:divBdr>
        </w:div>
        <w:div w:id="1781342204">
          <w:marLeft w:val="0"/>
          <w:marRight w:val="0"/>
          <w:marTop w:val="0"/>
          <w:marBottom w:val="0"/>
          <w:divBdr>
            <w:top w:val="none" w:sz="0" w:space="0" w:color="auto"/>
            <w:left w:val="none" w:sz="0" w:space="0" w:color="auto"/>
            <w:bottom w:val="none" w:sz="0" w:space="0" w:color="auto"/>
            <w:right w:val="none" w:sz="0" w:space="0" w:color="auto"/>
          </w:divBdr>
        </w:div>
        <w:div w:id="1872959905">
          <w:marLeft w:val="0"/>
          <w:marRight w:val="0"/>
          <w:marTop w:val="0"/>
          <w:marBottom w:val="0"/>
          <w:divBdr>
            <w:top w:val="none" w:sz="0" w:space="0" w:color="auto"/>
            <w:left w:val="none" w:sz="0" w:space="0" w:color="auto"/>
            <w:bottom w:val="none" w:sz="0" w:space="0" w:color="auto"/>
            <w:right w:val="none" w:sz="0" w:space="0" w:color="auto"/>
          </w:divBdr>
        </w:div>
        <w:div w:id="1990743870">
          <w:marLeft w:val="0"/>
          <w:marRight w:val="0"/>
          <w:marTop w:val="0"/>
          <w:marBottom w:val="0"/>
          <w:divBdr>
            <w:top w:val="none" w:sz="0" w:space="0" w:color="auto"/>
            <w:left w:val="none" w:sz="0" w:space="0" w:color="auto"/>
            <w:bottom w:val="none" w:sz="0" w:space="0" w:color="auto"/>
            <w:right w:val="none" w:sz="0" w:space="0" w:color="auto"/>
          </w:divBdr>
        </w:div>
        <w:div w:id="2093235026">
          <w:marLeft w:val="0"/>
          <w:marRight w:val="0"/>
          <w:marTop w:val="0"/>
          <w:marBottom w:val="0"/>
          <w:divBdr>
            <w:top w:val="none" w:sz="0" w:space="0" w:color="auto"/>
            <w:left w:val="none" w:sz="0" w:space="0" w:color="auto"/>
            <w:bottom w:val="none" w:sz="0" w:space="0" w:color="auto"/>
            <w:right w:val="none" w:sz="0" w:space="0" w:color="auto"/>
          </w:divBdr>
        </w:div>
      </w:divsChild>
    </w:div>
    <w:div w:id="1458989760">
      <w:bodyDiv w:val="1"/>
      <w:marLeft w:val="0"/>
      <w:marRight w:val="0"/>
      <w:marTop w:val="0"/>
      <w:marBottom w:val="0"/>
      <w:divBdr>
        <w:top w:val="none" w:sz="0" w:space="0" w:color="auto"/>
        <w:left w:val="none" w:sz="0" w:space="0" w:color="auto"/>
        <w:bottom w:val="none" w:sz="0" w:space="0" w:color="auto"/>
        <w:right w:val="none" w:sz="0" w:space="0" w:color="auto"/>
      </w:divBdr>
    </w:div>
    <w:div w:id="1474785783">
      <w:bodyDiv w:val="1"/>
      <w:marLeft w:val="0"/>
      <w:marRight w:val="0"/>
      <w:marTop w:val="0"/>
      <w:marBottom w:val="0"/>
      <w:divBdr>
        <w:top w:val="none" w:sz="0" w:space="0" w:color="auto"/>
        <w:left w:val="none" w:sz="0" w:space="0" w:color="auto"/>
        <w:bottom w:val="none" w:sz="0" w:space="0" w:color="auto"/>
        <w:right w:val="none" w:sz="0" w:space="0" w:color="auto"/>
      </w:divBdr>
    </w:div>
    <w:div w:id="1513757790">
      <w:bodyDiv w:val="1"/>
      <w:marLeft w:val="0"/>
      <w:marRight w:val="0"/>
      <w:marTop w:val="0"/>
      <w:marBottom w:val="0"/>
      <w:divBdr>
        <w:top w:val="none" w:sz="0" w:space="0" w:color="auto"/>
        <w:left w:val="none" w:sz="0" w:space="0" w:color="auto"/>
        <w:bottom w:val="none" w:sz="0" w:space="0" w:color="auto"/>
        <w:right w:val="none" w:sz="0" w:space="0" w:color="auto"/>
      </w:divBdr>
    </w:div>
    <w:div w:id="1518540908">
      <w:bodyDiv w:val="1"/>
      <w:marLeft w:val="0"/>
      <w:marRight w:val="0"/>
      <w:marTop w:val="0"/>
      <w:marBottom w:val="0"/>
      <w:divBdr>
        <w:top w:val="none" w:sz="0" w:space="0" w:color="auto"/>
        <w:left w:val="none" w:sz="0" w:space="0" w:color="auto"/>
        <w:bottom w:val="none" w:sz="0" w:space="0" w:color="auto"/>
        <w:right w:val="none" w:sz="0" w:space="0" w:color="auto"/>
      </w:divBdr>
    </w:div>
    <w:div w:id="1827427787">
      <w:bodyDiv w:val="1"/>
      <w:marLeft w:val="0"/>
      <w:marRight w:val="0"/>
      <w:marTop w:val="0"/>
      <w:marBottom w:val="0"/>
      <w:divBdr>
        <w:top w:val="none" w:sz="0" w:space="0" w:color="auto"/>
        <w:left w:val="none" w:sz="0" w:space="0" w:color="auto"/>
        <w:bottom w:val="none" w:sz="0" w:space="0" w:color="auto"/>
        <w:right w:val="none" w:sz="0" w:space="0" w:color="auto"/>
      </w:divBdr>
    </w:div>
    <w:div w:id="1897735093">
      <w:bodyDiv w:val="1"/>
      <w:marLeft w:val="0"/>
      <w:marRight w:val="0"/>
      <w:marTop w:val="0"/>
      <w:marBottom w:val="0"/>
      <w:divBdr>
        <w:top w:val="none" w:sz="0" w:space="0" w:color="auto"/>
        <w:left w:val="none" w:sz="0" w:space="0" w:color="auto"/>
        <w:bottom w:val="none" w:sz="0" w:space="0" w:color="auto"/>
        <w:right w:val="none" w:sz="0" w:space="0" w:color="auto"/>
      </w:divBdr>
    </w:div>
    <w:div w:id="2005668678">
      <w:bodyDiv w:val="1"/>
      <w:marLeft w:val="0"/>
      <w:marRight w:val="0"/>
      <w:marTop w:val="0"/>
      <w:marBottom w:val="0"/>
      <w:divBdr>
        <w:top w:val="none" w:sz="0" w:space="0" w:color="auto"/>
        <w:left w:val="none" w:sz="0" w:space="0" w:color="auto"/>
        <w:bottom w:val="none" w:sz="0" w:space="0" w:color="auto"/>
        <w:right w:val="none" w:sz="0" w:space="0" w:color="auto"/>
      </w:divBdr>
    </w:div>
    <w:div w:id="2060859454">
      <w:bodyDiv w:val="1"/>
      <w:marLeft w:val="0"/>
      <w:marRight w:val="0"/>
      <w:marTop w:val="0"/>
      <w:marBottom w:val="0"/>
      <w:divBdr>
        <w:top w:val="none" w:sz="0" w:space="0" w:color="auto"/>
        <w:left w:val="none" w:sz="0" w:space="0" w:color="auto"/>
        <w:bottom w:val="none" w:sz="0" w:space="0" w:color="auto"/>
        <w:right w:val="none" w:sz="0" w:space="0" w:color="auto"/>
      </w:divBdr>
    </w:div>
    <w:div w:id="21131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s.gov/index.cfm?ty=pbse&amp;sid=38" TargetMode="External"/><Relationship Id="rId13" Type="http://schemas.openxmlformats.org/officeDocument/2006/relationships/hyperlink" Target="https://www.vera.org/publications/the-new-dynamics-of-mass-incarceration" TargetMode="External"/><Relationship Id="rId18" Type="http://schemas.openxmlformats.org/officeDocument/2006/relationships/hyperlink" Target="https://pcms.icpsr.umich.edu/pcms/reports/studies/37373/utilizatio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ls.gov/oes/current/oes333012.htm" TargetMode="External"/><Relationship Id="rId7" Type="http://schemas.openxmlformats.org/officeDocument/2006/relationships/endnotes" Target="endnotes.xml"/><Relationship Id="rId12" Type="http://schemas.openxmlformats.org/officeDocument/2006/relationships/hyperlink" Target="https://www.vera.org/publications/divided-justice-black-white-jail-incarceration" TargetMode="External"/><Relationship Id="rId17" Type="http://schemas.openxmlformats.org/officeDocument/2006/relationships/hyperlink" Target="https://www.prisonpolicy.org/reports/pie2019.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era.org/people-in-jail-in-2019" TargetMode="External"/><Relationship Id="rId20" Type="http://schemas.openxmlformats.org/officeDocument/2006/relationships/hyperlink" Target="https://www.bjs.gov/content/pub/pdf/BJS_Data_Protection_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jail.org/jail-statistic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era.org/state-incarceration-trends" TargetMode="External"/><Relationship Id="rId23" Type="http://schemas.openxmlformats.org/officeDocument/2006/relationships/hyperlink" Target="https://www.icpsr.umich.edu/icpsrweb/ICPSR/series/7" TargetMode="External"/><Relationship Id="rId28" Type="http://schemas.openxmlformats.org/officeDocument/2006/relationships/theme" Target="theme/theme1.xml"/><Relationship Id="rId10" Type="http://schemas.openxmlformats.org/officeDocument/2006/relationships/hyperlink" Target="https://www.bjs.gov/content/pub/pdf/BJS_Data_Protection_Guidelines.pdf" TargetMode="External"/><Relationship Id="rId19" Type="http://schemas.openxmlformats.org/officeDocument/2006/relationships/hyperlink" Target="https://www.ncchc.org/filebin/COVID/NCCHC-HU_SurveillanceTracker_20200406_No7_April_3.pdf" TargetMode="External"/><Relationship Id="rId4" Type="http://schemas.openxmlformats.org/officeDocument/2006/relationships/settings" Target="settings.xml"/><Relationship Id="rId9" Type="http://schemas.openxmlformats.org/officeDocument/2006/relationships/hyperlink" Target="https://www.icpsr.umich.edu/icpsrweb/content/NACJD/index.html" TargetMode="External"/><Relationship Id="rId14" Type="http://schemas.openxmlformats.org/officeDocument/2006/relationships/hyperlink" Target="https://www.vera.org/publications/out-of-sight-growth-of-jails-rural-america" TargetMode="External"/><Relationship Id="rId22" Type="http://schemas.openxmlformats.org/officeDocument/2006/relationships/hyperlink" Target="https://www.bjs.gov/index.cfm?ty=pbse&amp;sid=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180FE-6FA3-47BD-96FA-2A5133D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16</Pages>
  <Words>6336</Words>
  <Characters>36960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43210</CharactersWithSpaces>
  <SharedDoc>false</SharedDoc>
  <HLinks>
    <vt:vector size="12" baseType="variant">
      <vt:variant>
        <vt:i4>655440</vt:i4>
      </vt:variant>
      <vt:variant>
        <vt:i4>3</vt:i4>
      </vt:variant>
      <vt:variant>
        <vt:i4>0</vt:i4>
      </vt:variant>
      <vt:variant>
        <vt:i4>5</vt:i4>
      </vt:variant>
      <vt:variant>
        <vt:lpwstr>http://bjs.ojp.usdoj.gov/content/pub/pdf/jim08st.pdf</vt:lpwstr>
      </vt:variant>
      <vt:variant>
        <vt:lpwstr/>
      </vt:variant>
      <vt:variant>
        <vt:i4>2621563</vt:i4>
      </vt:variant>
      <vt:variant>
        <vt:i4>0</vt:i4>
      </vt:variant>
      <vt:variant>
        <vt:i4>0</vt:i4>
      </vt:variant>
      <vt:variant>
        <vt:i4>5</vt:i4>
      </vt:variant>
      <vt:variant>
        <vt:lpwstr>http://bjs.ojp.usdoj.gov/content/pub/pdf/ppus08.pdf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Zhen.Zeng@ojp.usdoj.gov</dc:creator>
  <cp:keywords/>
  <dc:description/>
  <cp:lastModifiedBy>Zeng, Zhen</cp:lastModifiedBy>
  <cp:revision>44</cp:revision>
  <cp:lastPrinted>2019-03-26T19:40:00Z</cp:lastPrinted>
  <dcterms:created xsi:type="dcterms:W3CDTF">2020-01-17T19:35:00Z</dcterms:created>
  <dcterms:modified xsi:type="dcterms:W3CDTF">2020-06-19T13:54:00Z</dcterms:modified>
</cp:coreProperties>
</file>