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F8C" w:rsidP="00811F8C" w:rsidRDefault="00811F8C" w14:paraId="11C27C9F" w14:textId="77777777">
      <w:pPr>
        <w:pStyle w:val="Heading1"/>
      </w:pPr>
      <w:r>
        <w:t xml:space="preserve">B. </w:t>
      </w:r>
      <w:r w:rsidRPr="00953B2A" w:rsidR="00944192">
        <w:t xml:space="preserve">Collection of </w:t>
      </w:r>
      <w:r w:rsidRPr="00811F8C" w:rsidR="00944192">
        <w:t>Information</w:t>
      </w:r>
      <w:r w:rsidRPr="00953B2A" w:rsidR="00944192">
        <w:t xml:space="preserve"> Employing Statistical Methods</w:t>
      </w:r>
    </w:p>
    <w:p w:rsidRPr="00521109" w:rsidR="00944192" w:rsidP="00811F8C" w:rsidRDefault="00944192" w14:paraId="06163AF8" w14:textId="330CEBE5">
      <w:pPr>
        <w:pStyle w:val="Heading2"/>
      </w:pPr>
      <w:r w:rsidRPr="00521109">
        <w:t xml:space="preserve">1.  </w:t>
      </w:r>
      <w:r w:rsidRPr="00521109">
        <w:tab/>
      </w:r>
      <w:r w:rsidRPr="00364333" w:rsidR="00C10E28">
        <w:rPr>
          <w:b/>
        </w:rPr>
        <w:t>Universe and Sample Selection</w:t>
      </w:r>
    </w:p>
    <w:p w:rsidR="0091579F" w:rsidP="007F3B0B" w:rsidRDefault="00952EC3" w14:paraId="611D17BD" w14:textId="24987DF0">
      <w:r>
        <w:t>Local j</w:t>
      </w:r>
      <w:r w:rsidR="00740C32">
        <w:t xml:space="preserve">ails </w:t>
      </w:r>
      <w:r w:rsidR="00A50C50">
        <w:t xml:space="preserve">are </w:t>
      </w:r>
      <w:r>
        <w:t xml:space="preserve">publicly </w:t>
      </w:r>
      <w:r w:rsidR="00A50C50">
        <w:t xml:space="preserve">or privately operated </w:t>
      </w:r>
      <w:r w:rsidRPr="00713638" w:rsidR="00740C32">
        <w:t xml:space="preserve">facilities </w:t>
      </w:r>
      <w:r w:rsidR="00D948B8">
        <w:t xml:space="preserve">that </w:t>
      </w:r>
      <w:r w:rsidRPr="00D948B8" w:rsidR="00D948B8">
        <w:t xml:space="preserve">generally have the ability to hold </w:t>
      </w:r>
      <w:r w:rsidRPr="00952EC3">
        <w:t>inmates beyond 72 hours and beyond arraignment</w:t>
      </w:r>
      <w:r w:rsidR="00AC68EF">
        <w:t xml:space="preserve">. </w:t>
      </w:r>
      <w:r w:rsidRPr="00952EC3">
        <w:t>Facilities include jails, detention centers, city or county correctional centers, special jail facilities (such as medical or treatment centers and pre-release centers), and temporary holding or lockup facilities that are part of the jail</w:t>
      </w:r>
      <w:r w:rsidRPr="00952EC3">
        <w:rPr>
          <w:rFonts w:hint="eastAsia"/>
        </w:rPr>
        <w:t>’</w:t>
      </w:r>
      <w:r w:rsidRPr="00952EC3">
        <w:t>s combined function.</w:t>
      </w:r>
      <w:r>
        <w:t xml:space="preserve"> </w:t>
      </w:r>
      <w:r w:rsidRPr="00953B2A" w:rsidR="003A1B06">
        <w:t xml:space="preserve">The universe </w:t>
      </w:r>
      <w:r w:rsidRPr="00953B2A" w:rsidR="0066022E">
        <w:t xml:space="preserve">for the </w:t>
      </w:r>
      <w:r w:rsidR="009F3735">
        <w:t>Annual Survey of Jails (ASJ)</w:t>
      </w:r>
      <w:r w:rsidRPr="00953B2A" w:rsidR="00D06C04">
        <w:t xml:space="preserve"> </w:t>
      </w:r>
      <w:r w:rsidR="0091579F">
        <w:t>includes</w:t>
      </w:r>
      <w:r w:rsidR="00293CC5">
        <w:t xml:space="preserve"> </w:t>
      </w:r>
      <w:r w:rsidR="00CB1DD0">
        <w:t xml:space="preserve">all </w:t>
      </w:r>
      <w:r w:rsidR="00293CC5">
        <w:t>local jails (</w:t>
      </w:r>
      <w:r w:rsidRPr="0091579F" w:rsidR="0091579F">
        <w:t xml:space="preserve">city, county, regional, </w:t>
      </w:r>
      <w:r w:rsidR="00F00232">
        <w:t xml:space="preserve">and </w:t>
      </w:r>
      <w:r w:rsidRPr="0091579F" w:rsidR="0091579F">
        <w:t>private</w:t>
      </w:r>
      <w:r w:rsidR="00293CC5">
        <w:t>)</w:t>
      </w:r>
      <w:r w:rsidR="004972BA">
        <w:t xml:space="preserve"> in the United States</w:t>
      </w:r>
      <w:r w:rsidR="0063480F">
        <w:t>, except—</w:t>
      </w:r>
      <w:r w:rsidR="00B952A1">
        <w:t>(1) j</w:t>
      </w:r>
      <w:r w:rsidR="001E05B9">
        <w:t>ails in Indian country</w:t>
      </w:r>
      <w:r w:rsidR="00B952A1">
        <w:t>, which</w:t>
      </w:r>
      <w:r w:rsidR="001E05B9">
        <w:t xml:space="preserve"> are covered by the Survey of Jails in Indian Counties (</w:t>
      </w:r>
      <w:r w:rsidRPr="0091579F" w:rsidR="001E05B9">
        <w:t xml:space="preserve">OMB </w:t>
      </w:r>
      <w:r w:rsidRPr="00EA7CEA" w:rsidR="001E05B9">
        <w:t>Control No. 1121-0</w:t>
      </w:r>
      <w:r w:rsidR="001E05B9">
        <w:t>329)</w:t>
      </w:r>
      <w:r w:rsidR="00B952A1">
        <w:t>;</w:t>
      </w:r>
      <w:r w:rsidR="001E05B9">
        <w:t xml:space="preserve"> and</w:t>
      </w:r>
      <w:r w:rsidR="00B952A1">
        <w:t xml:space="preserve"> (2) d</w:t>
      </w:r>
      <w:r w:rsidR="00D46EA5">
        <w:t xml:space="preserve">etention facilities in six states with combined prison-jail systems (i.e., </w:t>
      </w:r>
      <w:r w:rsidRPr="00CC2EE0" w:rsidR="00D46EA5">
        <w:t>Alaska, Connecticut, Delaware, Hawaii,</w:t>
      </w:r>
      <w:r w:rsidR="00D46EA5">
        <w:rPr>
          <w:rFonts w:cs="Minion Pro"/>
          <w:color w:val="211D1E"/>
          <w:sz w:val="22"/>
          <w:szCs w:val="22"/>
        </w:rPr>
        <w:t xml:space="preserve"> </w:t>
      </w:r>
      <w:r w:rsidRPr="00CC2EE0" w:rsidR="00D46EA5">
        <w:t>Rhode Island, and Vermont</w:t>
      </w:r>
      <w:r w:rsidR="00D46EA5">
        <w:t>)</w:t>
      </w:r>
      <w:r w:rsidR="00B952A1">
        <w:t>, which</w:t>
      </w:r>
      <w:r w:rsidR="00D46EA5">
        <w:t xml:space="preserve"> are</w:t>
      </w:r>
      <w:r w:rsidR="0063461C">
        <w:t xml:space="preserve"> </w:t>
      </w:r>
      <w:r w:rsidR="00E25411">
        <w:t xml:space="preserve">surveyed in BJS’s </w:t>
      </w:r>
      <w:r w:rsidRPr="00E25411" w:rsidR="00E25411">
        <w:t>Census of State and Federal Adult Correctional Facilities</w:t>
      </w:r>
      <w:r w:rsidR="0063480F">
        <w:t xml:space="preserve"> (</w:t>
      </w:r>
      <w:r w:rsidRPr="0091579F" w:rsidR="0063480F">
        <w:t xml:space="preserve">OMB </w:t>
      </w:r>
      <w:r w:rsidRPr="00EA7CEA" w:rsidR="0063480F">
        <w:t>Control No. 1121-0</w:t>
      </w:r>
      <w:r w:rsidR="0063480F">
        <w:t>147)</w:t>
      </w:r>
      <w:r w:rsidR="00071257">
        <w:t xml:space="preserve"> and National Prisoner Statistics (</w:t>
      </w:r>
      <w:r w:rsidRPr="0091579F" w:rsidR="00071257">
        <w:t xml:space="preserve">OMB </w:t>
      </w:r>
      <w:r w:rsidRPr="00EA7CEA" w:rsidR="00071257">
        <w:t>Control No. 1121-0</w:t>
      </w:r>
      <w:r w:rsidR="00071257">
        <w:t>102)</w:t>
      </w:r>
      <w:r w:rsidR="0063461C">
        <w:t xml:space="preserve">. </w:t>
      </w:r>
      <w:r w:rsidRPr="00BF7C09" w:rsidR="00D05D15">
        <w:t>However, Alaska</w:t>
      </w:r>
      <w:r w:rsidR="006C7714">
        <w:t xml:space="preserve"> has </w:t>
      </w:r>
      <w:r w:rsidRPr="00BF7C09" w:rsidR="00D05D15">
        <w:t xml:space="preserve">15 </w:t>
      </w:r>
      <w:r w:rsidR="00A127B2">
        <w:t xml:space="preserve">jails </w:t>
      </w:r>
      <w:r w:rsidR="006C7714">
        <w:t xml:space="preserve">that are locally operated </w:t>
      </w:r>
      <w:r w:rsidR="00B952A1">
        <w:t xml:space="preserve">and </w:t>
      </w:r>
      <w:r w:rsidR="006C7714">
        <w:t xml:space="preserve">these facilities </w:t>
      </w:r>
      <w:r w:rsidR="00A127B2">
        <w:t xml:space="preserve">are included in the </w:t>
      </w:r>
      <w:r w:rsidR="00C2377A">
        <w:t>AS</w:t>
      </w:r>
      <w:r w:rsidR="00A127B2">
        <w:t>J universe</w:t>
      </w:r>
      <w:r w:rsidRPr="00BF7C09" w:rsidR="00D05D15">
        <w:t xml:space="preserve">. </w:t>
      </w:r>
    </w:p>
    <w:p w:rsidR="00885E87" w:rsidP="007F3B0B" w:rsidRDefault="00C2377A" w14:paraId="3F19A95C" w14:textId="212823F2">
      <w:r>
        <w:t>The 2020</w:t>
      </w:r>
      <w:r w:rsidR="0091579F">
        <w:t xml:space="preserve"> </w:t>
      </w:r>
      <w:r>
        <w:t>AS</w:t>
      </w:r>
      <w:r w:rsidR="0091579F">
        <w:t>J universe is</w:t>
      </w:r>
      <w:r w:rsidRPr="00953B2A" w:rsidR="00A478F9">
        <w:t xml:space="preserve"> identified through </w:t>
      </w:r>
      <w:r w:rsidRPr="0091579F" w:rsidR="0091579F">
        <w:t xml:space="preserve">the </w:t>
      </w:r>
      <w:r w:rsidR="00C10E28">
        <w:t>2019 Census of Jails</w:t>
      </w:r>
      <w:r w:rsidRPr="0091579F" w:rsidR="0091579F">
        <w:t xml:space="preserve"> (</w:t>
      </w:r>
      <w:r w:rsidR="00C10E28">
        <w:t xml:space="preserve">COJ, </w:t>
      </w:r>
      <w:r w:rsidRPr="0091579F" w:rsidR="0091579F">
        <w:t xml:space="preserve">OMB </w:t>
      </w:r>
      <w:r w:rsidRPr="00EA7CEA" w:rsidR="0091579F">
        <w:t>Control No. 1121-0</w:t>
      </w:r>
      <w:r w:rsidR="00CB1DD0">
        <w:t>100</w:t>
      </w:r>
      <w:r w:rsidRPr="00EA7CEA" w:rsidR="0091579F">
        <w:t xml:space="preserve">), </w:t>
      </w:r>
      <w:r w:rsidR="00B952A1">
        <w:t xml:space="preserve">which was </w:t>
      </w:r>
      <w:r w:rsidR="00C10E28">
        <w:t>fielded from August 2019 through February 2020</w:t>
      </w:r>
      <w:r w:rsidRPr="00EA7CEA" w:rsidR="0091579F">
        <w:t xml:space="preserve">. </w:t>
      </w:r>
      <w:r w:rsidR="00C10E28">
        <w:t xml:space="preserve">In conducting the </w:t>
      </w:r>
      <w:r w:rsidR="00342C8C">
        <w:t xml:space="preserve">2019 </w:t>
      </w:r>
      <w:r w:rsidR="00C10E28">
        <w:t xml:space="preserve">COJ, </w:t>
      </w:r>
      <w:r w:rsidR="000B56A2">
        <w:t>BJS</w:t>
      </w:r>
      <w:r w:rsidR="00CB1DD0">
        <w:t xml:space="preserve"> </w:t>
      </w:r>
      <w:r w:rsidR="00342C8C">
        <w:t xml:space="preserve">not only </w:t>
      </w:r>
      <w:r w:rsidR="00CB1DD0">
        <w:t xml:space="preserve">verified </w:t>
      </w:r>
      <w:r w:rsidR="00043DAB">
        <w:t xml:space="preserve">facility </w:t>
      </w:r>
      <w:r w:rsidR="00B952A1">
        <w:t xml:space="preserve">information </w:t>
      </w:r>
      <w:r w:rsidR="00CB1DD0">
        <w:t xml:space="preserve">for all </w:t>
      </w:r>
      <w:r w:rsidR="003A088F">
        <w:t xml:space="preserve">jails </w:t>
      </w:r>
      <w:r w:rsidR="00342C8C">
        <w:t xml:space="preserve">in BJS’s </w:t>
      </w:r>
      <w:r w:rsidR="00CB1DD0">
        <w:t>existing</w:t>
      </w:r>
      <w:r w:rsidR="00342C8C">
        <w:t xml:space="preserve"> jail frame, but also conducted a series of activities to </w:t>
      </w:r>
      <w:r w:rsidR="00B952A1">
        <w:t xml:space="preserve">enhance its </w:t>
      </w:r>
      <w:r w:rsidR="003A088F">
        <w:t xml:space="preserve">existing </w:t>
      </w:r>
      <w:r w:rsidR="00B952A1">
        <w:t>jail frame</w:t>
      </w:r>
      <w:r w:rsidR="0063480F">
        <w:t xml:space="preserve"> </w:t>
      </w:r>
      <w:r w:rsidR="00DF5370">
        <w:t>(</w:t>
      </w:r>
      <w:r w:rsidR="0063480F">
        <w:t>e.g.,</w:t>
      </w:r>
      <w:r w:rsidR="00342C8C">
        <w:t xml:space="preserve"> </w:t>
      </w:r>
      <w:r w:rsidR="003A088F">
        <w:t xml:space="preserve">searching for jails in counties unrepresented in the existing jail frame; searching state department of corrections websites for locally operated detention facilities; and </w:t>
      </w:r>
      <w:r w:rsidR="00E6406D">
        <w:t>updating the</w:t>
      </w:r>
      <w:r w:rsidR="00DF5370">
        <w:t xml:space="preserve"> </w:t>
      </w:r>
      <w:r w:rsidR="00E6406D">
        <w:t xml:space="preserve">operational </w:t>
      </w:r>
      <w:r w:rsidR="00DF5370">
        <w:t xml:space="preserve">status of </w:t>
      </w:r>
      <w:r w:rsidR="003A088F">
        <w:t xml:space="preserve">facilities that were </w:t>
      </w:r>
      <w:r w:rsidR="00DF5370">
        <w:t>temporarily out of scope)</w:t>
      </w:r>
      <w:r w:rsidR="003A088F">
        <w:t>.</w:t>
      </w:r>
      <w:r w:rsidRPr="00EA7CEA" w:rsidR="00252159">
        <w:t xml:space="preserve"> </w:t>
      </w:r>
      <w:r w:rsidR="00F6302F">
        <w:t>Through th</w:t>
      </w:r>
      <w:r w:rsidR="00B64943">
        <w:t>e frame enhancement work</w:t>
      </w:r>
      <w:r w:rsidR="00F6302F">
        <w:t>, 14 jails were added to the frame, 9 jails were deemed ineligible</w:t>
      </w:r>
      <w:r w:rsidR="00071257">
        <w:t xml:space="preserve"> and removed from the frame</w:t>
      </w:r>
      <w:r w:rsidR="00F6302F">
        <w:t>, and 2 jails were split into two.</w:t>
      </w:r>
    </w:p>
    <w:p w:rsidR="009A31E8" w:rsidP="007F3B0B" w:rsidRDefault="001A4592" w14:paraId="582C940B" w14:textId="00AF49B2">
      <w:r>
        <w:t xml:space="preserve">The </w:t>
      </w:r>
      <w:r w:rsidR="00847AC3">
        <w:t xml:space="preserve">2020 </w:t>
      </w:r>
      <w:r>
        <w:t xml:space="preserve">ASJ </w:t>
      </w:r>
      <w:r w:rsidR="00847AC3">
        <w:t>will use</w:t>
      </w:r>
      <w:r>
        <w:t xml:space="preserve"> a probability sample that includes </w:t>
      </w:r>
      <w:r w:rsidR="003564D1">
        <w:t xml:space="preserve">about </w:t>
      </w:r>
      <w:r w:rsidRPr="00847AC3">
        <w:t>950</w:t>
      </w:r>
      <w:r>
        <w:t xml:space="preserve"> jails selected </w:t>
      </w:r>
      <w:r w:rsidR="00847AC3">
        <w:t>out of</w:t>
      </w:r>
      <w:r>
        <w:t xml:space="preserve"> the </w:t>
      </w:r>
      <w:r w:rsidR="00FA4057">
        <w:t xml:space="preserve">approximately 3,000 </w:t>
      </w:r>
      <w:r>
        <w:t xml:space="preserve">local jails from the 2019 COJ. </w:t>
      </w:r>
      <w:r w:rsidR="00F93A24">
        <w:t>The selected</w:t>
      </w:r>
      <w:r>
        <w:t xml:space="preserve"> jails will be surveyed annually until the next </w:t>
      </w:r>
      <w:r w:rsidR="001E2083">
        <w:t>i</w:t>
      </w:r>
      <w:r w:rsidR="00744012">
        <w:t xml:space="preserve">teration </w:t>
      </w:r>
      <w:r>
        <w:t xml:space="preserve">of COJ is conducted in 2025. The ASJ </w:t>
      </w:r>
      <w:r w:rsidRPr="00885E87" w:rsidR="00FD692D">
        <w:t xml:space="preserve">sample is drawn at the jurisdiction level. </w:t>
      </w:r>
      <w:r w:rsidRPr="00885E87" w:rsidR="00885E87">
        <w:t>A jail jurisdiction is a county (parish in Louisiana) or municipal government that administers one or more local jails and represents the entity responsible for managing jail facilities under its authority. Most jail jurisdictions consist of a single facility, but some have multiple facilities, or multiple facility operators</w:t>
      </w:r>
      <w:r w:rsidR="00FD692D">
        <w:t xml:space="preserve"> (e.g., county jail, sheriff’s office, and police department)</w:t>
      </w:r>
      <w:r w:rsidRPr="00885E87" w:rsidR="00885E87">
        <w:t xml:space="preserve">, called reporting units. For example, </w:t>
      </w:r>
      <w:r w:rsidR="00F71229">
        <w:t>three</w:t>
      </w:r>
      <w:r w:rsidRPr="00885E87" w:rsidR="00F71229">
        <w:t xml:space="preserve"> </w:t>
      </w:r>
      <w:r w:rsidRPr="00885E87" w:rsidR="00885E87">
        <w:t>reporting units in Allegheny County, Pennsylvania, represent a single jail jurisdiction. When a jail jurisdiction with multiple reporting units is sampled, data are collected from all reporting units within that jail jurisdiction.</w:t>
      </w:r>
      <w:r w:rsidR="001E05B9">
        <w:t xml:space="preserve"> </w:t>
      </w:r>
    </w:p>
    <w:p w:rsidRPr="007F3B0B" w:rsidR="00582AF2" w:rsidP="00582AF2" w:rsidRDefault="00A05044" w14:paraId="1EC66B2E" w14:textId="439154AE">
      <w:r>
        <w:t>Statistical precision is a priority of the ASJ sampling design. Survey costs and respondent burden also play significant roles in determining the samp</w:t>
      </w:r>
      <w:r w:rsidR="00582AF2">
        <w:t>le size and selection criteria.</w:t>
      </w:r>
      <w:r w:rsidR="00782F9C">
        <w:t xml:space="preserve"> </w:t>
      </w:r>
      <w:r w:rsidRPr="007F3B0B" w:rsidR="00582AF2">
        <w:t xml:space="preserve">In selecting the </w:t>
      </w:r>
      <w:r w:rsidR="00582AF2">
        <w:t>2020 ASJ sample</w:t>
      </w:r>
      <w:r w:rsidRPr="007F3B0B" w:rsidR="00582AF2">
        <w:t>, all</w:t>
      </w:r>
      <w:r w:rsidR="00582AF2">
        <w:t xml:space="preserve"> jail</w:t>
      </w:r>
      <w:r w:rsidRPr="007F3B0B" w:rsidR="00582AF2">
        <w:t xml:space="preserve"> jurisdictions </w:t>
      </w:r>
      <w:r w:rsidR="00582AF2">
        <w:t>will be</w:t>
      </w:r>
      <w:r w:rsidRPr="007F3B0B" w:rsidR="00582AF2">
        <w:t xml:space="preserve"> grouped into 10 strata based on their </w:t>
      </w:r>
      <w:r w:rsidR="00582AF2">
        <w:t xml:space="preserve">inmate population </w:t>
      </w:r>
      <w:r w:rsidRPr="007F3B0B" w:rsidR="00582AF2">
        <w:t xml:space="preserve">and the presence of juveniles </w:t>
      </w:r>
      <w:r w:rsidR="00142D6F">
        <w:t xml:space="preserve">on June 28, 2019, </w:t>
      </w:r>
      <w:r w:rsidR="00582AF2">
        <w:t xml:space="preserve">as </w:t>
      </w:r>
      <w:r w:rsidRPr="007F3B0B" w:rsidR="00582AF2">
        <w:t xml:space="preserve">measured </w:t>
      </w:r>
      <w:r w:rsidR="00142D6F">
        <w:t>by</w:t>
      </w:r>
      <w:r w:rsidRPr="007F3B0B" w:rsidR="00582AF2">
        <w:t xml:space="preserve"> the </w:t>
      </w:r>
      <w:r w:rsidR="00582AF2">
        <w:t>2019 COJ</w:t>
      </w:r>
      <w:r w:rsidR="00441A49">
        <w:t xml:space="preserve"> (table 4)</w:t>
      </w:r>
      <w:bookmarkStart w:name="_GoBack" w:id="0"/>
      <w:bookmarkEnd w:id="0"/>
      <w:r w:rsidRPr="007F3B0B" w:rsidR="00582AF2">
        <w:t xml:space="preserve">. In 8 of the 10 strata, a random sample of jail jurisdictions </w:t>
      </w:r>
      <w:r w:rsidR="00582AF2">
        <w:t>will be</w:t>
      </w:r>
      <w:r w:rsidRPr="007F3B0B" w:rsidR="00582AF2">
        <w:t xml:space="preserve"> selected. The remaining two strata </w:t>
      </w:r>
      <w:r w:rsidR="00582AF2">
        <w:t>a</w:t>
      </w:r>
      <w:r w:rsidR="00441A49">
        <w:t xml:space="preserve">re </w:t>
      </w:r>
      <w:r w:rsidRPr="007F3B0B" w:rsidR="00582AF2">
        <w:t xml:space="preserve">designated as certainty strata, where all jurisdictions </w:t>
      </w:r>
      <w:r w:rsidR="00582AF2">
        <w:t>will be</w:t>
      </w:r>
      <w:r w:rsidRPr="007F3B0B" w:rsidR="00582AF2">
        <w:t xml:space="preserve"> selected with a probability of one. One certainty stratum </w:t>
      </w:r>
      <w:r w:rsidR="00582AF2">
        <w:t xml:space="preserve">(stratum 10) will </w:t>
      </w:r>
      <w:r w:rsidRPr="007F3B0B" w:rsidR="00582AF2">
        <w:t xml:space="preserve">consist of all jails that </w:t>
      </w:r>
      <w:r w:rsidR="00582AF2">
        <w:t>are</w:t>
      </w:r>
      <w:r w:rsidRPr="007F3B0B" w:rsidR="00582AF2">
        <w:t xml:space="preserve"> operated jointly by two or more jurisdictions (referred to as </w:t>
      </w:r>
      <w:r w:rsidR="00582AF2">
        <w:t xml:space="preserve">regional </w:t>
      </w:r>
      <w:r w:rsidRPr="007F3B0B" w:rsidR="00582AF2">
        <w:t>jails</w:t>
      </w:r>
      <w:r w:rsidR="00582AF2">
        <w:t xml:space="preserve">). The other certainty stratum (stratum 1) will </w:t>
      </w:r>
      <w:r w:rsidR="00582AF2">
        <w:lastRenderedPageBreak/>
        <w:t>con</w:t>
      </w:r>
      <w:r w:rsidRPr="007F3B0B" w:rsidR="00582AF2">
        <w:t>sist of all jail jurisdictions that—</w:t>
      </w:r>
    </w:p>
    <w:p w:rsidR="00582AF2" w:rsidP="00582AF2" w:rsidRDefault="00582AF2" w14:paraId="3D0A7397" w14:textId="10A8B9EE">
      <w:pPr>
        <w:pStyle w:val="ListParagraph"/>
        <w:numPr>
          <w:ilvl w:val="0"/>
          <w:numId w:val="11"/>
        </w:numPr>
      </w:pPr>
      <w:r>
        <w:t xml:space="preserve">held juvenile inmates </w:t>
      </w:r>
      <w:r>
        <w:t>and 500 or more inmates</w:t>
      </w:r>
      <w:r>
        <w:t xml:space="preserve">, or </w:t>
      </w:r>
    </w:p>
    <w:p w:rsidR="007F3B0B" w:rsidP="000158FC" w:rsidRDefault="00582AF2" w14:paraId="6A5B6F00" w14:textId="696EF32E">
      <w:pPr>
        <w:pStyle w:val="ListParagraph"/>
        <w:numPr>
          <w:ilvl w:val="0"/>
          <w:numId w:val="11"/>
        </w:numPr>
      </w:pPr>
      <w:r>
        <w:t>held only adult inmates and 750 or more</w:t>
      </w:r>
      <w:r>
        <w:t xml:space="preserve"> </w:t>
      </w:r>
      <w:r>
        <w:t xml:space="preserve">inmates. </w:t>
      </w:r>
    </w:p>
    <w:tbl>
      <w:tblPr>
        <w:tblW w:w="9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4"/>
        <w:gridCol w:w="1120"/>
        <w:gridCol w:w="2200"/>
        <w:gridCol w:w="1403"/>
        <w:gridCol w:w="1403"/>
        <w:gridCol w:w="1432"/>
        <w:gridCol w:w="1170"/>
      </w:tblGrid>
      <w:tr w:rsidRPr="00582AF2" w:rsidR="00582AF2" w:rsidTr="00582AF2" w14:paraId="1C10E2B2" w14:textId="77777777">
        <w:trPr>
          <w:trHeight w:val="350"/>
        </w:trPr>
        <w:tc>
          <w:tcPr>
            <w:tcW w:w="9720" w:type="dxa"/>
            <w:gridSpan w:val="7"/>
            <w:shd w:val="clear" w:color="auto" w:fill="auto"/>
            <w:vAlign w:val="bottom"/>
          </w:tcPr>
          <w:p w:rsidRPr="00582AF2" w:rsidR="00582AF2" w:rsidP="00582AF2" w:rsidRDefault="00582AF2" w14:paraId="43AE982E" w14:textId="33C620BB">
            <w:pPr>
              <w:widowControl/>
              <w:autoSpaceDE/>
              <w:autoSpaceDN/>
              <w:adjustRightInd/>
              <w:spacing w:after="0"/>
              <w:rPr>
                <w:color w:val="000000"/>
              </w:rPr>
            </w:pPr>
            <w:r w:rsidRPr="00582AF2">
              <w:rPr>
                <w:color w:val="000000"/>
              </w:rPr>
              <w:t>Table 4: 2020 Annual Survey of Jails Sampling Design</w:t>
            </w:r>
          </w:p>
        </w:tc>
      </w:tr>
      <w:tr w:rsidRPr="00582AF2" w:rsidR="00BC78E5" w:rsidTr="004F2F2B" w14:paraId="240E569B" w14:textId="77777777">
        <w:trPr>
          <w:trHeight w:val="900"/>
        </w:trPr>
        <w:tc>
          <w:tcPr>
            <w:tcW w:w="1004" w:type="dxa"/>
            <w:shd w:val="clear" w:color="auto" w:fill="auto"/>
            <w:vAlign w:val="bottom"/>
            <w:hideMark/>
          </w:tcPr>
          <w:p w:rsidRPr="001906B7" w:rsidR="00BC78E5" w:rsidP="001906B7" w:rsidRDefault="00BC78E5" w14:paraId="4B19D98C" w14:textId="77777777">
            <w:pPr>
              <w:widowControl/>
              <w:autoSpaceDE/>
              <w:autoSpaceDN/>
              <w:adjustRightInd/>
              <w:spacing w:after="0"/>
              <w:rPr>
                <w:color w:val="000000"/>
              </w:rPr>
            </w:pPr>
            <w:r w:rsidRPr="001906B7">
              <w:rPr>
                <w:color w:val="000000"/>
              </w:rPr>
              <w:t>Stratum</w:t>
            </w:r>
          </w:p>
        </w:tc>
        <w:tc>
          <w:tcPr>
            <w:tcW w:w="3320" w:type="dxa"/>
            <w:gridSpan w:val="2"/>
            <w:shd w:val="clear" w:color="auto" w:fill="auto"/>
            <w:vAlign w:val="bottom"/>
            <w:hideMark/>
          </w:tcPr>
          <w:p w:rsidRPr="001906B7" w:rsidR="00BC78E5" w:rsidP="001906B7" w:rsidRDefault="00BC78E5" w14:paraId="6F198D51" w14:textId="77777777">
            <w:pPr>
              <w:widowControl/>
              <w:autoSpaceDE/>
              <w:autoSpaceDN/>
              <w:adjustRightInd/>
              <w:spacing w:after="0"/>
              <w:rPr>
                <w:sz w:val="20"/>
                <w:szCs w:val="20"/>
              </w:rPr>
            </w:pPr>
          </w:p>
        </w:tc>
        <w:tc>
          <w:tcPr>
            <w:tcW w:w="1397" w:type="dxa"/>
            <w:shd w:val="clear" w:color="auto" w:fill="auto"/>
            <w:vAlign w:val="bottom"/>
            <w:hideMark/>
          </w:tcPr>
          <w:p w:rsidRPr="001906B7" w:rsidR="00BC78E5" w:rsidP="001906B7" w:rsidRDefault="00BC78E5" w14:paraId="424F5C7A" w14:textId="77777777">
            <w:pPr>
              <w:widowControl/>
              <w:autoSpaceDE/>
              <w:autoSpaceDN/>
              <w:adjustRightInd/>
              <w:spacing w:after="0"/>
              <w:jc w:val="center"/>
              <w:rPr>
                <w:color w:val="000000"/>
              </w:rPr>
            </w:pPr>
            <w:r w:rsidRPr="001906B7">
              <w:rPr>
                <w:color w:val="000000"/>
              </w:rPr>
              <w:t>Number of jurisdictions in census</w:t>
            </w:r>
          </w:p>
        </w:tc>
        <w:tc>
          <w:tcPr>
            <w:tcW w:w="1397" w:type="dxa"/>
            <w:shd w:val="clear" w:color="auto" w:fill="auto"/>
            <w:vAlign w:val="bottom"/>
            <w:hideMark/>
          </w:tcPr>
          <w:p w:rsidRPr="001906B7" w:rsidR="00BC78E5" w:rsidP="001906B7" w:rsidRDefault="00BC78E5" w14:paraId="799B9E7E" w14:textId="77777777">
            <w:pPr>
              <w:widowControl/>
              <w:autoSpaceDE/>
              <w:autoSpaceDN/>
              <w:adjustRightInd/>
              <w:spacing w:after="0"/>
              <w:jc w:val="center"/>
              <w:rPr>
                <w:color w:val="000000"/>
              </w:rPr>
            </w:pPr>
            <w:r w:rsidRPr="001906B7">
              <w:rPr>
                <w:color w:val="000000"/>
              </w:rPr>
              <w:t>Number of sampled jurisdictions</w:t>
            </w:r>
          </w:p>
        </w:tc>
        <w:tc>
          <w:tcPr>
            <w:tcW w:w="1432" w:type="dxa"/>
            <w:shd w:val="clear" w:color="auto" w:fill="auto"/>
            <w:vAlign w:val="bottom"/>
            <w:hideMark/>
          </w:tcPr>
          <w:p w:rsidRPr="001906B7" w:rsidR="00BC78E5" w:rsidP="001906B7" w:rsidRDefault="00BC78E5" w14:paraId="621C305F" w14:textId="77777777">
            <w:pPr>
              <w:widowControl/>
              <w:autoSpaceDE/>
              <w:autoSpaceDN/>
              <w:adjustRightInd/>
              <w:spacing w:after="0"/>
              <w:jc w:val="center"/>
              <w:rPr>
                <w:color w:val="000000"/>
              </w:rPr>
            </w:pPr>
            <w:r w:rsidRPr="001906B7">
              <w:rPr>
                <w:color w:val="000000"/>
              </w:rPr>
              <w:t>Number of sampled RU</w:t>
            </w:r>
          </w:p>
        </w:tc>
        <w:tc>
          <w:tcPr>
            <w:tcW w:w="1170" w:type="dxa"/>
            <w:shd w:val="clear" w:color="auto" w:fill="auto"/>
            <w:vAlign w:val="bottom"/>
            <w:hideMark/>
          </w:tcPr>
          <w:p w:rsidRPr="001906B7" w:rsidR="00BC78E5" w:rsidP="001906B7" w:rsidRDefault="00BC78E5" w14:paraId="6E789C3A" w14:textId="77777777">
            <w:pPr>
              <w:widowControl/>
              <w:autoSpaceDE/>
              <w:autoSpaceDN/>
              <w:adjustRightInd/>
              <w:spacing w:after="0"/>
              <w:jc w:val="center"/>
              <w:rPr>
                <w:color w:val="000000"/>
              </w:rPr>
            </w:pPr>
            <w:r w:rsidRPr="001906B7">
              <w:rPr>
                <w:color w:val="000000"/>
              </w:rPr>
              <w:t>Weight</w:t>
            </w:r>
          </w:p>
        </w:tc>
      </w:tr>
      <w:tr w:rsidRPr="001906B7" w:rsidR="001906B7" w:rsidTr="001906B7" w14:paraId="749FB02B" w14:textId="77777777">
        <w:trPr>
          <w:trHeight w:val="315"/>
        </w:trPr>
        <w:tc>
          <w:tcPr>
            <w:tcW w:w="1004" w:type="dxa"/>
            <w:shd w:val="clear" w:color="auto" w:fill="auto"/>
            <w:noWrap/>
            <w:vAlign w:val="bottom"/>
            <w:hideMark/>
          </w:tcPr>
          <w:p w:rsidRPr="001906B7" w:rsidR="001906B7" w:rsidP="001906B7" w:rsidRDefault="001906B7" w14:paraId="551D43C3" w14:textId="77777777">
            <w:pPr>
              <w:widowControl/>
              <w:autoSpaceDE/>
              <w:autoSpaceDN/>
              <w:adjustRightInd/>
              <w:spacing w:after="0"/>
              <w:rPr>
                <w:color w:val="000000"/>
              </w:rPr>
            </w:pPr>
            <w:r w:rsidRPr="001906B7">
              <w:rPr>
                <w:color w:val="000000"/>
              </w:rPr>
              <w:t>1</w:t>
            </w:r>
          </w:p>
        </w:tc>
        <w:tc>
          <w:tcPr>
            <w:tcW w:w="3320" w:type="dxa"/>
            <w:gridSpan w:val="2"/>
            <w:shd w:val="clear" w:color="auto" w:fill="auto"/>
            <w:noWrap/>
            <w:vAlign w:val="bottom"/>
            <w:hideMark/>
          </w:tcPr>
          <w:p w:rsidRPr="001906B7" w:rsidR="001906B7" w:rsidP="001906B7" w:rsidRDefault="001906B7" w14:paraId="5EBD664E" w14:textId="77777777">
            <w:pPr>
              <w:widowControl/>
              <w:autoSpaceDE/>
              <w:autoSpaceDN/>
              <w:adjustRightInd/>
              <w:spacing w:after="0"/>
              <w:rPr>
                <w:color w:val="000000"/>
              </w:rPr>
            </w:pPr>
            <w:r w:rsidRPr="001906B7">
              <w:rPr>
                <w:color w:val="000000"/>
              </w:rPr>
              <w:t>Large jails (certainty stratum)</w:t>
            </w:r>
          </w:p>
        </w:tc>
        <w:tc>
          <w:tcPr>
            <w:tcW w:w="1397" w:type="dxa"/>
            <w:shd w:val="clear" w:color="auto" w:fill="auto"/>
            <w:vAlign w:val="bottom"/>
            <w:hideMark/>
          </w:tcPr>
          <w:p w:rsidRPr="001906B7" w:rsidR="001906B7" w:rsidP="001906B7" w:rsidRDefault="001906B7" w14:paraId="230AAFB4" w14:textId="77777777">
            <w:pPr>
              <w:widowControl/>
              <w:autoSpaceDE/>
              <w:autoSpaceDN/>
              <w:adjustRightInd/>
              <w:spacing w:after="0"/>
              <w:jc w:val="center"/>
              <w:rPr>
                <w:color w:val="000000"/>
              </w:rPr>
            </w:pPr>
            <w:r w:rsidRPr="001906B7">
              <w:rPr>
                <w:color w:val="000000"/>
              </w:rPr>
              <w:t>258</w:t>
            </w:r>
          </w:p>
        </w:tc>
        <w:tc>
          <w:tcPr>
            <w:tcW w:w="1397" w:type="dxa"/>
            <w:shd w:val="clear" w:color="auto" w:fill="auto"/>
            <w:noWrap/>
            <w:vAlign w:val="bottom"/>
            <w:hideMark/>
          </w:tcPr>
          <w:p w:rsidRPr="001906B7" w:rsidR="001906B7" w:rsidP="001906B7" w:rsidRDefault="001906B7" w14:paraId="6C035F69" w14:textId="77777777">
            <w:pPr>
              <w:widowControl/>
              <w:autoSpaceDE/>
              <w:autoSpaceDN/>
              <w:adjustRightInd/>
              <w:spacing w:after="0"/>
              <w:jc w:val="center"/>
              <w:rPr>
                <w:color w:val="000000"/>
              </w:rPr>
            </w:pPr>
            <w:r w:rsidRPr="001906B7">
              <w:rPr>
                <w:color w:val="000000"/>
              </w:rPr>
              <w:t>258</w:t>
            </w:r>
          </w:p>
        </w:tc>
        <w:tc>
          <w:tcPr>
            <w:tcW w:w="1432" w:type="dxa"/>
            <w:shd w:val="clear" w:color="auto" w:fill="auto"/>
            <w:noWrap/>
            <w:vAlign w:val="bottom"/>
            <w:hideMark/>
          </w:tcPr>
          <w:p w:rsidRPr="001906B7" w:rsidR="001906B7" w:rsidP="001906B7" w:rsidRDefault="001906B7" w14:paraId="587022DF" w14:textId="77777777">
            <w:pPr>
              <w:widowControl/>
              <w:autoSpaceDE/>
              <w:autoSpaceDN/>
              <w:adjustRightInd/>
              <w:spacing w:after="0"/>
              <w:jc w:val="center"/>
              <w:rPr>
                <w:color w:val="000000"/>
              </w:rPr>
            </w:pPr>
            <w:r w:rsidRPr="001906B7">
              <w:rPr>
                <w:color w:val="000000"/>
              </w:rPr>
              <w:t>293</w:t>
            </w:r>
          </w:p>
        </w:tc>
        <w:tc>
          <w:tcPr>
            <w:tcW w:w="1170" w:type="dxa"/>
            <w:shd w:val="clear" w:color="auto" w:fill="auto"/>
            <w:noWrap/>
            <w:vAlign w:val="bottom"/>
            <w:hideMark/>
          </w:tcPr>
          <w:p w:rsidRPr="001906B7" w:rsidR="001906B7" w:rsidP="001906B7" w:rsidRDefault="001906B7" w14:paraId="60F6BC39" w14:textId="77777777">
            <w:pPr>
              <w:widowControl/>
              <w:autoSpaceDE/>
              <w:autoSpaceDN/>
              <w:adjustRightInd/>
              <w:spacing w:after="0"/>
              <w:jc w:val="center"/>
              <w:rPr>
                <w:color w:val="000000"/>
              </w:rPr>
            </w:pPr>
            <w:r w:rsidRPr="001906B7">
              <w:rPr>
                <w:color w:val="000000"/>
              </w:rPr>
              <w:t>1.000</w:t>
            </w:r>
          </w:p>
        </w:tc>
      </w:tr>
      <w:tr w:rsidRPr="001906B7" w:rsidR="001906B7" w:rsidTr="001906B7" w14:paraId="595F2FA3" w14:textId="77777777">
        <w:trPr>
          <w:trHeight w:val="315"/>
        </w:trPr>
        <w:tc>
          <w:tcPr>
            <w:tcW w:w="1004" w:type="dxa"/>
            <w:shd w:val="clear" w:color="auto" w:fill="auto"/>
            <w:noWrap/>
            <w:vAlign w:val="bottom"/>
            <w:hideMark/>
          </w:tcPr>
          <w:p w:rsidRPr="001906B7" w:rsidR="001906B7" w:rsidP="001906B7" w:rsidRDefault="001906B7" w14:paraId="2D365D2E" w14:textId="77777777">
            <w:pPr>
              <w:widowControl/>
              <w:autoSpaceDE/>
              <w:autoSpaceDN/>
              <w:adjustRightInd/>
              <w:spacing w:after="0"/>
              <w:rPr>
                <w:color w:val="000000"/>
              </w:rPr>
            </w:pPr>
            <w:r w:rsidRPr="001906B7">
              <w:rPr>
                <w:color w:val="000000"/>
              </w:rPr>
              <w:t>2</w:t>
            </w:r>
          </w:p>
        </w:tc>
        <w:tc>
          <w:tcPr>
            <w:tcW w:w="1120" w:type="dxa"/>
            <w:vMerge w:val="restart"/>
            <w:shd w:val="clear" w:color="auto" w:fill="auto"/>
            <w:vAlign w:val="bottom"/>
            <w:hideMark/>
          </w:tcPr>
          <w:p w:rsidRPr="001906B7" w:rsidR="001906B7" w:rsidP="001906B7" w:rsidRDefault="001906B7" w14:paraId="19A1756C" w14:textId="77777777">
            <w:pPr>
              <w:widowControl/>
              <w:autoSpaceDE/>
              <w:autoSpaceDN/>
              <w:adjustRightInd/>
              <w:spacing w:after="0"/>
              <w:rPr>
                <w:color w:val="000000"/>
              </w:rPr>
            </w:pPr>
            <w:r w:rsidRPr="001906B7">
              <w:rPr>
                <w:color w:val="000000"/>
              </w:rPr>
              <w:t>Holding at least one juvenile</w:t>
            </w:r>
          </w:p>
        </w:tc>
        <w:tc>
          <w:tcPr>
            <w:tcW w:w="2200" w:type="dxa"/>
            <w:shd w:val="clear" w:color="auto" w:fill="auto"/>
            <w:noWrap/>
            <w:vAlign w:val="bottom"/>
            <w:hideMark/>
          </w:tcPr>
          <w:p w:rsidRPr="001906B7" w:rsidR="001906B7" w:rsidP="001906B7" w:rsidRDefault="001906B7" w14:paraId="62225D31" w14:textId="4F700826">
            <w:pPr>
              <w:widowControl/>
              <w:autoSpaceDE/>
              <w:autoSpaceDN/>
              <w:adjustRightInd/>
              <w:spacing w:after="0"/>
              <w:rPr>
                <w:color w:val="000000"/>
              </w:rPr>
            </w:pPr>
            <w:r w:rsidRPr="001906B7">
              <w:rPr>
                <w:color w:val="000000"/>
              </w:rPr>
              <w:t>264-499</w:t>
            </w:r>
            <w:r w:rsidR="00142D6F">
              <w:rPr>
                <w:color w:val="000000"/>
              </w:rPr>
              <w:t xml:space="preserve"> inmates</w:t>
            </w:r>
          </w:p>
        </w:tc>
        <w:tc>
          <w:tcPr>
            <w:tcW w:w="1397" w:type="dxa"/>
            <w:shd w:val="clear" w:color="auto" w:fill="auto"/>
            <w:noWrap/>
            <w:vAlign w:val="bottom"/>
            <w:hideMark/>
          </w:tcPr>
          <w:p w:rsidRPr="001906B7" w:rsidR="001906B7" w:rsidP="001906B7" w:rsidRDefault="001906B7" w14:paraId="5B5DFA0A" w14:textId="77777777">
            <w:pPr>
              <w:widowControl/>
              <w:autoSpaceDE/>
              <w:autoSpaceDN/>
              <w:adjustRightInd/>
              <w:spacing w:after="0"/>
              <w:jc w:val="center"/>
              <w:rPr>
                <w:color w:val="000000"/>
              </w:rPr>
            </w:pPr>
            <w:r w:rsidRPr="001906B7">
              <w:rPr>
                <w:color w:val="000000"/>
              </w:rPr>
              <w:t>73</w:t>
            </w:r>
          </w:p>
        </w:tc>
        <w:tc>
          <w:tcPr>
            <w:tcW w:w="1397" w:type="dxa"/>
            <w:shd w:val="clear" w:color="auto" w:fill="auto"/>
            <w:noWrap/>
            <w:vAlign w:val="bottom"/>
            <w:hideMark/>
          </w:tcPr>
          <w:p w:rsidRPr="001906B7" w:rsidR="001906B7" w:rsidP="001906B7" w:rsidRDefault="001906B7" w14:paraId="3F4E3849" w14:textId="77777777">
            <w:pPr>
              <w:widowControl/>
              <w:autoSpaceDE/>
              <w:autoSpaceDN/>
              <w:adjustRightInd/>
              <w:spacing w:after="0"/>
              <w:jc w:val="center"/>
              <w:rPr>
                <w:color w:val="000000"/>
              </w:rPr>
            </w:pPr>
            <w:r w:rsidRPr="001906B7">
              <w:rPr>
                <w:color w:val="000000"/>
              </w:rPr>
              <w:t>29</w:t>
            </w:r>
          </w:p>
        </w:tc>
        <w:tc>
          <w:tcPr>
            <w:tcW w:w="1432" w:type="dxa"/>
            <w:shd w:val="clear" w:color="auto" w:fill="auto"/>
            <w:noWrap/>
            <w:vAlign w:val="bottom"/>
            <w:hideMark/>
          </w:tcPr>
          <w:p w:rsidRPr="001906B7" w:rsidR="001906B7" w:rsidP="001906B7" w:rsidRDefault="001906B7" w14:paraId="36D21C84" w14:textId="77777777">
            <w:pPr>
              <w:widowControl/>
              <w:autoSpaceDE/>
              <w:autoSpaceDN/>
              <w:adjustRightInd/>
              <w:spacing w:after="0"/>
              <w:jc w:val="center"/>
              <w:rPr>
                <w:color w:val="000000"/>
              </w:rPr>
            </w:pPr>
            <w:r w:rsidRPr="001906B7">
              <w:rPr>
                <w:color w:val="000000"/>
              </w:rPr>
              <w:t>29</w:t>
            </w:r>
          </w:p>
        </w:tc>
        <w:tc>
          <w:tcPr>
            <w:tcW w:w="1170" w:type="dxa"/>
            <w:shd w:val="clear" w:color="auto" w:fill="auto"/>
            <w:noWrap/>
            <w:vAlign w:val="bottom"/>
            <w:hideMark/>
          </w:tcPr>
          <w:p w:rsidRPr="001906B7" w:rsidR="001906B7" w:rsidP="001906B7" w:rsidRDefault="001906B7" w14:paraId="359CBF2F" w14:textId="77777777">
            <w:pPr>
              <w:widowControl/>
              <w:autoSpaceDE/>
              <w:autoSpaceDN/>
              <w:adjustRightInd/>
              <w:spacing w:after="0"/>
              <w:jc w:val="center"/>
              <w:rPr>
                <w:color w:val="000000"/>
              </w:rPr>
            </w:pPr>
            <w:r w:rsidRPr="001906B7">
              <w:rPr>
                <w:color w:val="000000"/>
              </w:rPr>
              <w:t>2.517</w:t>
            </w:r>
          </w:p>
        </w:tc>
      </w:tr>
      <w:tr w:rsidRPr="001906B7" w:rsidR="001906B7" w:rsidTr="001906B7" w14:paraId="6B36303B" w14:textId="77777777">
        <w:trPr>
          <w:trHeight w:val="315"/>
        </w:trPr>
        <w:tc>
          <w:tcPr>
            <w:tcW w:w="1004" w:type="dxa"/>
            <w:shd w:val="clear" w:color="auto" w:fill="auto"/>
            <w:noWrap/>
            <w:vAlign w:val="bottom"/>
            <w:hideMark/>
          </w:tcPr>
          <w:p w:rsidRPr="001906B7" w:rsidR="001906B7" w:rsidP="001906B7" w:rsidRDefault="001906B7" w14:paraId="33B35795" w14:textId="77777777">
            <w:pPr>
              <w:widowControl/>
              <w:autoSpaceDE/>
              <w:autoSpaceDN/>
              <w:adjustRightInd/>
              <w:spacing w:after="0"/>
              <w:rPr>
                <w:color w:val="000000"/>
              </w:rPr>
            </w:pPr>
            <w:r w:rsidRPr="001906B7">
              <w:rPr>
                <w:color w:val="000000"/>
              </w:rPr>
              <w:t>3</w:t>
            </w:r>
          </w:p>
        </w:tc>
        <w:tc>
          <w:tcPr>
            <w:tcW w:w="1120" w:type="dxa"/>
            <w:vMerge/>
            <w:vAlign w:val="center"/>
            <w:hideMark/>
          </w:tcPr>
          <w:p w:rsidRPr="001906B7" w:rsidR="001906B7" w:rsidP="001906B7" w:rsidRDefault="001906B7" w14:paraId="0233C108" w14:textId="77777777">
            <w:pPr>
              <w:widowControl/>
              <w:autoSpaceDE/>
              <w:autoSpaceDN/>
              <w:adjustRightInd/>
              <w:spacing w:after="0"/>
              <w:rPr>
                <w:color w:val="000000"/>
              </w:rPr>
            </w:pPr>
          </w:p>
        </w:tc>
        <w:tc>
          <w:tcPr>
            <w:tcW w:w="2200" w:type="dxa"/>
            <w:shd w:val="clear" w:color="auto" w:fill="auto"/>
            <w:noWrap/>
            <w:vAlign w:val="bottom"/>
            <w:hideMark/>
          </w:tcPr>
          <w:p w:rsidRPr="001906B7" w:rsidR="001906B7" w:rsidP="001906B7" w:rsidRDefault="001906B7" w14:paraId="1680F17A" w14:textId="69D7B997">
            <w:pPr>
              <w:widowControl/>
              <w:autoSpaceDE/>
              <w:autoSpaceDN/>
              <w:adjustRightInd/>
              <w:spacing w:after="0"/>
              <w:rPr>
                <w:color w:val="000000"/>
              </w:rPr>
            </w:pPr>
            <w:r w:rsidRPr="001906B7">
              <w:rPr>
                <w:color w:val="000000"/>
              </w:rPr>
              <w:t>141-263</w:t>
            </w:r>
            <w:r w:rsidR="00142D6F">
              <w:rPr>
                <w:color w:val="000000"/>
              </w:rPr>
              <w:t xml:space="preserve"> </w:t>
            </w:r>
            <w:r w:rsidR="00142D6F">
              <w:rPr>
                <w:color w:val="000000"/>
              </w:rPr>
              <w:t>inmates</w:t>
            </w:r>
          </w:p>
        </w:tc>
        <w:tc>
          <w:tcPr>
            <w:tcW w:w="1397" w:type="dxa"/>
            <w:shd w:val="clear" w:color="auto" w:fill="auto"/>
            <w:noWrap/>
            <w:vAlign w:val="bottom"/>
            <w:hideMark/>
          </w:tcPr>
          <w:p w:rsidRPr="001906B7" w:rsidR="001906B7" w:rsidP="001906B7" w:rsidRDefault="001906B7" w14:paraId="6BBC972F" w14:textId="77777777">
            <w:pPr>
              <w:widowControl/>
              <w:autoSpaceDE/>
              <w:autoSpaceDN/>
              <w:adjustRightInd/>
              <w:spacing w:after="0"/>
              <w:jc w:val="center"/>
              <w:rPr>
                <w:color w:val="000000"/>
              </w:rPr>
            </w:pPr>
            <w:r w:rsidRPr="001906B7">
              <w:rPr>
                <w:color w:val="000000"/>
              </w:rPr>
              <w:t>69</w:t>
            </w:r>
          </w:p>
        </w:tc>
        <w:tc>
          <w:tcPr>
            <w:tcW w:w="1397" w:type="dxa"/>
            <w:shd w:val="clear" w:color="auto" w:fill="auto"/>
            <w:noWrap/>
            <w:vAlign w:val="bottom"/>
            <w:hideMark/>
          </w:tcPr>
          <w:p w:rsidRPr="001906B7" w:rsidR="001906B7" w:rsidP="001906B7" w:rsidRDefault="001906B7" w14:paraId="3D00C9F4" w14:textId="77777777">
            <w:pPr>
              <w:widowControl/>
              <w:autoSpaceDE/>
              <w:autoSpaceDN/>
              <w:adjustRightInd/>
              <w:spacing w:after="0"/>
              <w:jc w:val="center"/>
              <w:rPr>
                <w:color w:val="000000"/>
              </w:rPr>
            </w:pPr>
            <w:r w:rsidRPr="001906B7">
              <w:rPr>
                <w:color w:val="000000"/>
              </w:rPr>
              <w:t>17</w:t>
            </w:r>
          </w:p>
        </w:tc>
        <w:tc>
          <w:tcPr>
            <w:tcW w:w="1432" w:type="dxa"/>
            <w:shd w:val="clear" w:color="auto" w:fill="auto"/>
            <w:noWrap/>
            <w:vAlign w:val="bottom"/>
            <w:hideMark/>
          </w:tcPr>
          <w:p w:rsidRPr="001906B7" w:rsidR="001906B7" w:rsidP="001906B7" w:rsidRDefault="001906B7" w14:paraId="6250746C" w14:textId="77777777">
            <w:pPr>
              <w:widowControl/>
              <w:autoSpaceDE/>
              <w:autoSpaceDN/>
              <w:adjustRightInd/>
              <w:spacing w:after="0"/>
              <w:jc w:val="center"/>
              <w:rPr>
                <w:color w:val="000000"/>
              </w:rPr>
            </w:pPr>
            <w:r w:rsidRPr="001906B7">
              <w:rPr>
                <w:color w:val="000000"/>
              </w:rPr>
              <w:t>17</w:t>
            </w:r>
          </w:p>
        </w:tc>
        <w:tc>
          <w:tcPr>
            <w:tcW w:w="1170" w:type="dxa"/>
            <w:shd w:val="clear" w:color="auto" w:fill="auto"/>
            <w:noWrap/>
            <w:vAlign w:val="bottom"/>
            <w:hideMark/>
          </w:tcPr>
          <w:p w:rsidRPr="001906B7" w:rsidR="001906B7" w:rsidP="001906B7" w:rsidRDefault="001906B7" w14:paraId="438F4AD2" w14:textId="77777777">
            <w:pPr>
              <w:widowControl/>
              <w:autoSpaceDE/>
              <w:autoSpaceDN/>
              <w:adjustRightInd/>
              <w:spacing w:after="0"/>
              <w:jc w:val="center"/>
              <w:rPr>
                <w:color w:val="000000"/>
              </w:rPr>
            </w:pPr>
            <w:r w:rsidRPr="001906B7">
              <w:rPr>
                <w:color w:val="000000"/>
              </w:rPr>
              <w:t>4.059</w:t>
            </w:r>
          </w:p>
        </w:tc>
      </w:tr>
      <w:tr w:rsidRPr="001906B7" w:rsidR="001906B7" w:rsidTr="001906B7" w14:paraId="38E13800" w14:textId="77777777">
        <w:trPr>
          <w:trHeight w:val="315"/>
        </w:trPr>
        <w:tc>
          <w:tcPr>
            <w:tcW w:w="1004" w:type="dxa"/>
            <w:shd w:val="clear" w:color="auto" w:fill="auto"/>
            <w:noWrap/>
            <w:vAlign w:val="bottom"/>
            <w:hideMark/>
          </w:tcPr>
          <w:p w:rsidRPr="001906B7" w:rsidR="001906B7" w:rsidP="001906B7" w:rsidRDefault="001906B7" w14:paraId="18E52E63" w14:textId="77777777">
            <w:pPr>
              <w:widowControl/>
              <w:autoSpaceDE/>
              <w:autoSpaceDN/>
              <w:adjustRightInd/>
              <w:spacing w:after="0"/>
              <w:rPr>
                <w:color w:val="000000"/>
              </w:rPr>
            </w:pPr>
            <w:r w:rsidRPr="001906B7">
              <w:rPr>
                <w:color w:val="000000"/>
              </w:rPr>
              <w:t>4</w:t>
            </w:r>
          </w:p>
        </w:tc>
        <w:tc>
          <w:tcPr>
            <w:tcW w:w="1120" w:type="dxa"/>
            <w:vMerge/>
            <w:vAlign w:val="center"/>
            <w:hideMark/>
          </w:tcPr>
          <w:p w:rsidRPr="001906B7" w:rsidR="001906B7" w:rsidP="001906B7" w:rsidRDefault="001906B7" w14:paraId="2B31559F" w14:textId="77777777">
            <w:pPr>
              <w:widowControl/>
              <w:autoSpaceDE/>
              <w:autoSpaceDN/>
              <w:adjustRightInd/>
              <w:spacing w:after="0"/>
              <w:rPr>
                <w:color w:val="000000"/>
              </w:rPr>
            </w:pPr>
          </w:p>
        </w:tc>
        <w:tc>
          <w:tcPr>
            <w:tcW w:w="2200" w:type="dxa"/>
            <w:shd w:val="clear" w:color="auto" w:fill="auto"/>
            <w:noWrap/>
            <w:vAlign w:val="bottom"/>
            <w:hideMark/>
          </w:tcPr>
          <w:p w:rsidRPr="001906B7" w:rsidR="001906B7" w:rsidP="001906B7" w:rsidRDefault="001906B7" w14:paraId="1EAE7D72" w14:textId="22C735A1">
            <w:pPr>
              <w:widowControl/>
              <w:autoSpaceDE/>
              <w:autoSpaceDN/>
              <w:adjustRightInd/>
              <w:spacing w:after="0"/>
              <w:rPr>
                <w:color w:val="000000"/>
              </w:rPr>
            </w:pPr>
            <w:r w:rsidRPr="001906B7">
              <w:rPr>
                <w:color w:val="000000"/>
              </w:rPr>
              <w:t>69-140</w:t>
            </w:r>
            <w:r w:rsidR="00142D6F">
              <w:rPr>
                <w:color w:val="000000"/>
              </w:rPr>
              <w:t xml:space="preserve"> </w:t>
            </w:r>
            <w:r w:rsidR="00142D6F">
              <w:rPr>
                <w:color w:val="000000"/>
              </w:rPr>
              <w:t>inmates</w:t>
            </w:r>
          </w:p>
        </w:tc>
        <w:tc>
          <w:tcPr>
            <w:tcW w:w="1397" w:type="dxa"/>
            <w:shd w:val="clear" w:color="auto" w:fill="auto"/>
            <w:noWrap/>
            <w:vAlign w:val="bottom"/>
            <w:hideMark/>
          </w:tcPr>
          <w:p w:rsidRPr="001906B7" w:rsidR="001906B7" w:rsidP="001906B7" w:rsidRDefault="001906B7" w14:paraId="270F393C" w14:textId="77777777">
            <w:pPr>
              <w:widowControl/>
              <w:autoSpaceDE/>
              <w:autoSpaceDN/>
              <w:adjustRightInd/>
              <w:spacing w:after="0"/>
              <w:jc w:val="center"/>
              <w:rPr>
                <w:color w:val="000000"/>
              </w:rPr>
            </w:pPr>
            <w:r w:rsidRPr="001906B7">
              <w:rPr>
                <w:color w:val="000000"/>
              </w:rPr>
              <w:t>60</w:t>
            </w:r>
          </w:p>
        </w:tc>
        <w:tc>
          <w:tcPr>
            <w:tcW w:w="1397" w:type="dxa"/>
            <w:shd w:val="clear" w:color="auto" w:fill="auto"/>
            <w:noWrap/>
            <w:vAlign w:val="bottom"/>
            <w:hideMark/>
          </w:tcPr>
          <w:p w:rsidRPr="001906B7" w:rsidR="001906B7" w:rsidP="001906B7" w:rsidRDefault="001906B7" w14:paraId="0E137CD4" w14:textId="77777777">
            <w:pPr>
              <w:widowControl/>
              <w:autoSpaceDE/>
              <w:autoSpaceDN/>
              <w:adjustRightInd/>
              <w:spacing w:after="0"/>
              <w:jc w:val="center"/>
              <w:rPr>
                <w:color w:val="000000"/>
              </w:rPr>
            </w:pPr>
            <w:r w:rsidRPr="001906B7">
              <w:rPr>
                <w:color w:val="000000"/>
              </w:rPr>
              <w:t>10</w:t>
            </w:r>
          </w:p>
        </w:tc>
        <w:tc>
          <w:tcPr>
            <w:tcW w:w="1432" w:type="dxa"/>
            <w:shd w:val="clear" w:color="auto" w:fill="auto"/>
            <w:noWrap/>
            <w:vAlign w:val="bottom"/>
            <w:hideMark/>
          </w:tcPr>
          <w:p w:rsidRPr="001906B7" w:rsidR="001906B7" w:rsidP="001906B7" w:rsidRDefault="001906B7" w14:paraId="1CA8962D" w14:textId="77777777">
            <w:pPr>
              <w:widowControl/>
              <w:autoSpaceDE/>
              <w:autoSpaceDN/>
              <w:adjustRightInd/>
              <w:spacing w:after="0"/>
              <w:jc w:val="center"/>
              <w:rPr>
                <w:color w:val="000000"/>
              </w:rPr>
            </w:pPr>
            <w:r w:rsidRPr="001906B7">
              <w:rPr>
                <w:color w:val="000000"/>
              </w:rPr>
              <w:t>10</w:t>
            </w:r>
          </w:p>
        </w:tc>
        <w:tc>
          <w:tcPr>
            <w:tcW w:w="1170" w:type="dxa"/>
            <w:shd w:val="clear" w:color="auto" w:fill="auto"/>
            <w:noWrap/>
            <w:vAlign w:val="bottom"/>
            <w:hideMark/>
          </w:tcPr>
          <w:p w:rsidRPr="001906B7" w:rsidR="001906B7" w:rsidP="001906B7" w:rsidRDefault="001906B7" w14:paraId="0A9608EE" w14:textId="77777777">
            <w:pPr>
              <w:widowControl/>
              <w:autoSpaceDE/>
              <w:autoSpaceDN/>
              <w:adjustRightInd/>
              <w:spacing w:after="0"/>
              <w:jc w:val="center"/>
              <w:rPr>
                <w:color w:val="000000"/>
              </w:rPr>
            </w:pPr>
            <w:r w:rsidRPr="001906B7">
              <w:rPr>
                <w:color w:val="000000"/>
              </w:rPr>
              <w:t>6.000</w:t>
            </w:r>
          </w:p>
        </w:tc>
      </w:tr>
      <w:tr w:rsidRPr="001906B7" w:rsidR="001906B7" w:rsidTr="001906B7" w14:paraId="76F79A3E" w14:textId="77777777">
        <w:trPr>
          <w:trHeight w:val="315"/>
        </w:trPr>
        <w:tc>
          <w:tcPr>
            <w:tcW w:w="1004" w:type="dxa"/>
            <w:shd w:val="clear" w:color="auto" w:fill="auto"/>
            <w:noWrap/>
            <w:vAlign w:val="bottom"/>
            <w:hideMark/>
          </w:tcPr>
          <w:p w:rsidRPr="001906B7" w:rsidR="001906B7" w:rsidP="001906B7" w:rsidRDefault="001906B7" w14:paraId="332E31EA" w14:textId="77777777">
            <w:pPr>
              <w:widowControl/>
              <w:autoSpaceDE/>
              <w:autoSpaceDN/>
              <w:adjustRightInd/>
              <w:spacing w:after="0"/>
              <w:rPr>
                <w:color w:val="000000"/>
              </w:rPr>
            </w:pPr>
            <w:r w:rsidRPr="001906B7">
              <w:rPr>
                <w:color w:val="000000"/>
              </w:rPr>
              <w:t>5</w:t>
            </w:r>
          </w:p>
        </w:tc>
        <w:tc>
          <w:tcPr>
            <w:tcW w:w="1120" w:type="dxa"/>
            <w:vMerge/>
            <w:vAlign w:val="center"/>
            <w:hideMark/>
          </w:tcPr>
          <w:p w:rsidRPr="001906B7" w:rsidR="001906B7" w:rsidP="001906B7" w:rsidRDefault="001906B7" w14:paraId="0E3DB6A7" w14:textId="77777777">
            <w:pPr>
              <w:widowControl/>
              <w:autoSpaceDE/>
              <w:autoSpaceDN/>
              <w:adjustRightInd/>
              <w:spacing w:after="0"/>
              <w:rPr>
                <w:color w:val="000000"/>
              </w:rPr>
            </w:pPr>
          </w:p>
        </w:tc>
        <w:tc>
          <w:tcPr>
            <w:tcW w:w="2200" w:type="dxa"/>
            <w:shd w:val="clear" w:color="auto" w:fill="auto"/>
            <w:noWrap/>
            <w:vAlign w:val="bottom"/>
            <w:hideMark/>
          </w:tcPr>
          <w:p w:rsidRPr="001906B7" w:rsidR="001906B7" w:rsidP="001906B7" w:rsidRDefault="001906B7" w14:paraId="7094D392" w14:textId="31DF92E8">
            <w:pPr>
              <w:widowControl/>
              <w:autoSpaceDE/>
              <w:autoSpaceDN/>
              <w:adjustRightInd/>
              <w:spacing w:after="0"/>
              <w:rPr>
                <w:color w:val="000000"/>
              </w:rPr>
            </w:pPr>
            <w:r w:rsidRPr="001906B7">
              <w:rPr>
                <w:color w:val="000000"/>
              </w:rPr>
              <w:t>0-68</w:t>
            </w:r>
            <w:r w:rsidR="00142D6F">
              <w:rPr>
                <w:color w:val="000000"/>
              </w:rPr>
              <w:t xml:space="preserve"> </w:t>
            </w:r>
            <w:r w:rsidR="00142D6F">
              <w:rPr>
                <w:color w:val="000000"/>
              </w:rPr>
              <w:t>inmates</w:t>
            </w:r>
          </w:p>
        </w:tc>
        <w:tc>
          <w:tcPr>
            <w:tcW w:w="1397" w:type="dxa"/>
            <w:shd w:val="clear" w:color="auto" w:fill="auto"/>
            <w:noWrap/>
            <w:vAlign w:val="bottom"/>
            <w:hideMark/>
          </w:tcPr>
          <w:p w:rsidRPr="001906B7" w:rsidR="001906B7" w:rsidP="001906B7" w:rsidRDefault="001906B7" w14:paraId="18857D01" w14:textId="77777777">
            <w:pPr>
              <w:widowControl/>
              <w:autoSpaceDE/>
              <w:autoSpaceDN/>
              <w:adjustRightInd/>
              <w:spacing w:after="0"/>
              <w:jc w:val="center"/>
              <w:rPr>
                <w:color w:val="000000"/>
              </w:rPr>
            </w:pPr>
            <w:r w:rsidRPr="001906B7">
              <w:rPr>
                <w:color w:val="000000"/>
              </w:rPr>
              <w:t>48</w:t>
            </w:r>
          </w:p>
        </w:tc>
        <w:tc>
          <w:tcPr>
            <w:tcW w:w="1397" w:type="dxa"/>
            <w:shd w:val="clear" w:color="auto" w:fill="auto"/>
            <w:noWrap/>
            <w:vAlign w:val="bottom"/>
            <w:hideMark/>
          </w:tcPr>
          <w:p w:rsidRPr="001906B7" w:rsidR="001906B7" w:rsidP="001906B7" w:rsidRDefault="001906B7" w14:paraId="541957AB" w14:textId="77777777">
            <w:pPr>
              <w:widowControl/>
              <w:autoSpaceDE/>
              <w:autoSpaceDN/>
              <w:adjustRightInd/>
              <w:spacing w:after="0"/>
              <w:jc w:val="center"/>
              <w:rPr>
                <w:color w:val="000000"/>
              </w:rPr>
            </w:pPr>
            <w:r w:rsidRPr="001906B7">
              <w:rPr>
                <w:color w:val="000000"/>
              </w:rPr>
              <w:t>4</w:t>
            </w:r>
          </w:p>
        </w:tc>
        <w:tc>
          <w:tcPr>
            <w:tcW w:w="1432" w:type="dxa"/>
            <w:shd w:val="clear" w:color="auto" w:fill="auto"/>
            <w:noWrap/>
            <w:vAlign w:val="bottom"/>
            <w:hideMark/>
          </w:tcPr>
          <w:p w:rsidRPr="001906B7" w:rsidR="001906B7" w:rsidP="001906B7" w:rsidRDefault="001906B7" w14:paraId="6B451FD3" w14:textId="77777777">
            <w:pPr>
              <w:widowControl/>
              <w:autoSpaceDE/>
              <w:autoSpaceDN/>
              <w:adjustRightInd/>
              <w:spacing w:after="0"/>
              <w:jc w:val="center"/>
              <w:rPr>
                <w:color w:val="000000"/>
              </w:rPr>
            </w:pPr>
            <w:r w:rsidRPr="001906B7">
              <w:rPr>
                <w:color w:val="000000"/>
              </w:rPr>
              <w:t>4</w:t>
            </w:r>
          </w:p>
        </w:tc>
        <w:tc>
          <w:tcPr>
            <w:tcW w:w="1170" w:type="dxa"/>
            <w:shd w:val="clear" w:color="auto" w:fill="auto"/>
            <w:noWrap/>
            <w:vAlign w:val="bottom"/>
            <w:hideMark/>
          </w:tcPr>
          <w:p w:rsidRPr="001906B7" w:rsidR="001906B7" w:rsidP="001906B7" w:rsidRDefault="001906B7" w14:paraId="55E2C049" w14:textId="77777777">
            <w:pPr>
              <w:widowControl/>
              <w:autoSpaceDE/>
              <w:autoSpaceDN/>
              <w:adjustRightInd/>
              <w:spacing w:after="0"/>
              <w:jc w:val="center"/>
              <w:rPr>
                <w:color w:val="000000"/>
              </w:rPr>
            </w:pPr>
            <w:r w:rsidRPr="001906B7">
              <w:rPr>
                <w:color w:val="000000"/>
              </w:rPr>
              <w:t>12.000</w:t>
            </w:r>
          </w:p>
        </w:tc>
      </w:tr>
      <w:tr w:rsidRPr="001906B7" w:rsidR="001906B7" w:rsidTr="001906B7" w14:paraId="7D8A35BB" w14:textId="77777777">
        <w:trPr>
          <w:trHeight w:val="315"/>
        </w:trPr>
        <w:tc>
          <w:tcPr>
            <w:tcW w:w="1004" w:type="dxa"/>
            <w:shd w:val="clear" w:color="auto" w:fill="auto"/>
            <w:noWrap/>
            <w:vAlign w:val="bottom"/>
            <w:hideMark/>
          </w:tcPr>
          <w:p w:rsidRPr="001906B7" w:rsidR="001906B7" w:rsidP="001906B7" w:rsidRDefault="001906B7" w14:paraId="13E521AE" w14:textId="77777777">
            <w:pPr>
              <w:widowControl/>
              <w:autoSpaceDE/>
              <w:autoSpaceDN/>
              <w:adjustRightInd/>
              <w:spacing w:after="0"/>
              <w:rPr>
                <w:color w:val="000000"/>
              </w:rPr>
            </w:pPr>
            <w:r w:rsidRPr="001906B7">
              <w:rPr>
                <w:color w:val="000000"/>
              </w:rPr>
              <w:t>6</w:t>
            </w:r>
          </w:p>
        </w:tc>
        <w:tc>
          <w:tcPr>
            <w:tcW w:w="1120" w:type="dxa"/>
            <w:vMerge w:val="restart"/>
            <w:shd w:val="clear" w:color="auto" w:fill="auto"/>
            <w:vAlign w:val="bottom"/>
            <w:hideMark/>
          </w:tcPr>
          <w:p w:rsidRPr="001906B7" w:rsidR="001906B7" w:rsidP="001906B7" w:rsidRDefault="001906B7" w14:paraId="5849CC14" w14:textId="77777777">
            <w:pPr>
              <w:widowControl/>
              <w:autoSpaceDE/>
              <w:autoSpaceDN/>
              <w:adjustRightInd/>
              <w:spacing w:after="0"/>
              <w:rPr>
                <w:color w:val="000000"/>
              </w:rPr>
            </w:pPr>
            <w:r w:rsidRPr="001906B7">
              <w:rPr>
                <w:color w:val="000000"/>
              </w:rPr>
              <w:t>Holding adults only</w:t>
            </w:r>
          </w:p>
        </w:tc>
        <w:tc>
          <w:tcPr>
            <w:tcW w:w="2200" w:type="dxa"/>
            <w:shd w:val="clear" w:color="auto" w:fill="auto"/>
            <w:noWrap/>
            <w:vAlign w:val="bottom"/>
            <w:hideMark/>
          </w:tcPr>
          <w:p w:rsidRPr="001906B7" w:rsidR="001906B7" w:rsidP="001906B7" w:rsidRDefault="001906B7" w14:paraId="2226FA21" w14:textId="5C3C2C27">
            <w:pPr>
              <w:widowControl/>
              <w:autoSpaceDE/>
              <w:autoSpaceDN/>
              <w:adjustRightInd/>
              <w:spacing w:after="0"/>
              <w:rPr>
                <w:color w:val="000000"/>
              </w:rPr>
            </w:pPr>
            <w:r w:rsidRPr="001906B7">
              <w:rPr>
                <w:color w:val="000000"/>
              </w:rPr>
              <w:t>227-749</w:t>
            </w:r>
            <w:r w:rsidR="00142D6F">
              <w:rPr>
                <w:color w:val="000000"/>
              </w:rPr>
              <w:t xml:space="preserve"> </w:t>
            </w:r>
            <w:r w:rsidR="00142D6F">
              <w:rPr>
                <w:color w:val="000000"/>
              </w:rPr>
              <w:t>inmates</w:t>
            </w:r>
          </w:p>
        </w:tc>
        <w:tc>
          <w:tcPr>
            <w:tcW w:w="1397" w:type="dxa"/>
            <w:shd w:val="clear" w:color="auto" w:fill="auto"/>
            <w:noWrap/>
            <w:vAlign w:val="bottom"/>
            <w:hideMark/>
          </w:tcPr>
          <w:p w:rsidRPr="001906B7" w:rsidR="001906B7" w:rsidP="001906B7" w:rsidRDefault="001906B7" w14:paraId="4C5675D1" w14:textId="77777777">
            <w:pPr>
              <w:widowControl/>
              <w:autoSpaceDE/>
              <w:autoSpaceDN/>
              <w:adjustRightInd/>
              <w:spacing w:after="0"/>
              <w:jc w:val="center"/>
              <w:rPr>
                <w:color w:val="000000"/>
              </w:rPr>
            </w:pPr>
            <w:r w:rsidRPr="001906B7">
              <w:rPr>
                <w:color w:val="000000"/>
              </w:rPr>
              <w:t>359</w:t>
            </w:r>
          </w:p>
        </w:tc>
        <w:tc>
          <w:tcPr>
            <w:tcW w:w="1397" w:type="dxa"/>
            <w:shd w:val="clear" w:color="auto" w:fill="auto"/>
            <w:noWrap/>
            <w:vAlign w:val="bottom"/>
            <w:hideMark/>
          </w:tcPr>
          <w:p w:rsidRPr="001906B7" w:rsidR="001906B7" w:rsidP="001906B7" w:rsidRDefault="001906B7" w14:paraId="2BF2A4C0" w14:textId="77777777">
            <w:pPr>
              <w:widowControl/>
              <w:autoSpaceDE/>
              <w:autoSpaceDN/>
              <w:adjustRightInd/>
              <w:spacing w:after="0"/>
              <w:jc w:val="center"/>
              <w:rPr>
                <w:color w:val="000000"/>
              </w:rPr>
            </w:pPr>
            <w:r w:rsidRPr="001906B7">
              <w:rPr>
                <w:color w:val="000000"/>
              </w:rPr>
              <w:t>275</w:t>
            </w:r>
          </w:p>
        </w:tc>
        <w:tc>
          <w:tcPr>
            <w:tcW w:w="1432" w:type="dxa"/>
            <w:shd w:val="clear" w:color="auto" w:fill="auto"/>
            <w:noWrap/>
            <w:vAlign w:val="bottom"/>
            <w:hideMark/>
          </w:tcPr>
          <w:p w:rsidRPr="001906B7" w:rsidR="001906B7" w:rsidP="001906B7" w:rsidRDefault="001906B7" w14:paraId="16A71AB7" w14:textId="77777777">
            <w:pPr>
              <w:widowControl/>
              <w:autoSpaceDE/>
              <w:autoSpaceDN/>
              <w:adjustRightInd/>
              <w:spacing w:after="0"/>
              <w:jc w:val="center"/>
              <w:rPr>
                <w:color w:val="000000"/>
              </w:rPr>
            </w:pPr>
            <w:r w:rsidRPr="001906B7">
              <w:rPr>
                <w:color w:val="000000"/>
              </w:rPr>
              <w:t>288</w:t>
            </w:r>
          </w:p>
        </w:tc>
        <w:tc>
          <w:tcPr>
            <w:tcW w:w="1170" w:type="dxa"/>
            <w:shd w:val="clear" w:color="auto" w:fill="auto"/>
            <w:noWrap/>
            <w:vAlign w:val="bottom"/>
            <w:hideMark/>
          </w:tcPr>
          <w:p w:rsidRPr="001906B7" w:rsidR="001906B7" w:rsidP="001906B7" w:rsidRDefault="001906B7" w14:paraId="23B8A477" w14:textId="77777777">
            <w:pPr>
              <w:widowControl/>
              <w:autoSpaceDE/>
              <w:autoSpaceDN/>
              <w:adjustRightInd/>
              <w:spacing w:after="0"/>
              <w:jc w:val="center"/>
              <w:rPr>
                <w:color w:val="000000"/>
              </w:rPr>
            </w:pPr>
            <w:r w:rsidRPr="001906B7">
              <w:rPr>
                <w:color w:val="000000"/>
              </w:rPr>
              <w:t>1.305</w:t>
            </w:r>
          </w:p>
        </w:tc>
      </w:tr>
      <w:tr w:rsidRPr="001906B7" w:rsidR="001906B7" w:rsidTr="001906B7" w14:paraId="19433A9B" w14:textId="77777777">
        <w:trPr>
          <w:trHeight w:val="315"/>
        </w:trPr>
        <w:tc>
          <w:tcPr>
            <w:tcW w:w="1004" w:type="dxa"/>
            <w:shd w:val="clear" w:color="auto" w:fill="auto"/>
            <w:noWrap/>
            <w:vAlign w:val="bottom"/>
            <w:hideMark/>
          </w:tcPr>
          <w:p w:rsidRPr="001906B7" w:rsidR="001906B7" w:rsidP="001906B7" w:rsidRDefault="001906B7" w14:paraId="3A3C323B" w14:textId="77777777">
            <w:pPr>
              <w:widowControl/>
              <w:autoSpaceDE/>
              <w:autoSpaceDN/>
              <w:adjustRightInd/>
              <w:spacing w:after="0"/>
              <w:rPr>
                <w:color w:val="000000"/>
              </w:rPr>
            </w:pPr>
            <w:r w:rsidRPr="001906B7">
              <w:rPr>
                <w:color w:val="000000"/>
              </w:rPr>
              <w:t>7</w:t>
            </w:r>
          </w:p>
        </w:tc>
        <w:tc>
          <w:tcPr>
            <w:tcW w:w="1120" w:type="dxa"/>
            <w:vMerge/>
            <w:vAlign w:val="center"/>
            <w:hideMark/>
          </w:tcPr>
          <w:p w:rsidRPr="001906B7" w:rsidR="001906B7" w:rsidP="001906B7" w:rsidRDefault="001906B7" w14:paraId="325FDF78" w14:textId="77777777">
            <w:pPr>
              <w:widowControl/>
              <w:autoSpaceDE/>
              <w:autoSpaceDN/>
              <w:adjustRightInd/>
              <w:spacing w:after="0"/>
              <w:rPr>
                <w:color w:val="000000"/>
              </w:rPr>
            </w:pPr>
          </w:p>
        </w:tc>
        <w:tc>
          <w:tcPr>
            <w:tcW w:w="2200" w:type="dxa"/>
            <w:shd w:val="clear" w:color="auto" w:fill="auto"/>
            <w:noWrap/>
            <w:vAlign w:val="bottom"/>
            <w:hideMark/>
          </w:tcPr>
          <w:p w:rsidRPr="001906B7" w:rsidR="001906B7" w:rsidP="001906B7" w:rsidRDefault="00BC78E5" w14:paraId="230CD6DD" w14:textId="432AB0E3">
            <w:pPr>
              <w:widowControl/>
              <w:autoSpaceDE/>
              <w:autoSpaceDN/>
              <w:adjustRightInd/>
              <w:spacing w:after="0"/>
              <w:rPr>
                <w:color w:val="000000"/>
              </w:rPr>
            </w:pPr>
            <w:r w:rsidRPr="00582AF2">
              <w:rPr>
                <w:color w:val="000000"/>
              </w:rPr>
              <w:t>103-226</w:t>
            </w:r>
            <w:r w:rsidR="00142D6F">
              <w:rPr>
                <w:color w:val="000000"/>
              </w:rPr>
              <w:t xml:space="preserve"> </w:t>
            </w:r>
            <w:r w:rsidR="00142D6F">
              <w:rPr>
                <w:color w:val="000000"/>
              </w:rPr>
              <w:t>inmates</w:t>
            </w:r>
          </w:p>
        </w:tc>
        <w:tc>
          <w:tcPr>
            <w:tcW w:w="1397" w:type="dxa"/>
            <w:shd w:val="clear" w:color="auto" w:fill="auto"/>
            <w:noWrap/>
            <w:vAlign w:val="bottom"/>
            <w:hideMark/>
          </w:tcPr>
          <w:p w:rsidRPr="001906B7" w:rsidR="001906B7" w:rsidP="001906B7" w:rsidRDefault="001906B7" w14:paraId="3E9B8EB6" w14:textId="77777777">
            <w:pPr>
              <w:widowControl/>
              <w:autoSpaceDE/>
              <w:autoSpaceDN/>
              <w:adjustRightInd/>
              <w:spacing w:after="0"/>
              <w:jc w:val="center"/>
              <w:rPr>
                <w:color w:val="000000"/>
              </w:rPr>
            </w:pPr>
            <w:r w:rsidRPr="001906B7">
              <w:rPr>
                <w:color w:val="000000"/>
              </w:rPr>
              <w:t>452</w:t>
            </w:r>
          </w:p>
        </w:tc>
        <w:tc>
          <w:tcPr>
            <w:tcW w:w="1397" w:type="dxa"/>
            <w:shd w:val="clear" w:color="auto" w:fill="auto"/>
            <w:noWrap/>
            <w:vAlign w:val="bottom"/>
            <w:hideMark/>
          </w:tcPr>
          <w:p w:rsidRPr="001906B7" w:rsidR="001906B7" w:rsidP="001906B7" w:rsidRDefault="001906B7" w14:paraId="70BEBF52" w14:textId="77777777">
            <w:pPr>
              <w:widowControl/>
              <w:autoSpaceDE/>
              <w:autoSpaceDN/>
              <w:adjustRightInd/>
              <w:spacing w:after="0"/>
              <w:jc w:val="center"/>
              <w:rPr>
                <w:color w:val="000000"/>
              </w:rPr>
            </w:pPr>
            <w:r w:rsidRPr="001906B7">
              <w:rPr>
                <w:color w:val="000000"/>
              </w:rPr>
              <w:t>100</w:t>
            </w:r>
          </w:p>
        </w:tc>
        <w:tc>
          <w:tcPr>
            <w:tcW w:w="1432" w:type="dxa"/>
            <w:shd w:val="clear" w:color="auto" w:fill="auto"/>
            <w:noWrap/>
            <w:vAlign w:val="bottom"/>
            <w:hideMark/>
          </w:tcPr>
          <w:p w:rsidRPr="001906B7" w:rsidR="001906B7" w:rsidP="001906B7" w:rsidRDefault="001906B7" w14:paraId="60BE9982" w14:textId="77777777">
            <w:pPr>
              <w:widowControl/>
              <w:autoSpaceDE/>
              <w:autoSpaceDN/>
              <w:adjustRightInd/>
              <w:spacing w:after="0"/>
              <w:jc w:val="center"/>
              <w:rPr>
                <w:color w:val="000000"/>
              </w:rPr>
            </w:pPr>
            <w:r w:rsidRPr="001906B7">
              <w:rPr>
                <w:color w:val="000000"/>
              </w:rPr>
              <w:t>100</w:t>
            </w:r>
          </w:p>
        </w:tc>
        <w:tc>
          <w:tcPr>
            <w:tcW w:w="1170" w:type="dxa"/>
            <w:shd w:val="clear" w:color="auto" w:fill="auto"/>
            <w:noWrap/>
            <w:vAlign w:val="bottom"/>
            <w:hideMark/>
          </w:tcPr>
          <w:p w:rsidRPr="001906B7" w:rsidR="001906B7" w:rsidP="001906B7" w:rsidRDefault="001906B7" w14:paraId="0B13FFA6" w14:textId="77777777">
            <w:pPr>
              <w:widowControl/>
              <w:autoSpaceDE/>
              <w:autoSpaceDN/>
              <w:adjustRightInd/>
              <w:spacing w:after="0"/>
              <w:jc w:val="center"/>
              <w:rPr>
                <w:color w:val="000000"/>
              </w:rPr>
            </w:pPr>
            <w:r w:rsidRPr="001906B7">
              <w:rPr>
                <w:color w:val="000000"/>
              </w:rPr>
              <w:t>4.520</w:t>
            </w:r>
          </w:p>
        </w:tc>
      </w:tr>
      <w:tr w:rsidRPr="001906B7" w:rsidR="001906B7" w:rsidTr="001906B7" w14:paraId="2592BFE6" w14:textId="77777777">
        <w:trPr>
          <w:trHeight w:val="315"/>
        </w:trPr>
        <w:tc>
          <w:tcPr>
            <w:tcW w:w="1004" w:type="dxa"/>
            <w:shd w:val="clear" w:color="auto" w:fill="auto"/>
            <w:noWrap/>
            <w:vAlign w:val="bottom"/>
            <w:hideMark/>
          </w:tcPr>
          <w:p w:rsidRPr="001906B7" w:rsidR="001906B7" w:rsidP="001906B7" w:rsidRDefault="001906B7" w14:paraId="432C01BC" w14:textId="77777777">
            <w:pPr>
              <w:widowControl/>
              <w:autoSpaceDE/>
              <w:autoSpaceDN/>
              <w:adjustRightInd/>
              <w:spacing w:after="0"/>
              <w:rPr>
                <w:color w:val="000000"/>
              </w:rPr>
            </w:pPr>
            <w:r w:rsidRPr="001906B7">
              <w:rPr>
                <w:color w:val="000000"/>
              </w:rPr>
              <w:t>8</w:t>
            </w:r>
          </w:p>
        </w:tc>
        <w:tc>
          <w:tcPr>
            <w:tcW w:w="1120" w:type="dxa"/>
            <w:vMerge/>
            <w:vAlign w:val="center"/>
            <w:hideMark/>
          </w:tcPr>
          <w:p w:rsidRPr="001906B7" w:rsidR="001906B7" w:rsidP="001906B7" w:rsidRDefault="001906B7" w14:paraId="0A4B5055" w14:textId="77777777">
            <w:pPr>
              <w:widowControl/>
              <w:autoSpaceDE/>
              <w:autoSpaceDN/>
              <w:adjustRightInd/>
              <w:spacing w:after="0"/>
              <w:rPr>
                <w:color w:val="000000"/>
              </w:rPr>
            </w:pPr>
          </w:p>
        </w:tc>
        <w:tc>
          <w:tcPr>
            <w:tcW w:w="2200" w:type="dxa"/>
            <w:shd w:val="clear" w:color="auto" w:fill="auto"/>
            <w:noWrap/>
            <w:vAlign w:val="bottom"/>
            <w:hideMark/>
          </w:tcPr>
          <w:p w:rsidRPr="001906B7" w:rsidR="001906B7" w:rsidP="001906B7" w:rsidRDefault="001906B7" w14:paraId="065587DA" w14:textId="30D7187A">
            <w:pPr>
              <w:widowControl/>
              <w:autoSpaceDE/>
              <w:autoSpaceDN/>
              <w:adjustRightInd/>
              <w:spacing w:after="0"/>
              <w:rPr>
                <w:color w:val="000000"/>
              </w:rPr>
            </w:pPr>
            <w:r w:rsidRPr="001906B7">
              <w:rPr>
                <w:color w:val="000000"/>
              </w:rPr>
              <w:t>40-102</w:t>
            </w:r>
            <w:r w:rsidR="00142D6F">
              <w:rPr>
                <w:color w:val="000000"/>
              </w:rPr>
              <w:t xml:space="preserve"> </w:t>
            </w:r>
            <w:r w:rsidR="00142D6F">
              <w:rPr>
                <w:color w:val="000000"/>
              </w:rPr>
              <w:t>inmates</w:t>
            </w:r>
          </w:p>
        </w:tc>
        <w:tc>
          <w:tcPr>
            <w:tcW w:w="1397" w:type="dxa"/>
            <w:shd w:val="clear" w:color="auto" w:fill="auto"/>
            <w:noWrap/>
            <w:vAlign w:val="bottom"/>
            <w:hideMark/>
          </w:tcPr>
          <w:p w:rsidRPr="001906B7" w:rsidR="001906B7" w:rsidP="001906B7" w:rsidRDefault="001906B7" w14:paraId="1A4967CD" w14:textId="77777777">
            <w:pPr>
              <w:widowControl/>
              <w:autoSpaceDE/>
              <w:autoSpaceDN/>
              <w:adjustRightInd/>
              <w:spacing w:after="0"/>
              <w:jc w:val="center"/>
              <w:rPr>
                <w:color w:val="000000"/>
              </w:rPr>
            </w:pPr>
            <w:r w:rsidRPr="001906B7">
              <w:rPr>
                <w:color w:val="000000"/>
              </w:rPr>
              <w:t>579</w:t>
            </w:r>
          </w:p>
        </w:tc>
        <w:tc>
          <w:tcPr>
            <w:tcW w:w="1397" w:type="dxa"/>
            <w:shd w:val="clear" w:color="auto" w:fill="auto"/>
            <w:noWrap/>
            <w:vAlign w:val="bottom"/>
            <w:hideMark/>
          </w:tcPr>
          <w:p w:rsidRPr="001906B7" w:rsidR="001906B7" w:rsidP="001906B7" w:rsidRDefault="001906B7" w14:paraId="0D1FE065" w14:textId="77777777">
            <w:pPr>
              <w:widowControl/>
              <w:autoSpaceDE/>
              <w:autoSpaceDN/>
              <w:adjustRightInd/>
              <w:spacing w:after="0"/>
              <w:jc w:val="center"/>
              <w:rPr>
                <w:color w:val="000000"/>
              </w:rPr>
            </w:pPr>
            <w:r w:rsidRPr="001906B7">
              <w:rPr>
                <w:color w:val="000000"/>
              </w:rPr>
              <w:t>64</w:t>
            </w:r>
          </w:p>
        </w:tc>
        <w:tc>
          <w:tcPr>
            <w:tcW w:w="1432" w:type="dxa"/>
            <w:shd w:val="clear" w:color="auto" w:fill="auto"/>
            <w:noWrap/>
            <w:vAlign w:val="bottom"/>
            <w:hideMark/>
          </w:tcPr>
          <w:p w:rsidRPr="001906B7" w:rsidR="001906B7" w:rsidP="001906B7" w:rsidRDefault="001906B7" w14:paraId="1AF029A8" w14:textId="77777777">
            <w:pPr>
              <w:widowControl/>
              <w:autoSpaceDE/>
              <w:autoSpaceDN/>
              <w:adjustRightInd/>
              <w:spacing w:after="0"/>
              <w:jc w:val="center"/>
              <w:rPr>
                <w:color w:val="000000"/>
              </w:rPr>
            </w:pPr>
            <w:r w:rsidRPr="001906B7">
              <w:rPr>
                <w:color w:val="000000"/>
              </w:rPr>
              <w:t>64</w:t>
            </w:r>
          </w:p>
        </w:tc>
        <w:tc>
          <w:tcPr>
            <w:tcW w:w="1170" w:type="dxa"/>
            <w:shd w:val="clear" w:color="auto" w:fill="auto"/>
            <w:noWrap/>
            <w:vAlign w:val="bottom"/>
            <w:hideMark/>
          </w:tcPr>
          <w:p w:rsidRPr="001906B7" w:rsidR="001906B7" w:rsidP="001906B7" w:rsidRDefault="001906B7" w14:paraId="0A7AD6E5" w14:textId="77777777">
            <w:pPr>
              <w:widowControl/>
              <w:autoSpaceDE/>
              <w:autoSpaceDN/>
              <w:adjustRightInd/>
              <w:spacing w:after="0"/>
              <w:jc w:val="center"/>
              <w:rPr>
                <w:color w:val="000000"/>
              </w:rPr>
            </w:pPr>
            <w:r w:rsidRPr="001906B7">
              <w:rPr>
                <w:color w:val="000000"/>
              </w:rPr>
              <w:t>9.047</w:t>
            </w:r>
          </w:p>
        </w:tc>
      </w:tr>
      <w:tr w:rsidRPr="001906B7" w:rsidR="001906B7" w:rsidTr="001906B7" w14:paraId="409D4373" w14:textId="77777777">
        <w:trPr>
          <w:trHeight w:val="315"/>
        </w:trPr>
        <w:tc>
          <w:tcPr>
            <w:tcW w:w="1004" w:type="dxa"/>
            <w:shd w:val="clear" w:color="auto" w:fill="auto"/>
            <w:noWrap/>
            <w:vAlign w:val="bottom"/>
            <w:hideMark/>
          </w:tcPr>
          <w:p w:rsidRPr="001906B7" w:rsidR="001906B7" w:rsidP="001906B7" w:rsidRDefault="001906B7" w14:paraId="09D89095" w14:textId="77777777">
            <w:pPr>
              <w:widowControl/>
              <w:autoSpaceDE/>
              <w:autoSpaceDN/>
              <w:adjustRightInd/>
              <w:spacing w:after="0"/>
              <w:rPr>
                <w:color w:val="000000"/>
              </w:rPr>
            </w:pPr>
            <w:r w:rsidRPr="001906B7">
              <w:rPr>
                <w:color w:val="000000"/>
              </w:rPr>
              <w:t>9</w:t>
            </w:r>
          </w:p>
        </w:tc>
        <w:tc>
          <w:tcPr>
            <w:tcW w:w="1120" w:type="dxa"/>
            <w:vMerge/>
            <w:vAlign w:val="center"/>
            <w:hideMark/>
          </w:tcPr>
          <w:p w:rsidRPr="001906B7" w:rsidR="001906B7" w:rsidP="001906B7" w:rsidRDefault="001906B7" w14:paraId="542F562E" w14:textId="77777777">
            <w:pPr>
              <w:widowControl/>
              <w:autoSpaceDE/>
              <w:autoSpaceDN/>
              <w:adjustRightInd/>
              <w:spacing w:after="0"/>
              <w:rPr>
                <w:color w:val="000000"/>
              </w:rPr>
            </w:pPr>
          </w:p>
        </w:tc>
        <w:tc>
          <w:tcPr>
            <w:tcW w:w="2200" w:type="dxa"/>
            <w:shd w:val="clear" w:color="auto" w:fill="auto"/>
            <w:noWrap/>
            <w:vAlign w:val="bottom"/>
            <w:hideMark/>
          </w:tcPr>
          <w:p w:rsidRPr="001906B7" w:rsidR="001906B7" w:rsidP="001906B7" w:rsidRDefault="001906B7" w14:paraId="370A0970" w14:textId="22AC2443">
            <w:pPr>
              <w:widowControl/>
              <w:autoSpaceDE/>
              <w:autoSpaceDN/>
              <w:adjustRightInd/>
              <w:spacing w:after="0"/>
              <w:rPr>
                <w:color w:val="000000"/>
              </w:rPr>
            </w:pPr>
            <w:r w:rsidRPr="001906B7">
              <w:rPr>
                <w:color w:val="000000"/>
              </w:rPr>
              <w:t>0-39</w:t>
            </w:r>
            <w:r w:rsidR="00142D6F">
              <w:rPr>
                <w:color w:val="000000"/>
              </w:rPr>
              <w:t xml:space="preserve"> </w:t>
            </w:r>
            <w:r w:rsidR="00142D6F">
              <w:rPr>
                <w:color w:val="000000"/>
              </w:rPr>
              <w:t>inmates</w:t>
            </w:r>
          </w:p>
        </w:tc>
        <w:tc>
          <w:tcPr>
            <w:tcW w:w="1397" w:type="dxa"/>
            <w:shd w:val="clear" w:color="auto" w:fill="auto"/>
            <w:noWrap/>
            <w:vAlign w:val="bottom"/>
            <w:hideMark/>
          </w:tcPr>
          <w:p w:rsidRPr="001906B7" w:rsidR="001906B7" w:rsidP="001906B7" w:rsidRDefault="001906B7" w14:paraId="1718E8A7" w14:textId="77777777">
            <w:pPr>
              <w:widowControl/>
              <w:autoSpaceDE/>
              <w:autoSpaceDN/>
              <w:adjustRightInd/>
              <w:spacing w:after="0"/>
              <w:jc w:val="center"/>
              <w:rPr>
                <w:color w:val="000000"/>
              </w:rPr>
            </w:pPr>
            <w:r w:rsidRPr="001906B7">
              <w:rPr>
                <w:color w:val="000000"/>
              </w:rPr>
              <w:t>883</w:t>
            </w:r>
          </w:p>
        </w:tc>
        <w:tc>
          <w:tcPr>
            <w:tcW w:w="1397" w:type="dxa"/>
            <w:shd w:val="clear" w:color="auto" w:fill="auto"/>
            <w:noWrap/>
            <w:vAlign w:val="bottom"/>
            <w:hideMark/>
          </w:tcPr>
          <w:p w:rsidRPr="001906B7" w:rsidR="001906B7" w:rsidP="001906B7" w:rsidRDefault="001906B7" w14:paraId="31A215C7" w14:textId="77777777">
            <w:pPr>
              <w:widowControl/>
              <w:autoSpaceDE/>
              <w:autoSpaceDN/>
              <w:adjustRightInd/>
              <w:spacing w:after="0"/>
              <w:jc w:val="center"/>
              <w:rPr>
                <w:color w:val="000000"/>
              </w:rPr>
            </w:pPr>
            <w:r w:rsidRPr="001906B7">
              <w:rPr>
                <w:color w:val="000000"/>
              </w:rPr>
              <w:t>73</w:t>
            </w:r>
          </w:p>
        </w:tc>
        <w:tc>
          <w:tcPr>
            <w:tcW w:w="1432" w:type="dxa"/>
            <w:shd w:val="clear" w:color="auto" w:fill="auto"/>
            <w:noWrap/>
            <w:vAlign w:val="bottom"/>
            <w:hideMark/>
          </w:tcPr>
          <w:p w:rsidRPr="001906B7" w:rsidR="001906B7" w:rsidP="001906B7" w:rsidRDefault="001906B7" w14:paraId="322A353B" w14:textId="77777777">
            <w:pPr>
              <w:widowControl/>
              <w:autoSpaceDE/>
              <w:autoSpaceDN/>
              <w:adjustRightInd/>
              <w:spacing w:after="0"/>
              <w:jc w:val="center"/>
              <w:rPr>
                <w:color w:val="000000"/>
              </w:rPr>
            </w:pPr>
            <w:r w:rsidRPr="001906B7">
              <w:rPr>
                <w:color w:val="000000"/>
              </w:rPr>
              <w:t>73</w:t>
            </w:r>
          </w:p>
        </w:tc>
        <w:tc>
          <w:tcPr>
            <w:tcW w:w="1170" w:type="dxa"/>
            <w:shd w:val="clear" w:color="auto" w:fill="auto"/>
            <w:noWrap/>
            <w:vAlign w:val="bottom"/>
            <w:hideMark/>
          </w:tcPr>
          <w:p w:rsidRPr="001906B7" w:rsidR="001906B7" w:rsidP="001906B7" w:rsidRDefault="001906B7" w14:paraId="1848EC48" w14:textId="77777777">
            <w:pPr>
              <w:widowControl/>
              <w:autoSpaceDE/>
              <w:autoSpaceDN/>
              <w:adjustRightInd/>
              <w:spacing w:after="0"/>
              <w:jc w:val="center"/>
              <w:rPr>
                <w:color w:val="000000"/>
              </w:rPr>
            </w:pPr>
            <w:r w:rsidRPr="001906B7">
              <w:rPr>
                <w:color w:val="000000"/>
              </w:rPr>
              <w:t>12.096</w:t>
            </w:r>
          </w:p>
        </w:tc>
      </w:tr>
      <w:tr w:rsidRPr="001906B7" w:rsidR="001906B7" w:rsidTr="001906B7" w14:paraId="57A4629F" w14:textId="77777777">
        <w:trPr>
          <w:trHeight w:val="315"/>
        </w:trPr>
        <w:tc>
          <w:tcPr>
            <w:tcW w:w="1004" w:type="dxa"/>
            <w:shd w:val="clear" w:color="auto" w:fill="auto"/>
            <w:noWrap/>
            <w:vAlign w:val="bottom"/>
            <w:hideMark/>
          </w:tcPr>
          <w:p w:rsidRPr="001906B7" w:rsidR="001906B7" w:rsidP="001906B7" w:rsidRDefault="001906B7" w14:paraId="6C315C94" w14:textId="77777777">
            <w:pPr>
              <w:widowControl/>
              <w:autoSpaceDE/>
              <w:autoSpaceDN/>
              <w:adjustRightInd/>
              <w:spacing w:after="0"/>
              <w:rPr>
                <w:color w:val="000000"/>
              </w:rPr>
            </w:pPr>
            <w:r w:rsidRPr="001906B7">
              <w:rPr>
                <w:color w:val="000000"/>
              </w:rPr>
              <w:t>10</w:t>
            </w:r>
          </w:p>
        </w:tc>
        <w:tc>
          <w:tcPr>
            <w:tcW w:w="3320" w:type="dxa"/>
            <w:gridSpan w:val="2"/>
            <w:shd w:val="clear" w:color="auto" w:fill="auto"/>
            <w:noWrap/>
            <w:vAlign w:val="bottom"/>
            <w:hideMark/>
          </w:tcPr>
          <w:p w:rsidRPr="001906B7" w:rsidR="001906B7" w:rsidP="001906B7" w:rsidRDefault="00BC78E5" w14:paraId="3CB996BF" w14:textId="20E5F918">
            <w:pPr>
              <w:widowControl/>
              <w:autoSpaceDE/>
              <w:autoSpaceDN/>
              <w:adjustRightInd/>
              <w:spacing w:after="0"/>
              <w:rPr>
                <w:color w:val="000000"/>
              </w:rPr>
            </w:pPr>
            <w:r w:rsidRPr="00582AF2">
              <w:rPr>
                <w:color w:val="000000"/>
              </w:rPr>
              <w:t>Regional j</w:t>
            </w:r>
            <w:r w:rsidRPr="001906B7" w:rsidR="001906B7">
              <w:rPr>
                <w:color w:val="000000"/>
              </w:rPr>
              <w:t>ails (certainty stratum)</w:t>
            </w:r>
          </w:p>
        </w:tc>
        <w:tc>
          <w:tcPr>
            <w:tcW w:w="1397" w:type="dxa"/>
            <w:shd w:val="clear" w:color="auto" w:fill="auto"/>
            <w:noWrap/>
            <w:vAlign w:val="bottom"/>
            <w:hideMark/>
          </w:tcPr>
          <w:p w:rsidRPr="001906B7" w:rsidR="001906B7" w:rsidP="001906B7" w:rsidRDefault="001906B7" w14:paraId="36D8F654" w14:textId="77777777">
            <w:pPr>
              <w:widowControl/>
              <w:autoSpaceDE/>
              <w:autoSpaceDN/>
              <w:adjustRightInd/>
              <w:spacing w:after="0"/>
              <w:jc w:val="center"/>
              <w:rPr>
                <w:color w:val="000000"/>
              </w:rPr>
            </w:pPr>
            <w:r w:rsidRPr="001906B7">
              <w:rPr>
                <w:color w:val="000000"/>
              </w:rPr>
              <w:t>69</w:t>
            </w:r>
          </w:p>
        </w:tc>
        <w:tc>
          <w:tcPr>
            <w:tcW w:w="1397" w:type="dxa"/>
            <w:shd w:val="clear" w:color="auto" w:fill="auto"/>
            <w:noWrap/>
            <w:vAlign w:val="bottom"/>
            <w:hideMark/>
          </w:tcPr>
          <w:p w:rsidRPr="001906B7" w:rsidR="001906B7" w:rsidP="001906B7" w:rsidRDefault="001906B7" w14:paraId="3C6EBF4B" w14:textId="77777777">
            <w:pPr>
              <w:widowControl/>
              <w:autoSpaceDE/>
              <w:autoSpaceDN/>
              <w:adjustRightInd/>
              <w:spacing w:after="0"/>
              <w:jc w:val="center"/>
              <w:rPr>
                <w:color w:val="000000"/>
              </w:rPr>
            </w:pPr>
            <w:r w:rsidRPr="001906B7">
              <w:rPr>
                <w:color w:val="000000"/>
              </w:rPr>
              <w:t>69</w:t>
            </w:r>
          </w:p>
        </w:tc>
        <w:tc>
          <w:tcPr>
            <w:tcW w:w="1432" w:type="dxa"/>
            <w:shd w:val="clear" w:color="auto" w:fill="auto"/>
            <w:noWrap/>
            <w:vAlign w:val="bottom"/>
            <w:hideMark/>
          </w:tcPr>
          <w:p w:rsidRPr="001906B7" w:rsidR="001906B7" w:rsidP="001906B7" w:rsidRDefault="001906B7" w14:paraId="7FAD84B9" w14:textId="77777777">
            <w:pPr>
              <w:widowControl/>
              <w:autoSpaceDE/>
              <w:autoSpaceDN/>
              <w:adjustRightInd/>
              <w:spacing w:after="0"/>
              <w:jc w:val="center"/>
              <w:rPr>
                <w:color w:val="000000"/>
              </w:rPr>
            </w:pPr>
            <w:r w:rsidRPr="001906B7">
              <w:rPr>
                <w:color w:val="000000"/>
              </w:rPr>
              <w:t>69</w:t>
            </w:r>
          </w:p>
        </w:tc>
        <w:tc>
          <w:tcPr>
            <w:tcW w:w="1170" w:type="dxa"/>
            <w:shd w:val="clear" w:color="auto" w:fill="auto"/>
            <w:noWrap/>
            <w:vAlign w:val="bottom"/>
            <w:hideMark/>
          </w:tcPr>
          <w:p w:rsidRPr="001906B7" w:rsidR="001906B7" w:rsidP="001906B7" w:rsidRDefault="001906B7" w14:paraId="3EC99D4D" w14:textId="77777777">
            <w:pPr>
              <w:widowControl/>
              <w:autoSpaceDE/>
              <w:autoSpaceDN/>
              <w:adjustRightInd/>
              <w:spacing w:after="0"/>
              <w:jc w:val="center"/>
              <w:rPr>
                <w:color w:val="000000"/>
              </w:rPr>
            </w:pPr>
            <w:r w:rsidRPr="001906B7">
              <w:rPr>
                <w:color w:val="000000"/>
              </w:rPr>
              <w:t>1.000</w:t>
            </w:r>
          </w:p>
        </w:tc>
      </w:tr>
      <w:tr w:rsidRPr="00582AF2" w:rsidR="00BC78E5" w:rsidTr="00003C08" w14:paraId="5B389EBB" w14:textId="77777777">
        <w:trPr>
          <w:trHeight w:val="315"/>
        </w:trPr>
        <w:tc>
          <w:tcPr>
            <w:tcW w:w="1004" w:type="dxa"/>
            <w:shd w:val="clear" w:color="auto" w:fill="auto"/>
            <w:noWrap/>
            <w:vAlign w:val="bottom"/>
            <w:hideMark/>
          </w:tcPr>
          <w:p w:rsidRPr="001906B7" w:rsidR="00BC78E5" w:rsidP="001906B7" w:rsidRDefault="00BC78E5" w14:paraId="58684AD2" w14:textId="77777777">
            <w:pPr>
              <w:widowControl/>
              <w:autoSpaceDE/>
              <w:autoSpaceDN/>
              <w:adjustRightInd/>
              <w:spacing w:after="0"/>
              <w:rPr>
                <w:color w:val="000000"/>
              </w:rPr>
            </w:pPr>
            <w:r w:rsidRPr="001906B7">
              <w:rPr>
                <w:color w:val="000000"/>
              </w:rPr>
              <w:t>Total</w:t>
            </w:r>
          </w:p>
        </w:tc>
        <w:tc>
          <w:tcPr>
            <w:tcW w:w="3320" w:type="dxa"/>
            <w:gridSpan w:val="2"/>
            <w:shd w:val="clear" w:color="auto" w:fill="auto"/>
            <w:noWrap/>
            <w:vAlign w:val="bottom"/>
            <w:hideMark/>
          </w:tcPr>
          <w:p w:rsidRPr="001906B7" w:rsidR="00BC78E5" w:rsidP="001906B7" w:rsidRDefault="00BC78E5" w14:paraId="304B4016" w14:textId="77777777">
            <w:pPr>
              <w:widowControl/>
              <w:autoSpaceDE/>
              <w:autoSpaceDN/>
              <w:adjustRightInd/>
              <w:spacing w:after="0"/>
              <w:rPr>
                <w:sz w:val="20"/>
                <w:szCs w:val="20"/>
              </w:rPr>
            </w:pPr>
          </w:p>
        </w:tc>
        <w:tc>
          <w:tcPr>
            <w:tcW w:w="1397" w:type="dxa"/>
            <w:shd w:val="clear" w:color="auto" w:fill="auto"/>
            <w:noWrap/>
            <w:vAlign w:val="bottom"/>
            <w:hideMark/>
          </w:tcPr>
          <w:p w:rsidRPr="001906B7" w:rsidR="00BC78E5" w:rsidP="001906B7" w:rsidRDefault="00BC78E5" w14:paraId="51E66A53" w14:textId="77777777">
            <w:pPr>
              <w:widowControl/>
              <w:autoSpaceDE/>
              <w:autoSpaceDN/>
              <w:adjustRightInd/>
              <w:spacing w:after="0"/>
              <w:jc w:val="center"/>
              <w:rPr>
                <w:color w:val="000000"/>
              </w:rPr>
            </w:pPr>
            <w:r w:rsidRPr="001906B7">
              <w:rPr>
                <w:color w:val="000000"/>
              </w:rPr>
              <w:t>2850</w:t>
            </w:r>
          </w:p>
        </w:tc>
        <w:tc>
          <w:tcPr>
            <w:tcW w:w="1397" w:type="dxa"/>
            <w:shd w:val="clear" w:color="auto" w:fill="auto"/>
            <w:noWrap/>
            <w:vAlign w:val="bottom"/>
            <w:hideMark/>
          </w:tcPr>
          <w:p w:rsidRPr="001906B7" w:rsidR="00BC78E5" w:rsidP="001906B7" w:rsidRDefault="00BC78E5" w14:paraId="0F89E64B" w14:textId="77777777">
            <w:pPr>
              <w:widowControl/>
              <w:autoSpaceDE/>
              <w:autoSpaceDN/>
              <w:adjustRightInd/>
              <w:spacing w:after="0"/>
              <w:jc w:val="center"/>
              <w:rPr>
                <w:color w:val="000000"/>
              </w:rPr>
            </w:pPr>
            <w:r w:rsidRPr="001906B7">
              <w:rPr>
                <w:color w:val="000000"/>
              </w:rPr>
              <w:t>899</w:t>
            </w:r>
          </w:p>
        </w:tc>
        <w:tc>
          <w:tcPr>
            <w:tcW w:w="1432" w:type="dxa"/>
            <w:shd w:val="clear" w:color="auto" w:fill="auto"/>
            <w:noWrap/>
            <w:vAlign w:val="bottom"/>
            <w:hideMark/>
          </w:tcPr>
          <w:p w:rsidRPr="001906B7" w:rsidR="00BC78E5" w:rsidP="001906B7" w:rsidRDefault="00BC78E5" w14:paraId="3854938D" w14:textId="77777777">
            <w:pPr>
              <w:widowControl/>
              <w:autoSpaceDE/>
              <w:autoSpaceDN/>
              <w:adjustRightInd/>
              <w:spacing w:after="0"/>
              <w:jc w:val="center"/>
              <w:rPr>
                <w:color w:val="000000"/>
              </w:rPr>
            </w:pPr>
            <w:r w:rsidRPr="001906B7">
              <w:rPr>
                <w:color w:val="000000"/>
              </w:rPr>
              <w:t>947</w:t>
            </w:r>
          </w:p>
        </w:tc>
        <w:tc>
          <w:tcPr>
            <w:tcW w:w="1170" w:type="dxa"/>
            <w:shd w:val="clear" w:color="auto" w:fill="auto"/>
            <w:noWrap/>
            <w:vAlign w:val="bottom"/>
            <w:hideMark/>
          </w:tcPr>
          <w:p w:rsidRPr="001906B7" w:rsidR="00BC78E5" w:rsidP="001906B7" w:rsidRDefault="00BC78E5" w14:paraId="1FAD6CEE" w14:textId="77777777">
            <w:pPr>
              <w:widowControl/>
              <w:autoSpaceDE/>
              <w:autoSpaceDN/>
              <w:adjustRightInd/>
              <w:spacing w:after="0"/>
              <w:jc w:val="center"/>
              <w:rPr>
                <w:color w:val="000000"/>
              </w:rPr>
            </w:pPr>
          </w:p>
        </w:tc>
      </w:tr>
    </w:tbl>
    <w:p w:rsidR="00782F9C" w:rsidP="00782F9C" w:rsidRDefault="00782F9C" w14:paraId="156A73F1" w14:textId="5F178BEC">
      <w:r>
        <w:t>Note:</w:t>
      </w:r>
      <w:r w:rsidR="00142D6F">
        <w:t xml:space="preserve"> Jails are placed into strata based on their inmate population and presence of juveniles on June 28, 2019, as measured by the 2019 Census of Jails</w:t>
      </w:r>
      <w:r w:rsidR="00AF349B">
        <w:t>.</w:t>
      </w:r>
      <w:r w:rsidRPr="00AF349B" w:rsidR="00AF349B">
        <w:t xml:space="preserve"> </w:t>
      </w:r>
      <w:r w:rsidDel="00782F9C" w:rsidR="00AF349B">
        <w:t xml:space="preserve"> </w:t>
      </w:r>
    </w:p>
    <w:p w:rsidR="00F93A24" w:rsidP="00782F9C" w:rsidRDefault="00B64943" w14:paraId="2DB1808C" w14:textId="4464087D">
      <w:r>
        <w:t>About one-</w:t>
      </w:r>
      <w:r w:rsidR="00F93A24">
        <w:t>third of the ASJ sample includes certainty jail jurisdictions (large jails</w:t>
      </w:r>
      <w:r w:rsidR="00A05044">
        <w:t xml:space="preserve"> and regional jails</w:t>
      </w:r>
      <w:r w:rsidR="00F93A24">
        <w:t>)</w:t>
      </w:r>
      <w:r w:rsidR="00A05044">
        <w:t>, which</w:t>
      </w:r>
      <w:r w:rsidR="00F93A24">
        <w:t xml:space="preserve"> account for two-thirds of the total </w:t>
      </w:r>
      <w:r w:rsidR="00A05044">
        <w:t xml:space="preserve">U.S. </w:t>
      </w:r>
      <w:r w:rsidR="00F93A24">
        <w:t xml:space="preserve">jail population. The sample sizes of the </w:t>
      </w:r>
      <w:r w:rsidR="00A05044">
        <w:t xml:space="preserve">non-certainty </w:t>
      </w:r>
      <w:r w:rsidR="00F93A24">
        <w:t xml:space="preserve">strata </w:t>
      </w:r>
      <w:r w:rsidR="00A05044">
        <w:t>are</w:t>
      </w:r>
      <w:r w:rsidR="00F93A24">
        <w:t xml:space="preserve"> determined by Neyman allocation method to minimize the variance of population estimate for a fixed total sample size. The formula for Neyman allocation is </w:t>
      </w:r>
      <w:r w:rsidR="00F93A24">
        <w:rPr>
          <w:noProof/>
        </w:rPr>
        <w:drawing>
          <wp:inline distT="0" distB="0" distL="114300" distR="114300" wp14:anchorId="0D9D4844" wp14:editId="65E9FE2A">
            <wp:extent cx="1191260" cy="54737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191260" cy="547370"/>
                    </a:xfrm>
                    <a:prstGeom prst="rect">
                      <a:avLst/>
                    </a:prstGeom>
                    <a:ln/>
                  </pic:spPr>
                </pic:pic>
              </a:graphicData>
            </a:graphic>
          </wp:inline>
        </w:drawing>
      </w:r>
      <w:r w:rsidR="00F93A24">
        <w:t>, where n</w:t>
      </w:r>
      <w:r w:rsidR="00F93A24">
        <w:rPr>
          <w:vertAlign w:val="subscript"/>
        </w:rPr>
        <w:t>h</w:t>
      </w:r>
      <w:r w:rsidR="00F93A24">
        <w:t xml:space="preserve"> is the sample size of stratum h, n is the total sample size, N</w:t>
      </w:r>
      <w:r w:rsidR="00F93A24">
        <w:rPr>
          <w:vertAlign w:val="subscript"/>
        </w:rPr>
        <w:t>h</w:t>
      </w:r>
      <w:r w:rsidR="00F93A24">
        <w:t xml:space="preserve"> is the total number of units (or the population) in stratum h, and S</w:t>
      </w:r>
      <w:r w:rsidR="00F93A24">
        <w:rPr>
          <w:vertAlign w:val="subscript"/>
        </w:rPr>
        <w:t>h</w:t>
      </w:r>
      <w:r w:rsidR="00F93A24">
        <w:t xml:space="preserve"> is the square root of the variance in stratum h. Sampling large jails with certainty and precise sample size calculations play a significant role in maintaining small standard errors. Year-to-year comparison of standard errors are available in the appendix tables </w:t>
      </w:r>
      <w:r w:rsidR="001E2083">
        <w:t>of the</w:t>
      </w:r>
      <w:r w:rsidR="00F93A24">
        <w:t xml:space="preserve"> </w:t>
      </w:r>
      <w:r w:rsidR="00F93A24">
        <w:rPr>
          <w:i/>
        </w:rPr>
        <w:t xml:space="preserve">Jail Inmates </w:t>
      </w:r>
      <w:r w:rsidR="00521109">
        <w:t xml:space="preserve">annual bulletin </w:t>
      </w:r>
      <w:r w:rsidRPr="00521109" w:rsidR="001E2083">
        <w:t>series</w:t>
      </w:r>
      <w:r w:rsidR="00521109">
        <w:t xml:space="preserve"> (</w:t>
      </w:r>
      <w:r w:rsidRPr="00521109" w:rsidR="00521109">
        <w:t>https://www.bjs.gov/index.cfm?ty=pbse&amp;sid=38</w:t>
      </w:r>
      <w:r w:rsidR="00521109">
        <w:t>)</w:t>
      </w:r>
      <w:r w:rsidR="00F93A24">
        <w:t>.</w:t>
      </w:r>
      <w:r w:rsidR="00F93A24">
        <w:rPr>
          <w:vertAlign w:val="superscript"/>
        </w:rPr>
        <w:footnoteReference w:id="1"/>
      </w:r>
      <w:r w:rsidR="00F93A24">
        <w:t xml:space="preserve">  </w:t>
      </w:r>
    </w:p>
    <w:p w:rsidR="007829C6" w:rsidP="000158FC" w:rsidRDefault="007829C6" w14:paraId="30C824DB" w14:textId="0CA958EB">
      <w:pPr>
        <w:widowControl/>
        <w:spacing w:after="0"/>
      </w:pPr>
      <w:r>
        <w:t xml:space="preserve">The 2020 ASJ sample </w:t>
      </w:r>
      <w:r w:rsidR="00447D52">
        <w:t xml:space="preserve">design is similar to the 2015 design </w:t>
      </w:r>
      <w:r w:rsidR="000837AB">
        <w:t xml:space="preserve">shown </w:t>
      </w:r>
      <w:r w:rsidR="00447D52">
        <w:t xml:space="preserve">in table 4 except for </w:t>
      </w:r>
      <w:r>
        <w:t xml:space="preserve">a </w:t>
      </w:r>
      <w:r w:rsidR="00BB3C40">
        <w:t>differen</w:t>
      </w:r>
      <w:r w:rsidR="00566FBF">
        <w:t>ce</w:t>
      </w:r>
      <w:r w:rsidR="00BB3C40">
        <w:t xml:space="preserve"> </w:t>
      </w:r>
      <w:r w:rsidR="00566FBF">
        <w:t>in</w:t>
      </w:r>
      <w:r w:rsidR="00BB3C40">
        <w:t xml:space="preserve"> </w:t>
      </w:r>
      <w:r>
        <w:t>stratum 1 (non-regional certainty jails)</w:t>
      </w:r>
      <w:r w:rsidR="0006262B">
        <w:t xml:space="preserve">. </w:t>
      </w:r>
      <w:r w:rsidR="00BB3C40">
        <w:t xml:space="preserve">As mentioned above, the 2020 </w:t>
      </w:r>
      <w:r w:rsidR="009C7EF1">
        <w:t xml:space="preserve">ASJ </w:t>
      </w:r>
      <w:r w:rsidR="00BB3C40">
        <w:t xml:space="preserve">sample </w:t>
      </w:r>
      <w:r w:rsidR="00290E2F">
        <w:t xml:space="preserve">will </w:t>
      </w:r>
      <w:r w:rsidR="000837AB">
        <w:t>i</w:t>
      </w:r>
      <w:r w:rsidR="00290E2F">
        <w:t>nclude</w:t>
      </w:r>
      <w:r w:rsidR="000837AB">
        <w:t xml:space="preserve"> </w:t>
      </w:r>
      <w:r w:rsidR="00BB3C40">
        <w:t>large jails</w:t>
      </w:r>
      <w:r w:rsidR="007250F7">
        <w:t xml:space="preserve"> as certainty jails in stratum 1</w:t>
      </w:r>
      <w:r w:rsidR="00BB3C40">
        <w:t xml:space="preserve">. </w:t>
      </w:r>
      <w:r w:rsidR="007250F7">
        <w:t xml:space="preserve">The 2015 </w:t>
      </w:r>
      <w:r w:rsidR="00BB3C40">
        <w:t>ASJ</w:t>
      </w:r>
      <w:r w:rsidR="00290E2F">
        <w:t>, however,</w:t>
      </w:r>
      <w:r w:rsidR="00882090">
        <w:t xml:space="preserve"> </w:t>
      </w:r>
      <w:r w:rsidR="00BB3C40">
        <w:t xml:space="preserve">included </w:t>
      </w:r>
      <w:r w:rsidR="007250F7">
        <w:t xml:space="preserve">not only </w:t>
      </w:r>
      <w:r w:rsidR="00BB3C40">
        <w:lastRenderedPageBreak/>
        <w:t xml:space="preserve">large jails </w:t>
      </w:r>
      <w:r w:rsidR="007250F7">
        <w:t xml:space="preserve">but also all </w:t>
      </w:r>
      <w:r w:rsidR="00BB3C40">
        <w:t>jails located in California</w:t>
      </w:r>
      <w:r w:rsidR="007250F7">
        <w:t xml:space="preserve"> as certainty jails in stratum 1</w:t>
      </w:r>
      <w:r w:rsidR="00BB3C40">
        <w:t xml:space="preserve">. </w:t>
      </w:r>
      <w:r w:rsidR="0049436D">
        <w:t xml:space="preserve">BJS started to sample all Californian jails in 2013 in response to </w:t>
      </w:r>
      <w:r w:rsidRPr="000158FC" w:rsidR="00E11C80">
        <w:t>California</w:t>
      </w:r>
      <w:r w:rsidR="0049436D">
        <w:t>’s</w:t>
      </w:r>
      <w:r w:rsidRPr="000158FC" w:rsidR="00E11C80">
        <w:t xml:space="preserve"> </w:t>
      </w:r>
      <w:r w:rsidR="0049436D">
        <w:t xml:space="preserve">enactment of </w:t>
      </w:r>
      <w:r w:rsidRPr="000158FC" w:rsidR="00E11C80">
        <w:t>AB 109 and AB 117</w:t>
      </w:r>
      <w:r w:rsidR="0049436D">
        <w:t>, aimed</w:t>
      </w:r>
      <w:r w:rsidR="00E11C80">
        <w:t xml:space="preserve"> </w:t>
      </w:r>
      <w:r w:rsidRPr="000158FC" w:rsidR="00E11C80">
        <w:t>to reduce the number of inmates housed in state prisons</w:t>
      </w:r>
      <w:r w:rsidR="0049436D">
        <w:t xml:space="preserve"> starting in October 2011</w:t>
      </w:r>
      <w:r w:rsidR="00E11C80">
        <w:t>. As a result</w:t>
      </w:r>
      <w:r w:rsidR="009C7EF1">
        <w:t xml:space="preserve"> of these two laws</w:t>
      </w:r>
      <w:r w:rsidRPr="000158FC" w:rsidR="00E11C80">
        <w:t xml:space="preserve">, the jail population in California experienced an unusual increase, which </w:t>
      </w:r>
      <w:r w:rsidR="00E11C80">
        <w:t xml:space="preserve">was atypical of the rest of the </w:t>
      </w:r>
      <w:r w:rsidRPr="000158FC" w:rsidR="00E11C80">
        <w:t xml:space="preserve">United States. </w:t>
      </w:r>
      <w:r w:rsidR="00E11C80">
        <w:t xml:space="preserve">In order to properly capture the unique population </w:t>
      </w:r>
      <w:r w:rsidR="0024601A">
        <w:t xml:space="preserve">growth </w:t>
      </w:r>
      <w:r w:rsidR="00E11C80">
        <w:t>in Californian jails</w:t>
      </w:r>
      <w:r w:rsidRPr="000158FC" w:rsidR="00E11C80">
        <w:t xml:space="preserve">, the ASJ sampling design was modified </w:t>
      </w:r>
      <w:r w:rsidR="0024601A">
        <w:t xml:space="preserve">in 2013 </w:t>
      </w:r>
      <w:r w:rsidRPr="000158FC" w:rsidR="00E11C80">
        <w:t>to include all California jail jurisdictions in a certainty (self</w:t>
      </w:r>
      <w:r w:rsidR="00E11C80">
        <w:t>-</w:t>
      </w:r>
      <w:r w:rsidRPr="000158FC" w:rsidR="00E11C80">
        <w:t>representing)</w:t>
      </w:r>
      <w:r w:rsidR="00C041C9">
        <w:t xml:space="preserve"> </w:t>
      </w:r>
      <w:r w:rsidRPr="000158FC" w:rsidR="00E11C80">
        <w:t>stratum (see Methodology in Jail Inmates at Midyear 2014 (NCJ 248629, BJS web, Ju</w:t>
      </w:r>
      <w:r w:rsidR="00E11C80">
        <w:t xml:space="preserve">ne 2015)). The inclusion of all </w:t>
      </w:r>
      <w:r w:rsidRPr="000158FC" w:rsidR="00E11C80">
        <w:t xml:space="preserve">California jail jurisdictions resulted in an additional 21 jurisdictions. </w:t>
      </w:r>
      <w:r w:rsidR="004C47CE">
        <w:t>As the jail population in California has stabilized in recent years</w:t>
      </w:r>
      <w:r w:rsidR="00E11C80">
        <w:t xml:space="preserve">, BJS </w:t>
      </w:r>
      <w:r w:rsidR="00CA3D87">
        <w:t xml:space="preserve">will </w:t>
      </w:r>
      <w:r w:rsidR="004C47CE">
        <w:t>no longer include</w:t>
      </w:r>
      <w:r w:rsidR="003D1A36">
        <w:t xml:space="preserve"> </w:t>
      </w:r>
      <w:r w:rsidR="00E11C80">
        <w:t xml:space="preserve">all jails located in California in the </w:t>
      </w:r>
      <w:r w:rsidR="00FD2420">
        <w:t>certainty stratum</w:t>
      </w:r>
      <w:r w:rsidR="004C47CE">
        <w:t xml:space="preserve"> in the 2020 ASJ</w:t>
      </w:r>
      <w:r w:rsidR="003D1A36">
        <w:t xml:space="preserve">. </w:t>
      </w:r>
    </w:p>
    <w:p w:rsidRPr="00953B2A" w:rsidR="00944192" w:rsidP="00811F8C" w:rsidRDefault="00944192" w14:paraId="78BC4D29" w14:textId="1AF5A882">
      <w:pPr>
        <w:pStyle w:val="Heading2"/>
      </w:pPr>
      <w:r w:rsidRPr="00953B2A">
        <w:t xml:space="preserve">2.  </w:t>
      </w:r>
      <w:r w:rsidRPr="00953B2A">
        <w:tab/>
        <w:t xml:space="preserve">Procedures for Information </w:t>
      </w:r>
      <w:r w:rsidRPr="00811F8C">
        <w:t>Collection</w:t>
      </w:r>
    </w:p>
    <w:p w:rsidRPr="007D7A70" w:rsidR="001F635A" w:rsidP="001F635A" w:rsidRDefault="001854D6" w14:paraId="1B1AFBDC" w14:textId="52C843AA">
      <w:r w:rsidRPr="007D7A70">
        <w:t>BJS will administer the 2020</w:t>
      </w:r>
      <w:r w:rsidR="00C74613">
        <w:t xml:space="preserve">-22 </w:t>
      </w:r>
      <w:r w:rsidRPr="007D7A70">
        <w:t xml:space="preserve">ASJ as a web survey. The website </w:t>
      </w:r>
      <w:r w:rsidR="002973A6">
        <w:t xml:space="preserve">is currently being developed and </w:t>
      </w:r>
      <w:r w:rsidRPr="007D7A70">
        <w:t xml:space="preserve">will </w:t>
      </w:r>
      <w:r w:rsidR="00D539B0">
        <w:t>look</w:t>
      </w:r>
      <w:r w:rsidR="00B254E4">
        <w:t xml:space="preserve"> similar to </w:t>
      </w:r>
      <w:r w:rsidRPr="007D7A70">
        <w:t xml:space="preserve">the 2018 ASJ website (see Attachment A: </w:t>
      </w:r>
      <w:r w:rsidR="006A305E">
        <w:t>Website s</w:t>
      </w:r>
      <w:r w:rsidR="00D539B0">
        <w:t>creenshots)</w:t>
      </w:r>
      <w:r w:rsidRPr="007D7A70">
        <w:t xml:space="preserve">. </w:t>
      </w:r>
      <w:r w:rsidRPr="00910415" w:rsidR="00D539B0">
        <w:t xml:space="preserve">The website will be hosted by </w:t>
      </w:r>
      <w:r w:rsidRPr="00910415" w:rsidR="00BC29C3">
        <w:t xml:space="preserve">BJS’s data collection agent, </w:t>
      </w:r>
      <w:r w:rsidRPr="00910415" w:rsidR="00D539B0">
        <w:t xml:space="preserve">RTI International, and is located on a secure server. </w:t>
      </w:r>
      <w:r w:rsidRPr="00910415">
        <w:t xml:space="preserve">Each </w:t>
      </w:r>
      <w:r w:rsidRPr="00910415" w:rsidR="0018785F">
        <w:t xml:space="preserve">jail </w:t>
      </w:r>
      <w:r w:rsidRPr="00910415">
        <w:t>has an individual</w:t>
      </w:r>
      <w:r w:rsidR="00910415">
        <w:t xml:space="preserve"> username and a</w:t>
      </w:r>
      <w:r w:rsidRPr="00910415">
        <w:t xml:space="preserve"> password to enter the website. </w:t>
      </w:r>
      <w:r w:rsidR="0096108E">
        <w:t>To improve data quality and lower cost, respondents will be e</w:t>
      </w:r>
      <w:r w:rsidR="005C2FE2">
        <w:t>ncouraged to submit data online, while</w:t>
      </w:r>
      <w:r w:rsidR="0096108E">
        <w:t xml:space="preserve"> </w:t>
      </w:r>
      <w:r w:rsidR="005C2FE2">
        <w:t>options</w:t>
      </w:r>
      <w:r w:rsidR="00BC29C3">
        <w:t xml:space="preserve"> to submit data</w:t>
      </w:r>
      <w:r w:rsidRPr="00C5734C" w:rsidR="0096108E">
        <w:t xml:space="preserve"> </w:t>
      </w:r>
      <w:r w:rsidR="00BC29C3">
        <w:t xml:space="preserve">by </w:t>
      </w:r>
      <w:r w:rsidRPr="00C5734C" w:rsidR="0096108E">
        <w:t>email, fax</w:t>
      </w:r>
      <w:r w:rsidR="0096108E">
        <w:t>, and mail</w:t>
      </w:r>
      <w:r w:rsidR="00BC29C3">
        <w:t xml:space="preserve"> will also be provided</w:t>
      </w:r>
      <w:r w:rsidRPr="00C5734C" w:rsidR="0096108E">
        <w:t xml:space="preserve">. </w:t>
      </w:r>
      <w:r w:rsidR="00BC29C3">
        <w:t>In particular, a</w:t>
      </w:r>
      <w:r w:rsidRPr="00C5734C" w:rsidR="0096108E">
        <w:t xml:space="preserve"> postage-paid envelope </w:t>
      </w:r>
      <w:r w:rsidR="00BC29C3">
        <w:t xml:space="preserve">and a paper form </w:t>
      </w:r>
      <w:r w:rsidR="0096108E">
        <w:t>will be</w:t>
      </w:r>
      <w:r w:rsidRPr="00C5734C" w:rsidR="0096108E">
        <w:t xml:space="preserve"> </w:t>
      </w:r>
      <w:r w:rsidR="00BC29C3">
        <w:t xml:space="preserve">mailed to jail administers </w:t>
      </w:r>
      <w:r w:rsidRPr="00C5734C" w:rsidR="0096108E">
        <w:t xml:space="preserve">who </w:t>
      </w:r>
      <w:r w:rsidR="00BC29C3">
        <w:t xml:space="preserve">have not responded </w:t>
      </w:r>
      <w:r w:rsidR="00617AE2">
        <w:t>after about 2</w:t>
      </w:r>
      <w:r w:rsidR="005C2FE2">
        <w:t>-3</w:t>
      </w:r>
      <w:r w:rsidR="00617AE2">
        <w:t xml:space="preserve"> months</w:t>
      </w:r>
      <w:r w:rsidRPr="00C5734C" w:rsidR="0096108E">
        <w:t>.</w:t>
      </w:r>
    </w:p>
    <w:p w:rsidRPr="00613387" w:rsidR="00FE62E3" w:rsidP="00FE62E3" w:rsidRDefault="00573854" w14:paraId="62841900" w14:textId="29B4A3F4">
      <w:r w:rsidRPr="0033707F">
        <w:t>The reference date for most question</w:t>
      </w:r>
      <w:r>
        <w:t>s</w:t>
      </w:r>
      <w:r w:rsidRPr="0033707F">
        <w:t xml:space="preserve"> in the </w:t>
      </w:r>
      <w:r>
        <w:t>ASJ</w:t>
      </w:r>
      <w:r w:rsidRPr="0033707F">
        <w:t xml:space="preserve"> is the last weekday in </w:t>
      </w:r>
      <w:r>
        <w:t xml:space="preserve">June. </w:t>
      </w:r>
      <w:r w:rsidR="000F0B5B">
        <w:t xml:space="preserve">Each cycle of </w:t>
      </w:r>
      <w:r w:rsidR="00F0662B">
        <w:t xml:space="preserve">the 2020-22 </w:t>
      </w:r>
      <w:r w:rsidR="000F0B5B">
        <w:t xml:space="preserve">ASJ collection runs from early June </w:t>
      </w:r>
      <w:r w:rsidRPr="007D7A70" w:rsidR="000F0B5B">
        <w:t xml:space="preserve">through </w:t>
      </w:r>
      <w:r w:rsidR="007C2CF8">
        <w:t>October 1</w:t>
      </w:r>
      <w:r w:rsidR="004D77F3">
        <w:t xml:space="preserve"> of the reference year</w:t>
      </w:r>
      <w:r w:rsidR="000F0B5B">
        <w:t xml:space="preserve">. </w:t>
      </w:r>
      <w:r w:rsidRPr="007D7A70" w:rsidR="00FE62E3">
        <w:t xml:space="preserve">The </w:t>
      </w:r>
      <w:r w:rsidR="00FE62E3">
        <w:t xml:space="preserve">general collection </w:t>
      </w:r>
      <w:r w:rsidR="00F0662B">
        <w:t xml:space="preserve">schedule is shown </w:t>
      </w:r>
      <w:r w:rsidR="00FE62E3">
        <w:t xml:space="preserve">in table </w:t>
      </w:r>
      <w:r w:rsidR="00912EFD">
        <w:t>5</w:t>
      </w:r>
      <w:r w:rsidR="00FE62E3">
        <w:t>:</w:t>
      </w:r>
      <w:r w:rsidRPr="007D7A70" w:rsidR="00FE62E3">
        <w:t xml:space="preserve"> </w:t>
      </w:r>
    </w:p>
    <w:tbl>
      <w:tblPr>
        <w:tblW w:w="10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885"/>
        <w:gridCol w:w="2340"/>
        <w:gridCol w:w="3780"/>
        <w:gridCol w:w="2164"/>
      </w:tblGrid>
      <w:tr w:rsidRPr="00E02A81" w:rsidR="00FE62E3" w:rsidTr="006E6529" w14:paraId="613FBCFD" w14:textId="77777777">
        <w:trPr>
          <w:trHeight w:val="520"/>
        </w:trPr>
        <w:tc>
          <w:tcPr>
            <w:tcW w:w="10169" w:type="dxa"/>
            <w:gridSpan w:val="4"/>
            <w:tcMar>
              <w:top w:w="0" w:type="dxa"/>
              <w:left w:w="108" w:type="dxa"/>
              <w:bottom w:w="0" w:type="dxa"/>
              <w:right w:w="108" w:type="dxa"/>
            </w:tcMar>
            <w:vAlign w:val="center"/>
          </w:tcPr>
          <w:p w:rsidRPr="00613387" w:rsidR="00FE62E3" w:rsidP="00F0662B" w:rsidRDefault="00FE62E3" w14:paraId="00C00300" w14:textId="31E78DB7">
            <w:pPr>
              <w:rPr>
                <w:bCs/>
              </w:rPr>
            </w:pPr>
            <w:r w:rsidRPr="00613387">
              <w:rPr>
                <w:bCs/>
              </w:rPr>
              <w:t xml:space="preserve">Table </w:t>
            </w:r>
            <w:r w:rsidR="00912EFD">
              <w:rPr>
                <w:bCs/>
              </w:rPr>
              <w:t>5</w:t>
            </w:r>
            <w:r w:rsidRPr="00613387">
              <w:rPr>
                <w:bCs/>
              </w:rPr>
              <w:t xml:space="preserve">: </w:t>
            </w:r>
            <w:r w:rsidR="00F0662B">
              <w:rPr>
                <w:bCs/>
              </w:rPr>
              <w:t>Data Collection</w:t>
            </w:r>
            <w:r w:rsidRPr="00613387">
              <w:rPr>
                <w:bCs/>
              </w:rPr>
              <w:t xml:space="preserve"> Schedule</w:t>
            </w:r>
          </w:p>
        </w:tc>
      </w:tr>
      <w:tr w:rsidRPr="00E02A81" w:rsidR="00FE62E3" w:rsidTr="006E6529" w14:paraId="67BCE3D0" w14:textId="77777777">
        <w:trPr>
          <w:trHeight w:val="520"/>
        </w:trPr>
        <w:tc>
          <w:tcPr>
            <w:tcW w:w="1885" w:type="dxa"/>
            <w:tcMar>
              <w:top w:w="0" w:type="dxa"/>
              <w:left w:w="108" w:type="dxa"/>
              <w:bottom w:w="0" w:type="dxa"/>
              <w:right w:w="108" w:type="dxa"/>
            </w:tcMar>
            <w:vAlign w:val="center"/>
            <w:hideMark/>
          </w:tcPr>
          <w:p w:rsidRPr="00E02A81" w:rsidR="00FE62E3" w:rsidP="00F0578A" w:rsidRDefault="00FE62E3" w14:paraId="65421345" w14:textId="77777777">
            <w:pPr>
              <w:jc w:val="center"/>
              <w:rPr>
                <w:b/>
                <w:bCs/>
              </w:rPr>
            </w:pPr>
            <w:r w:rsidRPr="00E02A81">
              <w:rPr>
                <w:b/>
                <w:bCs/>
              </w:rPr>
              <w:t>Date</w:t>
            </w:r>
          </w:p>
        </w:tc>
        <w:tc>
          <w:tcPr>
            <w:tcW w:w="2340" w:type="dxa"/>
            <w:tcMar>
              <w:top w:w="0" w:type="dxa"/>
              <w:left w:w="108" w:type="dxa"/>
              <w:bottom w:w="0" w:type="dxa"/>
              <w:right w:w="108" w:type="dxa"/>
            </w:tcMar>
            <w:vAlign w:val="center"/>
            <w:hideMark/>
          </w:tcPr>
          <w:p w:rsidRPr="00E02A81" w:rsidR="00FE62E3" w:rsidP="00F0578A" w:rsidRDefault="00FE62E3" w14:paraId="32EA2FCF" w14:textId="77777777">
            <w:pPr>
              <w:jc w:val="center"/>
              <w:rPr>
                <w:b/>
                <w:bCs/>
              </w:rPr>
            </w:pPr>
            <w:r>
              <w:rPr>
                <w:b/>
                <w:bCs/>
              </w:rPr>
              <w:t>Contact</w:t>
            </w:r>
          </w:p>
        </w:tc>
        <w:tc>
          <w:tcPr>
            <w:tcW w:w="3780" w:type="dxa"/>
            <w:tcMar>
              <w:top w:w="0" w:type="dxa"/>
              <w:left w:w="108" w:type="dxa"/>
              <w:bottom w:w="0" w:type="dxa"/>
              <w:right w:w="108" w:type="dxa"/>
            </w:tcMar>
            <w:vAlign w:val="center"/>
            <w:hideMark/>
          </w:tcPr>
          <w:p w:rsidRPr="00E02A81" w:rsidR="00FE62E3" w:rsidP="00F0578A" w:rsidRDefault="00FE62E3" w14:paraId="5D38E7B2" w14:textId="77777777">
            <w:pPr>
              <w:jc w:val="center"/>
              <w:rPr>
                <w:b/>
                <w:bCs/>
              </w:rPr>
            </w:pPr>
            <w:r w:rsidRPr="00E02A81">
              <w:rPr>
                <w:b/>
                <w:bCs/>
              </w:rPr>
              <w:t>Description</w:t>
            </w:r>
          </w:p>
        </w:tc>
        <w:tc>
          <w:tcPr>
            <w:tcW w:w="2161" w:type="dxa"/>
            <w:tcMar>
              <w:top w:w="0" w:type="dxa"/>
              <w:left w:w="108" w:type="dxa"/>
              <w:bottom w:w="0" w:type="dxa"/>
              <w:right w:w="108" w:type="dxa"/>
            </w:tcMar>
            <w:vAlign w:val="center"/>
            <w:hideMark/>
          </w:tcPr>
          <w:p w:rsidRPr="00E02A81" w:rsidR="00FE62E3" w:rsidP="00F0578A" w:rsidRDefault="00FE62E3" w14:paraId="6B1D8D26" w14:textId="7C6F45F7">
            <w:pPr>
              <w:jc w:val="center"/>
              <w:rPr>
                <w:b/>
                <w:bCs/>
              </w:rPr>
            </w:pPr>
            <w:r>
              <w:rPr>
                <w:b/>
                <w:bCs/>
              </w:rPr>
              <w:t>Est. # of</w:t>
            </w:r>
            <w:r w:rsidRPr="00E02A81">
              <w:rPr>
                <w:b/>
                <w:bCs/>
              </w:rPr>
              <w:t xml:space="preserve"> </w:t>
            </w:r>
            <w:r>
              <w:rPr>
                <w:b/>
                <w:bCs/>
              </w:rPr>
              <w:t>Respondents</w:t>
            </w:r>
            <w:r w:rsidR="00617AE2">
              <w:rPr>
                <w:b/>
                <w:bCs/>
              </w:rPr>
              <w:t xml:space="preserve"> Contacted</w:t>
            </w:r>
          </w:p>
        </w:tc>
      </w:tr>
      <w:tr w:rsidRPr="00E02A81" w:rsidR="00FE62E3" w:rsidTr="006E6529" w14:paraId="417ABE35" w14:textId="77777777">
        <w:tc>
          <w:tcPr>
            <w:tcW w:w="1885" w:type="dxa"/>
            <w:shd w:val="clear" w:color="auto" w:fill="auto"/>
            <w:tcMar>
              <w:top w:w="0" w:type="dxa"/>
              <w:left w:w="108" w:type="dxa"/>
              <w:bottom w:w="0" w:type="dxa"/>
              <w:right w:w="108" w:type="dxa"/>
            </w:tcMar>
            <w:vAlign w:val="center"/>
            <w:hideMark/>
          </w:tcPr>
          <w:p w:rsidRPr="00E02A81" w:rsidR="00FE62E3" w:rsidP="00F0578A" w:rsidRDefault="00FE62E3" w14:paraId="547C89E3" w14:textId="77777777">
            <w:pPr>
              <w:spacing w:after="0"/>
              <w:rPr>
                <w:b/>
                <w:bCs/>
              </w:rPr>
            </w:pPr>
            <w:r>
              <w:rPr>
                <w:b/>
                <w:bCs/>
              </w:rPr>
              <w:t>June 8</w:t>
            </w:r>
          </w:p>
        </w:tc>
        <w:tc>
          <w:tcPr>
            <w:tcW w:w="2340" w:type="dxa"/>
            <w:shd w:val="clear" w:color="auto" w:fill="auto"/>
            <w:tcMar>
              <w:top w:w="0" w:type="dxa"/>
              <w:left w:w="108" w:type="dxa"/>
              <w:bottom w:w="0" w:type="dxa"/>
              <w:right w:w="108" w:type="dxa"/>
            </w:tcMar>
            <w:vAlign w:val="center"/>
            <w:hideMark/>
          </w:tcPr>
          <w:p w:rsidRPr="00E02A81" w:rsidR="00FE62E3" w:rsidP="00F0578A" w:rsidRDefault="00FE62E3" w14:paraId="48C2B5D0" w14:textId="5B142477">
            <w:pPr>
              <w:spacing w:after="0"/>
            </w:pPr>
            <w:r w:rsidRPr="00E02A81">
              <w:t>Pre</w:t>
            </w:r>
            <w:r w:rsidR="004A607A">
              <w:t>-</w:t>
            </w:r>
            <w:r w:rsidRPr="00E02A81">
              <w:t>notification Mailing</w:t>
            </w:r>
          </w:p>
        </w:tc>
        <w:tc>
          <w:tcPr>
            <w:tcW w:w="3780" w:type="dxa"/>
            <w:shd w:val="clear" w:color="auto" w:fill="auto"/>
            <w:tcMar>
              <w:top w:w="0" w:type="dxa"/>
              <w:left w:w="108" w:type="dxa"/>
              <w:bottom w:w="0" w:type="dxa"/>
              <w:right w:w="108" w:type="dxa"/>
            </w:tcMar>
            <w:vAlign w:val="center"/>
            <w:hideMark/>
          </w:tcPr>
          <w:p w:rsidRPr="00E02A81" w:rsidR="00FE62E3" w:rsidP="00F0578A" w:rsidRDefault="00FE62E3" w14:paraId="70C5B910" w14:textId="77777777">
            <w:pPr>
              <w:spacing w:after="0"/>
            </w:pPr>
            <w:r>
              <w:t xml:space="preserve">Letter with link to survey preview </w:t>
            </w:r>
          </w:p>
        </w:tc>
        <w:tc>
          <w:tcPr>
            <w:tcW w:w="2161" w:type="dxa"/>
            <w:shd w:val="clear" w:color="auto" w:fill="auto"/>
            <w:tcMar>
              <w:top w:w="0" w:type="dxa"/>
              <w:left w:w="108" w:type="dxa"/>
              <w:bottom w:w="0" w:type="dxa"/>
              <w:right w:w="108" w:type="dxa"/>
            </w:tcMar>
            <w:vAlign w:val="center"/>
            <w:hideMark/>
          </w:tcPr>
          <w:p w:rsidRPr="00E02A81" w:rsidR="00FE62E3" w:rsidP="00F0578A" w:rsidRDefault="00FE62E3" w14:paraId="6C59861C" w14:textId="77777777">
            <w:pPr>
              <w:spacing w:after="0"/>
            </w:pPr>
            <w:r>
              <w:t>950</w:t>
            </w:r>
          </w:p>
        </w:tc>
      </w:tr>
      <w:tr w:rsidRPr="00E02A81" w:rsidR="00FE62E3" w:rsidTr="006E6529" w14:paraId="2A9DD7EA" w14:textId="77777777">
        <w:tc>
          <w:tcPr>
            <w:tcW w:w="1885" w:type="dxa"/>
            <w:shd w:val="clear" w:color="auto" w:fill="F2F2F2"/>
            <w:tcMar>
              <w:top w:w="0" w:type="dxa"/>
              <w:left w:w="108" w:type="dxa"/>
              <w:bottom w:w="0" w:type="dxa"/>
              <w:right w:w="108" w:type="dxa"/>
            </w:tcMar>
            <w:vAlign w:val="center"/>
            <w:hideMark/>
          </w:tcPr>
          <w:p w:rsidRPr="00E02A81" w:rsidR="00FE62E3" w:rsidP="00F0578A" w:rsidRDefault="00FE62E3" w14:paraId="1CDFCF99" w14:textId="77777777">
            <w:pPr>
              <w:spacing w:after="0"/>
              <w:rPr>
                <w:b/>
                <w:bCs/>
              </w:rPr>
            </w:pPr>
            <w:r>
              <w:rPr>
                <w:b/>
                <w:bCs/>
              </w:rPr>
              <w:t>July 1</w:t>
            </w:r>
          </w:p>
        </w:tc>
        <w:tc>
          <w:tcPr>
            <w:tcW w:w="2340" w:type="dxa"/>
            <w:shd w:val="clear" w:color="auto" w:fill="F2F2F2"/>
            <w:tcMar>
              <w:top w:w="0" w:type="dxa"/>
              <w:left w:w="108" w:type="dxa"/>
              <w:bottom w:w="0" w:type="dxa"/>
              <w:right w:w="108" w:type="dxa"/>
            </w:tcMar>
            <w:vAlign w:val="center"/>
            <w:hideMark/>
          </w:tcPr>
          <w:p w:rsidRPr="00E02A81" w:rsidR="00FE62E3" w:rsidP="00F0578A" w:rsidRDefault="00FE62E3" w14:paraId="512BD9FA" w14:textId="77777777">
            <w:pPr>
              <w:spacing w:after="0"/>
            </w:pPr>
            <w:r w:rsidRPr="00E02A81">
              <w:t xml:space="preserve">Invitation Email </w:t>
            </w:r>
          </w:p>
        </w:tc>
        <w:tc>
          <w:tcPr>
            <w:tcW w:w="3780" w:type="dxa"/>
            <w:shd w:val="clear" w:color="auto" w:fill="F2F2F2"/>
            <w:tcMar>
              <w:top w:w="0" w:type="dxa"/>
              <w:left w:w="108" w:type="dxa"/>
              <w:bottom w:w="0" w:type="dxa"/>
              <w:right w:w="108" w:type="dxa"/>
            </w:tcMar>
            <w:vAlign w:val="center"/>
          </w:tcPr>
          <w:p w:rsidRPr="005F35C2" w:rsidR="00FE62E3" w:rsidP="00F0578A" w:rsidRDefault="00FE62E3" w14:paraId="1A562AE8" w14:textId="77777777">
            <w:pPr>
              <w:spacing w:after="0"/>
            </w:pPr>
            <w:r w:rsidRPr="00E02A81">
              <w:t>Announces forms can be submitted online</w:t>
            </w:r>
          </w:p>
        </w:tc>
        <w:tc>
          <w:tcPr>
            <w:tcW w:w="2161" w:type="dxa"/>
            <w:shd w:val="clear" w:color="auto" w:fill="F2F2F2"/>
            <w:tcMar>
              <w:top w:w="0" w:type="dxa"/>
              <w:left w:w="108" w:type="dxa"/>
              <w:bottom w:w="0" w:type="dxa"/>
              <w:right w:w="108" w:type="dxa"/>
            </w:tcMar>
            <w:vAlign w:val="center"/>
            <w:hideMark/>
          </w:tcPr>
          <w:p w:rsidRPr="00E02A81" w:rsidR="00FE62E3" w:rsidP="00F0578A" w:rsidRDefault="00FE62E3" w14:paraId="76B8CD03" w14:textId="77777777">
            <w:pPr>
              <w:spacing w:after="0"/>
            </w:pPr>
            <w:r>
              <w:t>95</w:t>
            </w:r>
            <w:r w:rsidRPr="00E02A81">
              <w:t>0</w:t>
            </w:r>
          </w:p>
        </w:tc>
      </w:tr>
      <w:tr w:rsidRPr="00E02A81" w:rsidR="00FE62E3" w:rsidTr="006E6529" w14:paraId="0B0D6B21" w14:textId="77777777">
        <w:tc>
          <w:tcPr>
            <w:tcW w:w="1885" w:type="dxa"/>
            <w:tcMar>
              <w:top w:w="0" w:type="dxa"/>
              <w:left w:w="108" w:type="dxa"/>
              <w:bottom w:w="0" w:type="dxa"/>
              <w:right w:w="108" w:type="dxa"/>
            </w:tcMar>
            <w:vAlign w:val="center"/>
            <w:hideMark/>
          </w:tcPr>
          <w:p w:rsidRPr="00E02A81" w:rsidR="00FE62E3" w:rsidP="00F0578A" w:rsidRDefault="00FE62E3" w14:paraId="0470EE2C" w14:textId="77777777">
            <w:pPr>
              <w:spacing w:after="0"/>
              <w:rPr>
                <w:b/>
                <w:bCs/>
              </w:rPr>
            </w:pPr>
            <w:r>
              <w:rPr>
                <w:b/>
                <w:bCs/>
              </w:rPr>
              <w:t>July 27</w:t>
            </w:r>
          </w:p>
        </w:tc>
        <w:tc>
          <w:tcPr>
            <w:tcW w:w="2340" w:type="dxa"/>
            <w:tcMar>
              <w:top w:w="0" w:type="dxa"/>
              <w:left w:w="108" w:type="dxa"/>
              <w:bottom w:w="0" w:type="dxa"/>
              <w:right w:w="108" w:type="dxa"/>
            </w:tcMar>
            <w:vAlign w:val="center"/>
            <w:hideMark/>
          </w:tcPr>
          <w:p w:rsidRPr="00E02A81" w:rsidR="00FE62E3" w:rsidP="00F0578A" w:rsidRDefault="00FE62E3" w14:paraId="7B6DD05E" w14:textId="77777777">
            <w:pPr>
              <w:spacing w:after="0"/>
            </w:pPr>
            <w:r w:rsidRPr="00E02A81">
              <w:t>Reminder Email 1</w:t>
            </w:r>
          </w:p>
        </w:tc>
        <w:tc>
          <w:tcPr>
            <w:tcW w:w="3780" w:type="dxa"/>
            <w:tcMar>
              <w:top w:w="0" w:type="dxa"/>
              <w:left w:w="108" w:type="dxa"/>
              <w:bottom w:w="0" w:type="dxa"/>
              <w:right w:w="108" w:type="dxa"/>
            </w:tcMar>
            <w:vAlign w:val="center"/>
            <w:hideMark/>
          </w:tcPr>
          <w:p w:rsidRPr="00E02A81" w:rsidR="00FE62E3" w:rsidP="00F0578A" w:rsidRDefault="00FE62E3" w14:paraId="3EDFA3CE" w14:textId="383E84AC">
            <w:pPr>
              <w:spacing w:after="0"/>
            </w:pPr>
            <w:r w:rsidRPr="00E02A81">
              <w:t>Friendly reminder</w:t>
            </w:r>
            <w:r>
              <w:t xml:space="preserve"> of upcoming deadline</w:t>
            </w:r>
            <w:r w:rsidR="00E82426">
              <w:t xml:space="preserve"> (end of July)</w:t>
            </w:r>
          </w:p>
        </w:tc>
        <w:tc>
          <w:tcPr>
            <w:tcW w:w="2161" w:type="dxa"/>
            <w:tcMar>
              <w:top w:w="0" w:type="dxa"/>
              <w:left w:w="108" w:type="dxa"/>
              <w:bottom w:w="0" w:type="dxa"/>
              <w:right w:w="108" w:type="dxa"/>
            </w:tcMar>
            <w:vAlign w:val="center"/>
            <w:hideMark/>
          </w:tcPr>
          <w:p w:rsidRPr="00E02A81" w:rsidR="00FE62E3" w:rsidP="00F0578A" w:rsidRDefault="00FE62E3" w14:paraId="249BE0D7" w14:textId="77777777">
            <w:pPr>
              <w:spacing w:after="0"/>
            </w:pPr>
            <w:r>
              <w:t>65</w:t>
            </w:r>
            <w:r w:rsidRPr="00E02A81">
              <w:t>0</w:t>
            </w:r>
          </w:p>
        </w:tc>
      </w:tr>
      <w:tr w:rsidRPr="00E02A81" w:rsidR="00FE62E3" w:rsidTr="006E6529" w14:paraId="20A1416E" w14:textId="77777777">
        <w:trPr>
          <w:trHeight w:val="592"/>
        </w:trPr>
        <w:tc>
          <w:tcPr>
            <w:tcW w:w="1885" w:type="dxa"/>
            <w:shd w:val="clear" w:color="auto" w:fill="F2F2F2"/>
            <w:tcMar>
              <w:top w:w="0" w:type="dxa"/>
              <w:left w:w="108" w:type="dxa"/>
              <w:bottom w:w="0" w:type="dxa"/>
              <w:right w:w="108" w:type="dxa"/>
            </w:tcMar>
            <w:vAlign w:val="center"/>
            <w:hideMark/>
          </w:tcPr>
          <w:p w:rsidRPr="00E02A81" w:rsidR="00FE62E3" w:rsidP="00282888" w:rsidRDefault="00FE62E3" w14:paraId="1CD38E5B" w14:textId="3A16CB53">
            <w:pPr>
              <w:spacing w:after="0"/>
              <w:rPr>
                <w:b/>
                <w:bCs/>
              </w:rPr>
            </w:pPr>
            <w:r>
              <w:rPr>
                <w:b/>
                <w:bCs/>
              </w:rPr>
              <w:t xml:space="preserve">August </w:t>
            </w:r>
            <w:r w:rsidR="00282888">
              <w:rPr>
                <w:b/>
                <w:bCs/>
              </w:rPr>
              <w:t>6</w:t>
            </w:r>
          </w:p>
        </w:tc>
        <w:tc>
          <w:tcPr>
            <w:tcW w:w="2340" w:type="dxa"/>
            <w:shd w:val="clear" w:color="auto" w:fill="F2F2F2"/>
            <w:tcMar>
              <w:top w:w="0" w:type="dxa"/>
              <w:left w:w="108" w:type="dxa"/>
              <w:bottom w:w="0" w:type="dxa"/>
              <w:right w:w="108" w:type="dxa"/>
            </w:tcMar>
            <w:vAlign w:val="center"/>
            <w:hideMark/>
          </w:tcPr>
          <w:p w:rsidRPr="00E02A81" w:rsidR="00FE62E3" w:rsidP="00F0578A" w:rsidRDefault="00FE62E3" w14:paraId="7B0909D4" w14:textId="77777777">
            <w:pPr>
              <w:spacing w:after="0"/>
            </w:pPr>
            <w:r w:rsidRPr="00E02A81">
              <w:t>Reminder Email 2</w:t>
            </w:r>
          </w:p>
        </w:tc>
        <w:tc>
          <w:tcPr>
            <w:tcW w:w="3780" w:type="dxa"/>
            <w:shd w:val="clear" w:color="auto" w:fill="F2F2F2"/>
            <w:tcMar>
              <w:top w:w="0" w:type="dxa"/>
              <w:left w:w="108" w:type="dxa"/>
              <w:bottom w:w="0" w:type="dxa"/>
              <w:right w:w="108" w:type="dxa"/>
            </w:tcMar>
            <w:vAlign w:val="center"/>
            <w:hideMark/>
          </w:tcPr>
          <w:p w:rsidRPr="00E02A81" w:rsidR="00FE62E3" w:rsidP="00F0662B" w:rsidRDefault="00FE62E3" w14:paraId="24CB02E0" w14:textId="02B6A16F">
            <w:pPr>
              <w:spacing w:after="0"/>
            </w:pPr>
            <w:r w:rsidRPr="00E02A81">
              <w:t>Friendly reminder</w:t>
            </w:r>
          </w:p>
        </w:tc>
        <w:tc>
          <w:tcPr>
            <w:tcW w:w="2161" w:type="dxa"/>
            <w:shd w:val="clear" w:color="auto" w:fill="F2F2F2"/>
            <w:tcMar>
              <w:top w:w="0" w:type="dxa"/>
              <w:left w:w="108" w:type="dxa"/>
              <w:bottom w:w="0" w:type="dxa"/>
              <w:right w:w="108" w:type="dxa"/>
            </w:tcMar>
            <w:vAlign w:val="center"/>
            <w:hideMark/>
          </w:tcPr>
          <w:p w:rsidRPr="00E02A81" w:rsidR="00FE62E3" w:rsidP="00F0578A" w:rsidRDefault="00FE62E3" w14:paraId="1B3A24C4" w14:textId="77777777">
            <w:pPr>
              <w:spacing w:after="0"/>
            </w:pPr>
            <w:r w:rsidRPr="00E02A81">
              <w:t>5</w:t>
            </w:r>
            <w:r>
              <w:t>0</w:t>
            </w:r>
            <w:r w:rsidRPr="00E02A81">
              <w:t>0</w:t>
            </w:r>
          </w:p>
        </w:tc>
      </w:tr>
      <w:tr w:rsidRPr="00E02A81" w:rsidR="00FE62E3" w:rsidTr="006E6529" w14:paraId="59D6B990" w14:textId="77777777">
        <w:tc>
          <w:tcPr>
            <w:tcW w:w="1885" w:type="dxa"/>
            <w:tcMar>
              <w:top w:w="0" w:type="dxa"/>
              <w:left w:w="108" w:type="dxa"/>
              <w:bottom w:w="0" w:type="dxa"/>
              <w:right w:w="108" w:type="dxa"/>
            </w:tcMar>
            <w:vAlign w:val="center"/>
            <w:hideMark/>
          </w:tcPr>
          <w:p w:rsidRPr="00E02A81" w:rsidR="00FE62E3" w:rsidP="006E6529" w:rsidRDefault="00FE62E3" w14:paraId="6557E4B6" w14:textId="6C0E40B0">
            <w:pPr>
              <w:spacing w:after="0"/>
              <w:rPr>
                <w:b/>
                <w:bCs/>
              </w:rPr>
            </w:pPr>
            <w:r>
              <w:rPr>
                <w:b/>
                <w:bCs/>
              </w:rPr>
              <w:t xml:space="preserve">August </w:t>
            </w:r>
            <w:r w:rsidR="006E6529">
              <w:rPr>
                <w:b/>
                <w:bCs/>
              </w:rPr>
              <w:t>10</w:t>
            </w:r>
            <w:r>
              <w:rPr>
                <w:b/>
                <w:bCs/>
              </w:rPr>
              <w:t xml:space="preserve"> – </w:t>
            </w:r>
            <w:r w:rsidR="00295345">
              <w:rPr>
                <w:b/>
                <w:bCs/>
              </w:rPr>
              <w:t>August 30</w:t>
            </w:r>
          </w:p>
        </w:tc>
        <w:tc>
          <w:tcPr>
            <w:tcW w:w="2340" w:type="dxa"/>
            <w:tcMar>
              <w:top w:w="0" w:type="dxa"/>
              <w:left w:w="108" w:type="dxa"/>
              <w:bottom w:w="0" w:type="dxa"/>
              <w:right w:w="108" w:type="dxa"/>
            </w:tcMar>
            <w:vAlign w:val="center"/>
            <w:hideMark/>
          </w:tcPr>
          <w:p w:rsidRPr="00E02A81" w:rsidR="00FE62E3" w:rsidP="00F0578A" w:rsidRDefault="00FE62E3" w14:paraId="77EE0C74" w14:textId="77777777">
            <w:pPr>
              <w:spacing w:after="0"/>
            </w:pPr>
            <w:r w:rsidRPr="00E02A81">
              <w:t>Nonresponse Call Prompt</w:t>
            </w:r>
          </w:p>
        </w:tc>
        <w:tc>
          <w:tcPr>
            <w:tcW w:w="3780" w:type="dxa"/>
            <w:tcMar>
              <w:top w:w="0" w:type="dxa"/>
              <w:left w:w="108" w:type="dxa"/>
              <w:bottom w:w="0" w:type="dxa"/>
              <w:right w:w="108" w:type="dxa"/>
            </w:tcMar>
            <w:vAlign w:val="center"/>
            <w:hideMark/>
          </w:tcPr>
          <w:p w:rsidRPr="00E02A81" w:rsidR="00FE62E3" w:rsidP="006E6529" w:rsidRDefault="00FE62E3" w14:paraId="0260C564" w14:textId="7C2D3679">
            <w:pPr>
              <w:spacing w:after="0"/>
            </w:pPr>
            <w:r>
              <w:t>S</w:t>
            </w:r>
            <w:r w:rsidRPr="00E02A81">
              <w:t xml:space="preserve">ingle prompt call; </w:t>
            </w:r>
            <w:r w:rsidR="006E6529">
              <w:t>request to submit by the end of August</w:t>
            </w:r>
          </w:p>
        </w:tc>
        <w:tc>
          <w:tcPr>
            <w:tcW w:w="2161" w:type="dxa"/>
            <w:tcMar>
              <w:top w:w="0" w:type="dxa"/>
              <w:left w:w="108" w:type="dxa"/>
              <w:bottom w:w="0" w:type="dxa"/>
              <w:right w:w="108" w:type="dxa"/>
            </w:tcMar>
            <w:vAlign w:val="center"/>
            <w:hideMark/>
          </w:tcPr>
          <w:p w:rsidRPr="00E02A81" w:rsidR="00FE62E3" w:rsidP="00F0578A" w:rsidRDefault="00FE62E3" w14:paraId="55813B8F" w14:textId="77777777">
            <w:pPr>
              <w:spacing w:after="0"/>
            </w:pPr>
            <w:r w:rsidRPr="00E02A81">
              <w:t>400</w:t>
            </w:r>
          </w:p>
        </w:tc>
      </w:tr>
      <w:tr w:rsidRPr="00E02A81" w:rsidR="00FE62E3" w:rsidTr="006E6529" w14:paraId="285577D6" w14:textId="77777777">
        <w:trPr>
          <w:trHeight w:val="592"/>
        </w:trPr>
        <w:tc>
          <w:tcPr>
            <w:tcW w:w="1885" w:type="dxa"/>
            <w:shd w:val="clear" w:color="auto" w:fill="F2F2F2"/>
            <w:tcMar>
              <w:top w:w="0" w:type="dxa"/>
              <w:left w:w="108" w:type="dxa"/>
              <w:bottom w:w="0" w:type="dxa"/>
              <w:right w:w="108" w:type="dxa"/>
            </w:tcMar>
            <w:vAlign w:val="center"/>
            <w:hideMark/>
          </w:tcPr>
          <w:p w:rsidRPr="00E02A81" w:rsidR="00FE62E3" w:rsidP="00F0578A" w:rsidRDefault="00D51244" w14:paraId="1D99A746" w14:textId="75DD14A9">
            <w:pPr>
              <w:spacing w:after="0"/>
              <w:rPr>
                <w:b/>
                <w:bCs/>
              </w:rPr>
            </w:pPr>
            <w:r>
              <w:rPr>
                <w:b/>
                <w:bCs/>
              </w:rPr>
              <w:t>August 27</w:t>
            </w:r>
          </w:p>
        </w:tc>
        <w:tc>
          <w:tcPr>
            <w:tcW w:w="2340" w:type="dxa"/>
            <w:shd w:val="clear" w:color="auto" w:fill="F2F2F2"/>
            <w:tcMar>
              <w:top w:w="0" w:type="dxa"/>
              <w:left w:w="108" w:type="dxa"/>
              <w:bottom w:w="0" w:type="dxa"/>
              <w:right w:w="108" w:type="dxa"/>
            </w:tcMar>
            <w:vAlign w:val="center"/>
            <w:hideMark/>
          </w:tcPr>
          <w:p w:rsidRPr="00E02A81" w:rsidR="00FE62E3" w:rsidP="00E82426" w:rsidRDefault="00FE62E3" w14:paraId="2AB2F9BA" w14:textId="65C1B116">
            <w:pPr>
              <w:spacing w:after="0"/>
            </w:pPr>
            <w:r w:rsidRPr="00E02A81">
              <w:t>Paper Form Mailing</w:t>
            </w:r>
          </w:p>
        </w:tc>
        <w:tc>
          <w:tcPr>
            <w:tcW w:w="3780" w:type="dxa"/>
            <w:shd w:val="clear" w:color="auto" w:fill="F2F2F2"/>
            <w:tcMar>
              <w:top w:w="0" w:type="dxa"/>
              <w:left w:w="108" w:type="dxa"/>
              <w:bottom w:w="0" w:type="dxa"/>
              <w:right w:w="108" w:type="dxa"/>
            </w:tcMar>
            <w:vAlign w:val="center"/>
            <w:hideMark/>
          </w:tcPr>
          <w:p w:rsidRPr="00E02A81" w:rsidR="00FE62E3" w:rsidP="006E6529" w:rsidRDefault="00FE62E3" w14:paraId="2F23317C" w14:textId="094567E7">
            <w:pPr>
              <w:spacing w:after="0"/>
            </w:pPr>
            <w:r w:rsidRPr="00E02A81">
              <w:t xml:space="preserve">Contains copy of </w:t>
            </w:r>
            <w:r w:rsidR="00E82426">
              <w:t>ASJ</w:t>
            </w:r>
            <w:r w:rsidRPr="00E02A81">
              <w:t xml:space="preserve"> form; </w:t>
            </w:r>
            <w:r>
              <w:t xml:space="preserve">extended </w:t>
            </w:r>
            <w:r w:rsidRPr="00E02A81">
              <w:t xml:space="preserve">deadline </w:t>
            </w:r>
            <w:r w:rsidR="00E82426">
              <w:t xml:space="preserve">to </w:t>
            </w:r>
            <w:r>
              <w:t>October</w:t>
            </w:r>
            <w:r w:rsidR="00FE0243">
              <w:t xml:space="preserve"> </w:t>
            </w:r>
            <w:r w:rsidR="006E6529">
              <w:t>1</w:t>
            </w:r>
          </w:p>
        </w:tc>
        <w:tc>
          <w:tcPr>
            <w:tcW w:w="2161" w:type="dxa"/>
            <w:shd w:val="clear" w:color="auto" w:fill="F2F2F2"/>
            <w:tcMar>
              <w:top w:w="0" w:type="dxa"/>
              <w:left w:w="108" w:type="dxa"/>
              <w:bottom w:w="0" w:type="dxa"/>
              <w:right w:w="108" w:type="dxa"/>
            </w:tcMar>
            <w:vAlign w:val="center"/>
            <w:hideMark/>
          </w:tcPr>
          <w:p w:rsidRPr="00E02A81" w:rsidR="00FE62E3" w:rsidP="00F0578A" w:rsidRDefault="00FE62E3" w14:paraId="742E1E83" w14:textId="77777777">
            <w:pPr>
              <w:spacing w:after="0"/>
            </w:pPr>
            <w:r>
              <w:t>3</w:t>
            </w:r>
            <w:r w:rsidRPr="00E02A81">
              <w:t>00</w:t>
            </w:r>
          </w:p>
        </w:tc>
      </w:tr>
      <w:tr w:rsidRPr="00E02A81" w:rsidR="00FE62E3" w:rsidTr="006E6529" w14:paraId="07F69764" w14:textId="77777777">
        <w:tc>
          <w:tcPr>
            <w:tcW w:w="1885" w:type="dxa"/>
            <w:tcMar>
              <w:top w:w="0" w:type="dxa"/>
              <w:left w:w="108" w:type="dxa"/>
              <w:bottom w:w="0" w:type="dxa"/>
              <w:right w:w="108" w:type="dxa"/>
            </w:tcMar>
            <w:vAlign w:val="center"/>
            <w:hideMark/>
          </w:tcPr>
          <w:p w:rsidRPr="00E02A81" w:rsidR="00FE62E3" w:rsidP="00FE0243" w:rsidRDefault="00295345" w14:paraId="71E3041D" w14:textId="7BF34E5F">
            <w:pPr>
              <w:spacing w:after="0"/>
              <w:rPr>
                <w:b/>
                <w:bCs/>
              </w:rPr>
            </w:pPr>
            <w:r>
              <w:rPr>
                <w:b/>
                <w:bCs/>
              </w:rPr>
              <w:t>September</w:t>
            </w:r>
            <w:r w:rsidRPr="00E02A81">
              <w:rPr>
                <w:b/>
                <w:bCs/>
              </w:rPr>
              <w:t xml:space="preserve"> </w:t>
            </w:r>
            <w:r w:rsidR="006E6529">
              <w:rPr>
                <w:b/>
                <w:bCs/>
              </w:rPr>
              <w:t>1</w:t>
            </w:r>
            <w:r>
              <w:rPr>
                <w:b/>
                <w:bCs/>
              </w:rPr>
              <w:t xml:space="preserve"> </w:t>
            </w:r>
            <w:r w:rsidR="00FE62E3">
              <w:rPr>
                <w:b/>
                <w:bCs/>
              </w:rPr>
              <w:t xml:space="preserve">– </w:t>
            </w:r>
            <w:r>
              <w:rPr>
                <w:b/>
                <w:bCs/>
              </w:rPr>
              <w:lastRenderedPageBreak/>
              <w:t>Octo</w:t>
            </w:r>
            <w:r w:rsidR="006E6529">
              <w:rPr>
                <w:b/>
                <w:bCs/>
              </w:rPr>
              <w:t>ber 1</w:t>
            </w:r>
          </w:p>
        </w:tc>
        <w:tc>
          <w:tcPr>
            <w:tcW w:w="2340" w:type="dxa"/>
            <w:tcMar>
              <w:top w:w="0" w:type="dxa"/>
              <w:left w:w="108" w:type="dxa"/>
              <w:bottom w:w="0" w:type="dxa"/>
              <w:right w:w="108" w:type="dxa"/>
            </w:tcMar>
            <w:vAlign w:val="center"/>
            <w:hideMark/>
          </w:tcPr>
          <w:p w:rsidRPr="00E02A81" w:rsidR="00FE62E3" w:rsidP="00D51244" w:rsidRDefault="00D51244" w14:paraId="2D21AF4B" w14:textId="69EC05D7">
            <w:pPr>
              <w:spacing w:after="0"/>
            </w:pPr>
            <w:r>
              <w:lastRenderedPageBreak/>
              <w:t xml:space="preserve">Customized </w:t>
            </w:r>
            <w:r w:rsidR="00FE62E3">
              <w:lastRenderedPageBreak/>
              <w:t xml:space="preserve">Nonresponse </w:t>
            </w:r>
            <w:r>
              <w:t>Contact</w:t>
            </w:r>
          </w:p>
        </w:tc>
        <w:tc>
          <w:tcPr>
            <w:tcW w:w="3780" w:type="dxa"/>
            <w:tcMar>
              <w:top w:w="0" w:type="dxa"/>
              <w:left w:w="108" w:type="dxa"/>
              <w:bottom w:w="0" w:type="dxa"/>
              <w:right w:w="108" w:type="dxa"/>
            </w:tcMar>
            <w:vAlign w:val="center"/>
            <w:hideMark/>
          </w:tcPr>
          <w:p w:rsidRPr="00E02A81" w:rsidR="00FE62E3" w:rsidP="00F0578A" w:rsidRDefault="00FE62E3" w14:paraId="004E9350" w14:textId="77777777">
            <w:pPr>
              <w:spacing w:after="0"/>
            </w:pPr>
            <w:r>
              <w:lastRenderedPageBreak/>
              <w:t>4</w:t>
            </w:r>
            <w:r w:rsidRPr="00E02A81">
              <w:t xml:space="preserve"> phone calls / </w:t>
            </w:r>
            <w:r>
              <w:t>4</w:t>
            </w:r>
            <w:r w:rsidRPr="00E02A81">
              <w:t xml:space="preserve"> email</w:t>
            </w:r>
            <w:r>
              <w:t>s</w:t>
            </w:r>
          </w:p>
        </w:tc>
        <w:tc>
          <w:tcPr>
            <w:tcW w:w="2161" w:type="dxa"/>
            <w:tcMar>
              <w:top w:w="0" w:type="dxa"/>
              <w:left w:w="108" w:type="dxa"/>
              <w:bottom w:w="0" w:type="dxa"/>
              <w:right w:w="108" w:type="dxa"/>
            </w:tcMar>
            <w:vAlign w:val="center"/>
            <w:hideMark/>
          </w:tcPr>
          <w:p w:rsidRPr="00E02A81" w:rsidR="00FE62E3" w:rsidP="00F0578A" w:rsidRDefault="00FE62E3" w14:paraId="617606FA" w14:textId="77777777">
            <w:pPr>
              <w:spacing w:after="0"/>
            </w:pPr>
            <w:r>
              <w:t>20</w:t>
            </w:r>
            <w:r w:rsidRPr="00E02A81">
              <w:t>0</w:t>
            </w:r>
          </w:p>
        </w:tc>
      </w:tr>
      <w:tr w:rsidRPr="00E02A81" w:rsidR="00FE62E3" w:rsidTr="006E6529" w14:paraId="0DE51970" w14:textId="77777777">
        <w:trPr>
          <w:trHeight w:val="313"/>
        </w:trPr>
        <w:tc>
          <w:tcPr>
            <w:tcW w:w="1885" w:type="dxa"/>
            <w:shd w:val="clear" w:color="auto" w:fill="F2F2F2"/>
            <w:tcMar>
              <w:top w:w="0" w:type="dxa"/>
              <w:left w:w="108" w:type="dxa"/>
              <w:bottom w:w="0" w:type="dxa"/>
              <w:right w:w="108" w:type="dxa"/>
            </w:tcMar>
            <w:vAlign w:val="center"/>
            <w:hideMark/>
          </w:tcPr>
          <w:p w:rsidRPr="00E02A81" w:rsidR="00FE62E3" w:rsidP="006E6529" w:rsidRDefault="006E6529" w14:paraId="1A1A8EC7" w14:textId="03DFB496">
            <w:pPr>
              <w:spacing w:after="0"/>
              <w:rPr>
                <w:b/>
                <w:bCs/>
              </w:rPr>
            </w:pPr>
            <w:r>
              <w:rPr>
                <w:b/>
                <w:bCs/>
              </w:rPr>
              <w:t>September</w:t>
            </w:r>
            <w:r w:rsidRPr="00E02A81">
              <w:rPr>
                <w:b/>
                <w:bCs/>
              </w:rPr>
              <w:t xml:space="preserve"> </w:t>
            </w:r>
            <w:r>
              <w:rPr>
                <w:b/>
                <w:bCs/>
              </w:rPr>
              <w:t>7</w:t>
            </w:r>
          </w:p>
        </w:tc>
        <w:tc>
          <w:tcPr>
            <w:tcW w:w="2340" w:type="dxa"/>
            <w:shd w:val="clear" w:color="auto" w:fill="F2F2F2"/>
            <w:tcMar>
              <w:top w:w="0" w:type="dxa"/>
              <w:left w:w="108" w:type="dxa"/>
              <w:bottom w:w="0" w:type="dxa"/>
              <w:right w:w="108" w:type="dxa"/>
            </w:tcMar>
            <w:vAlign w:val="center"/>
            <w:hideMark/>
          </w:tcPr>
          <w:p w:rsidRPr="00E02A81" w:rsidR="00FE62E3" w:rsidP="00F0578A" w:rsidRDefault="00FE62E3" w14:paraId="07E42BA8" w14:textId="77777777">
            <w:pPr>
              <w:spacing w:after="0"/>
            </w:pPr>
            <w:r w:rsidRPr="00E02A81">
              <w:t>BJS Director Letter</w:t>
            </w:r>
          </w:p>
        </w:tc>
        <w:tc>
          <w:tcPr>
            <w:tcW w:w="3780" w:type="dxa"/>
            <w:shd w:val="clear" w:color="auto" w:fill="F2F2F2"/>
            <w:tcMar>
              <w:top w:w="0" w:type="dxa"/>
              <w:left w:w="108" w:type="dxa"/>
              <w:bottom w:w="0" w:type="dxa"/>
              <w:right w:w="108" w:type="dxa"/>
            </w:tcMar>
            <w:vAlign w:val="center"/>
            <w:hideMark/>
          </w:tcPr>
          <w:p w:rsidRPr="00E02A81" w:rsidR="00FE62E3" w:rsidP="006E6529" w:rsidRDefault="00FE62E3" w14:paraId="576B8AD2" w14:textId="1F2C4941">
            <w:pPr>
              <w:spacing w:after="0"/>
            </w:pPr>
            <w:r w:rsidRPr="00E02A81">
              <w:t>Sen</w:t>
            </w:r>
            <w:r w:rsidR="00E82426">
              <w:t>d</w:t>
            </w:r>
            <w:r w:rsidRPr="00E02A81">
              <w:t xml:space="preserve"> </w:t>
            </w:r>
            <w:r w:rsidR="00E82426">
              <w:t>s</w:t>
            </w:r>
            <w:r w:rsidRPr="00E02A81">
              <w:t xml:space="preserve">ignature </w:t>
            </w:r>
            <w:r w:rsidR="00E82426">
              <w:t>r</w:t>
            </w:r>
            <w:r w:rsidRPr="00E02A81">
              <w:t>equired</w:t>
            </w:r>
            <w:r w:rsidR="00E82426">
              <w:t xml:space="preserve"> mail</w:t>
            </w:r>
            <w:r w:rsidRPr="00E02A81">
              <w:t xml:space="preserve">; </w:t>
            </w:r>
            <w:r>
              <w:t xml:space="preserve">request forms returned </w:t>
            </w:r>
            <w:r w:rsidR="006E6529">
              <w:t>by October 1</w:t>
            </w:r>
          </w:p>
        </w:tc>
        <w:tc>
          <w:tcPr>
            <w:tcW w:w="2161" w:type="dxa"/>
            <w:shd w:val="clear" w:color="auto" w:fill="F2F2F2"/>
            <w:tcMar>
              <w:top w:w="0" w:type="dxa"/>
              <w:left w:w="108" w:type="dxa"/>
              <w:bottom w:w="0" w:type="dxa"/>
              <w:right w:w="108" w:type="dxa"/>
            </w:tcMar>
            <w:vAlign w:val="center"/>
            <w:hideMark/>
          </w:tcPr>
          <w:p w:rsidRPr="00E02A81" w:rsidR="00FE62E3" w:rsidP="00F0578A" w:rsidRDefault="00FE62E3" w14:paraId="53B97C5F" w14:textId="77777777">
            <w:pPr>
              <w:spacing w:after="0"/>
            </w:pPr>
            <w:r>
              <w:t>10</w:t>
            </w:r>
            <w:r w:rsidRPr="00E02A81">
              <w:t>0</w:t>
            </w:r>
          </w:p>
        </w:tc>
      </w:tr>
      <w:tr w:rsidRPr="00E02A81" w:rsidR="00FE62E3" w:rsidTr="006E6529" w14:paraId="0B59C076" w14:textId="77777777">
        <w:trPr>
          <w:trHeight w:val="313"/>
        </w:trPr>
        <w:tc>
          <w:tcPr>
            <w:tcW w:w="1885" w:type="dxa"/>
            <w:shd w:val="clear" w:color="auto" w:fill="auto"/>
            <w:tcMar>
              <w:top w:w="0" w:type="dxa"/>
              <w:left w:w="108" w:type="dxa"/>
              <w:bottom w:w="0" w:type="dxa"/>
              <w:right w:w="108" w:type="dxa"/>
            </w:tcMar>
            <w:vAlign w:val="center"/>
          </w:tcPr>
          <w:p w:rsidR="00FE62E3" w:rsidP="006E6529" w:rsidRDefault="00FE62E3" w14:paraId="290D97C2" w14:textId="34DEAF74">
            <w:pPr>
              <w:spacing w:after="0"/>
              <w:rPr>
                <w:b/>
                <w:bCs/>
              </w:rPr>
            </w:pPr>
            <w:r>
              <w:rPr>
                <w:b/>
                <w:bCs/>
              </w:rPr>
              <w:t xml:space="preserve">July 15 – </w:t>
            </w:r>
            <w:r w:rsidR="00295345">
              <w:rPr>
                <w:b/>
                <w:bCs/>
              </w:rPr>
              <w:t xml:space="preserve">October </w:t>
            </w:r>
            <w:r w:rsidR="006E6529">
              <w:rPr>
                <w:b/>
                <w:bCs/>
              </w:rPr>
              <w:t>1</w:t>
            </w:r>
          </w:p>
        </w:tc>
        <w:tc>
          <w:tcPr>
            <w:tcW w:w="2340" w:type="dxa"/>
            <w:shd w:val="clear" w:color="auto" w:fill="auto"/>
            <w:tcMar>
              <w:top w:w="0" w:type="dxa"/>
              <w:left w:w="108" w:type="dxa"/>
              <w:bottom w:w="0" w:type="dxa"/>
              <w:right w:w="108" w:type="dxa"/>
            </w:tcMar>
            <w:vAlign w:val="center"/>
          </w:tcPr>
          <w:p w:rsidRPr="00E02A81" w:rsidR="00FE62E3" w:rsidP="00F0578A" w:rsidRDefault="00FE62E3" w14:paraId="0983BE8D" w14:textId="77777777">
            <w:pPr>
              <w:spacing w:after="0"/>
            </w:pPr>
            <w:r>
              <w:t>Data quality follow-up</w:t>
            </w:r>
          </w:p>
        </w:tc>
        <w:tc>
          <w:tcPr>
            <w:tcW w:w="3780" w:type="dxa"/>
            <w:shd w:val="clear" w:color="auto" w:fill="auto"/>
            <w:tcMar>
              <w:top w:w="0" w:type="dxa"/>
              <w:left w:w="108" w:type="dxa"/>
              <w:bottom w:w="0" w:type="dxa"/>
              <w:right w:w="108" w:type="dxa"/>
            </w:tcMar>
            <w:vAlign w:val="center"/>
          </w:tcPr>
          <w:p w:rsidRPr="00E02A81" w:rsidR="00FE62E3" w:rsidP="00F0578A" w:rsidRDefault="00FE62E3" w14:paraId="1E31EF3B" w14:textId="77777777">
            <w:pPr>
              <w:spacing w:after="0"/>
            </w:pPr>
            <w:r>
              <w:t>Resolve data quality issues through phone calls and emails</w:t>
            </w:r>
          </w:p>
        </w:tc>
        <w:tc>
          <w:tcPr>
            <w:tcW w:w="2161" w:type="dxa"/>
            <w:shd w:val="clear" w:color="auto" w:fill="auto"/>
            <w:tcMar>
              <w:top w:w="0" w:type="dxa"/>
              <w:left w:w="108" w:type="dxa"/>
              <w:bottom w:w="0" w:type="dxa"/>
              <w:right w:w="108" w:type="dxa"/>
            </w:tcMar>
            <w:vAlign w:val="center"/>
          </w:tcPr>
          <w:p w:rsidR="00FE62E3" w:rsidP="00F0578A" w:rsidRDefault="00FE62E3" w14:paraId="7CB37343" w14:textId="77777777">
            <w:pPr>
              <w:spacing w:after="0"/>
            </w:pPr>
            <w:r>
              <w:t>665</w:t>
            </w:r>
          </w:p>
        </w:tc>
      </w:tr>
      <w:tr w:rsidRPr="00E02A81" w:rsidR="00FE62E3" w:rsidTr="006E6529" w14:paraId="660F42CF" w14:textId="77777777">
        <w:trPr>
          <w:trHeight w:val="385"/>
        </w:trPr>
        <w:tc>
          <w:tcPr>
            <w:tcW w:w="10169" w:type="dxa"/>
            <w:gridSpan w:val="4"/>
            <w:tcMar>
              <w:top w:w="0" w:type="dxa"/>
              <w:left w:w="108" w:type="dxa"/>
              <w:bottom w:w="0" w:type="dxa"/>
              <w:right w:w="108" w:type="dxa"/>
            </w:tcMar>
            <w:vAlign w:val="center"/>
            <w:hideMark/>
          </w:tcPr>
          <w:p w:rsidRPr="00E02A81" w:rsidR="00FE62E3" w:rsidP="00F0578A" w:rsidRDefault="008F092C" w14:paraId="0D3930BC" w14:textId="792A599B">
            <w:pPr>
              <w:spacing w:after="0"/>
              <w:jc w:val="center"/>
              <w:rPr>
                <w:b/>
                <w:bCs/>
              </w:rPr>
            </w:pPr>
            <w:r>
              <w:rPr>
                <w:b/>
                <w:bCs/>
              </w:rPr>
              <w:t>October 1</w:t>
            </w:r>
            <w:r w:rsidRPr="00E02A81" w:rsidR="00FE62E3">
              <w:rPr>
                <w:b/>
                <w:bCs/>
              </w:rPr>
              <w:t xml:space="preserve"> – close out </w:t>
            </w:r>
            <w:r w:rsidR="00FE62E3">
              <w:rPr>
                <w:b/>
                <w:bCs/>
              </w:rPr>
              <w:t xml:space="preserve">data </w:t>
            </w:r>
            <w:r w:rsidRPr="00E02A81" w:rsidR="00FE62E3">
              <w:rPr>
                <w:b/>
                <w:bCs/>
              </w:rPr>
              <w:t>collection</w:t>
            </w:r>
          </w:p>
        </w:tc>
      </w:tr>
    </w:tbl>
    <w:p w:rsidR="00E304B9" w:rsidP="00FE62E3" w:rsidRDefault="00E304B9" w14:paraId="3433F4AD" w14:textId="77777777"/>
    <w:p w:rsidR="002973A6" w:rsidP="00FE62E3" w:rsidRDefault="00D44921" w14:paraId="2F0FDE38" w14:textId="1214E255">
      <w:r>
        <w:t xml:space="preserve">Data collection activities begin in </w:t>
      </w:r>
      <w:r w:rsidR="004D77F3">
        <w:t xml:space="preserve">early </w:t>
      </w:r>
      <w:r>
        <w:t>June</w:t>
      </w:r>
      <w:r w:rsidR="004D77F3">
        <w:t xml:space="preserve"> with e</w:t>
      </w:r>
      <w:r w:rsidR="00147CEF">
        <w:t>ach jail</w:t>
      </w:r>
      <w:r>
        <w:t xml:space="preserve"> </w:t>
      </w:r>
      <w:r w:rsidR="004D77F3">
        <w:t>receiving</w:t>
      </w:r>
      <w:r>
        <w:t xml:space="preserve"> a notification letter announcing the impending data collection </w:t>
      </w:r>
      <w:r w:rsidRPr="00953B2A">
        <w:t xml:space="preserve">(see Attachment </w:t>
      </w:r>
      <w:r w:rsidR="004E7C6E">
        <w:t>D</w:t>
      </w:r>
      <w:r>
        <w:t>: Pre-notification</w:t>
      </w:r>
      <w:r w:rsidRPr="00953B2A">
        <w:t>)</w:t>
      </w:r>
      <w:r>
        <w:t xml:space="preserve">. </w:t>
      </w:r>
      <w:r w:rsidR="002973A6">
        <w:t xml:space="preserve">PDF </w:t>
      </w:r>
      <w:r w:rsidR="007F0542">
        <w:t>survey form</w:t>
      </w:r>
      <w:r w:rsidR="002973A6">
        <w:t xml:space="preserve"> (see Attachment </w:t>
      </w:r>
      <w:r w:rsidR="00CB5422">
        <w:t>B</w:t>
      </w:r>
      <w:r w:rsidR="002973A6">
        <w:t xml:space="preserve">: </w:t>
      </w:r>
      <w:r w:rsidR="00472EE1">
        <w:t>F</w:t>
      </w:r>
      <w:r w:rsidR="00DF5B8D">
        <w:t xml:space="preserve">orm </w:t>
      </w:r>
      <w:r w:rsidR="002973A6">
        <w:t>CJ-5) will be</w:t>
      </w:r>
      <w:r w:rsidR="002C6C78">
        <w:t xml:space="preserve"> made</w:t>
      </w:r>
      <w:r w:rsidR="002973A6">
        <w:t xml:space="preserve"> available on the </w:t>
      </w:r>
      <w:r w:rsidR="002C6C78">
        <w:t>ASJ website</w:t>
      </w:r>
      <w:r w:rsidR="002973A6">
        <w:t xml:space="preserve"> for preview</w:t>
      </w:r>
      <w:r w:rsidR="00DF5B8D">
        <w:t xml:space="preserve"> at that time</w:t>
      </w:r>
      <w:r w:rsidR="002973A6">
        <w:t xml:space="preserve">. </w:t>
      </w:r>
      <w:r>
        <w:t xml:space="preserve">In early July, an email </w:t>
      </w:r>
      <w:r w:rsidR="00DF5B8D">
        <w:t xml:space="preserve">(see Attachment </w:t>
      </w:r>
      <w:r w:rsidR="004E7C6E">
        <w:t>E</w:t>
      </w:r>
      <w:r w:rsidR="00DF5B8D">
        <w:t xml:space="preserve">: </w:t>
      </w:r>
      <w:r w:rsidR="00472EE1">
        <w:t xml:space="preserve">Invitation email) </w:t>
      </w:r>
      <w:r>
        <w:t xml:space="preserve">will be sent to each </w:t>
      </w:r>
      <w:r w:rsidR="007F0542">
        <w:t>jail</w:t>
      </w:r>
      <w:r>
        <w:t xml:space="preserve">, </w:t>
      </w:r>
      <w:r w:rsidRPr="00C5734C">
        <w:t xml:space="preserve">announcing the start of </w:t>
      </w:r>
      <w:r>
        <w:t>ASJ</w:t>
      </w:r>
      <w:r w:rsidRPr="00C5734C">
        <w:t xml:space="preserve"> </w:t>
      </w:r>
      <w:r w:rsidR="00DF5B8D">
        <w:t xml:space="preserve">data collection </w:t>
      </w:r>
      <w:r>
        <w:t xml:space="preserve">and </w:t>
      </w:r>
      <w:r w:rsidRPr="00C5734C">
        <w:t>direct</w:t>
      </w:r>
      <w:r>
        <w:t>ing</w:t>
      </w:r>
      <w:r w:rsidRPr="00C5734C">
        <w:t xml:space="preserve"> the</w:t>
      </w:r>
      <w:r w:rsidR="007F0542">
        <w:t>m</w:t>
      </w:r>
      <w:r w:rsidRPr="00C5734C">
        <w:t xml:space="preserve"> to the </w:t>
      </w:r>
      <w:r>
        <w:t>ASJ</w:t>
      </w:r>
      <w:r w:rsidRPr="00C5734C">
        <w:t xml:space="preserve"> </w:t>
      </w:r>
      <w:r>
        <w:t>w</w:t>
      </w:r>
      <w:r w:rsidRPr="00C5734C">
        <w:t xml:space="preserve">ebsite </w:t>
      </w:r>
      <w:r>
        <w:t>with</w:t>
      </w:r>
      <w:r w:rsidRPr="00C5734C">
        <w:t xml:space="preserve"> login</w:t>
      </w:r>
      <w:r>
        <w:t xml:space="preserve"> information. </w:t>
      </w:r>
      <w:r w:rsidRPr="007D7A70" w:rsidR="00FE62E3">
        <w:t>Data-quality follow-up (calling and emailing respondents to verify questionable data points and obtain missing data) will start about two weeks after data col</w:t>
      </w:r>
      <w:r w:rsidR="00FE62E3">
        <w:t>lection opens in early July</w:t>
      </w:r>
      <w:r w:rsidRPr="007D7A70" w:rsidR="00FE62E3">
        <w:t xml:space="preserve"> and continues through the end of collection period. </w:t>
      </w:r>
    </w:p>
    <w:p w:rsidR="007C77A8" w:rsidRDefault="007C77A8" w14:paraId="3A10E098" w14:textId="77777777">
      <w:pPr>
        <w:widowControl/>
        <w:autoSpaceDE/>
        <w:autoSpaceDN/>
        <w:adjustRightInd/>
        <w:spacing w:after="200" w:line="276" w:lineRule="auto"/>
      </w:pPr>
      <w:r>
        <w:br w:type="page"/>
      </w:r>
    </w:p>
    <w:p w:rsidRPr="00C5734C" w:rsidR="00C5734C" w:rsidP="007F3B0B" w:rsidRDefault="00B6549C" w14:paraId="42F66B5A" w14:textId="21F408D2">
      <w:r>
        <w:lastRenderedPageBreak/>
        <w:t>BJS</w:t>
      </w:r>
      <w:r w:rsidR="005C2FE2">
        <w:t xml:space="preserve"> will request</w:t>
      </w:r>
      <w:r>
        <w:t xml:space="preserve"> that </w:t>
      </w:r>
      <w:r w:rsidR="0041065C">
        <w:t xml:space="preserve">jails </w:t>
      </w:r>
      <w:r>
        <w:t xml:space="preserve">submit </w:t>
      </w:r>
      <w:r w:rsidR="0041065C">
        <w:t xml:space="preserve">their </w:t>
      </w:r>
      <w:r w:rsidRPr="00C5734C" w:rsidR="00C5734C">
        <w:t xml:space="preserve">data </w:t>
      </w:r>
      <w:r w:rsidR="002C6C78">
        <w:t xml:space="preserve">by </w:t>
      </w:r>
      <w:r w:rsidR="00D271A9">
        <w:t xml:space="preserve">July </w:t>
      </w:r>
      <w:r w:rsidR="00DF5B8D">
        <w:t>3</w:t>
      </w:r>
      <w:r w:rsidR="00D271A9">
        <w:t>1</w:t>
      </w:r>
      <w:r w:rsidRPr="00C5734C" w:rsidR="00C5734C">
        <w:t xml:space="preserve">. </w:t>
      </w:r>
      <w:r w:rsidR="006A1364">
        <w:t xml:space="preserve">Reminder email </w:t>
      </w:r>
      <w:r w:rsidR="002B51DC">
        <w:t xml:space="preserve">(see Attachment </w:t>
      </w:r>
      <w:r w:rsidR="009714A7">
        <w:t>F</w:t>
      </w:r>
      <w:r w:rsidR="002B51DC">
        <w:t xml:space="preserve">: </w:t>
      </w:r>
      <w:r w:rsidR="00D820DD">
        <w:t>Reminder e</w:t>
      </w:r>
      <w:r w:rsidR="002B51DC">
        <w:t xml:space="preserve">mail 1 and Attachment </w:t>
      </w:r>
      <w:r w:rsidR="009714A7">
        <w:t>G</w:t>
      </w:r>
      <w:r w:rsidR="002B51DC">
        <w:t xml:space="preserve">: </w:t>
      </w:r>
      <w:r w:rsidR="00D820DD">
        <w:t>Reminder email</w:t>
      </w:r>
      <w:r w:rsidR="002B51DC">
        <w:t xml:space="preserve"> 2) </w:t>
      </w:r>
      <w:r w:rsidR="00BE147A">
        <w:t xml:space="preserve">will </w:t>
      </w:r>
      <w:r w:rsidR="00DF5B8D">
        <w:t xml:space="preserve">be sent on July 27 and August </w:t>
      </w:r>
      <w:r w:rsidR="00282888">
        <w:t>6</w:t>
      </w:r>
      <w:r w:rsidR="00DF5B8D">
        <w:t xml:space="preserve"> </w:t>
      </w:r>
      <w:r w:rsidRPr="00C5734C" w:rsidR="00C5734C">
        <w:t xml:space="preserve">to solicit late responses. </w:t>
      </w:r>
      <w:r w:rsidR="00D13A9F">
        <w:t>Next</w:t>
      </w:r>
      <w:r w:rsidR="00F72676">
        <w:t xml:space="preserve">, a </w:t>
      </w:r>
      <w:r w:rsidR="00D13A9F">
        <w:t>hard-copy</w:t>
      </w:r>
      <w:r w:rsidR="00F72676">
        <w:t xml:space="preserve"> </w:t>
      </w:r>
      <w:r w:rsidR="00D13A9F">
        <w:t xml:space="preserve">survey </w:t>
      </w:r>
      <w:r w:rsidR="00F72676">
        <w:t xml:space="preserve">form will be sent on </w:t>
      </w:r>
      <w:r w:rsidR="007C2CF8">
        <w:t xml:space="preserve">August 27 </w:t>
      </w:r>
      <w:r w:rsidR="00F72676">
        <w:t>with a postage-paid envelope</w:t>
      </w:r>
      <w:r w:rsidR="007161E9">
        <w:t xml:space="preserve">. Around </w:t>
      </w:r>
      <w:r w:rsidR="007C2CF8">
        <w:t>September 7</w:t>
      </w:r>
      <w:r w:rsidR="00D13A9F">
        <w:t xml:space="preserve">, </w:t>
      </w:r>
      <w:r w:rsidR="0041065C">
        <w:t xml:space="preserve">a </w:t>
      </w:r>
      <w:r w:rsidR="002956ED">
        <w:t>registered</w:t>
      </w:r>
      <w:r w:rsidR="0041065C">
        <w:t xml:space="preserve"> </w:t>
      </w:r>
      <w:r w:rsidR="00F72676">
        <w:t>letter</w:t>
      </w:r>
      <w:r w:rsidR="008007DD">
        <w:t xml:space="preserve">, </w:t>
      </w:r>
      <w:r w:rsidR="00F72676">
        <w:t xml:space="preserve">signed by BJS Director (see Attachment </w:t>
      </w:r>
      <w:r w:rsidR="00950040">
        <w:t>H</w:t>
      </w:r>
      <w:r w:rsidR="00F72676">
        <w:t xml:space="preserve">: Reminder director) will be sent to </w:t>
      </w:r>
      <w:r w:rsidR="005A525A">
        <w:t xml:space="preserve">the remaining non-respondents to </w:t>
      </w:r>
      <w:r w:rsidR="00F72676">
        <w:t xml:space="preserve">encourage survey participation. </w:t>
      </w:r>
      <w:r>
        <w:t>Personalized</w:t>
      </w:r>
      <w:r w:rsidRPr="00C5734C">
        <w:t xml:space="preserve"> </w:t>
      </w:r>
      <w:r>
        <w:t xml:space="preserve">nonresponse </w:t>
      </w:r>
      <w:r w:rsidRPr="00C5734C">
        <w:t>follow-up</w:t>
      </w:r>
      <w:r>
        <w:t>, where</w:t>
      </w:r>
      <w:r w:rsidRPr="00C5734C">
        <w:t xml:space="preserve"> </w:t>
      </w:r>
      <w:r w:rsidR="007D5586">
        <w:t xml:space="preserve">data collection </w:t>
      </w:r>
      <w:r w:rsidR="002956ED">
        <w:t>staff contact</w:t>
      </w:r>
      <w:r w:rsidR="00EF525F">
        <w:t xml:space="preserve"> </w:t>
      </w:r>
      <w:r>
        <w:t xml:space="preserve">individual </w:t>
      </w:r>
      <w:r w:rsidRPr="00C5734C" w:rsidR="00C5734C">
        <w:t>nonrespondents via phone</w:t>
      </w:r>
      <w:r>
        <w:t xml:space="preserve"> and</w:t>
      </w:r>
      <w:r w:rsidRPr="00C5734C" w:rsidR="00C5734C">
        <w:t xml:space="preserve"> email</w:t>
      </w:r>
      <w:r w:rsidR="00BE147A">
        <w:t xml:space="preserve"> will</w:t>
      </w:r>
      <w:r w:rsidR="003630F5">
        <w:t xml:space="preserve"> </w:t>
      </w:r>
      <w:r>
        <w:t xml:space="preserve">start in </w:t>
      </w:r>
      <w:r w:rsidR="007C2CF8">
        <w:t>September 1</w:t>
      </w:r>
      <w:r>
        <w:t xml:space="preserve"> and continue through </w:t>
      </w:r>
      <w:r w:rsidR="007C2CF8">
        <w:t>October 1</w:t>
      </w:r>
      <w:r w:rsidRPr="00C5734C" w:rsidR="00C5734C">
        <w:t xml:space="preserve">. </w:t>
      </w:r>
    </w:p>
    <w:p w:rsidR="00DF5B8D" w:rsidP="007F3B0B" w:rsidRDefault="00AD24E1" w14:paraId="3D2F5DBB" w14:textId="0E233A5C">
      <w:r>
        <w:t xml:space="preserve">The data collection </w:t>
      </w:r>
      <w:r w:rsidR="005C2FE2">
        <w:t>will close</w:t>
      </w:r>
      <w:r>
        <w:t xml:space="preserve"> </w:t>
      </w:r>
      <w:r w:rsidR="007C2CF8">
        <w:t>on October 1</w:t>
      </w:r>
      <w:r>
        <w:t xml:space="preserve">. </w:t>
      </w:r>
      <w:r w:rsidR="00DF5B8D">
        <w:t xml:space="preserve">About one month after </w:t>
      </w:r>
      <w:r w:rsidR="002956ED">
        <w:t>that</w:t>
      </w:r>
      <w:r w:rsidRPr="007D7A70" w:rsidR="00DF5B8D">
        <w:t xml:space="preserve">, the data collection agent will deliver a </w:t>
      </w:r>
      <w:r w:rsidR="00DF5B8D">
        <w:t xml:space="preserve">cleaned and edited </w:t>
      </w:r>
      <w:r w:rsidRPr="007D7A70" w:rsidR="00DF5B8D">
        <w:t>data file to BJS.</w:t>
      </w:r>
    </w:p>
    <w:p w:rsidRPr="00953B2A" w:rsidR="00E1624F" w:rsidP="00811F8C" w:rsidRDefault="00944192" w14:paraId="2B9174BB" w14:textId="5D4E3966">
      <w:pPr>
        <w:pStyle w:val="Heading2"/>
      </w:pPr>
      <w:r w:rsidRPr="00953B2A">
        <w:t xml:space="preserve">3. </w:t>
      </w:r>
      <w:r w:rsidRPr="00953B2A">
        <w:tab/>
        <w:t>Methods to Maximize Response</w:t>
      </w:r>
    </w:p>
    <w:p w:rsidR="00251781" w:rsidP="007F3B0B" w:rsidRDefault="00EF79AF" w14:paraId="3C5C9266" w14:textId="007105FB">
      <w:r>
        <w:t>Al</w:t>
      </w:r>
      <w:r w:rsidR="00D86723">
        <w:t>though participation in t</w:t>
      </w:r>
      <w:r w:rsidRPr="00953B2A" w:rsidR="00115FA5">
        <w:t xml:space="preserve">he </w:t>
      </w:r>
      <w:r w:rsidR="00115FA5">
        <w:t>ASJ</w:t>
      </w:r>
      <w:r w:rsidRPr="00953B2A" w:rsidR="00115FA5">
        <w:t xml:space="preserve"> is voluntary</w:t>
      </w:r>
      <w:r w:rsidR="00D86723">
        <w:t>,</w:t>
      </w:r>
      <w:r w:rsidRPr="00953B2A" w:rsidR="00D86723">
        <w:t xml:space="preserve"> B</w:t>
      </w:r>
      <w:r w:rsidR="00D86723">
        <w:t xml:space="preserve">JS has maintained high survey </w:t>
      </w:r>
      <w:r w:rsidRPr="00953B2A" w:rsidR="00D86723">
        <w:t xml:space="preserve">response </w:t>
      </w:r>
      <w:r w:rsidR="00D86723">
        <w:t>rates and item response rates for this collection. For example, 92% of the sampled jails participated in the 2018 ASJ</w:t>
      </w:r>
      <w:r w:rsidRPr="00953B2A" w:rsidR="00D86723">
        <w:t xml:space="preserve">, </w:t>
      </w:r>
      <w:r w:rsidR="00D86723">
        <w:t xml:space="preserve">and the </w:t>
      </w:r>
      <w:r w:rsidR="001759CA">
        <w:t>lowest item response rate</w:t>
      </w:r>
      <w:r w:rsidR="00D86723">
        <w:t xml:space="preserve"> w</w:t>
      </w:r>
      <w:r w:rsidR="001759CA">
        <w:t>as</w:t>
      </w:r>
      <w:r w:rsidR="00D86723">
        <w:t xml:space="preserve"> </w:t>
      </w:r>
      <w:r w:rsidR="005C2FE2">
        <w:t>over</w:t>
      </w:r>
      <w:r w:rsidR="001759CA">
        <w:t xml:space="preserve"> 90%. </w:t>
      </w:r>
      <w:r w:rsidRPr="00B5163D" w:rsidR="00E81AAD">
        <w:t xml:space="preserve">To maximize response rates, </w:t>
      </w:r>
      <w:r w:rsidRPr="00316CF8" w:rsidR="009920E0">
        <w:t xml:space="preserve">BJS and </w:t>
      </w:r>
      <w:r w:rsidR="002956ED">
        <w:t>the</w:t>
      </w:r>
      <w:r w:rsidR="009920E0">
        <w:t xml:space="preserve"> </w:t>
      </w:r>
      <w:r w:rsidRPr="00316CF8" w:rsidR="009920E0">
        <w:t xml:space="preserve">data collection agent </w:t>
      </w:r>
      <w:r w:rsidR="009920E0">
        <w:t>will work with the American Jail Association (AJA) to advertise</w:t>
      </w:r>
      <w:r w:rsidRPr="00316CF8" w:rsidR="009920E0">
        <w:t xml:space="preserve"> the</w:t>
      </w:r>
      <w:r w:rsidR="009920E0">
        <w:t xml:space="preserve"> upcoming ASJ</w:t>
      </w:r>
      <w:r w:rsidRPr="00316CF8" w:rsidR="009920E0">
        <w:t xml:space="preserve"> to encourage participation.</w:t>
      </w:r>
      <w:r w:rsidR="009920E0">
        <w:t xml:space="preserve"> </w:t>
      </w:r>
      <w:r w:rsidR="00277B0E">
        <w:t xml:space="preserve">About one month before data collection starts, BJS will send a </w:t>
      </w:r>
      <w:r w:rsidR="009920E0">
        <w:t>prenotification letter to sampled jails</w:t>
      </w:r>
      <w:r w:rsidR="00277B0E">
        <w:t xml:space="preserve">, </w:t>
      </w:r>
      <w:r w:rsidR="009920E0">
        <w:t>explain</w:t>
      </w:r>
      <w:r w:rsidR="00277B0E">
        <w:t>ing</w:t>
      </w:r>
      <w:r w:rsidR="009920E0">
        <w:t xml:space="preserve"> </w:t>
      </w:r>
      <w:r w:rsidR="00C80366">
        <w:t xml:space="preserve">what the ASJ is about and </w:t>
      </w:r>
      <w:r w:rsidR="009920E0">
        <w:t xml:space="preserve">why it is important to participate in the </w:t>
      </w:r>
      <w:r w:rsidR="00C80366">
        <w:t xml:space="preserve">study. </w:t>
      </w:r>
      <w:r w:rsidR="00277B0E">
        <w:t xml:space="preserve">The letter </w:t>
      </w:r>
      <w:r w:rsidR="00C80366">
        <w:t>will also provide</w:t>
      </w:r>
      <w:r w:rsidR="009920E0">
        <w:t xml:space="preserve"> a survey preview</w:t>
      </w:r>
      <w:r w:rsidR="006E710D">
        <w:t xml:space="preserve"> </w:t>
      </w:r>
      <w:r w:rsidR="00AE240E">
        <w:t xml:space="preserve">and </w:t>
      </w:r>
      <w:r w:rsidR="004E48E0">
        <w:t>a list of frequently asked questions</w:t>
      </w:r>
      <w:r w:rsidR="009920E0">
        <w:t xml:space="preserve">. </w:t>
      </w:r>
      <w:r w:rsidR="002956ED">
        <w:t xml:space="preserve">While </w:t>
      </w:r>
      <w:r w:rsidR="00977295">
        <w:t xml:space="preserve">BJS encourages </w:t>
      </w:r>
      <w:r w:rsidR="00184C42">
        <w:t xml:space="preserve">online data submission </w:t>
      </w:r>
      <w:r w:rsidR="00977295">
        <w:t>for best data quality</w:t>
      </w:r>
      <w:r w:rsidR="00184C42">
        <w:t xml:space="preserve">, </w:t>
      </w:r>
      <w:r w:rsidR="002956ED">
        <w:t>it</w:t>
      </w:r>
      <w:r w:rsidR="00977295">
        <w:t xml:space="preserve"> also </w:t>
      </w:r>
      <w:r w:rsidR="00802D6B">
        <w:t>provides</w:t>
      </w:r>
      <w:r w:rsidRPr="00B5163D" w:rsidR="00E81AAD">
        <w:t xml:space="preserve"> </w:t>
      </w:r>
      <w:r w:rsidR="003C25BD">
        <w:t xml:space="preserve">other </w:t>
      </w:r>
      <w:r w:rsidRPr="00B5163D" w:rsidR="00E81AAD">
        <w:t>modes of data submission</w:t>
      </w:r>
      <w:r w:rsidR="009C6672">
        <w:t xml:space="preserve"> (</w:t>
      </w:r>
      <w:r w:rsidRPr="00B5163D" w:rsidR="009C6672">
        <w:t>fax, e-mail, or telephone</w:t>
      </w:r>
      <w:r w:rsidR="009C6672">
        <w:t xml:space="preserve">) to accommodate </w:t>
      </w:r>
      <w:r w:rsidRPr="00B5163D" w:rsidR="00E81AAD">
        <w:t>jail</w:t>
      </w:r>
      <w:r w:rsidR="009C6672">
        <w:t>s</w:t>
      </w:r>
      <w:r w:rsidRPr="00B5163D" w:rsidR="00E81AAD">
        <w:t xml:space="preserve"> </w:t>
      </w:r>
      <w:r w:rsidR="009C6672">
        <w:t xml:space="preserve">that have </w:t>
      </w:r>
      <w:r w:rsidRPr="00B5163D" w:rsidR="009C6672">
        <w:t xml:space="preserve">limited access to the </w:t>
      </w:r>
      <w:r w:rsidR="002956ED">
        <w:t>internet</w:t>
      </w:r>
      <w:r w:rsidR="009C6672">
        <w:t xml:space="preserve"> or </w:t>
      </w:r>
      <w:r w:rsidR="00E9197B">
        <w:t xml:space="preserve">simply </w:t>
      </w:r>
      <w:r w:rsidR="009C6672">
        <w:t>prefer</w:t>
      </w:r>
      <w:r w:rsidR="00E9197B">
        <w:t xml:space="preserve"> </w:t>
      </w:r>
      <w:r w:rsidR="002956ED">
        <w:t>to work with hard</w:t>
      </w:r>
      <w:r w:rsidR="00E9197B">
        <w:t>cop</w:t>
      </w:r>
      <w:r w:rsidR="002956ED">
        <w:t>y survey forms.</w:t>
      </w:r>
    </w:p>
    <w:p w:rsidR="00C80366" w:rsidP="00C80366" w:rsidRDefault="00D57D74" w14:paraId="545321C8" w14:textId="59B24850">
      <w:r>
        <w:t xml:space="preserve">Throughout the </w:t>
      </w:r>
      <w:r w:rsidRPr="00C5734C">
        <w:t>data collection period</w:t>
      </w:r>
      <w:r>
        <w:t>, t</w:t>
      </w:r>
      <w:r w:rsidR="00C80366">
        <w:t xml:space="preserve">he data collection agent </w:t>
      </w:r>
      <w:r>
        <w:t>will monitor</w:t>
      </w:r>
      <w:r w:rsidRPr="00C5734C" w:rsidR="00C80366">
        <w:t xml:space="preserve"> </w:t>
      </w:r>
      <w:r w:rsidR="00C93C75">
        <w:t xml:space="preserve">data </w:t>
      </w:r>
      <w:r w:rsidR="00C80366">
        <w:t xml:space="preserve">submission </w:t>
      </w:r>
      <w:r>
        <w:t>and track</w:t>
      </w:r>
      <w:r w:rsidRPr="00C5734C" w:rsidR="00C80366">
        <w:t xml:space="preserve"> </w:t>
      </w:r>
      <w:r w:rsidR="006855C8">
        <w:t xml:space="preserve">survey paradata, e.g., </w:t>
      </w:r>
      <w:r w:rsidR="00C80366">
        <w:t>respondent log-in timestamps</w:t>
      </w:r>
      <w:r w:rsidRPr="00C5734C" w:rsidR="00C80366">
        <w:t xml:space="preserve">, contacts made </w:t>
      </w:r>
      <w:r w:rsidR="00C80366">
        <w:t>with</w:t>
      </w:r>
      <w:r w:rsidRPr="00C5734C" w:rsidR="00C80366">
        <w:t xml:space="preserve"> each agency, and </w:t>
      </w:r>
      <w:r w:rsidR="00E31FA1">
        <w:t xml:space="preserve">comments </w:t>
      </w:r>
      <w:r w:rsidR="006855C8">
        <w:t xml:space="preserve">respondents </w:t>
      </w:r>
      <w:r w:rsidR="00684E39">
        <w:t xml:space="preserve">left </w:t>
      </w:r>
      <w:r w:rsidR="00E31FA1">
        <w:t xml:space="preserve">on the </w:t>
      </w:r>
      <w:r w:rsidR="006855C8">
        <w:t>survey</w:t>
      </w:r>
      <w:r w:rsidR="00E31FA1">
        <w:t xml:space="preserve"> form</w:t>
      </w:r>
      <w:r w:rsidRPr="00FC6C9B" w:rsidR="00C80366">
        <w:t>.</w:t>
      </w:r>
      <w:r w:rsidR="006855C8">
        <w:t xml:space="preserve"> The paradata </w:t>
      </w:r>
      <w:r w:rsidR="00C80366">
        <w:t>will be</w:t>
      </w:r>
      <w:r w:rsidRPr="00C5734C" w:rsidR="00C80366">
        <w:t xml:space="preserve"> used for tailored </w:t>
      </w:r>
      <w:r w:rsidR="00684E39">
        <w:t>non-response follow-up</w:t>
      </w:r>
      <w:r w:rsidR="00E31FA1">
        <w:t xml:space="preserve"> and data quality follow-up.</w:t>
      </w:r>
      <w:r w:rsidRPr="00C5734C" w:rsidR="00C80366">
        <w:t xml:space="preserve"> For </w:t>
      </w:r>
      <w:r w:rsidR="000359CB">
        <w:t>these</w:t>
      </w:r>
      <w:r w:rsidRPr="00C5734C" w:rsidR="00C80366">
        <w:t xml:space="preserve"> outreach activities, </w:t>
      </w:r>
      <w:r w:rsidR="000359CB">
        <w:t xml:space="preserve">each </w:t>
      </w:r>
      <w:r w:rsidR="00684E39">
        <w:t>jail</w:t>
      </w:r>
      <w:r w:rsidRPr="00C5734C" w:rsidR="00C80366">
        <w:t xml:space="preserve"> </w:t>
      </w:r>
      <w:r w:rsidR="00C80366">
        <w:t>will be</w:t>
      </w:r>
      <w:r w:rsidRPr="00C5734C" w:rsidR="00C80366">
        <w:t xml:space="preserve"> assigned </w:t>
      </w:r>
      <w:r w:rsidR="00C80366">
        <w:t xml:space="preserve">to, </w:t>
      </w:r>
      <w:r w:rsidRPr="00C5734C" w:rsidR="00C80366">
        <w:t>and managed by</w:t>
      </w:r>
      <w:r w:rsidR="00C80366">
        <w:t xml:space="preserve">, </w:t>
      </w:r>
      <w:r w:rsidR="000359CB">
        <w:t xml:space="preserve">a </w:t>
      </w:r>
      <w:r w:rsidR="00C80366">
        <w:t>specific</w:t>
      </w:r>
      <w:r w:rsidRPr="00C5734C" w:rsidR="00C80366">
        <w:t xml:space="preserve"> </w:t>
      </w:r>
      <w:r w:rsidR="000359CB">
        <w:t>member of the data collection team</w:t>
      </w:r>
      <w:r w:rsidRPr="00C5734C" w:rsidR="00C80366">
        <w:t xml:space="preserve">, </w:t>
      </w:r>
      <w:r w:rsidR="000359CB">
        <w:t xml:space="preserve">who serves as </w:t>
      </w:r>
      <w:r w:rsidR="00617AE2">
        <w:t xml:space="preserve">a consistent </w:t>
      </w:r>
      <w:r w:rsidR="000359CB">
        <w:t xml:space="preserve">“agency </w:t>
      </w:r>
      <w:r w:rsidRPr="00C5734C" w:rsidR="00C80366">
        <w:t>liaison</w:t>
      </w:r>
      <w:r w:rsidR="000359CB">
        <w:t>”</w:t>
      </w:r>
      <w:r w:rsidRPr="00C5734C" w:rsidR="00C80366">
        <w:t xml:space="preserve"> </w:t>
      </w:r>
      <w:r w:rsidR="000359CB">
        <w:t>throughout</w:t>
      </w:r>
      <w:r w:rsidRPr="00C5734C" w:rsidR="00C80366">
        <w:t xml:space="preserve"> </w:t>
      </w:r>
      <w:r w:rsidR="000359CB">
        <w:t>data</w:t>
      </w:r>
      <w:r w:rsidR="00C80366">
        <w:t xml:space="preserve"> collection.</w:t>
      </w:r>
    </w:p>
    <w:p w:rsidRPr="00953B2A" w:rsidR="00E21CE8" w:rsidP="007F3B0B" w:rsidRDefault="00B439FD" w14:paraId="7654F926" w14:textId="234F1651">
      <w:r>
        <w:t>The</w:t>
      </w:r>
      <w:r w:rsidR="008B6983">
        <w:t xml:space="preserve"> </w:t>
      </w:r>
      <w:r w:rsidR="000359CB">
        <w:t xml:space="preserve">above </w:t>
      </w:r>
      <w:r w:rsidR="00336C07">
        <w:t xml:space="preserve">proposed </w:t>
      </w:r>
      <w:r>
        <w:t>data collection schedule</w:t>
      </w:r>
      <w:r w:rsidR="008B6983">
        <w:t xml:space="preserve"> </w:t>
      </w:r>
      <w:r w:rsidR="003151EE">
        <w:t xml:space="preserve">and respondent contact materials </w:t>
      </w:r>
      <w:r w:rsidR="000359CB">
        <w:t xml:space="preserve">(Attachments </w:t>
      </w:r>
      <w:r w:rsidR="00950040">
        <w:t>D</w:t>
      </w:r>
      <w:r w:rsidR="000359CB">
        <w:t>-</w:t>
      </w:r>
      <w:r w:rsidR="00950040">
        <w:t>H</w:t>
      </w:r>
      <w:r w:rsidR="000359CB">
        <w:t xml:space="preserve">) </w:t>
      </w:r>
      <w:r>
        <w:t>ha</w:t>
      </w:r>
      <w:r w:rsidR="003151EE">
        <w:t>ve</w:t>
      </w:r>
      <w:r w:rsidR="00E17455">
        <w:t xml:space="preserve"> been used in </w:t>
      </w:r>
      <w:r w:rsidR="00CC0598">
        <w:t>past</w:t>
      </w:r>
      <w:r w:rsidR="00E17455">
        <w:t xml:space="preserve"> ASJ </w:t>
      </w:r>
      <w:r w:rsidR="00257A5A">
        <w:t xml:space="preserve">collections </w:t>
      </w:r>
      <w:r w:rsidR="00E17455">
        <w:t xml:space="preserve">and </w:t>
      </w:r>
      <w:r>
        <w:t>prove</w:t>
      </w:r>
      <w:r w:rsidR="00617AE2">
        <w:t>n</w:t>
      </w:r>
      <w:r>
        <w:t xml:space="preserve"> </w:t>
      </w:r>
      <w:r w:rsidR="00F9041E">
        <w:t xml:space="preserve">to be </w:t>
      </w:r>
      <w:r>
        <w:t>successful</w:t>
      </w:r>
      <w:r w:rsidR="00356200">
        <w:t xml:space="preserve"> in </w:t>
      </w:r>
      <w:r w:rsidR="00E84D56">
        <w:t>achieving</w:t>
      </w:r>
      <w:r w:rsidR="00356200">
        <w:t xml:space="preserve"> a high response rate</w:t>
      </w:r>
      <w:r w:rsidR="006E0446">
        <w:t xml:space="preserve">. </w:t>
      </w:r>
      <w:r w:rsidR="00D57D74">
        <w:t>During each iteration of the ASJ</w:t>
      </w:r>
      <w:r w:rsidR="00257A5A">
        <w:t xml:space="preserve">, the </w:t>
      </w:r>
      <w:r w:rsidR="00236352">
        <w:t>schedule</w:t>
      </w:r>
      <w:r w:rsidR="000359CB">
        <w:t xml:space="preserve"> and</w:t>
      </w:r>
      <w:r w:rsidR="00236352">
        <w:t xml:space="preserve"> </w:t>
      </w:r>
      <w:r w:rsidR="000359CB">
        <w:t>materials</w:t>
      </w:r>
      <w:r w:rsidR="00257A5A">
        <w:t xml:space="preserve"> are </w:t>
      </w:r>
      <w:r w:rsidR="00030287">
        <w:t xml:space="preserve">reviewed to determine if </w:t>
      </w:r>
      <w:r w:rsidR="00B14FF2">
        <w:t xml:space="preserve">further </w:t>
      </w:r>
      <w:r w:rsidR="00030287">
        <w:t>improve</w:t>
      </w:r>
      <w:r w:rsidR="00B14FF2">
        <w:t xml:space="preserve">ment can be made to </w:t>
      </w:r>
      <w:r w:rsidR="00E022FC">
        <w:t xml:space="preserve">increase response rates, reduce </w:t>
      </w:r>
      <w:r w:rsidR="00B14FF2">
        <w:t>respondent burden, save cost, and enhance data quality</w:t>
      </w:r>
      <w:r w:rsidR="007F6BF1">
        <w:t>.</w:t>
      </w:r>
      <w:r w:rsidR="006E0446">
        <w:t xml:space="preserve"> </w:t>
      </w:r>
    </w:p>
    <w:p w:rsidRPr="00D57D74" w:rsidR="00803FDE" w:rsidP="00803FDE" w:rsidRDefault="00803FDE" w14:paraId="79FD32CC" w14:textId="2FF866AC">
      <w:pPr>
        <w:spacing w:after="200"/>
      </w:pPr>
      <w:r>
        <w:t xml:space="preserve">Starting with the </w:t>
      </w:r>
      <w:r w:rsidR="00B14FF2">
        <w:t>2011</w:t>
      </w:r>
      <w:r>
        <w:t xml:space="preserve"> ASJ</w:t>
      </w:r>
      <w:r w:rsidR="00B14FF2">
        <w:t xml:space="preserve">, BJS implemented nonresponse weight adjustment procedures to account for unit nonresponse. </w:t>
      </w:r>
      <w:r>
        <w:t>For responding jail</w:t>
      </w:r>
      <w:r w:rsidR="00ED3AA5">
        <w:t>s</w:t>
      </w:r>
      <w:r>
        <w:t xml:space="preserve"> that were unable to provide some requested items, missing values were imputed using a</w:t>
      </w:r>
      <w:r w:rsidR="008C4213">
        <w:t xml:space="preserve"> cold-deck carry forward method. When </w:t>
      </w:r>
      <w:r>
        <w:t xml:space="preserve">past data for the same jail were not available, </w:t>
      </w:r>
      <w:r w:rsidR="005E7FAD">
        <w:t xml:space="preserve">missing data were imputed using the </w:t>
      </w:r>
      <w:r>
        <w:t>weighted sequential hot-deck method. Detail</w:t>
      </w:r>
      <w:r w:rsidR="00ED3AA5">
        <w:t>ed</w:t>
      </w:r>
      <w:r>
        <w:t xml:space="preserve"> information on nonresponse adjustment </w:t>
      </w:r>
      <w:r w:rsidR="00ED3AA5">
        <w:t xml:space="preserve">and </w:t>
      </w:r>
      <w:r w:rsidR="005E7FAD">
        <w:t xml:space="preserve">missing data </w:t>
      </w:r>
      <w:r w:rsidR="00ED3AA5">
        <w:t>imputation</w:t>
      </w:r>
      <w:r>
        <w:t xml:space="preserve"> is available in the methodology section of </w:t>
      </w:r>
      <w:r>
        <w:rPr>
          <w:i/>
        </w:rPr>
        <w:t>Jail Inmates, 2018.</w:t>
      </w:r>
      <w:r w:rsidR="00D57D74">
        <w:rPr>
          <w:i/>
        </w:rPr>
        <w:t xml:space="preserve"> </w:t>
      </w:r>
      <w:r w:rsidRPr="00D57D74" w:rsidR="00D57D74">
        <w:t>The</w:t>
      </w:r>
      <w:r w:rsidR="00D57D74">
        <w:rPr>
          <w:i/>
        </w:rPr>
        <w:t xml:space="preserve"> </w:t>
      </w:r>
      <w:r w:rsidR="00D57D74">
        <w:t>2020 ASJ will continue to use the same procedures to minimize bias arising from unit and item nonresponse.</w:t>
      </w:r>
    </w:p>
    <w:p w:rsidR="007C77A8" w:rsidRDefault="007C77A8" w14:paraId="63FAE622" w14:textId="77777777">
      <w:pPr>
        <w:widowControl/>
        <w:autoSpaceDE/>
        <w:autoSpaceDN/>
        <w:adjustRightInd/>
        <w:spacing w:after="200" w:line="276" w:lineRule="auto"/>
        <w:rPr>
          <w:rFonts w:eastAsiaTheme="minorEastAsia"/>
        </w:rPr>
      </w:pPr>
      <w:r>
        <w:br w:type="page"/>
      </w:r>
    </w:p>
    <w:p w:rsidRPr="00953B2A" w:rsidR="00944192" w:rsidP="00811F8C" w:rsidRDefault="00944192" w14:paraId="589BCF59" w14:textId="27758EFA">
      <w:pPr>
        <w:pStyle w:val="Heading2"/>
      </w:pPr>
      <w:r w:rsidRPr="00953B2A">
        <w:lastRenderedPageBreak/>
        <w:t>4.</w:t>
      </w:r>
      <w:r w:rsidRPr="00953B2A">
        <w:tab/>
        <w:t>Test of Procedures or Methods</w:t>
      </w:r>
    </w:p>
    <w:p w:rsidR="005F4923" w:rsidP="007F3B0B" w:rsidRDefault="006F51A5" w14:paraId="415E997F" w14:textId="72BBCF97">
      <w:r>
        <w:t>A</w:t>
      </w:r>
      <w:r w:rsidRPr="00316CF8">
        <w:t>s discussed in Part A</w:t>
      </w:r>
      <w:r>
        <w:t xml:space="preserve">, the 2020 ASJ </w:t>
      </w:r>
      <w:r w:rsidR="00CB0CE3">
        <w:t xml:space="preserve">will </w:t>
      </w:r>
      <w:r>
        <w:t xml:space="preserve">introduce </w:t>
      </w:r>
      <w:r w:rsidR="00690025">
        <w:t>three</w:t>
      </w:r>
      <w:r>
        <w:t xml:space="preserve"> new questions: </w:t>
      </w:r>
      <w:r w:rsidR="00690025">
        <w:t xml:space="preserve">inmate counts by age group, </w:t>
      </w:r>
      <w:r w:rsidR="001375C5">
        <w:t xml:space="preserve">counts of parole and probation violators </w:t>
      </w:r>
      <w:r>
        <w:rPr>
          <w:rFonts w:eastAsiaTheme="minorEastAsia"/>
        </w:rPr>
        <w:t xml:space="preserve">and </w:t>
      </w:r>
      <w:r w:rsidR="005651BC">
        <w:rPr>
          <w:rFonts w:eastAsiaTheme="minorEastAsia"/>
        </w:rPr>
        <w:t xml:space="preserve">number of </w:t>
      </w:r>
      <w:r>
        <w:rPr>
          <w:rFonts w:eastAsiaTheme="minorEastAsia"/>
        </w:rPr>
        <w:t>non-U.S. citizens by conviction status</w:t>
      </w:r>
      <w:r>
        <w:t xml:space="preserve">. </w:t>
      </w:r>
      <w:r w:rsidR="00CB0CE3">
        <w:t xml:space="preserve">In 2018, </w:t>
      </w:r>
      <w:r w:rsidRPr="00316CF8" w:rsidR="00316CF8">
        <w:t xml:space="preserve">BJS </w:t>
      </w:r>
      <w:r w:rsidR="00270CF2">
        <w:t xml:space="preserve">conducted a cognitive test </w:t>
      </w:r>
      <w:r w:rsidR="000C0BF1">
        <w:t xml:space="preserve">(under BJS generic clearance </w:t>
      </w:r>
      <w:r w:rsidRPr="007D7A70" w:rsidR="000C0BF1">
        <w:t xml:space="preserve">OMB Control </w:t>
      </w:r>
      <w:r w:rsidR="000C0BF1">
        <w:t>No.</w:t>
      </w:r>
      <w:r w:rsidRPr="007D7A70" w:rsidR="000C0BF1">
        <w:t xml:space="preserve"> 1121-0339</w:t>
      </w:r>
      <w:r w:rsidR="000C0BF1">
        <w:t>)</w:t>
      </w:r>
      <w:r w:rsidRPr="007D7A70" w:rsidR="000C0BF1">
        <w:t xml:space="preserve"> </w:t>
      </w:r>
      <w:r w:rsidR="00270CF2">
        <w:t xml:space="preserve">to </w:t>
      </w:r>
      <w:r w:rsidRPr="00316CF8" w:rsidR="00316CF8">
        <w:t>obtain feedback from jail</w:t>
      </w:r>
      <w:r w:rsidR="00316CF8">
        <w:t>s</w:t>
      </w:r>
      <w:r w:rsidRPr="00316CF8" w:rsidR="00316CF8">
        <w:t xml:space="preserve"> </w:t>
      </w:r>
      <w:r>
        <w:t>on new</w:t>
      </w:r>
      <w:r w:rsidR="00270CF2">
        <w:t>ly proposed</w:t>
      </w:r>
      <w:r>
        <w:t xml:space="preserve"> </w:t>
      </w:r>
      <w:r w:rsidR="00C73FCF">
        <w:t xml:space="preserve">questions </w:t>
      </w:r>
      <w:r>
        <w:t xml:space="preserve">and </w:t>
      </w:r>
      <w:r w:rsidR="00C73FCF">
        <w:t xml:space="preserve">some </w:t>
      </w:r>
      <w:r>
        <w:t>existing question</w:t>
      </w:r>
      <w:r w:rsidRPr="00316CF8" w:rsidR="00316CF8">
        <w:t xml:space="preserve">s. </w:t>
      </w:r>
      <w:r w:rsidRPr="0077001F" w:rsidR="0077001F">
        <w:t xml:space="preserve">BJS </w:t>
      </w:r>
      <w:r w:rsidR="0077001F">
        <w:t xml:space="preserve">tested </w:t>
      </w:r>
      <w:r w:rsidR="00E85476">
        <w:t>these</w:t>
      </w:r>
      <w:r w:rsidR="0077001F">
        <w:t xml:space="preserve"> questions </w:t>
      </w:r>
      <w:r w:rsidR="00A82347">
        <w:t>with</w:t>
      </w:r>
      <w:r w:rsidRPr="003F7F9D" w:rsidR="00E40860">
        <w:t xml:space="preserve"> </w:t>
      </w:r>
      <w:r w:rsidR="00FA7F0A">
        <w:t xml:space="preserve">33 </w:t>
      </w:r>
      <w:r w:rsidR="00EA7CEA">
        <w:t>jails</w:t>
      </w:r>
      <w:r w:rsidR="00C61223">
        <w:t xml:space="preserve"> that varied in size, past survey response pattern, and county overdose death rate</w:t>
      </w:r>
      <w:r w:rsidR="00E85476">
        <w:t xml:space="preserve"> (for testing</w:t>
      </w:r>
      <w:r w:rsidR="00CB0CE3">
        <w:t xml:space="preserve"> questions on jail</w:t>
      </w:r>
      <w:r w:rsidR="00E85476">
        <w:t xml:space="preserve"> opioid program</w:t>
      </w:r>
      <w:r w:rsidR="00CB0CE3">
        <w:t>s</w:t>
      </w:r>
      <w:r w:rsidR="00617AE2">
        <w:t xml:space="preserve"> to be used in the COJ</w:t>
      </w:r>
      <w:r w:rsidR="00E85476">
        <w:t>)</w:t>
      </w:r>
      <w:r w:rsidR="00FA7F0A">
        <w:t>.</w:t>
      </w:r>
      <w:r w:rsidR="00123A42">
        <w:t xml:space="preserve"> </w:t>
      </w:r>
      <w:r w:rsidR="00E40860">
        <w:t>Re</w:t>
      </w:r>
      <w:r w:rsidRPr="00E40860" w:rsidR="00E40860">
        <w:t xml:space="preserve">spondents </w:t>
      </w:r>
      <w:r w:rsidR="00E40860">
        <w:t xml:space="preserve">filled out </w:t>
      </w:r>
      <w:r w:rsidR="00D61F69">
        <w:t xml:space="preserve">a </w:t>
      </w:r>
      <w:r w:rsidR="00E40860">
        <w:t>test survey</w:t>
      </w:r>
      <w:r w:rsidRPr="00E40860" w:rsidR="00E40860">
        <w:t xml:space="preserve"> </w:t>
      </w:r>
      <w:r w:rsidR="00C61223">
        <w:t xml:space="preserve">online </w:t>
      </w:r>
      <w:r w:rsidRPr="00E40860" w:rsidR="00E40860">
        <w:t>and</w:t>
      </w:r>
      <w:r w:rsidR="00E40860">
        <w:t xml:space="preserve"> participated in </w:t>
      </w:r>
      <w:r w:rsidR="00FA689B">
        <w:t xml:space="preserve">a </w:t>
      </w:r>
      <w:r w:rsidRPr="00E40860" w:rsidR="00E40860">
        <w:t xml:space="preserve">follow-up semi-structured phone interview to </w:t>
      </w:r>
      <w:r w:rsidR="00FE3EE3">
        <w:t>discuss</w:t>
      </w:r>
      <w:r w:rsidRPr="00E40860" w:rsidR="00FE3EE3">
        <w:t xml:space="preserve"> </w:t>
      </w:r>
      <w:r w:rsidRPr="00E40860" w:rsidR="00E40860">
        <w:t>the</w:t>
      </w:r>
      <w:r w:rsidR="00FE3EE3">
        <w:t xml:space="preserve">ir understanding </w:t>
      </w:r>
      <w:r w:rsidR="00147982">
        <w:t xml:space="preserve">of the items </w:t>
      </w:r>
      <w:r w:rsidR="00FE3EE3">
        <w:t xml:space="preserve">and </w:t>
      </w:r>
      <w:r w:rsidR="00147982">
        <w:t xml:space="preserve">difficulties encountered in </w:t>
      </w:r>
      <w:r w:rsidR="00FE3EE3">
        <w:t>reporting</w:t>
      </w:r>
      <w:r w:rsidRPr="00E40860" w:rsidR="00E40860">
        <w:t>.</w:t>
      </w:r>
      <w:r w:rsidR="00E40860">
        <w:t xml:space="preserve"> </w:t>
      </w:r>
      <w:r w:rsidR="00287E45">
        <w:t>The test was completed in</w:t>
      </w:r>
      <w:r w:rsidR="00983F5B">
        <w:t xml:space="preserve"> two</w:t>
      </w:r>
      <w:r w:rsidR="00287E45">
        <w:t xml:space="preserve"> rounds</w:t>
      </w:r>
      <w:r w:rsidR="00332A2A">
        <w:t>,</w:t>
      </w:r>
      <w:r w:rsidR="00287E45">
        <w:t xml:space="preserve"> with 16 jail respondents in round 1 and 17 jail respondents in round 2. </w:t>
      </w:r>
      <w:r w:rsidR="00B870C4">
        <w:t xml:space="preserve">Based on feedback received from the cognitive test, </w:t>
      </w:r>
      <w:r w:rsidR="00D61F69">
        <w:t>BJS improved wording</w:t>
      </w:r>
      <w:r w:rsidR="008459A2">
        <w:t xml:space="preserve"> </w:t>
      </w:r>
      <w:r w:rsidR="00C53072">
        <w:t xml:space="preserve">of the question </w:t>
      </w:r>
      <w:r w:rsidR="008459A2">
        <w:t>and instructions</w:t>
      </w:r>
      <w:r w:rsidR="00C53072">
        <w:t xml:space="preserve"> and incorporated </w:t>
      </w:r>
      <w:r w:rsidR="00690025">
        <w:t>some</w:t>
      </w:r>
      <w:r w:rsidR="00C53072">
        <w:t xml:space="preserve"> new questions into the 2019 COJ forms.</w:t>
      </w:r>
      <w:r w:rsidR="000C052D">
        <w:t xml:space="preserve"> </w:t>
      </w:r>
      <w:r w:rsidR="00320877">
        <w:t>Despite that</w:t>
      </w:r>
      <w:r w:rsidR="00C53072">
        <w:t xml:space="preserve"> some jails reported</w:t>
      </w:r>
      <w:r w:rsidR="00DF2ADD">
        <w:t xml:space="preserve"> </w:t>
      </w:r>
      <w:r w:rsidR="007A2BD3">
        <w:t xml:space="preserve">difficulty in </w:t>
      </w:r>
      <w:r w:rsidR="0093565E">
        <w:t xml:space="preserve">providing data on </w:t>
      </w:r>
      <w:r w:rsidR="00320877">
        <w:t>the new items</w:t>
      </w:r>
      <w:r w:rsidR="00E05DFA">
        <w:t xml:space="preserve"> during the 2018 cognitive test</w:t>
      </w:r>
      <w:r w:rsidR="00084CA3">
        <w:t xml:space="preserve">, </w:t>
      </w:r>
      <w:r w:rsidR="00E05DFA">
        <w:t>the new items actually</w:t>
      </w:r>
      <w:r w:rsidR="001375C5">
        <w:t xml:space="preserve"> </w:t>
      </w:r>
      <w:r w:rsidR="00E05DFA">
        <w:t>received</w:t>
      </w:r>
      <w:r w:rsidR="0093565E">
        <w:t xml:space="preserve"> high </w:t>
      </w:r>
      <w:r w:rsidR="00624D00">
        <w:t xml:space="preserve">item </w:t>
      </w:r>
      <w:r w:rsidR="0093565E">
        <w:t xml:space="preserve">response rates in the 2019 COJ. </w:t>
      </w:r>
      <w:r w:rsidRPr="00CF59E0" w:rsidR="00624D00">
        <w:t>Ninety-</w:t>
      </w:r>
      <w:r w:rsidRPr="00CF59E0" w:rsidR="001759CA">
        <w:t>six</w:t>
      </w:r>
      <w:r w:rsidRPr="00CF59E0" w:rsidR="00624D00">
        <w:t xml:space="preserve"> percent of the jail respondents provided data on parole and probation </w:t>
      </w:r>
      <w:r w:rsidRPr="00CF59E0" w:rsidR="00967A6F">
        <w:t xml:space="preserve">question </w:t>
      </w:r>
      <w:r w:rsidRPr="00CF59E0" w:rsidR="00624D00">
        <w:t>and 9</w:t>
      </w:r>
      <w:r w:rsidRPr="00CF59E0" w:rsidR="00CF59E0">
        <w:t>9</w:t>
      </w:r>
      <w:r w:rsidRPr="00CF59E0" w:rsidR="00624D00">
        <w:t>%</w:t>
      </w:r>
      <w:r w:rsidRPr="007D7A70" w:rsidR="00624D00">
        <w:t xml:space="preserve"> </w:t>
      </w:r>
      <w:r w:rsidR="00624D00">
        <w:t>of the jails holding non-U.S. citizens provided a</w:t>
      </w:r>
      <w:r w:rsidRPr="007D7A70" w:rsidR="00624D00">
        <w:t xml:space="preserve"> breakdown by conviction status. </w:t>
      </w:r>
      <w:r w:rsidR="00E05DFA">
        <w:t xml:space="preserve">These item response rates were comparable to other COJ items. </w:t>
      </w:r>
    </w:p>
    <w:p w:rsidRPr="00690025" w:rsidR="00690025" w:rsidP="007F3B0B" w:rsidRDefault="00690025" w14:paraId="53E9C616" w14:textId="030DBD87">
      <w:pPr>
        <w:rPr>
          <w:b/>
          <w:bCs/>
        </w:rPr>
      </w:pPr>
      <w:r>
        <w:t xml:space="preserve">In April 2020, BJS decided to add a special addendum on </w:t>
      </w:r>
      <w:r w:rsidR="00C32D5A">
        <w:t xml:space="preserve">the </w:t>
      </w:r>
      <w:r>
        <w:t xml:space="preserve">COVID-19 </w:t>
      </w:r>
      <w:r w:rsidR="00C32D5A">
        <w:t xml:space="preserve">pandemic </w:t>
      </w:r>
      <w:r>
        <w:t xml:space="preserve">to </w:t>
      </w:r>
      <w:r w:rsidR="00C32D5A">
        <w:t>the 2020 and 2021 ASJ</w:t>
      </w:r>
      <w:r>
        <w:t xml:space="preserve"> to capture the impact of this public health emergency on local jails. In designing </w:t>
      </w:r>
      <w:r w:rsidR="00C32D5A">
        <w:t xml:space="preserve">the </w:t>
      </w:r>
      <w:r>
        <w:t xml:space="preserve">questions, BJS </w:t>
      </w:r>
      <w:r w:rsidR="00C32D5A">
        <w:t xml:space="preserve">received </w:t>
      </w:r>
      <w:r w:rsidR="000C052D">
        <w:t xml:space="preserve">helpful comments </w:t>
      </w:r>
      <w:r w:rsidR="003C0E9B">
        <w:t>and suggestions from nine</w:t>
      </w:r>
      <w:r w:rsidRPr="00F375FE" w:rsidR="003C0E9B">
        <w:t xml:space="preserve"> outside experts and jail respondents</w:t>
      </w:r>
      <w:r w:rsidR="003C0E9B">
        <w:t xml:space="preserve"> regarding </w:t>
      </w:r>
      <w:r w:rsidR="000C052D">
        <w:t>data availability, question wordin</w:t>
      </w:r>
      <w:r w:rsidR="003C0E9B">
        <w:t>g</w:t>
      </w:r>
      <w:r w:rsidR="005963D9">
        <w:t xml:space="preserve"> and flow, and estimated burden</w:t>
      </w:r>
      <w:r w:rsidR="003C0E9B">
        <w:t>.</w:t>
      </w:r>
    </w:p>
    <w:p w:rsidRPr="00953B2A" w:rsidR="00944192" w:rsidP="00811F8C" w:rsidRDefault="003F7F9D" w14:paraId="4B33FD4C" w14:textId="5DBD1346">
      <w:pPr>
        <w:pStyle w:val="Heading2"/>
      </w:pPr>
      <w:r>
        <w:t>5</w:t>
      </w:r>
      <w:r w:rsidRPr="00953B2A" w:rsidR="00944192">
        <w:t>.</w:t>
      </w:r>
      <w:r w:rsidRPr="00953B2A" w:rsidR="00CC3850">
        <w:tab/>
      </w:r>
      <w:r w:rsidRPr="00953B2A" w:rsidR="00944192">
        <w:t>Contact Information</w:t>
      </w:r>
    </w:p>
    <w:p w:rsidRPr="00953B2A" w:rsidR="00C754DB" w:rsidP="007F3B0B" w:rsidRDefault="00C754DB" w14:paraId="6F653503" w14:textId="3F2EE333">
      <w:r w:rsidRPr="00953B2A">
        <w:t>The Corrections Statistics Unit of BJS takes responsibility for the overall design and management of the activities described in this submission, including data collection procedures, development of the questionnaire, and analysis of the data.</w:t>
      </w:r>
    </w:p>
    <w:p w:rsidRPr="007C77A8" w:rsidR="00B950F5" w:rsidP="007F3B0B" w:rsidRDefault="008328AE" w14:paraId="37E39B76" w14:textId="08836B32">
      <w:pPr>
        <w:rPr>
          <w:rStyle w:val="Hyperlink"/>
          <w:color w:val="auto"/>
          <w:u w:val="none"/>
        </w:rPr>
      </w:pPr>
      <w:r w:rsidRPr="00953B2A">
        <w:t>BJS contact</w:t>
      </w:r>
      <w:r w:rsidR="00CF07B3">
        <w:t>s</w:t>
      </w:r>
      <w:r w:rsidRPr="00953B2A" w:rsidR="00944192">
        <w:t xml:space="preserve"> for the </w:t>
      </w:r>
      <w:r w:rsidR="00C74613">
        <w:t>Annual Survey of Jails</w:t>
      </w:r>
      <w:r w:rsidR="00CF07B3">
        <w:t xml:space="preserve"> are</w:t>
      </w:r>
      <w:r w:rsidRPr="00953B2A">
        <w:t>:</w:t>
      </w:r>
    </w:p>
    <w:p w:rsidR="00882E7E" w:rsidP="00C74613" w:rsidRDefault="00882E7E" w14:paraId="6CB6A413" w14:textId="77777777">
      <w:pPr>
        <w:sectPr w:rsidR="00882E7E" w:rsidSect="00A57B37">
          <w:footerReference w:type="default" r:id="rId9"/>
          <w:pgSz w:w="12240" w:h="15840"/>
          <w:pgMar w:top="1440" w:right="1440" w:bottom="1440" w:left="1440" w:header="720" w:footer="720" w:gutter="0"/>
          <w:cols w:space="720"/>
          <w:docGrid w:linePitch="360"/>
        </w:sectPr>
      </w:pPr>
    </w:p>
    <w:p w:rsidRPr="00953B2A" w:rsidR="00C74613" w:rsidP="00C74613" w:rsidRDefault="005F2515" w14:paraId="2E1745FD" w14:textId="367CCC4E">
      <w:r w:rsidRPr="005F2515">
        <w:t>Zhen Zeng</w:t>
      </w:r>
      <w:r w:rsidR="00316CF8">
        <w:t>,</w:t>
      </w:r>
      <w:r w:rsidRPr="00316CF8" w:rsidR="00316CF8">
        <w:t xml:space="preserve"> </w:t>
      </w:r>
      <w:r w:rsidRPr="00402158" w:rsidR="00316CF8">
        <w:t>Ph.D.</w:t>
      </w:r>
      <w:r w:rsidR="00EC6859">
        <w:br/>
      </w:r>
      <w:r w:rsidRPr="005476BA">
        <w:t>Statistician</w:t>
      </w:r>
      <w:r w:rsidR="00EC6859">
        <w:br/>
      </w:r>
      <w:r w:rsidRPr="005476BA">
        <w:t>Corrections Statistics Unit</w:t>
      </w:r>
      <w:r w:rsidR="00EC6859">
        <w:br/>
      </w:r>
      <w:r w:rsidRPr="005476BA">
        <w:t>Bureau of Justice Statistics</w:t>
      </w:r>
      <w:r w:rsidR="00EC6859">
        <w:br/>
      </w:r>
      <w:r w:rsidRPr="005F2515" w:rsidR="00F74866">
        <w:t>810 Seventh Street, N.W.</w:t>
      </w:r>
      <w:r w:rsidR="00EC6859">
        <w:br/>
      </w:r>
      <w:r w:rsidRPr="005476BA">
        <w:t>Washington, DC 20531</w:t>
      </w:r>
      <w:r w:rsidR="00EC6859">
        <w:br/>
      </w:r>
      <w:r w:rsidRPr="005476BA">
        <w:t>(202) 305-2711</w:t>
      </w:r>
      <w:r w:rsidR="00EC6859">
        <w:br/>
      </w:r>
      <w:r w:rsidRPr="005476BA">
        <w:rPr>
          <w:rStyle w:val="Hyperlink"/>
        </w:rPr>
        <w:t>Zhen.Zeng@usdoj.gov</w:t>
      </w:r>
    </w:p>
    <w:p w:rsidR="00882E7E" w:rsidP="007F3B0B" w:rsidRDefault="00882E7E" w14:paraId="1E04F3EE" w14:textId="77777777"/>
    <w:p w:rsidR="00882E7E" w:rsidP="007F3B0B" w:rsidRDefault="00882E7E" w14:paraId="536F2873" w14:textId="77777777"/>
    <w:p w:rsidR="00882E7E" w:rsidP="007F3B0B" w:rsidRDefault="00882E7E" w14:paraId="4474A460" w14:textId="77777777"/>
    <w:p w:rsidRPr="005476BA" w:rsidR="00C74613" w:rsidP="007F3B0B" w:rsidRDefault="00C74613" w14:paraId="57866FAF" w14:textId="4D47542A">
      <w:r w:rsidRPr="005F2515">
        <w:t>Todd D. Minton</w:t>
      </w:r>
      <w:r w:rsidR="00EC6859">
        <w:br/>
      </w:r>
      <w:r w:rsidRPr="005F2515">
        <w:t xml:space="preserve">Statistician </w:t>
      </w:r>
      <w:r w:rsidR="00EC6859">
        <w:br/>
      </w:r>
      <w:r w:rsidRPr="005F2515">
        <w:t>Corrections Statistics Unit</w:t>
      </w:r>
      <w:r w:rsidR="00EC6859">
        <w:br/>
      </w:r>
      <w:r w:rsidRPr="005F2515">
        <w:t>Bureau of Justice Statistics</w:t>
      </w:r>
      <w:r w:rsidR="00EC6859">
        <w:br/>
      </w:r>
      <w:r w:rsidRPr="005F2515">
        <w:t>810 Seventh Street, N.W.</w:t>
      </w:r>
      <w:r w:rsidR="00EC6859">
        <w:br/>
      </w:r>
      <w:r w:rsidRPr="005F2515">
        <w:t>Washington, DC 20531</w:t>
      </w:r>
      <w:r w:rsidR="00EC6859">
        <w:br/>
      </w:r>
      <w:r w:rsidRPr="005F2515">
        <w:t>(202) 305-9630</w:t>
      </w:r>
      <w:r w:rsidR="00EC6859">
        <w:br/>
      </w:r>
      <w:r w:rsidRPr="005F2515">
        <w:rPr>
          <w:rStyle w:val="Hyperlink"/>
        </w:rPr>
        <w:t>Todd.Minton@usdoj.gov</w:t>
      </w:r>
    </w:p>
    <w:sectPr w:rsidRPr="005476BA" w:rsidR="00C74613" w:rsidSect="00882E7E">
      <w:type w:val="continuous"/>
      <w:pgSz w:w="12240" w:h="15840"/>
      <w:pgMar w:top="1440" w:right="1440" w:bottom="1440" w:left="1440" w:header="720" w:footer="720" w:gutter="0"/>
      <w:cols w:space="72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6C5EA" w14:textId="77777777" w:rsidR="00F34658" w:rsidRDefault="00F34658" w:rsidP="007F3B0B">
      <w:r>
        <w:separator/>
      </w:r>
    </w:p>
  </w:endnote>
  <w:endnote w:type="continuationSeparator" w:id="0">
    <w:p w14:paraId="1383BDF3" w14:textId="77777777" w:rsidR="00F34658" w:rsidRDefault="00F34658" w:rsidP="007F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090724"/>
      <w:docPartObj>
        <w:docPartGallery w:val="Page Numbers (Bottom of Page)"/>
        <w:docPartUnique/>
      </w:docPartObj>
    </w:sdtPr>
    <w:sdtEndPr>
      <w:rPr>
        <w:noProof/>
      </w:rPr>
    </w:sdtEndPr>
    <w:sdtContent>
      <w:p w14:paraId="2223BDA7" w14:textId="7097622F" w:rsidR="00D138AD" w:rsidRDefault="00D138AD" w:rsidP="00403CF1">
        <w:pPr>
          <w:pStyle w:val="Footer"/>
          <w:jc w:val="right"/>
        </w:pPr>
        <w:r w:rsidRPr="00CB49DB">
          <w:fldChar w:fldCharType="begin"/>
        </w:r>
        <w:r w:rsidRPr="00CB49DB">
          <w:instrText xml:space="preserve"> PAGE   \* MERGEFORMAT </w:instrText>
        </w:r>
        <w:r w:rsidRPr="00CB49DB">
          <w:fldChar w:fldCharType="separate"/>
        </w:r>
        <w:r w:rsidR="00441A49">
          <w:rPr>
            <w:noProof/>
          </w:rPr>
          <w:t>2</w:t>
        </w:r>
        <w:r w:rsidRPr="00CB49D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A40F5" w14:textId="77777777" w:rsidR="00F34658" w:rsidRDefault="00F34658" w:rsidP="007F3B0B">
      <w:r>
        <w:separator/>
      </w:r>
    </w:p>
  </w:footnote>
  <w:footnote w:type="continuationSeparator" w:id="0">
    <w:p w14:paraId="2AAD6406" w14:textId="77777777" w:rsidR="00F34658" w:rsidRDefault="00F34658" w:rsidP="007F3B0B">
      <w:r>
        <w:continuationSeparator/>
      </w:r>
    </w:p>
  </w:footnote>
  <w:footnote w:id="1">
    <w:p w14:paraId="5CC88A91" w14:textId="246D9175" w:rsidR="00F93A24" w:rsidRDefault="00F93A24" w:rsidP="00F93A24">
      <w:r>
        <w:rPr>
          <w:vertAlign w:val="superscript"/>
        </w:rPr>
        <w:footnoteRef/>
      </w:r>
      <w:r>
        <w:t xml:space="preserve"> </w:t>
      </w:r>
      <w:r w:rsidRPr="007D7A70">
        <w:rPr>
          <w:rStyle w:val="FootnoteTextChar"/>
        </w:rPr>
        <w:t xml:space="preserve">Zeng, </w:t>
      </w:r>
      <w:r w:rsidRPr="00BA290E">
        <w:rPr>
          <w:rStyle w:val="FootnoteTextChar"/>
        </w:rPr>
        <w:t>Z. (</w:t>
      </w:r>
      <w:r w:rsidR="000158FC">
        <w:rPr>
          <w:sz w:val="20"/>
          <w:szCs w:val="20"/>
        </w:rPr>
        <w:t>2020</w:t>
      </w:r>
      <w:r w:rsidRPr="00BA290E">
        <w:rPr>
          <w:rStyle w:val="FootnoteTextChar"/>
        </w:rPr>
        <w:t xml:space="preserve">). </w:t>
      </w:r>
      <w:r w:rsidRPr="00BA290E">
        <w:rPr>
          <w:rStyle w:val="FootnoteTextChar"/>
          <w:i/>
        </w:rPr>
        <w:t>Jail Inmates</w:t>
      </w:r>
      <w:r w:rsidRPr="00FE4B29">
        <w:rPr>
          <w:rStyle w:val="FootnoteTextChar"/>
          <w:i/>
        </w:rPr>
        <w:t xml:space="preserve"> in 2018</w:t>
      </w:r>
      <w:r w:rsidRPr="007D7A70">
        <w:rPr>
          <w:rStyle w:val="FootnoteTextChar"/>
        </w:rPr>
        <w:t>. Bureau of Justice Statistics, Washington, D.C. NCJ</w:t>
      </w:r>
      <w:r w:rsidR="00EC6859">
        <w:rPr>
          <w:rStyle w:val="FootnoteTextChar"/>
        </w:rPr>
        <w:t xml:space="preserve"> 253044</w:t>
      </w:r>
      <w:r w:rsidRPr="007D7A70">
        <w:rPr>
          <w:rStyle w:val="FootnoteTextCha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19D6D6"/>
    <w:multiLevelType w:val="hybridMultilevel"/>
    <w:tmpl w:val="3478626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A474DA"/>
    <w:multiLevelType w:val="hybridMultilevel"/>
    <w:tmpl w:val="2902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403ED"/>
    <w:multiLevelType w:val="hybridMultilevel"/>
    <w:tmpl w:val="800A64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9213D"/>
    <w:multiLevelType w:val="hybridMultilevel"/>
    <w:tmpl w:val="D958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B6D4E"/>
    <w:multiLevelType w:val="hybridMultilevel"/>
    <w:tmpl w:val="EEAA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72201"/>
    <w:multiLevelType w:val="hybridMultilevel"/>
    <w:tmpl w:val="79CC0DCC"/>
    <w:lvl w:ilvl="0" w:tplc="2C9CE16C">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B68B6"/>
    <w:multiLevelType w:val="hybridMultilevel"/>
    <w:tmpl w:val="BABC6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29728E"/>
    <w:multiLevelType w:val="hybridMultilevel"/>
    <w:tmpl w:val="E2743C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E6373D7"/>
    <w:multiLevelType w:val="hybridMultilevel"/>
    <w:tmpl w:val="9D08DFFC"/>
    <w:lvl w:ilvl="0" w:tplc="0B389DB4">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325B8D"/>
    <w:multiLevelType w:val="hybridMultilevel"/>
    <w:tmpl w:val="FDE03076"/>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10" w15:restartNumberingAfterBreak="0">
    <w:nsid w:val="5EB1056B"/>
    <w:multiLevelType w:val="hybridMultilevel"/>
    <w:tmpl w:val="0CAE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8"/>
  </w:num>
  <w:num w:numId="5">
    <w:abstractNumId w:val="5"/>
  </w:num>
  <w:num w:numId="6">
    <w:abstractNumId w:val="4"/>
  </w:num>
  <w:num w:numId="7">
    <w:abstractNumId w:val="1"/>
  </w:num>
  <w:num w:numId="8">
    <w:abstractNumId w:val="3"/>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92"/>
    <w:rsid w:val="000038E2"/>
    <w:rsid w:val="00004004"/>
    <w:rsid w:val="00004994"/>
    <w:rsid w:val="00004ABB"/>
    <w:rsid w:val="00004F45"/>
    <w:rsid w:val="000050F3"/>
    <w:rsid w:val="000158FC"/>
    <w:rsid w:val="00016EE4"/>
    <w:rsid w:val="000247FD"/>
    <w:rsid w:val="00030287"/>
    <w:rsid w:val="00033286"/>
    <w:rsid w:val="000349DD"/>
    <w:rsid w:val="0003568D"/>
    <w:rsid w:val="000359CB"/>
    <w:rsid w:val="00040E82"/>
    <w:rsid w:val="00043DAB"/>
    <w:rsid w:val="00045150"/>
    <w:rsid w:val="00061135"/>
    <w:rsid w:val="0006262B"/>
    <w:rsid w:val="00071257"/>
    <w:rsid w:val="00071BDA"/>
    <w:rsid w:val="0007552E"/>
    <w:rsid w:val="00077F58"/>
    <w:rsid w:val="00080650"/>
    <w:rsid w:val="000837AB"/>
    <w:rsid w:val="00083B4F"/>
    <w:rsid w:val="00084CA3"/>
    <w:rsid w:val="00096886"/>
    <w:rsid w:val="00096C9C"/>
    <w:rsid w:val="000A0159"/>
    <w:rsid w:val="000A1F9D"/>
    <w:rsid w:val="000A4740"/>
    <w:rsid w:val="000A5C76"/>
    <w:rsid w:val="000B1165"/>
    <w:rsid w:val="000B56A2"/>
    <w:rsid w:val="000B76BA"/>
    <w:rsid w:val="000C015A"/>
    <w:rsid w:val="000C052D"/>
    <w:rsid w:val="000C0BF1"/>
    <w:rsid w:val="000C69C5"/>
    <w:rsid w:val="000D1556"/>
    <w:rsid w:val="000D2B63"/>
    <w:rsid w:val="000E54F7"/>
    <w:rsid w:val="000E632C"/>
    <w:rsid w:val="000E7634"/>
    <w:rsid w:val="000F0B5B"/>
    <w:rsid w:val="000F1656"/>
    <w:rsid w:val="000F6230"/>
    <w:rsid w:val="001044C2"/>
    <w:rsid w:val="00111DE6"/>
    <w:rsid w:val="00113A84"/>
    <w:rsid w:val="00115FA5"/>
    <w:rsid w:val="00123904"/>
    <w:rsid w:val="00123A42"/>
    <w:rsid w:val="00131341"/>
    <w:rsid w:val="00135D16"/>
    <w:rsid w:val="0013702B"/>
    <w:rsid w:val="001375C5"/>
    <w:rsid w:val="00137A50"/>
    <w:rsid w:val="00141630"/>
    <w:rsid w:val="00141C90"/>
    <w:rsid w:val="00142C14"/>
    <w:rsid w:val="00142D6F"/>
    <w:rsid w:val="00146596"/>
    <w:rsid w:val="00147982"/>
    <w:rsid w:val="00147C88"/>
    <w:rsid w:val="00147CEF"/>
    <w:rsid w:val="00150730"/>
    <w:rsid w:val="001518FF"/>
    <w:rsid w:val="0015553B"/>
    <w:rsid w:val="00155A91"/>
    <w:rsid w:val="00155B6B"/>
    <w:rsid w:val="001610C4"/>
    <w:rsid w:val="00173477"/>
    <w:rsid w:val="001759CA"/>
    <w:rsid w:val="00184C42"/>
    <w:rsid w:val="00184FB2"/>
    <w:rsid w:val="001854D6"/>
    <w:rsid w:val="0018785F"/>
    <w:rsid w:val="00187D8B"/>
    <w:rsid w:val="001906B7"/>
    <w:rsid w:val="00190D07"/>
    <w:rsid w:val="00191456"/>
    <w:rsid w:val="0019362F"/>
    <w:rsid w:val="00195810"/>
    <w:rsid w:val="0019618A"/>
    <w:rsid w:val="00197C3E"/>
    <w:rsid w:val="001A15BD"/>
    <w:rsid w:val="001A3339"/>
    <w:rsid w:val="001A4592"/>
    <w:rsid w:val="001B27A3"/>
    <w:rsid w:val="001C3752"/>
    <w:rsid w:val="001C7251"/>
    <w:rsid w:val="001D39F5"/>
    <w:rsid w:val="001D589D"/>
    <w:rsid w:val="001D6955"/>
    <w:rsid w:val="001E05B9"/>
    <w:rsid w:val="001E2083"/>
    <w:rsid w:val="001E3D3B"/>
    <w:rsid w:val="001F4A90"/>
    <w:rsid w:val="001F635A"/>
    <w:rsid w:val="001F726F"/>
    <w:rsid w:val="0020020D"/>
    <w:rsid w:val="002005F1"/>
    <w:rsid w:val="00203F6C"/>
    <w:rsid w:val="002062D3"/>
    <w:rsid w:val="002113A9"/>
    <w:rsid w:val="002129CD"/>
    <w:rsid w:val="00212BF7"/>
    <w:rsid w:val="00212CC1"/>
    <w:rsid w:val="00227C86"/>
    <w:rsid w:val="00231133"/>
    <w:rsid w:val="00236352"/>
    <w:rsid w:val="0024591A"/>
    <w:rsid w:val="0024601A"/>
    <w:rsid w:val="00247AAC"/>
    <w:rsid w:val="00251781"/>
    <w:rsid w:val="00252159"/>
    <w:rsid w:val="002537E7"/>
    <w:rsid w:val="002544BE"/>
    <w:rsid w:val="00257218"/>
    <w:rsid w:val="00257A5A"/>
    <w:rsid w:val="00270CF2"/>
    <w:rsid w:val="0027580F"/>
    <w:rsid w:val="00277B0E"/>
    <w:rsid w:val="0028242B"/>
    <w:rsid w:val="00282888"/>
    <w:rsid w:val="002835D4"/>
    <w:rsid w:val="00283CF3"/>
    <w:rsid w:val="00283DE9"/>
    <w:rsid w:val="00287E45"/>
    <w:rsid w:val="00290E2F"/>
    <w:rsid w:val="00293CC5"/>
    <w:rsid w:val="00293DF7"/>
    <w:rsid w:val="00295345"/>
    <w:rsid w:val="002956ED"/>
    <w:rsid w:val="002968C5"/>
    <w:rsid w:val="002973A6"/>
    <w:rsid w:val="002A0971"/>
    <w:rsid w:val="002A10DB"/>
    <w:rsid w:val="002A2302"/>
    <w:rsid w:val="002A2584"/>
    <w:rsid w:val="002A47DE"/>
    <w:rsid w:val="002A61C6"/>
    <w:rsid w:val="002B3667"/>
    <w:rsid w:val="002B51DC"/>
    <w:rsid w:val="002C0BDB"/>
    <w:rsid w:val="002C3C91"/>
    <w:rsid w:val="002C68D3"/>
    <w:rsid w:val="002C6C78"/>
    <w:rsid w:val="002D07F0"/>
    <w:rsid w:val="002D4B29"/>
    <w:rsid w:val="002E2367"/>
    <w:rsid w:val="002E3281"/>
    <w:rsid w:val="002E3639"/>
    <w:rsid w:val="002F070E"/>
    <w:rsid w:val="002F2BB0"/>
    <w:rsid w:val="002F30BD"/>
    <w:rsid w:val="0030541B"/>
    <w:rsid w:val="003064D2"/>
    <w:rsid w:val="003151EE"/>
    <w:rsid w:val="00316CF8"/>
    <w:rsid w:val="00320877"/>
    <w:rsid w:val="00332A2A"/>
    <w:rsid w:val="00335FC9"/>
    <w:rsid w:val="00336C07"/>
    <w:rsid w:val="0033707F"/>
    <w:rsid w:val="00337863"/>
    <w:rsid w:val="00342C8C"/>
    <w:rsid w:val="003512E5"/>
    <w:rsid w:val="003516F8"/>
    <w:rsid w:val="00352B52"/>
    <w:rsid w:val="00356200"/>
    <w:rsid w:val="003564D1"/>
    <w:rsid w:val="00362D4A"/>
    <w:rsid w:val="003630F5"/>
    <w:rsid w:val="00363664"/>
    <w:rsid w:val="00363ADF"/>
    <w:rsid w:val="00364333"/>
    <w:rsid w:val="0037043E"/>
    <w:rsid w:val="003719C1"/>
    <w:rsid w:val="00372C34"/>
    <w:rsid w:val="00374FA5"/>
    <w:rsid w:val="003751D8"/>
    <w:rsid w:val="0037730E"/>
    <w:rsid w:val="00384E07"/>
    <w:rsid w:val="003857AC"/>
    <w:rsid w:val="00395B5D"/>
    <w:rsid w:val="003A0572"/>
    <w:rsid w:val="003A088F"/>
    <w:rsid w:val="003A1B06"/>
    <w:rsid w:val="003A281A"/>
    <w:rsid w:val="003A2BDA"/>
    <w:rsid w:val="003A3947"/>
    <w:rsid w:val="003A59AC"/>
    <w:rsid w:val="003A5AC1"/>
    <w:rsid w:val="003B2845"/>
    <w:rsid w:val="003C0E9B"/>
    <w:rsid w:val="003C25BD"/>
    <w:rsid w:val="003C6B0C"/>
    <w:rsid w:val="003C71C8"/>
    <w:rsid w:val="003D1A36"/>
    <w:rsid w:val="003D29A0"/>
    <w:rsid w:val="003E5430"/>
    <w:rsid w:val="003F2613"/>
    <w:rsid w:val="003F7F9D"/>
    <w:rsid w:val="00400F11"/>
    <w:rsid w:val="00403586"/>
    <w:rsid w:val="00403CF1"/>
    <w:rsid w:val="00405AD5"/>
    <w:rsid w:val="004066EA"/>
    <w:rsid w:val="0041065C"/>
    <w:rsid w:val="0041127B"/>
    <w:rsid w:val="00412B06"/>
    <w:rsid w:val="00414CD8"/>
    <w:rsid w:val="004224DF"/>
    <w:rsid w:val="00427023"/>
    <w:rsid w:val="00427985"/>
    <w:rsid w:val="004318D9"/>
    <w:rsid w:val="00435579"/>
    <w:rsid w:val="0043701E"/>
    <w:rsid w:val="0043749A"/>
    <w:rsid w:val="004378D4"/>
    <w:rsid w:val="00441A49"/>
    <w:rsid w:val="00444B87"/>
    <w:rsid w:val="00445D23"/>
    <w:rsid w:val="00445E55"/>
    <w:rsid w:val="004463CB"/>
    <w:rsid w:val="00447D52"/>
    <w:rsid w:val="00454D01"/>
    <w:rsid w:val="004556A3"/>
    <w:rsid w:val="00456713"/>
    <w:rsid w:val="00457675"/>
    <w:rsid w:val="004578B3"/>
    <w:rsid w:val="00460573"/>
    <w:rsid w:val="00461071"/>
    <w:rsid w:val="00463C17"/>
    <w:rsid w:val="00467FCE"/>
    <w:rsid w:val="00472EE1"/>
    <w:rsid w:val="004757AB"/>
    <w:rsid w:val="00483AFB"/>
    <w:rsid w:val="0049111B"/>
    <w:rsid w:val="0049436D"/>
    <w:rsid w:val="004972BA"/>
    <w:rsid w:val="00497305"/>
    <w:rsid w:val="004A263A"/>
    <w:rsid w:val="004A26B7"/>
    <w:rsid w:val="004A2EC1"/>
    <w:rsid w:val="004A607A"/>
    <w:rsid w:val="004B2442"/>
    <w:rsid w:val="004B2E7B"/>
    <w:rsid w:val="004C47CE"/>
    <w:rsid w:val="004C4E03"/>
    <w:rsid w:val="004C53D1"/>
    <w:rsid w:val="004C6A70"/>
    <w:rsid w:val="004C7BDD"/>
    <w:rsid w:val="004D77F3"/>
    <w:rsid w:val="004E48E0"/>
    <w:rsid w:val="004E7C6E"/>
    <w:rsid w:val="004F5694"/>
    <w:rsid w:val="004F569B"/>
    <w:rsid w:val="004F6FB4"/>
    <w:rsid w:val="004F72BF"/>
    <w:rsid w:val="0050054A"/>
    <w:rsid w:val="00503577"/>
    <w:rsid w:val="005049C3"/>
    <w:rsid w:val="0051276A"/>
    <w:rsid w:val="00517ADA"/>
    <w:rsid w:val="00521109"/>
    <w:rsid w:val="0052293F"/>
    <w:rsid w:val="00531E5E"/>
    <w:rsid w:val="005324F6"/>
    <w:rsid w:val="00532606"/>
    <w:rsid w:val="00534BB8"/>
    <w:rsid w:val="00540201"/>
    <w:rsid w:val="00541A3C"/>
    <w:rsid w:val="005476BA"/>
    <w:rsid w:val="00547DA5"/>
    <w:rsid w:val="00554541"/>
    <w:rsid w:val="00560120"/>
    <w:rsid w:val="00562515"/>
    <w:rsid w:val="005651BC"/>
    <w:rsid w:val="00566FBF"/>
    <w:rsid w:val="00573854"/>
    <w:rsid w:val="00573892"/>
    <w:rsid w:val="00574913"/>
    <w:rsid w:val="00574F6D"/>
    <w:rsid w:val="00582559"/>
    <w:rsid w:val="00582AF2"/>
    <w:rsid w:val="005839DC"/>
    <w:rsid w:val="0058764B"/>
    <w:rsid w:val="00590A6E"/>
    <w:rsid w:val="00590D0C"/>
    <w:rsid w:val="005948ED"/>
    <w:rsid w:val="005963D9"/>
    <w:rsid w:val="005A2894"/>
    <w:rsid w:val="005A525A"/>
    <w:rsid w:val="005B2A07"/>
    <w:rsid w:val="005C2FE2"/>
    <w:rsid w:val="005C69AF"/>
    <w:rsid w:val="005C7065"/>
    <w:rsid w:val="005D071F"/>
    <w:rsid w:val="005D0BEA"/>
    <w:rsid w:val="005D1DF5"/>
    <w:rsid w:val="005D24E4"/>
    <w:rsid w:val="005D37CD"/>
    <w:rsid w:val="005D4942"/>
    <w:rsid w:val="005D6420"/>
    <w:rsid w:val="005D6F0E"/>
    <w:rsid w:val="005E1534"/>
    <w:rsid w:val="005E451B"/>
    <w:rsid w:val="005E4C94"/>
    <w:rsid w:val="005E7FAD"/>
    <w:rsid w:val="005F1C21"/>
    <w:rsid w:val="005F2515"/>
    <w:rsid w:val="005F4923"/>
    <w:rsid w:val="005F6EA3"/>
    <w:rsid w:val="0060459C"/>
    <w:rsid w:val="006052DC"/>
    <w:rsid w:val="006105DA"/>
    <w:rsid w:val="00612980"/>
    <w:rsid w:val="00616877"/>
    <w:rsid w:val="00616CA1"/>
    <w:rsid w:val="00617AE2"/>
    <w:rsid w:val="00621370"/>
    <w:rsid w:val="00623823"/>
    <w:rsid w:val="00624510"/>
    <w:rsid w:val="00624D00"/>
    <w:rsid w:val="0063223D"/>
    <w:rsid w:val="006323EC"/>
    <w:rsid w:val="00632C13"/>
    <w:rsid w:val="00633262"/>
    <w:rsid w:val="00633F7A"/>
    <w:rsid w:val="0063461C"/>
    <w:rsid w:val="0063480F"/>
    <w:rsid w:val="00635A32"/>
    <w:rsid w:val="006432A4"/>
    <w:rsid w:val="00645429"/>
    <w:rsid w:val="0066013E"/>
    <w:rsid w:val="0066022E"/>
    <w:rsid w:val="00660586"/>
    <w:rsid w:val="00665583"/>
    <w:rsid w:val="00675A70"/>
    <w:rsid w:val="00680E50"/>
    <w:rsid w:val="00684E39"/>
    <w:rsid w:val="006855C8"/>
    <w:rsid w:val="00690025"/>
    <w:rsid w:val="00697A9F"/>
    <w:rsid w:val="006A0BED"/>
    <w:rsid w:val="006A1364"/>
    <w:rsid w:val="006A305E"/>
    <w:rsid w:val="006A33DD"/>
    <w:rsid w:val="006B21C6"/>
    <w:rsid w:val="006B2E7C"/>
    <w:rsid w:val="006C0832"/>
    <w:rsid w:val="006C2409"/>
    <w:rsid w:val="006C3A13"/>
    <w:rsid w:val="006C65AA"/>
    <w:rsid w:val="006C7714"/>
    <w:rsid w:val="006C7F61"/>
    <w:rsid w:val="006D0E06"/>
    <w:rsid w:val="006D3480"/>
    <w:rsid w:val="006E0446"/>
    <w:rsid w:val="006E0CF0"/>
    <w:rsid w:val="006E4109"/>
    <w:rsid w:val="006E6529"/>
    <w:rsid w:val="006E710D"/>
    <w:rsid w:val="006F51A5"/>
    <w:rsid w:val="007036B7"/>
    <w:rsid w:val="00704961"/>
    <w:rsid w:val="0070520D"/>
    <w:rsid w:val="00713638"/>
    <w:rsid w:val="00713C64"/>
    <w:rsid w:val="00714514"/>
    <w:rsid w:val="007150FF"/>
    <w:rsid w:val="007161E9"/>
    <w:rsid w:val="00720138"/>
    <w:rsid w:val="007223E4"/>
    <w:rsid w:val="007250F7"/>
    <w:rsid w:val="00726643"/>
    <w:rsid w:val="007316B5"/>
    <w:rsid w:val="00735EE3"/>
    <w:rsid w:val="0073699F"/>
    <w:rsid w:val="00736FB1"/>
    <w:rsid w:val="00740C32"/>
    <w:rsid w:val="00741885"/>
    <w:rsid w:val="00744012"/>
    <w:rsid w:val="007471A9"/>
    <w:rsid w:val="007500E5"/>
    <w:rsid w:val="00753A90"/>
    <w:rsid w:val="00760A56"/>
    <w:rsid w:val="00761375"/>
    <w:rsid w:val="0077001F"/>
    <w:rsid w:val="00770BD5"/>
    <w:rsid w:val="007804D0"/>
    <w:rsid w:val="007829C6"/>
    <w:rsid w:val="00782F9C"/>
    <w:rsid w:val="00792EC6"/>
    <w:rsid w:val="0079492C"/>
    <w:rsid w:val="00797598"/>
    <w:rsid w:val="007A2776"/>
    <w:rsid w:val="007A2BD3"/>
    <w:rsid w:val="007A4A85"/>
    <w:rsid w:val="007A6615"/>
    <w:rsid w:val="007C280A"/>
    <w:rsid w:val="007C2CF8"/>
    <w:rsid w:val="007C7407"/>
    <w:rsid w:val="007C77A8"/>
    <w:rsid w:val="007D53E1"/>
    <w:rsid w:val="007D5586"/>
    <w:rsid w:val="007D759A"/>
    <w:rsid w:val="007E2E2E"/>
    <w:rsid w:val="007E6277"/>
    <w:rsid w:val="007F0542"/>
    <w:rsid w:val="007F101B"/>
    <w:rsid w:val="007F230E"/>
    <w:rsid w:val="007F2390"/>
    <w:rsid w:val="007F3B0B"/>
    <w:rsid w:val="007F40ED"/>
    <w:rsid w:val="007F456E"/>
    <w:rsid w:val="007F6BF1"/>
    <w:rsid w:val="008007DD"/>
    <w:rsid w:val="00802333"/>
    <w:rsid w:val="00802D6B"/>
    <w:rsid w:val="00803FDE"/>
    <w:rsid w:val="00805539"/>
    <w:rsid w:val="00811F8C"/>
    <w:rsid w:val="00816DCC"/>
    <w:rsid w:val="00826E0B"/>
    <w:rsid w:val="008278BF"/>
    <w:rsid w:val="008328AE"/>
    <w:rsid w:val="00832967"/>
    <w:rsid w:val="00834A7C"/>
    <w:rsid w:val="00840789"/>
    <w:rsid w:val="008425C5"/>
    <w:rsid w:val="008459A2"/>
    <w:rsid w:val="00847AC3"/>
    <w:rsid w:val="00853564"/>
    <w:rsid w:val="00857008"/>
    <w:rsid w:val="0086130F"/>
    <w:rsid w:val="0086169D"/>
    <w:rsid w:val="00861DC6"/>
    <w:rsid w:val="0086610A"/>
    <w:rsid w:val="0086674E"/>
    <w:rsid w:val="00876F83"/>
    <w:rsid w:val="0088089B"/>
    <w:rsid w:val="00882090"/>
    <w:rsid w:val="00882E7E"/>
    <w:rsid w:val="00885E20"/>
    <w:rsid w:val="00885E87"/>
    <w:rsid w:val="008863F6"/>
    <w:rsid w:val="008874F5"/>
    <w:rsid w:val="00893426"/>
    <w:rsid w:val="008941F8"/>
    <w:rsid w:val="0089622B"/>
    <w:rsid w:val="008A01F3"/>
    <w:rsid w:val="008A2659"/>
    <w:rsid w:val="008B11EA"/>
    <w:rsid w:val="008B504A"/>
    <w:rsid w:val="008B6983"/>
    <w:rsid w:val="008B6A80"/>
    <w:rsid w:val="008C1210"/>
    <w:rsid w:val="008C1E91"/>
    <w:rsid w:val="008C3986"/>
    <w:rsid w:val="008C4213"/>
    <w:rsid w:val="008C5C71"/>
    <w:rsid w:val="008C64E7"/>
    <w:rsid w:val="008D267C"/>
    <w:rsid w:val="008D2F76"/>
    <w:rsid w:val="008E0C3A"/>
    <w:rsid w:val="008E222F"/>
    <w:rsid w:val="008E5A9C"/>
    <w:rsid w:val="008E6C35"/>
    <w:rsid w:val="008F092C"/>
    <w:rsid w:val="008F56CD"/>
    <w:rsid w:val="008F7540"/>
    <w:rsid w:val="0090052C"/>
    <w:rsid w:val="009030A8"/>
    <w:rsid w:val="00907ED8"/>
    <w:rsid w:val="00910415"/>
    <w:rsid w:val="00912EFD"/>
    <w:rsid w:val="00914ED4"/>
    <w:rsid w:val="00915102"/>
    <w:rsid w:val="0091579F"/>
    <w:rsid w:val="009165F6"/>
    <w:rsid w:val="00924592"/>
    <w:rsid w:val="0092664F"/>
    <w:rsid w:val="0093565E"/>
    <w:rsid w:val="0093622D"/>
    <w:rsid w:val="00936390"/>
    <w:rsid w:val="00944192"/>
    <w:rsid w:val="00950040"/>
    <w:rsid w:val="009523DD"/>
    <w:rsid w:val="00952EC3"/>
    <w:rsid w:val="00953578"/>
    <w:rsid w:val="00953B2A"/>
    <w:rsid w:val="0096108E"/>
    <w:rsid w:val="00963B1C"/>
    <w:rsid w:val="00967A6F"/>
    <w:rsid w:val="009714A7"/>
    <w:rsid w:val="00975861"/>
    <w:rsid w:val="009762B0"/>
    <w:rsid w:val="00977295"/>
    <w:rsid w:val="00981E7E"/>
    <w:rsid w:val="00983F5B"/>
    <w:rsid w:val="00987274"/>
    <w:rsid w:val="00991CA5"/>
    <w:rsid w:val="009920E0"/>
    <w:rsid w:val="00992C81"/>
    <w:rsid w:val="00993092"/>
    <w:rsid w:val="00993DEE"/>
    <w:rsid w:val="0099714C"/>
    <w:rsid w:val="009A0265"/>
    <w:rsid w:val="009A0BB5"/>
    <w:rsid w:val="009A31E8"/>
    <w:rsid w:val="009B6981"/>
    <w:rsid w:val="009C1264"/>
    <w:rsid w:val="009C421A"/>
    <w:rsid w:val="009C6116"/>
    <w:rsid w:val="009C631A"/>
    <w:rsid w:val="009C6672"/>
    <w:rsid w:val="009C7EF1"/>
    <w:rsid w:val="009D4B00"/>
    <w:rsid w:val="009D6C44"/>
    <w:rsid w:val="009E2F75"/>
    <w:rsid w:val="009E3EA0"/>
    <w:rsid w:val="009E431C"/>
    <w:rsid w:val="009F04A5"/>
    <w:rsid w:val="009F327F"/>
    <w:rsid w:val="009F3735"/>
    <w:rsid w:val="009F567A"/>
    <w:rsid w:val="00A05044"/>
    <w:rsid w:val="00A10284"/>
    <w:rsid w:val="00A107AF"/>
    <w:rsid w:val="00A127B2"/>
    <w:rsid w:val="00A20063"/>
    <w:rsid w:val="00A277D3"/>
    <w:rsid w:val="00A32B88"/>
    <w:rsid w:val="00A364D3"/>
    <w:rsid w:val="00A37AD4"/>
    <w:rsid w:val="00A478F9"/>
    <w:rsid w:val="00A50C50"/>
    <w:rsid w:val="00A520B1"/>
    <w:rsid w:val="00A522CB"/>
    <w:rsid w:val="00A57B37"/>
    <w:rsid w:val="00A62EBA"/>
    <w:rsid w:val="00A665FE"/>
    <w:rsid w:val="00A67E6F"/>
    <w:rsid w:val="00A81319"/>
    <w:rsid w:val="00A82347"/>
    <w:rsid w:val="00A90651"/>
    <w:rsid w:val="00A92A20"/>
    <w:rsid w:val="00A939CF"/>
    <w:rsid w:val="00AA0A3D"/>
    <w:rsid w:val="00AA1EF4"/>
    <w:rsid w:val="00AA2329"/>
    <w:rsid w:val="00AA4DC7"/>
    <w:rsid w:val="00AB30A2"/>
    <w:rsid w:val="00AC43C9"/>
    <w:rsid w:val="00AC68EF"/>
    <w:rsid w:val="00AD01D7"/>
    <w:rsid w:val="00AD1185"/>
    <w:rsid w:val="00AD24E1"/>
    <w:rsid w:val="00AD478F"/>
    <w:rsid w:val="00AE240E"/>
    <w:rsid w:val="00AF02BE"/>
    <w:rsid w:val="00AF106D"/>
    <w:rsid w:val="00AF10A5"/>
    <w:rsid w:val="00AF349B"/>
    <w:rsid w:val="00AF3802"/>
    <w:rsid w:val="00AF684F"/>
    <w:rsid w:val="00B10BAD"/>
    <w:rsid w:val="00B14FF2"/>
    <w:rsid w:val="00B21C02"/>
    <w:rsid w:val="00B254E4"/>
    <w:rsid w:val="00B325C3"/>
    <w:rsid w:val="00B36541"/>
    <w:rsid w:val="00B42772"/>
    <w:rsid w:val="00B439FD"/>
    <w:rsid w:val="00B47BAF"/>
    <w:rsid w:val="00B5258F"/>
    <w:rsid w:val="00B57C93"/>
    <w:rsid w:val="00B57DBC"/>
    <w:rsid w:val="00B64943"/>
    <w:rsid w:val="00B64E3B"/>
    <w:rsid w:val="00B6549C"/>
    <w:rsid w:val="00B66928"/>
    <w:rsid w:val="00B74459"/>
    <w:rsid w:val="00B778EA"/>
    <w:rsid w:val="00B80354"/>
    <w:rsid w:val="00B83F0B"/>
    <w:rsid w:val="00B870C4"/>
    <w:rsid w:val="00B87B97"/>
    <w:rsid w:val="00B93050"/>
    <w:rsid w:val="00B93782"/>
    <w:rsid w:val="00B950F5"/>
    <w:rsid w:val="00B952A1"/>
    <w:rsid w:val="00BA290E"/>
    <w:rsid w:val="00BA2B3B"/>
    <w:rsid w:val="00BA2E84"/>
    <w:rsid w:val="00BB3C40"/>
    <w:rsid w:val="00BB4F4F"/>
    <w:rsid w:val="00BC1507"/>
    <w:rsid w:val="00BC29C3"/>
    <w:rsid w:val="00BC3B82"/>
    <w:rsid w:val="00BC3D33"/>
    <w:rsid w:val="00BC52AD"/>
    <w:rsid w:val="00BC64C9"/>
    <w:rsid w:val="00BC6624"/>
    <w:rsid w:val="00BC78E5"/>
    <w:rsid w:val="00BD5B41"/>
    <w:rsid w:val="00BD621A"/>
    <w:rsid w:val="00BD7631"/>
    <w:rsid w:val="00BE147A"/>
    <w:rsid w:val="00BF7C09"/>
    <w:rsid w:val="00C01E1A"/>
    <w:rsid w:val="00C041C9"/>
    <w:rsid w:val="00C10E28"/>
    <w:rsid w:val="00C13D4D"/>
    <w:rsid w:val="00C1496E"/>
    <w:rsid w:val="00C202A0"/>
    <w:rsid w:val="00C2377A"/>
    <w:rsid w:val="00C27848"/>
    <w:rsid w:val="00C32D5A"/>
    <w:rsid w:val="00C37999"/>
    <w:rsid w:val="00C51E00"/>
    <w:rsid w:val="00C52849"/>
    <w:rsid w:val="00C53072"/>
    <w:rsid w:val="00C5734C"/>
    <w:rsid w:val="00C61223"/>
    <w:rsid w:val="00C63730"/>
    <w:rsid w:val="00C73FCF"/>
    <w:rsid w:val="00C74613"/>
    <w:rsid w:val="00C754DB"/>
    <w:rsid w:val="00C76D6F"/>
    <w:rsid w:val="00C80366"/>
    <w:rsid w:val="00C85FFC"/>
    <w:rsid w:val="00C938D5"/>
    <w:rsid w:val="00C93C75"/>
    <w:rsid w:val="00CA051A"/>
    <w:rsid w:val="00CA2219"/>
    <w:rsid w:val="00CA3D87"/>
    <w:rsid w:val="00CB0CE3"/>
    <w:rsid w:val="00CB1DD0"/>
    <w:rsid w:val="00CB49DB"/>
    <w:rsid w:val="00CB4ABF"/>
    <w:rsid w:val="00CB506E"/>
    <w:rsid w:val="00CB5422"/>
    <w:rsid w:val="00CC0598"/>
    <w:rsid w:val="00CC0A66"/>
    <w:rsid w:val="00CC195B"/>
    <w:rsid w:val="00CC37FD"/>
    <w:rsid w:val="00CC3850"/>
    <w:rsid w:val="00CC660D"/>
    <w:rsid w:val="00CD2401"/>
    <w:rsid w:val="00CD2488"/>
    <w:rsid w:val="00CD56D7"/>
    <w:rsid w:val="00CD612A"/>
    <w:rsid w:val="00CE1E77"/>
    <w:rsid w:val="00CE22E9"/>
    <w:rsid w:val="00CE5E1C"/>
    <w:rsid w:val="00CF07B3"/>
    <w:rsid w:val="00CF59E0"/>
    <w:rsid w:val="00CF758E"/>
    <w:rsid w:val="00D00D41"/>
    <w:rsid w:val="00D0348C"/>
    <w:rsid w:val="00D05D15"/>
    <w:rsid w:val="00D06C04"/>
    <w:rsid w:val="00D07AB5"/>
    <w:rsid w:val="00D10A8A"/>
    <w:rsid w:val="00D10E79"/>
    <w:rsid w:val="00D138AD"/>
    <w:rsid w:val="00D13A9F"/>
    <w:rsid w:val="00D15B91"/>
    <w:rsid w:val="00D17A27"/>
    <w:rsid w:val="00D271A9"/>
    <w:rsid w:val="00D32ED7"/>
    <w:rsid w:val="00D368A4"/>
    <w:rsid w:val="00D40DF5"/>
    <w:rsid w:val="00D4274A"/>
    <w:rsid w:val="00D44921"/>
    <w:rsid w:val="00D46EA5"/>
    <w:rsid w:val="00D47606"/>
    <w:rsid w:val="00D51244"/>
    <w:rsid w:val="00D539B0"/>
    <w:rsid w:val="00D569FA"/>
    <w:rsid w:val="00D57D74"/>
    <w:rsid w:val="00D61F69"/>
    <w:rsid w:val="00D65AD3"/>
    <w:rsid w:val="00D678DD"/>
    <w:rsid w:val="00D73266"/>
    <w:rsid w:val="00D820DD"/>
    <w:rsid w:val="00D83252"/>
    <w:rsid w:val="00D86723"/>
    <w:rsid w:val="00D86883"/>
    <w:rsid w:val="00D9409A"/>
    <w:rsid w:val="00D948B8"/>
    <w:rsid w:val="00DA0852"/>
    <w:rsid w:val="00DB7033"/>
    <w:rsid w:val="00DC0E60"/>
    <w:rsid w:val="00DC60BB"/>
    <w:rsid w:val="00DE716A"/>
    <w:rsid w:val="00DF1BC2"/>
    <w:rsid w:val="00DF28E2"/>
    <w:rsid w:val="00DF2939"/>
    <w:rsid w:val="00DF2ADD"/>
    <w:rsid w:val="00DF2E04"/>
    <w:rsid w:val="00DF419C"/>
    <w:rsid w:val="00DF5370"/>
    <w:rsid w:val="00DF5B8D"/>
    <w:rsid w:val="00DF61BB"/>
    <w:rsid w:val="00E00F4F"/>
    <w:rsid w:val="00E01A0A"/>
    <w:rsid w:val="00E022FC"/>
    <w:rsid w:val="00E03F0E"/>
    <w:rsid w:val="00E05DFA"/>
    <w:rsid w:val="00E11C80"/>
    <w:rsid w:val="00E14A8B"/>
    <w:rsid w:val="00E15B57"/>
    <w:rsid w:val="00E1624F"/>
    <w:rsid w:val="00E17455"/>
    <w:rsid w:val="00E218F0"/>
    <w:rsid w:val="00E21CE8"/>
    <w:rsid w:val="00E25411"/>
    <w:rsid w:val="00E304B9"/>
    <w:rsid w:val="00E31BB7"/>
    <w:rsid w:val="00E31FA1"/>
    <w:rsid w:val="00E40860"/>
    <w:rsid w:val="00E50452"/>
    <w:rsid w:val="00E52DA7"/>
    <w:rsid w:val="00E6391C"/>
    <w:rsid w:val="00E6406D"/>
    <w:rsid w:val="00E6497D"/>
    <w:rsid w:val="00E65B4D"/>
    <w:rsid w:val="00E753A4"/>
    <w:rsid w:val="00E81AAD"/>
    <w:rsid w:val="00E82426"/>
    <w:rsid w:val="00E83F0C"/>
    <w:rsid w:val="00E8402D"/>
    <w:rsid w:val="00E84D56"/>
    <w:rsid w:val="00E853B8"/>
    <w:rsid w:val="00E85476"/>
    <w:rsid w:val="00E9169B"/>
    <w:rsid w:val="00E9197B"/>
    <w:rsid w:val="00E929F8"/>
    <w:rsid w:val="00E93825"/>
    <w:rsid w:val="00E96EBF"/>
    <w:rsid w:val="00EA07C8"/>
    <w:rsid w:val="00EA1A16"/>
    <w:rsid w:val="00EA50B8"/>
    <w:rsid w:val="00EA7CEA"/>
    <w:rsid w:val="00EB1708"/>
    <w:rsid w:val="00EB4F97"/>
    <w:rsid w:val="00EB7278"/>
    <w:rsid w:val="00EC18A0"/>
    <w:rsid w:val="00EC446E"/>
    <w:rsid w:val="00EC6859"/>
    <w:rsid w:val="00ED034A"/>
    <w:rsid w:val="00ED0DF0"/>
    <w:rsid w:val="00ED3AA5"/>
    <w:rsid w:val="00ED4E37"/>
    <w:rsid w:val="00ED7173"/>
    <w:rsid w:val="00EF35B5"/>
    <w:rsid w:val="00EF525F"/>
    <w:rsid w:val="00EF79AF"/>
    <w:rsid w:val="00F00232"/>
    <w:rsid w:val="00F0578A"/>
    <w:rsid w:val="00F0662B"/>
    <w:rsid w:val="00F06D65"/>
    <w:rsid w:val="00F0762A"/>
    <w:rsid w:val="00F138A5"/>
    <w:rsid w:val="00F152C4"/>
    <w:rsid w:val="00F1668C"/>
    <w:rsid w:val="00F1702A"/>
    <w:rsid w:val="00F2147C"/>
    <w:rsid w:val="00F2297E"/>
    <w:rsid w:val="00F24140"/>
    <w:rsid w:val="00F24666"/>
    <w:rsid w:val="00F2745C"/>
    <w:rsid w:val="00F32AF8"/>
    <w:rsid w:val="00F33D73"/>
    <w:rsid w:val="00F34658"/>
    <w:rsid w:val="00F3594B"/>
    <w:rsid w:val="00F401ED"/>
    <w:rsid w:val="00F404FA"/>
    <w:rsid w:val="00F41957"/>
    <w:rsid w:val="00F514F2"/>
    <w:rsid w:val="00F623B8"/>
    <w:rsid w:val="00F6302F"/>
    <w:rsid w:val="00F64823"/>
    <w:rsid w:val="00F64B6A"/>
    <w:rsid w:val="00F6516A"/>
    <w:rsid w:val="00F71229"/>
    <w:rsid w:val="00F72676"/>
    <w:rsid w:val="00F73784"/>
    <w:rsid w:val="00F74866"/>
    <w:rsid w:val="00F80267"/>
    <w:rsid w:val="00F81CA0"/>
    <w:rsid w:val="00F9041E"/>
    <w:rsid w:val="00F91D8B"/>
    <w:rsid w:val="00F9378A"/>
    <w:rsid w:val="00F93A24"/>
    <w:rsid w:val="00F94C9D"/>
    <w:rsid w:val="00F97057"/>
    <w:rsid w:val="00FA0847"/>
    <w:rsid w:val="00FA3A39"/>
    <w:rsid w:val="00FA4057"/>
    <w:rsid w:val="00FA4BA6"/>
    <w:rsid w:val="00FA689B"/>
    <w:rsid w:val="00FA7F0A"/>
    <w:rsid w:val="00FB13CD"/>
    <w:rsid w:val="00FB1590"/>
    <w:rsid w:val="00FB2058"/>
    <w:rsid w:val="00FB7520"/>
    <w:rsid w:val="00FB791A"/>
    <w:rsid w:val="00FC2F4B"/>
    <w:rsid w:val="00FC3B1F"/>
    <w:rsid w:val="00FC6C9B"/>
    <w:rsid w:val="00FD2420"/>
    <w:rsid w:val="00FD25D5"/>
    <w:rsid w:val="00FD54F6"/>
    <w:rsid w:val="00FD692D"/>
    <w:rsid w:val="00FE0243"/>
    <w:rsid w:val="00FE2231"/>
    <w:rsid w:val="00FE3EE3"/>
    <w:rsid w:val="00FE62E3"/>
    <w:rsid w:val="00FE7613"/>
    <w:rsid w:val="00FF205E"/>
    <w:rsid w:val="00FF686A"/>
    <w:rsid w:val="00FF6CCD"/>
    <w:rsid w:val="00FF6DD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68FB48"/>
  <w15:docId w15:val="{7EC2AD56-423E-451F-923E-ADC627F8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B0B"/>
    <w:pPr>
      <w:widowControl w:val="0"/>
      <w:autoSpaceDE w:val="0"/>
      <w:autoSpaceDN w:val="0"/>
      <w:adjustRightInd w:val="0"/>
      <w:spacing w:after="240" w:line="240" w:lineRule="auto"/>
    </w:pPr>
    <w:rPr>
      <w:rFonts w:ascii="Times New Roman" w:eastAsia="Times New Roman" w:hAnsi="Times New Roman" w:cs="Times New Roman"/>
      <w:sz w:val="24"/>
      <w:szCs w:val="24"/>
    </w:rPr>
  </w:style>
  <w:style w:type="paragraph" w:styleId="Heading1">
    <w:name w:val="heading 1"/>
    <w:basedOn w:val="Title"/>
    <w:next w:val="Normal"/>
    <w:link w:val="Heading1Char"/>
    <w:uiPriority w:val="9"/>
    <w:qFormat/>
    <w:rsid w:val="00811F8C"/>
    <w:pPr>
      <w:spacing w:after="480"/>
      <w:jc w:val="left"/>
      <w:outlineLvl w:val="0"/>
    </w:pPr>
  </w:style>
  <w:style w:type="paragraph" w:styleId="Heading2">
    <w:name w:val="heading 2"/>
    <w:basedOn w:val="Heading1"/>
    <w:next w:val="Normal"/>
    <w:link w:val="Heading2Char"/>
    <w:uiPriority w:val="9"/>
    <w:unhideWhenUsed/>
    <w:qFormat/>
    <w:rsid w:val="00811F8C"/>
    <w:pPr>
      <w:spacing w:before="360" w:after="240"/>
      <w:outlineLvl w:val="1"/>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44192"/>
    <w:rPr>
      <w:sz w:val="16"/>
      <w:szCs w:val="16"/>
    </w:rPr>
  </w:style>
  <w:style w:type="paragraph" w:styleId="CommentText">
    <w:name w:val="annotation text"/>
    <w:basedOn w:val="Normal"/>
    <w:link w:val="CommentTextChar"/>
    <w:rsid w:val="00944192"/>
    <w:rPr>
      <w:sz w:val="20"/>
      <w:szCs w:val="20"/>
    </w:rPr>
  </w:style>
  <w:style w:type="character" w:customStyle="1" w:styleId="CommentTextChar">
    <w:name w:val="Comment Text Char"/>
    <w:basedOn w:val="DefaultParagraphFont"/>
    <w:link w:val="CommentText"/>
    <w:rsid w:val="00944192"/>
    <w:rPr>
      <w:rFonts w:ascii="CG Times" w:eastAsia="Times New Roman" w:hAnsi="CG Times" w:cs="Times New Roman"/>
      <w:sz w:val="20"/>
      <w:szCs w:val="20"/>
    </w:rPr>
  </w:style>
  <w:style w:type="paragraph" w:styleId="NoSpacing">
    <w:name w:val="No Spacing"/>
    <w:uiPriority w:val="1"/>
    <w:qFormat/>
    <w:rsid w:val="00944192"/>
    <w:pPr>
      <w:spacing w:after="0" w:line="240" w:lineRule="auto"/>
    </w:pPr>
    <w:rPr>
      <w:rFonts w:ascii="Calibri" w:eastAsia="Calibri" w:hAnsi="Calibri" w:cs="Times New Roman"/>
    </w:rPr>
  </w:style>
  <w:style w:type="character" w:styleId="Hyperlink">
    <w:name w:val="Hyperlink"/>
    <w:unhideWhenUsed/>
    <w:rsid w:val="00944192"/>
    <w:rPr>
      <w:color w:val="0000FF"/>
      <w:u w:val="single"/>
    </w:rPr>
  </w:style>
  <w:style w:type="paragraph" w:styleId="BalloonText">
    <w:name w:val="Balloon Text"/>
    <w:basedOn w:val="Normal"/>
    <w:link w:val="BalloonTextChar"/>
    <w:uiPriority w:val="99"/>
    <w:semiHidden/>
    <w:unhideWhenUsed/>
    <w:rsid w:val="00944192"/>
    <w:rPr>
      <w:rFonts w:ascii="Tahoma" w:hAnsi="Tahoma" w:cs="Tahoma"/>
      <w:sz w:val="16"/>
      <w:szCs w:val="16"/>
    </w:rPr>
  </w:style>
  <w:style w:type="character" w:customStyle="1" w:styleId="BalloonTextChar">
    <w:name w:val="Balloon Text Char"/>
    <w:basedOn w:val="DefaultParagraphFont"/>
    <w:link w:val="BalloonText"/>
    <w:uiPriority w:val="99"/>
    <w:semiHidden/>
    <w:rsid w:val="00944192"/>
    <w:rPr>
      <w:rFonts w:ascii="Tahoma" w:eastAsia="Times New Roman" w:hAnsi="Tahoma" w:cs="Tahoma"/>
      <w:sz w:val="16"/>
      <w:szCs w:val="16"/>
    </w:rPr>
  </w:style>
  <w:style w:type="paragraph" w:styleId="Header">
    <w:name w:val="header"/>
    <w:basedOn w:val="Normal"/>
    <w:link w:val="HeaderChar"/>
    <w:uiPriority w:val="99"/>
    <w:unhideWhenUsed/>
    <w:rsid w:val="00CB49DB"/>
    <w:pPr>
      <w:tabs>
        <w:tab w:val="center" w:pos="4680"/>
        <w:tab w:val="right" w:pos="9360"/>
      </w:tabs>
    </w:pPr>
  </w:style>
  <w:style w:type="character" w:customStyle="1" w:styleId="HeaderChar">
    <w:name w:val="Header Char"/>
    <w:basedOn w:val="DefaultParagraphFont"/>
    <w:link w:val="Header"/>
    <w:uiPriority w:val="99"/>
    <w:rsid w:val="00CB49DB"/>
    <w:rPr>
      <w:rFonts w:ascii="CG Times" w:eastAsia="Times New Roman" w:hAnsi="CG Times" w:cs="Times New Roman"/>
      <w:sz w:val="24"/>
      <w:szCs w:val="24"/>
    </w:rPr>
  </w:style>
  <w:style w:type="paragraph" w:styleId="Footer">
    <w:name w:val="footer"/>
    <w:basedOn w:val="Normal"/>
    <w:link w:val="FooterChar"/>
    <w:uiPriority w:val="99"/>
    <w:unhideWhenUsed/>
    <w:rsid w:val="00CB49DB"/>
    <w:pPr>
      <w:tabs>
        <w:tab w:val="center" w:pos="4680"/>
        <w:tab w:val="right" w:pos="9360"/>
      </w:tabs>
    </w:pPr>
  </w:style>
  <w:style w:type="character" w:customStyle="1" w:styleId="FooterChar">
    <w:name w:val="Footer Char"/>
    <w:basedOn w:val="DefaultParagraphFont"/>
    <w:link w:val="Footer"/>
    <w:uiPriority w:val="99"/>
    <w:rsid w:val="00CB49DB"/>
    <w:rPr>
      <w:rFonts w:ascii="CG Times" w:eastAsia="Times New Roman" w:hAnsi="CG Times" w:cs="Times New Roman"/>
      <w:sz w:val="24"/>
      <w:szCs w:val="24"/>
    </w:rPr>
  </w:style>
  <w:style w:type="paragraph" w:styleId="CommentSubject">
    <w:name w:val="annotation subject"/>
    <w:basedOn w:val="CommentText"/>
    <w:next w:val="CommentText"/>
    <w:link w:val="CommentSubjectChar"/>
    <w:uiPriority w:val="99"/>
    <w:semiHidden/>
    <w:unhideWhenUsed/>
    <w:rsid w:val="002835D4"/>
    <w:rPr>
      <w:b/>
      <w:bCs/>
    </w:rPr>
  </w:style>
  <w:style w:type="character" w:customStyle="1" w:styleId="CommentSubjectChar">
    <w:name w:val="Comment Subject Char"/>
    <w:basedOn w:val="CommentTextChar"/>
    <w:link w:val="CommentSubject"/>
    <w:uiPriority w:val="99"/>
    <w:semiHidden/>
    <w:rsid w:val="002835D4"/>
    <w:rPr>
      <w:rFonts w:ascii="CG Times" w:eastAsia="Times New Roman" w:hAnsi="CG Times" w:cs="Times New Roman"/>
      <w:b/>
      <w:bCs/>
      <w:sz w:val="20"/>
      <w:szCs w:val="20"/>
    </w:rPr>
  </w:style>
  <w:style w:type="paragraph" w:styleId="ListParagraph">
    <w:name w:val="List Paragraph"/>
    <w:basedOn w:val="Normal"/>
    <w:uiPriority w:val="34"/>
    <w:qFormat/>
    <w:rsid w:val="00FE7613"/>
    <w:pPr>
      <w:ind w:left="720"/>
      <w:contextualSpacing/>
    </w:pPr>
  </w:style>
  <w:style w:type="paragraph" w:customStyle="1" w:styleId="Level1">
    <w:name w:val="Level 1"/>
    <w:basedOn w:val="Normal"/>
    <w:uiPriority w:val="99"/>
    <w:rsid w:val="00770BD5"/>
    <w:pPr>
      <w:ind w:left="810" w:hanging="450"/>
      <w:outlineLvl w:val="0"/>
    </w:pPr>
  </w:style>
  <w:style w:type="character" w:styleId="FootnoteReference">
    <w:name w:val="footnote reference"/>
    <w:basedOn w:val="DefaultParagraphFont"/>
    <w:uiPriority w:val="99"/>
    <w:rsid w:val="003A1B06"/>
    <w:rPr>
      <w:rFonts w:cs="Times New Roman"/>
    </w:rPr>
  </w:style>
  <w:style w:type="paragraph" w:styleId="FootnoteText">
    <w:name w:val="footnote text"/>
    <w:basedOn w:val="Normal"/>
    <w:link w:val="FootnoteTextChar"/>
    <w:uiPriority w:val="99"/>
    <w:rsid w:val="003A1B06"/>
    <w:rPr>
      <w:sz w:val="20"/>
      <w:szCs w:val="20"/>
    </w:rPr>
  </w:style>
  <w:style w:type="character" w:customStyle="1" w:styleId="FootnoteTextChar">
    <w:name w:val="Footnote Text Char"/>
    <w:basedOn w:val="DefaultParagraphFont"/>
    <w:link w:val="FootnoteText"/>
    <w:uiPriority w:val="99"/>
    <w:rsid w:val="003A1B06"/>
    <w:rPr>
      <w:rFonts w:ascii="Times New Roman" w:eastAsia="Times New Roman" w:hAnsi="Times New Roman" w:cs="Times New Roman"/>
      <w:sz w:val="20"/>
      <w:szCs w:val="20"/>
    </w:rPr>
  </w:style>
  <w:style w:type="table" w:styleId="TableGrid">
    <w:name w:val="Table Grid"/>
    <w:basedOn w:val="TableNormal"/>
    <w:uiPriority w:val="59"/>
    <w:rsid w:val="000A4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2"/>
    <w:rsid w:val="000A4740"/>
    <w:rPr>
      <w:rFonts w:ascii="Verdana" w:eastAsia="MS Mincho" w:hAnsi="Verdana"/>
    </w:rPr>
  </w:style>
  <w:style w:type="paragraph" w:customStyle="1" w:styleId="BodyText2">
    <w:name w:val="Body Text2"/>
    <w:basedOn w:val="Normal"/>
    <w:link w:val="bodytextChar"/>
    <w:rsid w:val="000A4740"/>
    <w:pPr>
      <w:widowControl/>
      <w:autoSpaceDE/>
      <w:autoSpaceDN/>
      <w:adjustRightInd/>
      <w:spacing w:line="320" w:lineRule="exact"/>
    </w:pPr>
    <w:rPr>
      <w:rFonts w:ascii="Verdana" w:eastAsia="MS Mincho" w:hAnsi="Verdana" w:cstheme="minorBidi"/>
      <w:sz w:val="22"/>
      <w:szCs w:val="22"/>
    </w:rPr>
  </w:style>
  <w:style w:type="paragraph" w:styleId="Revision">
    <w:name w:val="Revision"/>
    <w:hidden/>
    <w:uiPriority w:val="99"/>
    <w:semiHidden/>
    <w:rsid w:val="00936390"/>
    <w:pPr>
      <w:spacing w:after="0" w:line="240" w:lineRule="auto"/>
    </w:pPr>
    <w:rPr>
      <w:rFonts w:ascii="CG Times" w:eastAsia="Times New Roman" w:hAnsi="CG Times" w:cs="Times New Roman"/>
      <w:sz w:val="24"/>
      <w:szCs w:val="24"/>
    </w:rPr>
  </w:style>
  <w:style w:type="character" w:customStyle="1" w:styleId="Heading2Char">
    <w:name w:val="Heading 2 Char"/>
    <w:basedOn w:val="DefaultParagraphFont"/>
    <w:link w:val="Heading2"/>
    <w:uiPriority w:val="9"/>
    <w:rsid w:val="00811F8C"/>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147C88"/>
    <w:rPr>
      <w:color w:val="800080" w:themeColor="followedHyperlink"/>
      <w:u w:val="single"/>
    </w:rPr>
  </w:style>
  <w:style w:type="paragraph" w:customStyle="1" w:styleId="Default">
    <w:name w:val="Default"/>
    <w:rsid w:val="007F3B0B"/>
    <w:pPr>
      <w:autoSpaceDE w:val="0"/>
      <w:autoSpaceDN w:val="0"/>
      <w:adjustRightInd w:val="0"/>
      <w:spacing w:after="0" w:line="240" w:lineRule="auto"/>
    </w:pPr>
    <w:rPr>
      <w:rFonts w:ascii="Minion Pro" w:hAnsi="Minion Pro" w:cs="Minion Pro"/>
      <w:color w:val="000000"/>
      <w:sz w:val="24"/>
      <w:szCs w:val="24"/>
    </w:rPr>
  </w:style>
  <w:style w:type="paragraph" w:customStyle="1" w:styleId="Pa3">
    <w:name w:val="Pa3"/>
    <w:basedOn w:val="Default"/>
    <w:next w:val="Default"/>
    <w:uiPriority w:val="99"/>
    <w:rsid w:val="007F3B0B"/>
    <w:pPr>
      <w:spacing w:line="221" w:lineRule="atLeast"/>
    </w:pPr>
    <w:rPr>
      <w:rFonts w:cstheme="minorBidi"/>
      <w:color w:val="auto"/>
    </w:rPr>
  </w:style>
  <w:style w:type="paragraph" w:styleId="Title">
    <w:name w:val="Title"/>
    <w:basedOn w:val="Normal"/>
    <w:next w:val="Normal"/>
    <w:link w:val="TitleChar"/>
    <w:uiPriority w:val="10"/>
    <w:qFormat/>
    <w:rsid w:val="00A32B88"/>
    <w:pPr>
      <w:widowControl/>
      <w:autoSpaceDE/>
      <w:autoSpaceDN/>
      <w:adjustRightInd/>
      <w:spacing w:after="160"/>
      <w:jc w:val="center"/>
    </w:pPr>
    <w:rPr>
      <w:rFonts w:eastAsiaTheme="minorEastAsia"/>
      <w:b/>
    </w:rPr>
  </w:style>
  <w:style w:type="character" w:customStyle="1" w:styleId="TitleChar">
    <w:name w:val="Title Char"/>
    <w:basedOn w:val="DefaultParagraphFont"/>
    <w:link w:val="Title"/>
    <w:uiPriority w:val="10"/>
    <w:rsid w:val="00A32B88"/>
    <w:rPr>
      <w:rFonts w:ascii="Times New Roman" w:eastAsiaTheme="minorEastAsia" w:hAnsi="Times New Roman" w:cs="Times New Roman"/>
      <w:b/>
      <w:sz w:val="24"/>
      <w:szCs w:val="24"/>
    </w:rPr>
  </w:style>
  <w:style w:type="character" w:customStyle="1" w:styleId="Heading1Char">
    <w:name w:val="Heading 1 Char"/>
    <w:basedOn w:val="DefaultParagraphFont"/>
    <w:link w:val="Heading1"/>
    <w:uiPriority w:val="9"/>
    <w:rsid w:val="00811F8C"/>
    <w:rPr>
      <w:rFonts w:ascii="Times New Roman" w:eastAsiaTheme="minorEastAsia"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323428">
      <w:bodyDiv w:val="1"/>
      <w:marLeft w:val="0"/>
      <w:marRight w:val="0"/>
      <w:marTop w:val="0"/>
      <w:marBottom w:val="0"/>
      <w:divBdr>
        <w:top w:val="none" w:sz="0" w:space="0" w:color="auto"/>
        <w:left w:val="none" w:sz="0" w:space="0" w:color="auto"/>
        <w:bottom w:val="none" w:sz="0" w:space="0" w:color="auto"/>
        <w:right w:val="none" w:sz="0" w:space="0" w:color="auto"/>
      </w:divBdr>
    </w:div>
    <w:div w:id="653414429">
      <w:bodyDiv w:val="1"/>
      <w:marLeft w:val="0"/>
      <w:marRight w:val="0"/>
      <w:marTop w:val="0"/>
      <w:marBottom w:val="0"/>
      <w:divBdr>
        <w:top w:val="none" w:sz="0" w:space="0" w:color="auto"/>
        <w:left w:val="none" w:sz="0" w:space="0" w:color="auto"/>
        <w:bottom w:val="none" w:sz="0" w:space="0" w:color="auto"/>
        <w:right w:val="none" w:sz="0" w:space="0" w:color="auto"/>
      </w:divBdr>
    </w:div>
    <w:div w:id="658507622">
      <w:bodyDiv w:val="1"/>
      <w:marLeft w:val="0"/>
      <w:marRight w:val="0"/>
      <w:marTop w:val="0"/>
      <w:marBottom w:val="0"/>
      <w:divBdr>
        <w:top w:val="none" w:sz="0" w:space="0" w:color="auto"/>
        <w:left w:val="none" w:sz="0" w:space="0" w:color="auto"/>
        <w:bottom w:val="none" w:sz="0" w:space="0" w:color="auto"/>
        <w:right w:val="none" w:sz="0" w:space="0" w:color="auto"/>
      </w:divBdr>
    </w:div>
    <w:div w:id="659893140">
      <w:bodyDiv w:val="1"/>
      <w:marLeft w:val="0"/>
      <w:marRight w:val="0"/>
      <w:marTop w:val="0"/>
      <w:marBottom w:val="0"/>
      <w:divBdr>
        <w:top w:val="none" w:sz="0" w:space="0" w:color="auto"/>
        <w:left w:val="none" w:sz="0" w:space="0" w:color="auto"/>
        <w:bottom w:val="none" w:sz="0" w:space="0" w:color="auto"/>
        <w:right w:val="none" w:sz="0" w:space="0" w:color="auto"/>
      </w:divBdr>
    </w:div>
    <w:div w:id="1143739190">
      <w:bodyDiv w:val="1"/>
      <w:marLeft w:val="0"/>
      <w:marRight w:val="0"/>
      <w:marTop w:val="0"/>
      <w:marBottom w:val="0"/>
      <w:divBdr>
        <w:top w:val="none" w:sz="0" w:space="0" w:color="auto"/>
        <w:left w:val="none" w:sz="0" w:space="0" w:color="auto"/>
        <w:bottom w:val="none" w:sz="0" w:space="0" w:color="auto"/>
        <w:right w:val="none" w:sz="0" w:space="0" w:color="auto"/>
      </w:divBdr>
    </w:div>
    <w:div w:id="1387952040">
      <w:bodyDiv w:val="1"/>
      <w:marLeft w:val="0"/>
      <w:marRight w:val="0"/>
      <w:marTop w:val="0"/>
      <w:marBottom w:val="0"/>
      <w:divBdr>
        <w:top w:val="none" w:sz="0" w:space="0" w:color="auto"/>
        <w:left w:val="none" w:sz="0" w:space="0" w:color="auto"/>
        <w:bottom w:val="none" w:sz="0" w:space="0" w:color="auto"/>
        <w:right w:val="none" w:sz="0" w:space="0" w:color="auto"/>
      </w:divBdr>
    </w:div>
    <w:div w:id="1671827517">
      <w:bodyDiv w:val="1"/>
      <w:marLeft w:val="0"/>
      <w:marRight w:val="0"/>
      <w:marTop w:val="0"/>
      <w:marBottom w:val="0"/>
      <w:divBdr>
        <w:top w:val="none" w:sz="0" w:space="0" w:color="auto"/>
        <w:left w:val="none" w:sz="0" w:space="0" w:color="auto"/>
        <w:bottom w:val="none" w:sz="0" w:space="0" w:color="auto"/>
        <w:right w:val="none" w:sz="0" w:space="0" w:color="auto"/>
      </w:divBdr>
    </w:div>
    <w:div w:id="197841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A01A6-2710-4FB0-A0B4-1130CAE79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6</Pages>
  <Words>2281</Words>
  <Characters>13003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Zeng, Zhen</cp:lastModifiedBy>
  <cp:revision>34</cp:revision>
  <cp:lastPrinted>2020-03-09T19:08:00Z</cp:lastPrinted>
  <dcterms:created xsi:type="dcterms:W3CDTF">2020-01-09T18:52:00Z</dcterms:created>
  <dcterms:modified xsi:type="dcterms:W3CDTF">2020-06-19T14:32:00Z</dcterms:modified>
</cp:coreProperties>
</file>