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9D" w:rsidRDefault="002B2696" w14:paraId="6934E802" w14:textId="23787C8B">
      <w:pPr>
        <w:spacing w:before="59" w:after="19"/>
        <w:ind w:left="140" w:right="1857"/>
        <w:rPr>
          <w:b/>
          <w:sz w:val="40"/>
        </w:rPr>
      </w:pPr>
      <w:r>
        <w:rPr>
          <w:b/>
          <w:color w:val="5C0000"/>
          <w:sz w:val="40"/>
        </w:rPr>
        <w:t>FAQ</w:t>
      </w:r>
      <w:r w:rsidR="00207F30">
        <w:rPr>
          <w:b/>
          <w:color w:val="5C0000"/>
          <w:sz w:val="40"/>
        </w:rPr>
        <w:t>s</w:t>
      </w:r>
      <w:r w:rsidR="001557C2">
        <w:rPr>
          <w:b/>
          <w:color w:val="5C0000"/>
          <w:sz w:val="40"/>
        </w:rPr>
        <w:t xml:space="preserve"> ABOUT </w:t>
      </w:r>
      <w:r>
        <w:rPr>
          <w:b/>
          <w:color w:val="5C0000"/>
          <w:sz w:val="40"/>
        </w:rPr>
        <w:t>COBRA MODEL NOTICES</w:t>
      </w:r>
    </w:p>
    <w:p w:rsidR="00B9119D" w:rsidRDefault="00E3392F" w14:paraId="2DB59515" w14:textId="77777777">
      <w:pPr>
        <w:pStyle w:val="BodyText"/>
        <w:spacing w:line="30" w:lineRule="exact"/>
        <w:ind w:left="95"/>
        <w:rPr>
          <w:sz w:val="3"/>
        </w:rPr>
      </w:pPr>
      <w:r>
        <w:rPr>
          <w:noProof/>
          <w:sz w:val="3"/>
          <w:lang w:bidi="ar-SA"/>
        </w:rPr>
        <mc:AlternateContent>
          <mc:Choice Requires="wpg">
            <w:drawing>
              <wp:inline distT="0" distB="0" distL="0" distR="0" wp14:anchorId="19B449DD" wp14:editId="34825A95">
                <wp:extent cx="5981700" cy="19050"/>
                <wp:effectExtent l="0" t="0" r="0" b="0"/>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9050"/>
                          <a:chOff x="0" y="0"/>
                          <a:chExt cx="9420" cy="30"/>
                        </a:xfrm>
                      </wpg:grpSpPr>
                      <wps:wsp>
                        <wps:cNvPr id="4" name="Line 13"/>
                        <wps:cNvCnPr>
                          <a:cxnSpLocks noChangeShapeType="1"/>
                        </wps:cNvCnPr>
                        <wps:spPr bwMode="auto">
                          <a:xfrm>
                            <a:off x="0" y="15"/>
                            <a:ext cx="94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 style="width:471pt;height:1.5pt;mso-position-horizontal-relative:char;mso-position-vertical-relative:line" coordsize="9420,30" o:spid="_x0000_s1026" w14:anchorId="7A7A8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SHcQIAAHwFAAAOAAAAZHJzL2Uyb0RvYy54bWykVF1v2jAUfZ+0/2DlHZJAaCFqqCYCfem2&#10;Su1+gLGdxJpjW7YhoGn/fddOgJa+VB0Pxjf3w+ee4+u7+0Mr0J4Zy5UsonScRIhJoiiXdRH9etmM&#10;5hGyDkuKhZKsiI7MRvfLr1/uOp2ziWqUoMwgKCJt3ukiapzTeRxb0rAW27HSTIKzUqbFDkxTx9Tg&#10;Dqq3Ip4kyU3cKUO1UYRZC1/L3hktQ/2qYsT9rCrLHBJFBNhcWE1Yt36Nl3c4rw3WDScDDPwJFC3m&#10;Eg49lyqxw2hn+LtSLSdGWVW5MVFtrKqKExZ6gG7S5KqbB6N2OvRS512tzzQBtVc8fbos+bF/MojT&#10;IppGSOIWJAqnonTiuel0nUPIg9HP+sn0DcL2UZHfFtzxtd/bdR+Mtt13RaEe3jkVuDlUpvUloGt0&#10;CBIczxKwg0MEPs4W8/Q2AaUI+NJFMhskIg3o+C6LNOshb5FNhqRpyIhx3h8XIA6QfD9wzeyFSft/&#10;TD43WLMgkPU0DUxmJyYfuWQonfZEhoiV7FkkBzmwiKRaNVjWLNR6OWpgLPUZAPxVijcsSPBBVtNZ&#10;f7NPtF7oecsOzrWx7oGpFvlNEQmAHMTC+0frPIxLiNdOqg0XAr7jXEjUnTTytlWCU+8Nhqm3K2HQ&#10;HvvBC7/Q1FUYXHBJQ7WGYboe9g5z0e/hdCF9PWgE8Ay7frL+LJLFer6eZ6NscrMeZUlZjr5tVtno&#10;ZpPezsppuVqV6V/fTJrlDaeUSY/uNOVp9jHth/emn8/znJ95iN9WD4QB2NN/AB2k9Or1F3Cr6PHJ&#10;nCSG6xjEDiMe0obnyL8hr+0QdXk0l/8AAAD//wMAUEsDBBQABgAIAAAAIQDC4HEH2gAAAAMBAAAP&#10;AAAAZHJzL2Rvd25yZXYueG1sTI9BS8NAEIXvgv9hGcGb3aRV0ZhNKUU9FcFWEG/T7DQJzc6G7DZJ&#10;/72jF708eLzhvW/y5eRaNVAfGs8G0lkCirj0tuHKwMfu5eYBVIjIFlvPZOBMAZbF5UWOmfUjv9Ow&#10;jZWSEg4ZGqhj7DKtQ1mTwzDzHbFkB987jGL7StseRyl3rZ4nyb122LAs1NjRuqbyuD05A68jjqtF&#10;+jxsjof1+Wt39/a5ScmY66tp9QQq0hT/juEHX9ChEKa9P7ENqjUgj8Rflezxdi52b2CRgC5y/Z+9&#10;+AYAAP//AwBQSwECLQAUAAYACAAAACEAtoM4kv4AAADhAQAAEwAAAAAAAAAAAAAAAAAAAAAAW0Nv&#10;bnRlbnRfVHlwZXNdLnhtbFBLAQItABQABgAIAAAAIQA4/SH/1gAAAJQBAAALAAAAAAAAAAAAAAAA&#10;AC8BAABfcmVscy8ucmVsc1BLAQItABQABgAIAAAAIQDzQPSHcQIAAHwFAAAOAAAAAAAAAAAAAAAA&#10;AC4CAABkcnMvZTJvRG9jLnhtbFBLAQItABQABgAIAAAAIQDC4HEH2gAAAAMBAAAPAAAAAAAAAAAA&#10;AAAAAMsEAABkcnMvZG93bnJldi54bWxQSwUGAAAAAAQABADzAAAA0gUAAAAA&#10;">
                <v:line id="Line 13" style="position:absolute;visibility:visible;mso-wrap-style:square" o:spid="_x0000_s1027" strokeweight="1.5pt" o:connectortype="straight" from="0,15" to="94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w10:anchorlock/>
              </v:group>
            </w:pict>
          </mc:Fallback>
        </mc:AlternateContent>
      </w:r>
    </w:p>
    <w:p w:rsidR="00B9119D" w:rsidRDefault="00E3392F" w14:paraId="2A24FFE0" w14:textId="77777777">
      <w:pPr>
        <w:pStyle w:val="BodyText"/>
        <w:ind w:left="140"/>
      </w:pPr>
      <w:r>
        <w:rPr>
          <w:highlight w:val="yellow"/>
        </w:rPr>
        <w:t>April</w:t>
      </w:r>
      <w:r w:rsidRPr="002B2696" w:rsidR="002B2696">
        <w:rPr>
          <w:highlight w:val="yellow"/>
        </w:rPr>
        <w:t xml:space="preserve"> XX, 2020</w:t>
      </w:r>
    </w:p>
    <w:p w:rsidR="00B9119D" w:rsidRDefault="00B9119D" w14:paraId="68790585" w14:textId="77777777">
      <w:pPr>
        <w:pStyle w:val="BodyText"/>
      </w:pPr>
    </w:p>
    <w:p w:rsidR="00B9119D" w:rsidRDefault="001557C2" w14:paraId="05D5B4A8" w14:textId="3FB0BB40">
      <w:pPr>
        <w:pStyle w:val="BodyText"/>
        <w:ind w:left="139" w:right="203"/>
      </w:pPr>
      <w:r>
        <w:t xml:space="preserve">Set out below </w:t>
      </w:r>
      <w:r w:rsidR="00207F30">
        <w:t>are</w:t>
      </w:r>
      <w:r>
        <w:t xml:space="preserve"> </w:t>
      </w:r>
      <w:r w:rsidR="002B2696">
        <w:t xml:space="preserve">Frequently Asked </w:t>
      </w:r>
      <w:r w:rsidR="002B2696">
        <w:t>Question</w:t>
      </w:r>
      <w:r w:rsidR="00207F30">
        <w:t>s</w:t>
      </w:r>
      <w:r w:rsidR="002B2696">
        <w:t xml:space="preserve"> (FAQ</w:t>
      </w:r>
      <w:r w:rsidR="00BA3B2B">
        <w:t>s</w:t>
      </w:r>
      <w:r>
        <w:t xml:space="preserve">) regarding implementation of various provisions of </w:t>
      </w:r>
      <w:r w:rsidR="002B2696">
        <w:t>the Consolidated Omnibus Budget Reconciliation Act (COBRA)</w:t>
      </w:r>
      <w:r>
        <w:t xml:space="preserve">. </w:t>
      </w:r>
      <w:r w:rsidR="00E3392F">
        <w:t xml:space="preserve"> </w:t>
      </w:r>
      <w:r w:rsidR="002B2696">
        <w:t>Th</w:t>
      </w:r>
      <w:r w:rsidR="0074142C">
        <w:t>e</w:t>
      </w:r>
      <w:r w:rsidR="002B2696">
        <w:t>s</w:t>
      </w:r>
      <w:r w:rsidR="0074142C">
        <w:t>e</w:t>
      </w:r>
      <w:r w:rsidR="002B2696">
        <w:t xml:space="preserve"> FAQ</w:t>
      </w:r>
      <w:r w:rsidR="0074142C">
        <w:t>s</w:t>
      </w:r>
      <w:r>
        <w:t xml:space="preserve"> ha</w:t>
      </w:r>
      <w:r w:rsidR="0074142C">
        <w:t>ve</w:t>
      </w:r>
      <w:r>
        <w:t xml:space="preserve"> been prepared by the</w:t>
      </w:r>
      <w:r w:rsidR="008C1AF3">
        <w:t xml:space="preserve"> Department of Labor (DOL).  </w:t>
      </w:r>
      <w:r>
        <w:t xml:space="preserve">Like previously issued FAQs (available at </w:t>
      </w:r>
      <w:hyperlink w:history="1" r:id="rId11">
        <w:r w:rsidR="008C1AF3">
          <w:rPr>
            <w:rStyle w:val="Hyperlink"/>
          </w:rPr>
          <w:t>https://www.dol.gov/agencies/ebsa/about-ebsa/our-activities/resource-center/faqs</w:t>
        </w:r>
      </w:hyperlink>
      <w:r w:rsidR="00207F30">
        <w:t xml:space="preserve">), </w:t>
      </w:r>
      <w:r w:rsidR="002B2696">
        <w:t>th</w:t>
      </w:r>
      <w:r w:rsidR="0074142C">
        <w:t>e</w:t>
      </w:r>
      <w:r w:rsidR="002B2696">
        <w:t>s</w:t>
      </w:r>
      <w:r w:rsidR="0074142C">
        <w:t>e</w:t>
      </w:r>
      <w:r w:rsidR="002B2696">
        <w:t xml:space="preserve"> FAQ</w:t>
      </w:r>
      <w:r w:rsidR="0074142C">
        <w:t>s</w:t>
      </w:r>
      <w:r>
        <w:t xml:space="preserve"> answer</w:t>
      </w:r>
      <w:bookmarkStart w:name="_GoBack" w:id="0"/>
      <w:bookmarkEnd w:id="0"/>
      <w:r>
        <w:t xml:space="preserve"> questions from stakeholders to help </w:t>
      </w:r>
      <w:r w:rsidR="0073502D">
        <w:t xml:space="preserve">individuals </w:t>
      </w:r>
      <w:r>
        <w:t>understand the law and benefit from it, as intended.</w:t>
      </w:r>
    </w:p>
    <w:p w:rsidR="00B9119D" w:rsidRDefault="00B9119D" w14:paraId="728055BD" w14:textId="77777777">
      <w:pPr>
        <w:pStyle w:val="BodyText"/>
        <w:spacing w:before="2"/>
      </w:pPr>
    </w:p>
    <w:p w:rsidR="00B9119D" w:rsidRDefault="001557C2" w14:paraId="40662327" w14:textId="77777777">
      <w:pPr>
        <w:ind w:left="139"/>
        <w:rPr>
          <w:b/>
          <w:sz w:val="24"/>
        </w:rPr>
      </w:pPr>
      <w:r>
        <w:rPr>
          <w:b/>
          <w:sz w:val="24"/>
          <w:u w:val="thick"/>
        </w:rPr>
        <w:t xml:space="preserve">Updated </w:t>
      </w:r>
      <w:r w:rsidR="002B2696">
        <w:rPr>
          <w:b/>
          <w:sz w:val="24"/>
          <w:u w:val="thick"/>
        </w:rPr>
        <w:t>COBRA</w:t>
      </w:r>
      <w:r>
        <w:rPr>
          <w:b/>
          <w:sz w:val="24"/>
          <w:u w:val="thick"/>
        </w:rPr>
        <w:t xml:space="preserve"> Model Notices</w:t>
      </w:r>
    </w:p>
    <w:p w:rsidR="00B9119D" w:rsidRDefault="00B9119D" w14:paraId="295F73CC" w14:textId="77777777">
      <w:pPr>
        <w:pStyle w:val="BodyText"/>
        <w:rPr>
          <w:b/>
          <w:sz w:val="16"/>
        </w:rPr>
      </w:pPr>
    </w:p>
    <w:p w:rsidR="00B9119D" w:rsidRDefault="001557C2" w14:paraId="4DEA30C6" w14:textId="52E5D3A1">
      <w:pPr>
        <w:pStyle w:val="BodyText"/>
        <w:spacing w:before="90"/>
        <w:ind w:left="140" w:right="181"/>
      </w:pPr>
      <w:r>
        <w:t xml:space="preserve">In general, under </w:t>
      </w:r>
      <w:r w:rsidR="002B2696">
        <w:t>COBRA</w:t>
      </w:r>
      <w:r>
        <w:t>, an individual who was covered by a group health plan on the day before the occurrence of a qualifying event (such as a termination of employment or a reduction in hours that causes loss of coverage under the plan) may be able to elect COBRA continuation coverage upon that qualifying event.</w:t>
      </w:r>
      <w:r w:rsidR="00436F7C">
        <w:rPr>
          <w:rStyle w:val="FootnoteReference"/>
        </w:rPr>
        <w:footnoteReference w:id="2"/>
      </w:r>
      <w:r>
        <w:t xml:space="preserve"> Individuals with such a right are referred to as qualified beneficiaries.</w:t>
      </w:r>
    </w:p>
    <w:p w:rsidR="00B9119D" w:rsidRDefault="00B9119D" w14:paraId="2C5E09B3" w14:textId="77777777">
      <w:pPr>
        <w:pStyle w:val="BodyText"/>
      </w:pPr>
    </w:p>
    <w:p w:rsidR="00B9119D" w:rsidRDefault="001557C2" w14:paraId="2EA6F5D7" w14:textId="77777777">
      <w:pPr>
        <w:pStyle w:val="BodyText"/>
        <w:ind w:left="139" w:right="150"/>
      </w:pPr>
      <w:r>
        <w:t xml:space="preserve">Under COBRA, group health plans must provide covered employees and their families with certain notices explaining their COBRA rights. </w:t>
      </w:r>
      <w:r w:rsidR="00E3392F">
        <w:t xml:space="preserve"> </w:t>
      </w:r>
      <w:r>
        <w:t xml:space="preserve">A group health plan must provide each covered employee and spouse (if any) with a written notice of COBRA rights “at the time of commencement of coverage” under the plan (general notice). </w:t>
      </w:r>
      <w:r w:rsidR="00E3392F">
        <w:t xml:space="preserve"> </w:t>
      </w:r>
      <w:r>
        <w:t>A group health plan must also provide qualified beneficiaries with a notice which describes their rights to COBRA continuation coverage and how to make an election (election notice).</w:t>
      </w:r>
    </w:p>
    <w:p w:rsidR="00B9119D" w:rsidRDefault="00B9119D" w14:paraId="5631FC77" w14:textId="77777777">
      <w:pPr>
        <w:pStyle w:val="BodyText"/>
      </w:pPr>
    </w:p>
    <w:p w:rsidR="00B9119D" w:rsidRDefault="001557C2" w14:paraId="56AF4662" w14:textId="2717970D">
      <w:pPr>
        <w:pStyle w:val="BodyText"/>
        <w:ind w:left="139" w:right="304"/>
      </w:pPr>
      <w:r>
        <w:t xml:space="preserve">Some qualified beneficiaries may want to consider and compare health coverage alternatives to COBRA continuation coverage, such as coverage that is available through the Health Insurance Marketplace (Marketplace). </w:t>
      </w:r>
      <w:r w:rsidR="00E3392F">
        <w:t xml:space="preserve"> </w:t>
      </w:r>
      <w:r>
        <w:t>Qualified beneficiaries may be eligible for a premium tax credit (a tax credit to help pay for some or all of the cost of coverage in plans offered through the Marketplace) and cost-sharing reductions (amounts that lower out-of-pocket costs for deductibles, coinsurance, and copayments), and may find that Marketplace coverage is more affordable than COBRA.</w:t>
      </w:r>
      <w:r w:rsidR="002B2696">
        <w:t xml:space="preserve"> </w:t>
      </w:r>
      <w:r w:rsidR="00093AA1">
        <w:t xml:space="preserve"> Q</w:t>
      </w:r>
      <w:r w:rsidR="002B2696">
        <w:t xml:space="preserve">ualified beneficiaries may </w:t>
      </w:r>
      <w:r w:rsidR="00093AA1">
        <w:t xml:space="preserve">also </w:t>
      </w:r>
      <w:r w:rsidR="002B2696">
        <w:t xml:space="preserve">be eligible for Medicare, or have questions about the interaction </w:t>
      </w:r>
      <w:r w:rsidR="00AA0859">
        <w:t xml:space="preserve">between </w:t>
      </w:r>
      <w:r w:rsidR="002B2696">
        <w:t xml:space="preserve">Medicare and COBRA. </w:t>
      </w:r>
    </w:p>
    <w:p w:rsidR="00B9119D" w:rsidRDefault="00B9119D" w14:paraId="1D2BFFAF" w14:textId="77777777">
      <w:pPr>
        <w:pStyle w:val="BodyText"/>
        <w:rPr>
          <w:sz w:val="20"/>
        </w:rPr>
      </w:pPr>
    </w:p>
    <w:p w:rsidR="00B9119D" w:rsidRDefault="001557C2" w14:paraId="3BFCAD7F" w14:textId="7F5407F7">
      <w:pPr>
        <w:pStyle w:val="BodyText"/>
        <w:spacing w:before="76"/>
        <w:ind w:left="140" w:right="243"/>
      </w:pPr>
      <w:r>
        <w:t xml:space="preserve">The </w:t>
      </w:r>
      <w:r w:rsidR="008C1AF3">
        <w:t>DOL</w:t>
      </w:r>
      <w:r>
        <w:t xml:space="preserve"> has model notices that plans may use to satisfy the requirement to provide the general notice </w:t>
      </w:r>
      <w:r w:rsidR="002B2696">
        <w:t>and election notice under COBRA</w:t>
      </w:r>
      <w:r>
        <w:t xml:space="preserve">. </w:t>
      </w:r>
      <w:r w:rsidR="00E3392F">
        <w:t xml:space="preserve"> </w:t>
      </w:r>
      <w:r w:rsidR="002B2696">
        <w:t>DOL is now issuing updated version</w:t>
      </w:r>
      <w:r w:rsidR="00E05E85">
        <w:t>s</w:t>
      </w:r>
      <w:r w:rsidR="002B2696">
        <w:t xml:space="preserve"> of the model general notice and the model election notice to ensure that qualified beneficiaries better understand the interactions </w:t>
      </w:r>
      <w:r w:rsidR="00AA0859">
        <w:t xml:space="preserve">between </w:t>
      </w:r>
      <w:r w:rsidR="002B2696">
        <w:t xml:space="preserve">Medicare and COBRA. </w:t>
      </w:r>
    </w:p>
    <w:p w:rsidR="00B9119D" w:rsidRDefault="00B9119D" w14:paraId="6798C191" w14:textId="77777777">
      <w:pPr>
        <w:pStyle w:val="BodyText"/>
        <w:spacing w:before="3"/>
      </w:pPr>
    </w:p>
    <w:p w:rsidR="00B9119D" w:rsidRDefault="001557C2" w14:paraId="6A46CF1C" w14:textId="77777777">
      <w:pPr>
        <w:pStyle w:val="Heading1"/>
      </w:pPr>
      <w:r>
        <w:t xml:space="preserve">Q1: Where can I get a copy of the </w:t>
      </w:r>
      <w:r w:rsidR="008C1AF3">
        <w:t>DOL’s</w:t>
      </w:r>
      <w:r>
        <w:t xml:space="preserve"> newest model notices?</w:t>
      </w:r>
    </w:p>
    <w:p w:rsidR="00B9119D" w:rsidRDefault="00B9119D" w14:paraId="3984538B" w14:textId="77777777">
      <w:pPr>
        <w:pStyle w:val="BodyText"/>
        <w:spacing w:before="9"/>
        <w:rPr>
          <w:b/>
          <w:sz w:val="23"/>
        </w:rPr>
      </w:pPr>
    </w:p>
    <w:p w:rsidR="00B9119D" w:rsidRDefault="001557C2" w14:paraId="2485C454" w14:textId="2A964B6B">
      <w:pPr>
        <w:pStyle w:val="BodyText"/>
        <w:ind w:left="139" w:right="556"/>
      </w:pPr>
      <w:r>
        <w:t xml:space="preserve">The model general notice and model election notice are available on the DOL website at </w:t>
      </w:r>
      <w:hyperlink w:history="1" r:id="rId12">
        <w:hyperlink w:history="1" r:id="rId13">
          <w:r w:rsidR="00AA0859">
            <w:rPr>
              <w:rStyle w:val="Hyperlink"/>
            </w:rPr>
            <w:t>https://www.dol.gov/agencies/ebsa/laws-and-regulations/laws/cobra</w:t>
          </w:r>
        </w:hyperlink>
        <w:r w:rsidRPr="00401B7C" w:rsidR="002B2696">
          <w:rPr>
            <w:rStyle w:val="Hyperlink"/>
            <w:u w:color="0000FF"/>
          </w:rPr>
          <w:t>.</w:t>
        </w:r>
        <w:r w:rsidRPr="00E3392F" w:rsidR="002B2696">
          <w:rPr>
            <w:rStyle w:val="Hyperlink"/>
            <w:color w:val="auto"/>
            <w:u w:val="none"/>
          </w:rPr>
          <w:t xml:space="preserve"> </w:t>
        </w:r>
      </w:hyperlink>
      <w:r>
        <w:t xml:space="preserve"> The model notices are available in modifiable, electronic form. </w:t>
      </w:r>
      <w:r w:rsidR="00E3392F">
        <w:t xml:space="preserve"> </w:t>
      </w:r>
      <w:r>
        <w:t>As with the earlier model notices, to use the model properly the plan administrator must complete it by filling in the blanks with the appropriate plan information.</w:t>
      </w:r>
    </w:p>
    <w:p w:rsidR="00B9119D" w:rsidRDefault="00B9119D" w14:paraId="3AC99346" w14:textId="77777777">
      <w:pPr>
        <w:pStyle w:val="BodyText"/>
      </w:pPr>
    </w:p>
    <w:p w:rsidR="00B9119D" w:rsidRDefault="001557C2" w14:paraId="6223A637" w14:textId="7E731F6E">
      <w:pPr>
        <w:pStyle w:val="BodyText"/>
        <w:ind w:left="139" w:right="152"/>
        <w:rPr>
          <w:rStyle w:val="CommentReference"/>
        </w:rPr>
      </w:pPr>
      <w:r>
        <w:t>DOL will consider use of the model notices available on its website, appropriately completed, to constitute compliance with the notice content requirements of</w:t>
      </w:r>
      <w:r>
        <w:rPr>
          <w:spacing w:val="-2"/>
        </w:rPr>
        <w:t xml:space="preserve"> </w:t>
      </w:r>
      <w:r>
        <w:t>COBRA.</w:t>
      </w:r>
      <w:r w:rsidRPr="00AA0859" w:rsidR="00AA0859">
        <w:rPr>
          <w:rStyle w:val="CommentReference"/>
        </w:rPr>
        <w:t xml:space="preserve"> </w:t>
      </w:r>
      <w:r w:rsidR="00AA0859">
        <w:rPr>
          <w:rStyle w:val="FootnoteReference"/>
        </w:rPr>
        <w:footnoteReference w:id="3"/>
      </w:r>
    </w:p>
    <w:p w:rsidR="008574E7" w:rsidRDefault="008574E7" w14:paraId="2189B054" w14:textId="17FCCB80">
      <w:pPr>
        <w:pStyle w:val="BodyText"/>
        <w:ind w:left="139" w:right="152"/>
        <w:rPr>
          <w:rStyle w:val="CommentReference"/>
        </w:rPr>
      </w:pPr>
    </w:p>
    <w:p w:rsidRPr="00877296" w:rsidR="008574E7" w:rsidP="008574E7" w:rsidRDefault="008574E7" w14:paraId="5B95C204" w14:textId="74694FEB">
      <w:pPr>
        <w:pStyle w:val="BodyText"/>
        <w:ind w:left="139" w:right="152"/>
        <w:rPr>
          <w:b/>
          <w:bCs/>
        </w:rPr>
      </w:pPr>
      <w:r w:rsidRPr="00877296">
        <w:rPr>
          <w:b/>
          <w:bCs/>
        </w:rPr>
        <w:t>Q2: I didn’t enroll in Medicare when I first became eligible because I was still employed, but I recently lost my job.  Can I enroll in Medicare now</w:t>
      </w:r>
      <w:r w:rsidRPr="00877296" w:rsidR="00F11101">
        <w:rPr>
          <w:b/>
        </w:rPr>
        <w:t xml:space="preserve"> after my group health plan coverage ends</w:t>
      </w:r>
      <w:r w:rsidRPr="00877296">
        <w:rPr>
          <w:b/>
          <w:bCs/>
        </w:rPr>
        <w:t>?</w:t>
      </w:r>
    </w:p>
    <w:p w:rsidRPr="00877296" w:rsidR="008574E7" w:rsidP="008574E7" w:rsidRDefault="008574E7" w14:paraId="1B41044C" w14:textId="77777777">
      <w:pPr>
        <w:pStyle w:val="BodyText"/>
        <w:ind w:left="139" w:right="152"/>
        <w:rPr>
          <w:b/>
          <w:bCs/>
        </w:rPr>
      </w:pPr>
    </w:p>
    <w:p w:rsidRPr="008574E7" w:rsidR="008574E7" w:rsidP="008574E7" w:rsidRDefault="00905293" w14:paraId="284EA037" w14:textId="421FC4A4">
      <w:pPr>
        <w:pStyle w:val="BodyText"/>
        <w:ind w:left="139" w:right="152"/>
      </w:pPr>
      <w:r w:rsidRPr="00877296">
        <w:t xml:space="preserve">Yes, and there may be advantages to enrolling in Medicare before, or instead of, electing COBRA.  </w:t>
      </w:r>
      <w:r w:rsidRPr="00877296" w:rsidR="008574E7">
        <w:t>In general</w:t>
      </w:r>
      <w:r w:rsidRPr="008574E7" w:rsidR="008574E7">
        <w:t>, if you don’t enroll in Medicare Part A or B when you are first eligible because you are still employed, after the Medicare initial enrollment period, you have an 8-month special enrollment period</w:t>
      </w:r>
      <w:r w:rsidR="00F76A03">
        <w:rPr>
          <w:rStyle w:val="FootnoteReference"/>
        </w:rPr>
        <w:footnoteReference w:id="4"/>
      </w:r>
      <w:r w:rsidRPr="008574E7" w:rsidR="008574E7">
        <w:t xml:space="preserve"> to sign up for Medicare Part A or B, beginning on the earlier of </w:t>
      </w:r>
    </w:p>
    <w:p w:rsidRPr="008574E7" w:rsidR="008574E7" w:rsidP="008574E7" w:rsidRDefault="008574E7" w14:paraId="6B653831" w14:textId="77777777">
      <w:pPr>
        <w:pStyle w:val="BodyText"/>
        <w:ind w:left="139" w:right="152"/>
      </w:pPr>
    </w:p>
    <w:p w:rsidRPr="008574E7" w:rsidR="008574E7" w:rsidP="008574E7" w:rsidRDefault="008574E7" w14:paraId="2529A451" w14:textId="77777777">
      <w:pPr>
        <w:pStyle w:val="BodyText"/>
        <w:numPr>
          <w:ilvl w:val="0"/>
          <w:numId w:val="5"/>
        </w:numPr>
        <w:ind w:right="152"/>
      </w:pPr>
      <w:r w:rsidRPr="008574E7">
        <w:t>The month after your employment ends; or</w:t>
      </w:r>
    </w:p>
    <w:p w:rsidRPr="008574E7" w:rsidR="008574E7" w:rsidP="008574E7" w:rsidRDefault="008574E7" w14:paraId="49917C49" w14:textId="77777777">
      <w:pPr>
        <w:pStyle w:val="BodyText"/>
        <w:numPr>
          <w:ilvl w:val="0"/>
          <w:numId w:val="5"/>
        </w:numPr>
        <w:ind w:right="152"/>
      </w:pPr>
      <w:r w:rsidRPr="008574E7">
        <w:t>The month after group health plan coverage based on current employment ends.</w:t>
      </w:r>
    </w:p>
    <w:p w:rsidRPr="008574E7" w:rsidR="008574E7" w:rsidP="008574E7" w:rsidRDefault="008574E7" w14:paraId="6D59D395" w14:textId="77777777">
      <w:pPr>
        <w:pStyle w:val="BodyText"/>
        <w:ind w:left="139" w:right="152"/>
      </w:pPr>
    </w:p>
    <w:p w:rsidRPr="008574E7" w:rsidR="008574E7" w:rsidP="008574E7" w:rsidRDefault="008574E7" w14:paraId="2C3593C4" w14:textId="77777777">
      <w:pPr>
        <w:pStyle w:val="BodyText"/>
        <w:ind w:left="139" w:right="152"/>
      </w:pPr>
      <w:r w:rsidRPr="008574E7">
        <w:t>If you don’t enroll in Medicare and elect COBRA continuation coverage instead, you may have to pay a Part B late enrollment penalty and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w:t>
      </w:r>
    </w:p>
    <w:p w:rsidRPr="008574E7" w:rsidR="008574E7" w:rsidP="008574E7" w:rsidRDefault="008574E7" w14:paraId="1E729D0C" w14:textId="77777777">
      <w:pPr>
        <w:pStyle w:val="BodyText"/>
        <w:ind w:left="139" w:right="152"/>
      </w:pPr>
    </w:p>
    <w:p w:rsidRPr="008574E7" w:rsidR="008574E7" w:rsidP="008574E7" w:rsidRDefault="008574E7" w14:paraId="2DFF9CD8" w14:textId="66A5F44D">
      <w:pPr>
        <w:pStyle w:val="BodyText"/>
        <w:ind w:left="139" w:right="152"/>
        <w:rPr>
          <w:b/>
          <w:bCs/>
        </w:rPr>
      </w:pPr>
      <w:r w:rsidRPr="008574E7">
        <w:rPr>
          <w:b/>
          <w:bCs/>
        </w:rPr>
        <w:t>Q3: What health coverage pays first if I’m enrolled in both Medicare and COBRA?</w:t>
      </w:r>
    </w:p>
    <w:p w:rsidRPr="008574E7" w:rsidR="008574E7" w:rsidP="008574E7" w:rsidRDefault="008574E7" w14:paraId="4230C8E2" w14:textId="77777777">
      <w:pPr>
        <w:pStyle w:val="BodyText"/>
        <w:ind w:left="139" w:right="152"/>
        <w:rPr>
          <w:b/>
          <w:bCs/>
        </w:rPr>
      </w:pPr>
    </w:p>
    <w:p w:rsidRPr="008574E7" w:rsidR="008574E7" w:rsidP="008574E7" w:rsidRDefault="008574E7" w14:paraId="64976BB4" w14:textId="683508C4">
      <w:pPr>
        <w:pStyle w:val="BodyText"/>
        <w:ind w:left="139" w:right="152"/>
      </w:pPr>
      <w:r w:rsidRPr="008574E7">
        <w:t>If you are enrolled in both COBRA continuation coverage and Medicare, Medicare will generally pay first (primary payer) and COBRA continuation coverage will pay second.  Certain plans may pay as if secondary to Medicare, even if you are not enrolled in Medicare</w:t>
      </w:r>
      <w:r w:rsidR="00F11101">
        <w:t>.</w:t>
      </w:r>
      <w:r w:rsidRPr="008574E7">
        <w:t xml:space="preserve"> </w:t>
      </w:r>
    </w:p>
    <w:p w:rsidR="008574E7" w:rsidRDefault="008574E7" w14:paraId="5817B847" w14:textId="77777777">
      <w:pPr>
        <w:pStyle w:val="BodyText"/>
        <w:ind w:left="139" w:right="152"/>
      </w:pPr>
    </w:p>
    <w:p w:rsidR="00B9119D" w:rsidRDefault="00B9119D" w14:paraId="0CAC7841" w14:textId="77777777">
      <w:pPr>
        <w:pStyle w:val="BodyText"/>
        <w:spacing w:before="3"/>
      </w:pPr>
    </w:p>
    <w:p w:rsidR="00B9119D" w:rsidRDefault="00B9119D" w14:paraId="4F8E1B25" w14:textId="77777777">
      <w:pPr>
        <w:pStyle w:val="BodyText"/>
        <w:spacing w:before="76"/>
        <w:ind w:left="140" w:right="375"/>
      </w:pPr>
    </w:p>
    <w:sectPr w:rsidR="00B9119D">
      <w:headerReference w:type="default" r:id="rId14"/>
      <w:footerReference w:type="default" r:id="rId15"/>
      <w:pgSz w:w="12240" w:h="15840"/>
      <w:pgMar w:top="1360" w:right="1300" w:bottom="1240" w:left="1300" w:header="0" w:footer="105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393D73" w16cid:durableId="224BF3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BB07F" w14:textId="77777777" w:rsidR="0074142C" w:rsidRDefault="0074142C">
      <w:r>
        <w:separator/>
      </w:r>
    </w:p>
  </w:endnote>
  <w:endnote w:type="continuationSeparator" w:id="0">
    <w:p w14:paraId="249BE272" w14:textId="77777777" w:rsidR="0074142C" w:rsidRDefault="0074142C">
      <w:r>
        <w:continuationSeparator/>
      </w:r>
    </w:p>
  </w:endnote>
  <w:endnote w:type="continuationNotice" w:id="1">
    <w:p w14:paraId="52129282" w14:textId="77777777" w:rsidR="0074142C" w:rsidRDefault="00741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8364A" w14:textId="77777777" w:rsidR="00B9119D" w:rsidRDefault="00E3392F">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28A6F942" wp14:editId="28B51BD0">
              <wp:simplePos x="0" y="0"/>
              <wp:positionH relativeFrom="page">
                <wp:posOffset>3771900</wp:posOffset>
              </wp:positionH>
              <wp:positionV relativeFrom="page">
                <wp:posOffset>9246870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29C0C" w14:textId="4180C260" w:rsidR="00B9119D" w:rsidRDefault="001557C2">
                          <w:pPr>
                            <w:pStyle w:val="BodyText"/>
                            <w:spacing w:before="10"/>
                            <w:ind w:left="60"/>
                          </w:pPr>
                          <w:r>
                            <w:fldChar w:fldCharType="begin"/>
                          </w:r>
                          <w:r>
                            <w:instrText xml:space="preserve"> PAGE </w:instrText>
                          </w:r>
                          <w:r>
                            <w:fldChar w:fldCharType="separate"/>
                          </w:r>
                          <w:r w:rsidR="007270B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6F942" id="_x0000_t202" coordsize="21600,21600" o:spt="202" path="m,l,21600r21600,l21600,xe">
              <v:stroke joinstyle="miter"/>
              <v:path gradientshapeok="t" o:connecttype="rect"/>
            </v:shapetype>
            <v:shape id="Text Box 1" o:spid="_x0000_s1026" type="#_x0000_t202" style="position:absolute;margin-left:297pt;margin-top:728.1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vXoRp+EAAAANAQAA&#10;DwAAAGRycy9kb3ducmV2LnhtbEyPwU7DMBBE70j8g7WVuFG7pY3SEKeqEJyQEGk4cHRiN7Ear0Ps&#10;tuHv2Z7KcWdGs2/y7eR6djZjsB4lLOYCmMHGa4uthK/q7TEFFqJCrXqPRsKvCbAt7u9ylWl/wdKc&#10;97FlVIIhUxK6GIeM89B0xqkw94NB8g5+dCrSObZcj+pC5a7nSyES7pRF+tCpwbx0pjnuT07C7hvL&#10;V/vzUX+Wh9JW1Ubge3KU8mE27Z6BRTPFWxiu+IQOBTHV/oQ6sF7CerOiLZGM1TpZAqNI8iRIqq9S&#10;mqTAi5z/X1H8AQAA//8DAFBLAQItABQABgAIAAAAIQC2gziS/gAAAOEBAAATAAAAAAAAAAAAAAAA&#10;AAAAAABbQ29udGVudF9UeXBlc10ueG1sUEsBAi0AFAAGAAgAAAAhADj9If/WAAAAlAEAAAsAAAAA&#10;AAAAAAAAAAAALwEAAF9yZWxzLy5yZWxzUEsBAi0AFAAGAAgAAAAhALljnBirAgAAqAUAAA4AAAAA&#10;AAAAAAAAAAAALgIAAGRycy9lMm9Eb2MueG1sUEsBAi0AFAAGAAgAAAAhAL16EafhAAAADQEAAA8A&#10;AAAAAAAAAAAAAAAABQUAAGRycy9kb3ducmV2LnhtbFBLBQYAAAAABAAEAPMAAAATBgAAAAA=&#10;" filled="f" stroked="f">
              <v:textbox inset="0,0,0,0">
                <w:txbxContent>
                  <w:p w14:paraId="2B729C0C" w14:textId="4180C260" w:rsidR="00B9119D" w:rsidRDefault="001557C2">
                    <w:pPr>
                      <w:pStyle w:val="BodyText"/>
                      <w:spacing w:before="10"/>
                      <w:ind w:left="60"/>
                    </w:pPr>
                    <w:r>
                      <w:fldChar w:fldCharType="begin"/>
                    </w:r>
                    <w:r>
                      <w:instrText xml:space="preserve"> PAGE </w:instrText>
                    </w:r>
                    <w:r>
                      <w:fldChar w:fldCharType="separate"/>
                    </w:r>
                    <w:r w:rsidR="007270BE">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F9C09" w14:textId="77777777" w:rsidR="0074142C" w:rsidRDefault="0074142C">
      <w:r>
        <w:separator/>
      </w:r>
    </w:p>
  </w:footnote>
  <w:footnote w:type="continuationSeparator" w:id="0">
    <w:p w14:paraId="14F146F0" w14:textId="77777777" w:rsidR="0074142C" w:rsidRDefault="0074142C">
      <w:r>
        <w:continuationSeparator/>
      </w:r>
    </w:p>
  </w:footnote>
  <w:footnote w:type="continuationNotice" w:id="1">
    <w:p w14:paraId="6FA3C547" w14:textId="77777777" w:rsidR="0074142C" w:rsidRDefault="0074142C"/>
  </w:footnote>
  <w:footnote w:id="2">
    <w:p w14:paraId="46F8D54D" w14:textId="77777777" w:rsidR="00436F7C" w:rsidRDefault="00436F7C">
      <w:pPr>
        <w:pStyle w:val="FootnoteText"/>
      </w:pPr>
      <w:r>
        <w:rPr>
          <w:rStyle w:val="FootnoteReference"/>
        </w:rPr>
        <w:footnoteRef/>
      </w:r>
      <w:r>
        <w:t xml:space="preserve"> For more information on COBRA continuation coverage requirements applicable to group health plans sponsored by private-sector employers, see “An Employer’s Guide to Group Health Continuation Coverage Under COBRA,” available at </w:t>
      </w:r>
      <w:hyperlink r:id="rId1" w:history="1">
        <w:r>
          <w:rPr>
            <w:rStyle w:val="Hyperlink"/>
          </w:rPr>
          <w:t>https://www.dol.gov/sites/dolgov/files/EBSA/about-ebsa/our-activities/resource-center/publications/an-employers-guide-to-group-health-continuation-coverage-under-cobra.pdf</w:t>
        </w:r>
      </w:hyperlink>
    </w:p>
  </w:footnote>
  <w:footnote w:id="3">
    <w:p w14:paraId="531BC389" w14:textId="77777777" w:rsidR="00AA0859" w:rsidRDefault="00AA0859" w:rsidP="00AA0859">
      <w:pPr>
        <w:pStyle w:val="FootnoteText"/>
      </w:pPr>
      <w:r>
        <w:rPr>
          <w:rStyle w:val="FootnoteReference"/>
        </w:rPr>
        <w:footnoteRef/>
      </w:r>
      <w:r>
        <w:t xml:space="preserve"> The Department of Health and Human Services, Centers for Medicare &amp; Medicaid Services (CMS), </w:t>
      </w:r>
      <w:r w:rsidRPr="00EF6946">
        <w:t>administer</w:t>
      </w:r>
      <w:r>
        <w:t>s</w:t>
      </w:r>
      <w:r w:rsidRPr="00EF6946">
        <w:t xml:space="preserve"> the COBRA law as it applies to state and local government employers and their group health plans</w:t>
      </w:r>
      <w:r>
        <w:t xml:space="preserve"> (sometimes referred to as “public sector COBRA”)</w:t>
      </w:r>
      <w:r w:rsidRPr="00EF6946">
        <w:t>.</w:t>
      </w:r>
      <w:r>
        <w:t xml:space="preserve"> U</w:t>
      </w:r>
      <w:r w:rsidRPr="00EF6946">
        <w:t xml:space="preserve">se of the model notices is not required for public sector COBRA. However, they may be helpful to state and local government employers and their plan administrators in developing their COBRA rights notices. </w:t>
      </w:r>
      <w:r>
        <w:t xml:space="preserve">For more information on public sector COBRA, see CMS’s website at </w:t>
      </w:r>
      <w:hyperlink r:id="rId2" w:history="1">
        <w:r>
          <w:rPr>
            <w:rStyle w:val="Hyperlink"/>
          </w:rPr>
          <w:t>https://www.cms.gov/CCIIO/Programs-and-Initiatives/Other-Insurance-Protections/cobra_fact_sheet</w:t>
        </w:r>
      </w:hyperlink>
      <w:r>
        <w:t>.</w:t>
      </w:r>
    </w:p>
  </w:footnote>
  <w:footnote w:id="4">
    <w:p w14:paraId="135B3B78" w14:textId="5072DB97" w:rsidR="00F76A03" w:rsidRDefault="00F76A03">
      <w:pPr>
        <w:pStyle w:val="FootnoteText"/>
      </w:pPr>
      <w:r>
        <w:rPr>
          <w:rStyle w:val="FootnoteReference"/>
        </w:rPr>
        <w:footnoteRef/>
      </w:r>
      <w:r>
        <w:t xml:space="preserve"> </w:t>
      </w:r>
      <w:hyperlink r:id="rId3" w:history="1">
        <w:r w:rsidRPr="00F474FD">
          <w:rPr>
            <w:rStyle w:val="Hyperlink"/>
          </w:rPr>
          <w:t>https://www.medicare.gov/sign-up-change-plans/how-do-i-get-parts-a-b/part-a-part-b-sign-up-periods</w:t>
        </w:r>
      </w:hyperlink>
      <w:r w:rsidRPr="00F474FD">
        <w:t>.</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B0CB" w14:textId="77777777" w:rsidR="0074142C" w:rsidRDefault="00741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6A82"/>
    <w:multiLevelType w:val="hybridMultilevel"/>
    <w:tmpl w:val="884076A0"/>
    <w:lvl w:ilvl="0" w:tplc="32706A90">
      <w:start w:val="1"/>
      <w:numFmt w:val="decimal"/>
      <w:lvlText w:val="%1."/>
      <w:lvlJc w:val="left"/>
      <w:pPr>
        <w:ind w:left="860" w:hanging="360"/>
      </w:pPr>
      <w:rPr>
        <w:rFonts w:ascii="Times New Roman" w:eastAsia="Times New Roman" w:hAnsi="Times New Roman" w:cs="Times New Roman" w:hint="default"/>
        <w:spacing w:val="-2"/>
        <w:w w:val="99"/>
        <w:sz w:val="24"/>
        <w:szCs w:val="24"/>
        <w:lang w:val="en-US" w:eastAsia="en-US" w:bidi="en-US"/>
      </w:rPr>
    </w:lvl>
    <w:lvl w:ilvl="1" w:tplc="744C0F1C">
      <w:start w:val="1"/>
      <w:numFmt w:val="lowerLetter"/>
      <w:lvlText w:val="%2."/>
      <w:lvlJc w:val="left"/>
      <w:pPr>
        <w:ind w:left="1640" w:hanging="360"/>
      </w:pPr>
      <w:rPr>
        <w:rFonts w:ascii="Times New Roman" w:eastAsia="Times New Roman" w:hAnsi="Times New Roman" w:cs="Times New Roman" w:hint="default"/>
        <w:spacing w:val="-2"/>
        <w:w w:val="99"/>
        <w:sz w:val="24"/>
        <w:szCs w:val="24"/>
        <w:lang w:val="en-US" w:eastAsia="en-US" w:bidi="en-US"/>
      </w:rPr>
    </w:lvl>
    <w:lvl w:ilvl="2" w:tplc="1106704A">
      <w:numFmt w:val="bullet"/>
      <w:lvlText w:val="•"/>
      <w:lvlJc w:val="left"/>
      <w:pPr>
        <w:ind w:left="2528" w:hanging="360"/>
      </w:pPr>
      <w:rPr>
        <w:rFonts w:hint="default"/>
        <w:lang w:val="en-US" w:eastAsia="en-US" w:bidi="en-US"/>
      </w:rPr>
    </w:lvl>
    <w:lvl w:ilvl="3" w:tplc="377CE500">
      <w:numFmt w:val="bullet"/>
      <w:lvlText w:val="•"/>
      <w:lvlJc w:val="left"/>
      <w:pPr>
        <w:ind w:left="3417" w:hanging="360"/>
      </w:pPr>
      <w:rPr>
        <w:rFonts w:hint="default"/>
        <w:lang w:val="en-US" w:eastAsia="en-US" w:bidi="en-US"/>
      </w:rPr>
    </w:lvl>
    <w:lvl w:ilvl="4" w:tplc="CA20BE3A">
      <w:numFmt w:val="bullet"/>
      <w:lvlText w:val="•"/>
      <w:lvlJc w:val="left"/>
      <w:pPr>
        <w:ind w:left="4306" w:hanging="360"/>
      </w:pPr>
      <w:rPr>
        <w:rFonts w:hint="default"/>
        <w:lang w:val="en-US" w:eastAsia="en-US" w:bidi="en-US"/>
      </w:rPr>
    </w:lvl>
    <w:lvl w:ilvl="5" w:tplc="36EC5A0A">
      <w:numFmt w:val="bullet"/>
      <w:lvlText w:val="•"/>
      <w:lvlJc w:val="left"/>
      <w:pPr>
        <w:ind w:left="5195" w:hanging="360"/>
      </w:pPr>
      <w:rPr>
        <w:rFonts w:hint="default"/>
        <w:lang w:val="en-US" w:eastAsia="en-US" w:bidi="en-US"/>
      </w:rPr>
    </w:lvl>
    <w:lvl w:ilvl="6" w:tplc="894E0290">
      <w:numFmt w:val="bullet"/>
      <w:lvlText w:val="•"/>
      <w:lvlJc w:val="left"/>
      <w:pPr>
        <w:ind w:left="6084" w:hanging="360"/>
      </w:pPr>
      <w:rPr>
        <w:rFonts w:hint="default"/>
        <w:lang w:val="en-US" w:eastAsia="en-US" w:bidi="en-US"/>
      </w:rPr>
    </w:lvl>
    <w:lvl w:ilvl="7" w:tplc="CB728E16">
      <w:numFmt w:val="bullet"/>
      <w:lvlText w:val="•"/>
      <w:lvlJc w:val="left"/>
      <w:pPr>
        <w:ind w:left="6973" w:hanging="360"/>
      </w:pPr>
      <w:rPr>
        <w:rFonts w:hint="default"/>
        <w:lang w:val="en-US" w:eastAsia="en-US" w:bidi="en-US"/>
      </w:rPr>
    </w:lvl>
    <w:lvl w:ilvl="8" w:tplc="8D5C9AE8">
      <w:numFmt w:val="bullet"/>
      <w:lvlText w:val="•"/>
      <w:lvlJc w:val="left"/>
      <w:pPr>
        <w:ind w:left="7862" w:hanging="360"/>
      </w:pPr>
      <w:rPr>
        <w:rFonts w:hint="default"/>
        <w:lang w:val="en-US" w:eastAsia="en-US" w:bidi="en-US"/>
      </w:rPr>
    </w:lvl>
  </w:abstractNum>
  <w:abstractNum w:abstractNumId="1" w15:restartNumberingAfterBreak="0">
    <w:nsid w:val="2E313C63"/>
    <w:multiLevelType w:val="hybridMultilevel"/>
    <w:tmpl w:val="BC64CE66"/>
    <w:lvl w:ilvl="0" w:tplc="9EC69818">
      <w:start w:val="1"/>
      <w:numFmt w:val="decimal"/>
      <w:lvlText w:val="%1."/>
      <w:lvlJc w:val="left"/>
      <w:pPr>
        <w:ind w:left="860" w:hanging="360"/>
      </w:pPr>
      <w:rPr>
        <w:rFonts w:ascii="Times New Roman" w:eastAsia="Times New Roman" w:hAnsi="Times New Roman" w:cs="Times New Roman" w:hint="default"/>
        <w:spacing w:val="-1"/>
        <w:w w:val="100"/>
        <w:sz w:val="24"/>
        <w:szCs w:val="24"/>
        <w:lang w:val="en-US" w:eastAsia="en-US" w:bidi="en-US"/>
      </w:rPr>
    </w:lvl>
    <w:lvl w:ilvl="1" w:tplc="67521664">
      <w:numFmt w:val="bullet"/>
      <w:lvlText w:val=""/>
      <w:lvlJc w:val="left"/>
      <w:pPr>
        <w:ind w:left="1220" w:hanging="360"/>
      </w:pPr>
      <w:rPr>
        <w:rFonts w:ascii="Symbol" w:eastAsia="Symbol" w:hAnsi="Symbol" w:cs="Symbol" w:hint="default"/>
        <w:w w:val="100"/>
        <w:sz w:val="24"/>
        <w:szCs w:val="24"/>
        <w:lang w:val="en-US" w:eastAsia="en-US" w:bidi="en-US"/>
      </w:rPr>
    </w:lvl>
    <w:lvl w:ilvl="2" w:tplc="4E5C79C8">
      <w:numFmt w:val="bullet"/>
      <w:lvlText w:val="•"/>
      <w:lvlJc w:val="left"/>
      <w:pPr>
        <w:ind w:left="2155" w:hanging="360"/>
      </w:pPr>
      <w:rPr>
        <w:rFonts w:hint="default"/>
        <w:lang w:val="en-US" w:eastAsia="en-US" w:bidi="en-US"/>
      </w:rPr>
    </w:lvl>
    <w:lvl w:ilvl="3" w:tplc="4AD09186">
      <w:numFmt w:val="bullet"/>
      <w:lvlText w:val="•"/>
      <w:lvlJc w:val="left"/>
      <w:pPr>
        <w:ind w:left="3091" w:hanging="360"/>
      </w:pPr>
      <w:rPr>
        <w:rFonts w:hint="default"/>
        <w:lang w:val="en-US" w:eastAsia="en-US" w:bidi="en-US"/>
      </w:rPr>
    </w:lvl>
    <w:lvl w:ilvl="4" w:tplc="602ACA7A">
      <w:numFmt w:val="bullet"/>
      <w:lvlText w:val="•"/>
      <w:lvlJc w:val="left"/>
      <w:pPr>
        <w:ind w:left="4026" w:hanging="360"/>
      </w:pPr>
      <w:rPr>
        <w:rFonts w:hint="default"/>
        <w:lang w:val="en-US" w:eastAsia="en-US" w:bidi="en-US"/>
      </w:rPr>
    </w:lvl>
    <w:lvl w:ilvl="5" w:tplc="64BCDC52">
      <w:numFmt w:val="bullet"/>
      <w:lvlText w:val="•"/>
      <w:lvlJc w:val="left"/>
      <w:pPr>
        <w:ind w:left="4962" w:hanging="360"/>
      </w:pPr>
      <w:rPr>
        <w:rFonts w:hint="default"/>
        <w:lang w:val="en-US" w:eastAsia="en-US" w:bidi="en-US"/>
      </w:rPr>
    </w:lvl>
    <w:lvl w:ilvl="6" w:tplc="E3061F68">
      <w:numFmt w:val="bullet"/>
      <w:lvlText w:val="•"/>
      <w:lvlJc w:val="left"/>
      <w:pPr>
        <w:ind w:left="5897" w:hanging="360"/>
      </w:pPr>
      <w:rPr>
        <w:rFonts w:hint="default"/>
        <w:lang w:val="en-US" w:eastAsia="en-US" w:bidi="en-US"/>
      </w:rPr>
    </w:lvl>
    <w:lvl w:ilvl="7" w:tplc="49103BF2">
      <w:numFmt w:val="bullet"/>
      <w:lvlText w:val="•"/>
      <w:lvlJc w:val="left"/>
      <w:pPr>
        <w:ind w:left="6833" w:hanging="360"/>
      </w:pPr>
      <w:rPr>
        <w:rFonts w:hint="default"/>
        <w:lang w:val="en-US" w:eastAsia="en-US" w:bidi="en-US"/>
      </w:rPr>
    </w:lvl>
    <w:lvl w:ilvl="8" w:tplc="10BA046A">
      <w:numFmt w:val="bullet"/>
      <w:lvlText w:val="•"/>
      <w:lvlJc w:val="left"/>
      <w:pPr>
        <w:ind w:left="7768" w:hanging="360"/>
      </w:pPr>
      <w:rPr>
        <w:rFonts w:hint="default"/>
        <w:lang w:val="en-US" w:eastAsia="en-US" w:bidi="en-US"/>
      </w:rPr>
    </w:lvl>
  </w:abstractNum>
  <w:abstractNum w:abstractNumId="2" w15:restartNumberingAfterBreak="0">
    <w:nsid w:val="36192DDC"/>
    <w:multiLevelType w:val="multilevel"/>
    <w:tmpl w:val="000AD2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5711798A"/>
    <w:multiLevelType w:val="hybridMultilevel"/>
    <w:tmpl w:val="E61A1188"/>
    <w:lvl w:ilvl="0" w:tplc="ED021E94">
      <w:numFmt w:val="bullet"/>
      <w:lvlText w:val=""/>
      <w:lvlJc w:val="left"/>
      <w:pPr>
        <w:ind w:left="860" w:hanging="360"/>
      </w:pPr>
      <w:rPr>
        <w:rFonts w:ascii="Symbol" w:eastAsia="Symbol" w:hAnsi="Symbol" w:cs="Symbol" w:hint="default"/>
        <w:w w:val="100"/>
        <w:sz w:val="24"/>
        <w:szCs w:val="24"/>
        <w:lang w:val="en-US" w:eastAsia="en-US" w:bidi="en-US"/>
      </w:rPr>
    </w:lvl>
    <w:lvl w:ilvl="1" w:tplc="78CCCD88">
      <w:numFmt w:val="bullet"/>
      <w:lvlText w:val="•"/>
      <w:lvlJc w:val="left"/>
      <w:pPr>
        <w:ind w:left="1738" w:hanging="360"/>
      </w:pPr>
      <w:rPr>
        <w:rFonts w:hint="default"/>
        <w:lang w:val="en-US" w:eastAsia="en-US" w:bidi="en-US"/>
      </w:rPr>
    </w:lvl>
    <w:lvl w:ilvl="2" w:tplc="64E040E0">
      <w:numFmt w:val="bullet"/>
      <w:lvlText w:val="•"/>
      <w:lvlJc w:val="left"/>
      <w:pPr>
        <w:ind w:left="2616" w:hanging="360"/>
      </w:pPr>
      <w:rPr>
        <w:rFonts w:hint="default"/>
        <w:lang w:val="en-US" w:eastAsia="en-US" w:bidi="en-US"/>
      </w:rPr>
    </w:lvl>
    <w:lvl w:ilvl="3" w:tplc="2DB02B8A">
      <w:numFmt w:val="bullet"/>
      <w:lvlText w:val="•"/>
      <w:lvlJc w:val="left"/>
      <w:pPr>
        <w:ind w:left="3494" w:hanging="360"/>
      </w:pPr>
      <w:rPr>
        <w:rFonts w:hint="default"/>
        <w:lang w:val="en-US" w:eastAsia="en-US" w:bidi="en-US"/>
      </w:rPr>
    </w:lvl>
    <w:lvl w:ilvl="4" w:tplc="C8F2737A">
      <w:numFmt w:val="bullet"/>
      <w:lvlText w:val="•"/>
      <w:lvlJc w:val="left"/>
      <w:pPr>
        <w:ind w:left="4372" w:hanging="360"/>
      </w:pPr>
      <w:rPr>
        <w:rFonts w:hint="default"/>
        <w:lang w:val="en-US" w:eastAsia="en-US" w:bidi="en-US"/>
      </w:rPr>
    </w:lvl>
    <w:lvl w:ilvl="5" w:tplc="90267964">
      <w:numFmt w:val="bullet"/>
      <w:lvlText w:val="•"/>
      <w:lvlJc w:val="left"/>
      <w:pPr>
        <w:ind w:left="5250" w:hanging="360"/>
      </w:pPr>
      <w:rPr>
        <w:rFonts w:hint="default"/>
        <w:lang w:val="en-US" w:eastAsia="en-US" w:bidi="en-US"/>
      </w:rPr>
    </w:lvl>
    <w:lvl w:ilvl="6" w:tplc="73B8EE36">
      <w:numFmt w:val="bullet"/>
      <w:lvlText w:val="•"/>
      <w:lvlJc w:val="left"/>
      <w:pPr>
        <w:ind w:left="6128" w:hanging="360"/>
      </w:pPr>
      <w:rPr>
        <w:rFonts w:hint="default"/>
        <w:lang w:val="en-US" w:eastAsia="en-US" w:bidi="en-US"/>
      </w:rPr>
    </w:lvl>
    <w:lvl w:ilvl="7" w:tplc="5552A252">
      <w:numFmt w:val="bullet"/>
      <w:lvlText w:val="•"/>
      <w:lvlJc w:val="left"/>
      <w:pPr>
        <w:ind w:left="7006" w:hanging="360"/>
      </w:pPr>
      <w:rPr>
        <w:rFonts w:hint="default"/>
        <w:lang w:val="en-US" w:eastAsia="en-US" w:bidi="en-US"/>
      </w:rPr>
    </w:lvl>
    <w:lvl w:ilvl="8" w:tplc="BB0C4EC8">
      <w:numFmt w:val="bullet"/>
      <w:lvlText w:val="•"/>
      <w:lvlJc w:val="left"/>
      <w:pPr>
        <w:ind w:left="7884" w:hanging="360"/>
      </w:pPr>
      <w:rPr>
        <w:rFonts w:hint="default"/>
        <w:lang w:val="en-US" w:eastAsia="en-US" w:bidi="en-US"/>
      </w:rPr>
    </w:lvl>
  </w:abstractNum>
  <w:abstractNum w:abstractNumId="4" w15:restartNumberingAfterBreak="0">
    <w:nsid w:val="6518098F"/>
    <w:multiLevelType w:val="hybridMultilevel"/>
    <w:tmpl w:val="C0E6DF7C"/>
    <w:lvl w:ilvl="0" w:tplc="3B929B34">
      <w:numFmt w:val="bullet"/>
      <w:lvlText w:val=""/>
      <w:lvlJc w:val="left"/>
      <w:pPr>
        <w:ind w:left="860" w:hanging="720"/>
      </w:pPr>
      <w:rPr>
        <w:rFonts w:ascii="Symbol" w:eastAsia="Symbol" w:hAnsi="Symbol" w:cs="Symbol" w:hint="default"/>
        <w:w w:val="100"/>
        <w:sz w:val="24"/>
        <w:szCs w:val="24"/>
        <w:lang w:val="en-US" w:eastAsia="en-US" w:bidi="en-US"/>
      </w:rPr>
    </w:lvl>
    <w:lvl w:ilvl="1" w:tplc="911C7DF4">
      <w:numFmt w:val="bullet"/>
      <w:lvlText w:val="•"/>
      <w:lvlJc w:val="left"/>
      <w:pPr>
        <w:ind w:left="1738" w:hanging="720"/>
      </w:pPr>
      <w:rPr>
        <w:rFonts w:hint="default"/>
        <w:lang w:val="en-US" w:eastAsia="en-US" w:bidi="en-US"/>
      </w:rPr>
    </w:lvl>
    <w:lvl w:ilvl="2" w:tplc="8CB8FDEE">
      <w:numFmt w:val="bullet"/>
      <w:lvlText w:val="•"/>
      <w:lvlJc w:val="left"/>
      <w:pPr>
        <w:ind w:left="2616" w:hanging="720"/>
      </w:pPr>
      <w:rPr>
        <w:rFonts w:hint="default"/>
        <w:lang w:val="en-US" w:eastAsia="en-US" w:bidi="en-US"/>
      </w:rPr>
    </w:lvl>
    <w:lvl w:ilvl="3" w:tplc="362CBF28">
      <w:numFmt w:val="bullet"/>
      <w:lvlText w:val="•"/>
      <w:lvlJc w:val="left"/>
      <w:pPr>
        <w:ind w:left="3494" w:hanging="720"/>
      </w:pPr>
      <w:rPr>
        <w:rFonts w:hint="default"/>
        <w:lang w:val="en-US" w:eastAsia="en-US" w:bidi="en-US"/>
      </w:rPr>
    </w:lvl>
    <w:lvl w:ilvl="4" w:tplc="110EBF2C">
      <w:numFmt w:val="bullet"/>
      <w:lvlText w:val="•"/>
      <w:lvlJc w:val="left"/>
      <w:pPr>
        <w:ind w:left="4372" w:hanging="720"/>
      </w:pPr>
      <w:rPr>
        <w:rFonts w:hint="default"/>
        <w:lang w:val="en-US" w:eastAsia="en-US" w:bidi="en-US"/>
      </w:rPr>
    </w:lvl>
    <w:lvl w:ilvl="5" w:tplc="6F5C8E36">
      <w:numFmt w:val="bullet"/>
      <w:lvlText w:val="•"/>
      <w:lvlJc w:val="left"/>
      <w:pPr>
        <w:ind w:left="5250" w:hanging="720"/>
      </w:pPr>
      <w:rPr>
        <w:rFonts w:hint="default"/>
        <w:lang w:val="en-US" w:eastAsia="en-US" w:bidi="en-US"/>
      </w:rPr>
    </w:lvl>
    <w:lvl w:ilvl="6" w:tplc="42925442">
      <w:numFmt w:val="bullet"/>
      <w:lvlText w:val="•"/>
      <w:lvlJc w:val="left"/>
      <w:pPr>
        <w:ind w:left="6128" w:hanging="720"/>
      </w:pPr>
      <w:rPr>
        <w:rFonts w:hint="default"/>
        <w:lang w:val="en-US" w:eastAsia="en-US" w:bidi="en-US"/>
      </w:rPr>
    </w:lvl>
    <w:lvl w:ilvl="7" w:tplc="BE3482D6">
      <w:numFmt w:val="bullet"/>
      <w:lvlText w:val="•"/>
      <w:lvlJc w:val="left"/>
      <w:pPr>
        <w:ind w:left="7006" w:hanging="720"/>
      </w:pPr>
      <w:rPr>
        <w:rFonts w:hint="default"/>
        <w:lang w:val="en-US" w:eastAsia="en-US" w:bidi="en-US"/>
      </w:rPr>
    </w:lvl>
    <w:lvl w:ilvl="8" w:tplc="C7964D62">
      <w:numFmt w:val="bullet"/>
      <w:lvlText w:val="•"/>
      <w:lvlJc w:val="left"/>
      <w:pPr>
        <w:ind w:left="7884" w:hanging="720"/>
      </w:pPr>
      <w:rPr>
        <w:rFonts w:hint="default"/>
        <w:lang w:val="en-US" w:eastAsia="en-US" w:bidi="en-US"/>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9D"/>
    <w:rsid w:val="00093AA1"/>
    <w:rsid w:val="00100BD9"/>
    <w:rsid w:val="001330F4"/>
    <w:rsid w:val="00144976"/>
    <w:rsid w:val="0015190F"/>
    <w:rsid w:val="001557C2"/>
    <w:rsid w:val="00160707"/>
    <w:rsid w:val="00207F30"/>
    <w:rsid w:val="002B2696"/>
    <w:rsid w:val="002D1885"/>
    <w:rsid w:val="00325B28"/>
    <w:rsid w:val="003B0B9E"/>
    <w:rsid w:val="00436F7C"/>
    <w:rsid w:val="005851E6"/>
    <w:rsid w:val="007270BE"/>
    <w:rsid w:val="0073502D"/>
    <w:rsid w:val="0074142C"/>
    <w:rsid w:val="00756733"/>
    <w:rsid w:val="008574E7"/>
    <w:rsid w:val="00877296"/>
    <w:rsid w:val="008C1AF3"/>
    <w:rsid w:val="00905293"/>
    <w:rsid w:val="009E6330"/>
    <w:rsid w:val="00AA0859"/>
    <w:rsid w:val="00B31989"/>
    <w:rsid w:val="00B8583D"/>
    <w:rsid w:val="00B9119D"/>
    <w:rsid w:val="00B96D36"/>
    <w:rsid w:val="00BA3B2B"/>
    <w:rsid w:val="00BA73EF"/>
    <w:rsid w:val="00C74394"/>
    <w:rsid w:val="00CE09DB"/>
    <w:rsid w:val="00E05E85"/>
    <w:rsid w:val="00E3392F"/>
    <w:rsid w:val="00F11101"/>
    <w:rsid w:val="00F366DD"/>
    <w:rsid w:val="00F76A03"/>
    <w:rsid w:val="00FF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5C8AD"/>
  <w15:docId w15:val="{067AF96E-C4FD-4DAF-A9D0-6986253D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B2696"/>
    <w:rPr>
      <w:color w:val="0000FF" w:themeColor="hyperlink"/>
      <w:u w:val="single"/>
    </w:rPr>
  </w:style>
  <w:style w:type="paragraph" w:styleId="BalloonText">
    <w:name w:val="Balloon Text"/>
    <w:basedOn w:val="Normal"/>
    <w:link w:val="BalloonTextChar"/>
    <w:uiPriority w:val="99"/>
    <w:semiHidden/>
    <w:unhideWhenUsed/>
    <w:rsid w:val="00E05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E85"/>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E05E85"/>
    <w:rPr>
      <w:sz w:val="16"/>
      <w:szCs w:val="16"/>
    </w:rPr>
  </w:style>
  <w:style w:type="paragraph" w:styleId="CommentText">
    <w:name w:val="annotation text"/>
    <w:basedOn w:val="Normal"/>
    <w:link w:val="CommentTextChar"/>
    <w:uiPriority w:val="99"/>
    <w:semiHidden/>
    <w:unhideWhenUsed/>
    <w:rsid w:val="00E05E85"/>
    <w:rPr>
      <w:sz w:val="20"/>
      <w:szCs w:val="20"/>
    </w:rPr>
  </w:style>
  <w:style w:type="character" w:customStyle="1" w:styleId="CommentTextChar">
    <w:name w:val="Comment Text Char"/>
    <w:basedOn w:val="DefaultParagraphFont"/>
    <w:link w:val="CommentText"/>
    <w:uiPriority w:val="99"/>
    <w:semiHidden/>
    <w:rsid w:val="00E05E8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05E85"/>
    <w:rPr>
      <w:b/>
      <w:bCs/>
    </w:rPr>
  </w:style>
  <w:style w:type="character" w:customStyle="1" w:styleId="CommentSubjectChar">
    <w:name w:val="Comment Subject Char"/>
    <w:basedOn w:val="CommentTextChar"/>
    <w:link w:val="CommentSubject"/>
    <w:uiPriority w:val="99"/>
    <w:semiHidden/>
    <w:rsid w:val="00E05E85"/>
    <w:rPr>
      <w:rFonts w:ascii="Times New Roman" w:eastAsia="Times New Roman" w:hAnsi="Times New Roman" w:cs="Times New Roman"/>
      <w:b/>
      <w:bCs/>
      <w:sz w:val="20"/>
      <w:szCs w:val="20"/>
      <w:lang w:bidi="en-US"/>
    </w:rPr>
  </w:style>
  <w:style w:type="paragraph" w:styleId="FootnoteText">
    <w:name w:val="footnote text"/>
    <w:basedOn w:val="Normal"/>
    <w:link w:val="FootnoteTextChar"/>
    <w:uiPriority w:val="99"/>
    <w:semiHidden/>
    <w:unhideWhenUsed/>
    <w:rsid w:val="00436F7C"/>
    <w:rPr>
      <w:sz w:val="20"/>
      <w:szCs w:val="20"/>
    </w:rPr>
  </w:style>
  <w:style w:type="character" w:customStyle="1" w:styleId="FootnoteTextChar">
    <w:name w:val="Footnote Text Char"/>
    <w:basedOn w:val="DefaultParagraphFont"/>
    <w:link w:val="FootnoteText"/>
    <w:uiPriority w:val="99"/>
    <w:semiHidden/>
    <w:rsid w:val="00436F7C"/>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436F7C"/>
    <w:rPr>
      <w:vertAlign w:val="superscript"/>
    </w:rPr>
  </w:style>
  <w:style w:type="paragraph" w:styleId="Revision">
    <w:name w:val="Revision"/>
    <w:hidden/>
    <w:uiPriority w:val="99"/>
    <w:semiHidden/>
    <w:rsid w:val="005851E6"/>
    <w:pPr>
      <w:widowControl/>
      <w:autoSpaceDE/>
      <w:autoSpaceDN/>
    </w:pPr>
    <w:rPr>
      <w:rFonts w:ascii="Times New Roman" w:eastAsia="Times New Roman" w:hAnsi="Times New Roman" w:cs="Times New Roman"/>
      <w:lang w:bidi="en-US"/>
    </w:rPr>
  </w:style>
  <w:style w:type="paragraph" w:styleId="Header">
    <w:name w:val="header"/>
    <w:basedOn w:val="Normal"/>
    <w:link w:val="HeaderChar"/>
    <w:uiPriority w:val="99"/>
    <w:unhideWhenUsed/>
    <w:rsid w:val="0074142C"/>
    <w:pPr>
      <w:tabs>
        <w:tab w:val="center" w:pos="4680"/>
        <w:tab w:val="right" w:pos="9360"/>
      </w:tabs>
    </w:pPr>
  </w:style>
  <w:style w:type="character" w:customStyle="1" w:styleId="HeaderChar">
    <w:name w:val="Header Char"/>
    <w:basedOn w:val="DefaultParagraphFont"/>
    <w:link w:val="Header"/>
    <w:uiPriority w:val="99"/>
    <w:rsid w:val="0074142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734">
      <w:bodyDiv w:val="1"/>
      <w:marLeft w:val="0"/>
      <w:marRight w:val="0"/>
      <w:marTop w:val="0"/>
      <w:marBottom w:val="0"/>
      <w:divBdr>
        <w:top w:val="none" w:sz="0" w:space="0" w:color="auto"/>
        <w:left w:val="none" w:sz="0" w:space="0" w:color="auto"/>
        <w:bottom w:val="none" w:sz="0" w:space="0" w:color="auto"/>
        <w:right w:val="none" w:sz="0" w:space="0" w:color="auto"/>
      </w:divBdr>
    </w:div>
    <w:div w:id="1857421647">
      <w:bodyDiv w:val="1"/>
      <w:marLeft w:val="0"/>
      <w:marRight w:val="0"/>
      <w:marTop w:val="0"/>
      <w:marBottom w:val="0"/>
      <w:divBdr>
        <w:top w:val="none" w:sz="0" w:space="0" w:color="auto"/>
        <w:left w:val="none" w:sz="0" w:space="0" w:color="auto"/>
        <w:bottom w:val="none" w:sz="0" w:space="0" w:color="auto"/>
        <w:right w:val="none" w:sz="0" w:space="0" w:color="auto"/>
      </w:divBdr>
    </w:div>
    <w:div w:id="2056464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agencies/ebsa/laws-and-regulations/laws/cobr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l.gov/ebsa/cobra.html.%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ebsa/about-ebsa/our-activities/resource-center/faq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gcc01.safelinks.protection.outlook.com/?url=https%3A%2F%2Fwww.medicare.gov%2Fsign-up-change-plans%2Fhow-do-i-get-parts-a-b%2Fpart-a-part-b-sign-up-periods&amp;data=02%7C01%7CRivers.Amber%40dol.gov%7C0cd60c6c76e94655401b08d7eb11d286%7C75a6305472044e0c9126adab971d4aca%7C0%7C0%7C637236334094213678&amp;sdata=wG%2Fje1OW0HCOZpqbCZ%2FCOrtK3GWqH%2FeCeBSVj0UPzqw%3D&amp;reserved=0" TargetMode="External"/><Relationship Id="rId2" Type="http://schemas.openxmlformats.org/officeDocument/2006/relationships/hyperlink" Target="https://www.cms.gov/CCIIO/Programs-and-Initiatives/Other-Insurance-Protections/cobra_fact_sheet" TargetMode="External"/><Relationship Id="rId1" Type="http://schemas.openxmlformats.org/officeDocument/2006/relationships/hyperlink" Target="https://www.dol.gov/sites/dolgov/files/EBSA/about-ebsa/our-activities/resource-center/publications/an-employers-guide-to-group-health-continuation-coverage-under-cob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6" ma:contentTypeDescription="Create a new document." ma:contentTypeScope="" ma:versionID="4d31a66ab9e843bb99d7909c87af1787">
  <xsd:schema xmlns:xsd="http://www.w3.org/2001/XMLSchema" xmlns:xs="http://www.w3.org/2001/XMLSchema" xmlns:p="http://schemas.microsoft.com/office/2006/metadata/properties" xmlns:ns3="b31e9ac3-e9ea-478f-867b-1d49b715581c" targetNamespace="http://schemas.microsoft.com/office/2006/metadata/properties" ma:root="true" ma:fieldsID="785ef536398d9154a0802c2b03754293"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5ECA4-CE0E-4ABD-B6C1-51A7C643F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D64D0-1CE4-4EFD-9197-8E8274C0F322}">
  <ds:schemaRefs>
    <ds:schemaRef ds:uri="http://schemas.microsoft.com/sharepoint/v3/contenttype/forms"/>
  </ds:schemaRefs>
</ds:datastoreItem>
</file>

<file path=customXml/itemProps3.xml><?xml version="1.0" encoding="utf-8"?>
<ds:datastoreItem xmlns:ds="http://schemas.openxmlformats.org/officeDocument/2006/customXml" ds:itemID="{9BC5F3B4-FE5D-41A3-B538-59D12CB0DA21}">
  <ds:schemaRefs>
    <ds:schemaRef ds:uri="http://schemas.microsoft.com/office/2006/documentManagement/types"/>
    <ds:schemaRef ds:uri="b31e9ac3-e9ea-478f-867b-1d49b715581c"/>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5DDBF797-FB8F-4EB2-84C5-D57D62E1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Sydlik, David - EBSA</dc:creator>
  <cp:lastModifiedBy>Rivers, Amber - EBSA</cp:lastModifiedBy>
  <cp:revision>3</cp:revision>
  <dcterms:created xsi:type="dcterms:W3CDTF">2020-04-29T17:30:00Z</dcterms:created>
  <dcterms:modified xsi:type="dcterms:W3CDTF">2020-04-29T17:31:00Z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2014-05-02T00:00:00Z</vt:filetime>
  </property>
  <property fmtid="{D5CDD505-2E9C-101B-9397-08002B2CF9AE}" pid="3" name="Creator">
    <vt:lpwstr>PScript5.dll Version 5.2.2</vt:lpwstr>
  </property>
  <property fmtid="{D5CDD505-2E9C-101B-9397-08002B2CF9AE}" pid="4" name="LastSaved">
    <vt:filetime>2020-03-19T00:00:00Z</vt:filetime>
  </property>
  <property fmtid="{D5CDD505-2E9C-101B-9397-08002B2CF9AE}" pid="5" name="ContentTypeId">
    <vt:lpwstr>0x010100EE2802AEFB5D7747A33B6E2329E24637</vt:lpwstr>
  </property>
</Properties>
</file>