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5D4" w:rsidRDefault="003E4A0B" w14:paraId="2A45C6B6" w14:textId="77777777">
      <w:pPr>
        <w:widowControl/>
        <w:tabs>
          <w:tab w:val="center" w:pos="4680"/>
        </w:tabs>
        <w:rPr>
          <w:rFonts w:ascii="Times New Roman" w:hAnsi="Times New Roman"/>
        </w:rPr>
      </w:pPr>
      <w:r w:rsidRPr="00D32075">
        <w:rPr>
          <w:rFonts w:ascii="Times New Roman" w:hAnsi="Times New Roman"/>
        </w:rPr>
        <w:tab/>
      </w:r>
    </w:p>
    <w:p w:rsidR="00E825D4" w:rsidRDefault="00E825D4" w14:paraId="51E4EFC2" w14:textId="77777777">
      <w:pPr>
        <w:widowControl/>
        <w:tabs>
          <w:tab w:val="center" w:pos="4680"/>
        </w:tabs>
        <w:rPr>
          <w:rFonts w:ascii="Times New Roman" w:hAnsi="Times New Roman"/>
        </w:rPr>
      </w:pPr>
    </w:p>
    <w:p w:rsidRPr="00D32075" w:rsidR="003E4A0B" w:rsidP="00E825D4" w:rsidRDefault="003E4A0B" w14:paraId="56CED5CB" w14:textId="77777777">
      <w:pPr>
        <w:widowControl/>
        <w:tabs>
          <w:tab w:val="center" w:pos="4680"/>
        </w:tabs>
        <w:jc w:val="center"/>
        <w:rPr>
          <w:rFonts w:ascii="Times New Roman" w:hAnsi="Times New Roman"/>
        </w:rPr>
      </w:pPr>
      <w:r w:rsidRPr="00D32075">
        <w:rPr>
          <w:rFonts w:ascii="Times New Roman" w:hAnsi="Times New Roman"/>
          <w:b/>
          <w:bCs/>
        </w:rPr>
        <w:t>Supporting Statement for Paperwork Reduction Act Submission</w:t>
      </w:r>
    </w:p>
    <w:p w:rsidRPr="00D32075" w:rsidR="003E4A0B" w:rsidRDefault="003E4A0B" w14:paraId="57ECB14C" w14:textId="77777777">
      <w:pPr>
        <w:widowControl/>
        <w:rPr>
          <w:rFonts w:ascii="Times New Roman" w:hAnsi="Times New Roman"/>
        </w:rPr>
      </w:pPr>
    </w:p>
    <w:p w:rsidRPr="00D32075" w:rsidR="003E4A0B" w:rsidRDefault="003E4A0B" w14:paraId="2E5AA7AC" w14:textId="77777777">
      <w:pPr>
        <w:widowControl/>
        <w:rPr>
          <w:rFonts w:ascii="Times New Roman" w:hAnsi="Times New Roman"/>
        </w:rPr>
      </w:pPr>
    </w:p>
    <w:p w:rsidRPr="00D32075" w:rsidR="003E4A0B" w:rsidRDefault="003E4A0B" w14:paraId="66DF3D03" w14:textId="77777777">
      <w:pPr>
        <w:widowControl/>
        <w:rPr>
          <w:rFonts w:ascii="Times New Roman" w:hAnsi="Times New Roman"/>
        </w:rPr>
      </w:pPr>
      <w:r w:rsidRPr="00D32075">
        <w:rPr>
          <w:rFonts w:ascii="Times New Roman" w:hAnsi="Times New Roman"/>
          <w:b/>
          <w:bCs/>
        </w:rPr>
        <w:t>AGENCY:</w:t>
      </w:r>
      <w:r w:rsidRPr="00D32075">
        <w:rPr>
          <w:rFonts w:ascii="Times New Roman" w:hAnsi="Times New Roman"/>
        </w:rPr>
        <w:tab/>
        <w:t xml:space="preserve">Pension Benefit Guaranty Corporation </w:t>
      </w:r>
    </w:p>
    <w:p w:rsidRPr="00D32075" w:rsidR="003E4A0B" w:rsidP="001445C6" w:rsidRDefault="001445C6" w14:paraId="1D347987" w14:textId="77777777">
      <w:pPr>
        <w:widowControl/>
        <w:tabs>
          <w:tab w:val="left" w:pos="7245"/>
        </w:tabs>
        <w:rPr>
          <w:rFonts w:ascii="Times New Roman" w:hAnsi="Times New Roman"/>
        </w:rPr>
      </w:pPr>
      <w:r w:rsidRPr="00D32075">
        <w:rPr>
          <w:rFonts w:ascii="Times New Roman" w:hAnsi="Times New Roman"/>
        </w:rPr>
        <w:tab/>
      </w:r>
    </w:p>
    <w:p w:rsidRPr="00D32075" w:rsidR="003E4A0B" w:rsidRDefault="003E4A0B" w14:paraId="0126F6EE" w14:textId="2CD3F5D2">
      <w:pPr>
        <w:widowControl/>
        <w:tabs>
          <w:tab w:val="left" w:pos="-1440"/>
        </w:tabs>
        <w:ind w:left="1440" w:hanging="1440"/>
        <w:rPr>
          <w:rFonts w:ascii="Times New Roman" w:hAnsi="Times New Roman"/>
        </w:rPr>
      </w:pPr>
      <w:r w:rsidRPr="00D32075">
        <w:rPr>
          <w:rFonts w:ascii="Times New Roman" w:hAnsi="Times New Roman"/>
          <w:b/>
          <w:bCs/>
        </w:rPr>
        <w:t>TITLE:</w:t>
      </w:r>
      <w:r w:rsidRPr="00D32075">
        <w:rPr>
          <w:rFonts w:ascii="Times New Roman" w:hAnsi="Times New Roman"/>
        </w:rPr>
        <w:tab/>
        <w:t>Notice, Collection, and Redeterminat</w:t>
      </w:r>
      <w:r w:rsidR="006D66DA">
        <w:rPr>
          <w:rFonts w:ascii="Times New Roman" w:hAnsi="Times New Roman"/>
        </w:rPr>
        <w:t>ion of Withdrawal Liability (29 CFR Part </w:t>
      </w:r>
      <w:r w:rsidRPr="00D32075">
        <w:rPr>
          <w:rFonts w:ascii="Times New Roman" w:hAnsi="Times New Roman"/>
        </w:rPr>
        <w:t xml:space="preserve">4219) </w:t>
      </w:r>
    </w:p>
    <w:p w:rsidRPr="00D32075" w:rsidR="003E4A0B" w:rsidRDefault="003E4A0B" w14:paraId="4EDBB57E" w14:textId="77777777">
      <w:pPr>
        <w:widowControl/>
        <w:rPr>
          <w:rFonts w:ascii="Times New Roman" w:hAnsi="Times New Roman"/>
        </w:rPr>
      </w:pPr>
    </w:p>
    <w:p w:rsidRPr="00A27578" w:rsidR="003E4A0B" w:rsidRDefault="003E4A0B" w14:paraId="5DCE82FB" w14:textId="58969960">
      <w:pPr>
        <w:widowControl/>
        <w:tabs>
          <w:tab w:val="left" w:pos="-1440"/>
        </w:tabs>
        <w:ind w:left="1440" w:hanging="1440"/>
        <w:rPr>
          <w:rFonts w:ascii="Times New Roman" w:hAnsi="Times New Roman"/>
        </w:rPr>
      </w:pPr>
      <w:r w:rsidRPr="00D32075">
        <w:rPr>
          <w:rFonts w:ascii="Times New Roman" w:hAnsi="Times New Roman"/>
          <w:b/>
          <w:bCs/>
        </w:rPr>
        <w:t>STATUS:</w:t>
      </w:r>
      <w:r w:rsidRPr="00D32075">
        <w:rPr>
          <w:rFonts w:ascii="Times New Roman" w:hAnsi="Times New Roman"/>
        </w:rPr>
        <w:tab/>
        <w:t>Request for regular review and extension of currently approved collection (OMB control number 1212</w:t>
      </w:r>
      <w:r w:rsidRPr="00D32075" w:rsidR="00EF59A4">
        <w:rPr>
          <w:rFonts w:ascii="Times New Roman" w:hAnsi="Times New Roman"/>
        </w:rPr>
        <w:t xml:space="preserve">-0034; expires </w:t>
      </w:r>
      <w:r w:rsidR="00F37DD6">
        <w:rPr>
          <w:rFonts w:ascii="Times New Roman" w:hAnsi="Times New Roman"/>
        </w:rPr>
        <w:t>August 31, 2020</w:t>
      </w:r>
      <w:r w:rsidRPr="00A27578">
        <w:rPr>
          <w:rFonts w:ascii="Times New Roman" w:hAnsi="Times New Roman"/>
        </w:rPr>
        <w:t xml:space="preserve">) </w:t>
      </w:r>
    </w:p>
    <w:p w:rsidRPr="00A27578" w:rsidR="003E4A0B" w:rsidRDefault="003E4A0B" w14:paraId="5683C52D" w14:textId="77777777">
      <w:pPr>
        <w:widowControl/>
        <w:rPr>
          <w:rFonts w:ascii="Times New Roman" w:hAnsi="Times New Roman"/>
        </w:rPr>
      </w:pPr>
    </w:p>
    <w:p w:rsidRPr="00A27578" w:rsidR="003E4A0B" w:rsidP="00F80F2B" w:rsidRDefault="003E4A0B" w14:paraId="18304211" w14:textId="6A608F3E">
      <w:pPr>
        <w:widowControl/>
        <w:ind w:left="1440" w:hanging="1440"/>
        <w:rPr>
          <w:rFonts w:ascii="Times New Roman" w:hAnsi="Times New Roman"/>
        </w:rPr>
      </w:pPr>
      <w:r w:rsidRPr="00A27578">
        <w:rPr>
          <w:rFonts w:ascii="Times New Roman" w:hAnsi="Times New Roman"/>
          <w:b/>
          <w:bCs/>
        </w:rPr>
        <w:t>CONTACT:</w:t>
      </w:r>
      <w:r w:rsidRPr="00A27578" w:rsidR="005A5153">
        <w:rPr>
          <w:rFonts w:ascii="Times New Roman" w:hAnsi="Times New Roman"/>
        </w:rPr>
        <w:tab/>
      </w:r>
      <w:r w:rsidR="0067652D">
        <w:rPr>
          <w:rFonts w:ascii="Times New Roman" w:hAnsi="Times New Roman"/>
        </w:rPr>
        <w:t xml:space="preserve">Hilary Duke </w:t>
      </w:r>
      <w:r w:rsidRPr="00A27578">
        <w:rPr>
          <w:rFonts w:ascii="Times New Roman" w:hAnsi="Times New Roman"/>
        </w:rPr>
        <w:t>(3</w:t>
      </w:r>
      <w:r w:rsidRPr="00A27578" w:rsidR="005A5153">
        <w:rPr>
          <w:rFonts w:ascii="Times New Roman" w:hAnsi="Times New Roman"/>
        </w:rPr>
        <w:t>26</w:t>
      </w:r>
      <w:r w:rsidRPr="00A27578" w:rsidR="005A5153">
        <w:rPr>
          <w:rFonts w:ascii="Times New Roman" w:hAnsi="Times New Roman"/>
        </w:rPr>
        <w:noBreakHyphen/>
        <w:t>4</w:t>
      </w:r>
      <w:r w:rsidR="00123E7E">
        <w:rPr>
          <w:rFonts w:ascii="Times New Roman" w:hAnsi="Times New Roman"/>
        </w:rPr>
        <w:t>400</w:t>
      </w:r>
      <w:r w:rsidRPr="00A27578" w:rsidR="005A5153">
        <w:rPr>
          <w:rFonts w:ascii="Times New Roman" w:hAnsi="Times New Roman"/>
        </w:rPr>
        <w:t xml:space="preserve"> x38</w:t>
      </w:r>
      <w:r w:rsidR="0067652D">
        <w:rPr>
          <w:rFonts w:ascii="Times New Roman" w:hAnsi="Times New Roman"/>
        </w:rPr>
        <w:t>39</w:t>
      </w:r>
      <w:r w:rsidRPr="00A27578">
        <w:rPr>
          <w:rFonts w:ascii="Times New Roman" w:hAnsi="Times New Roman"/>
        </w:rPr>
        <w:t>)</w:t>
      </w:r>
    </w:p>
    <w:p w:rsidRPr="00A27578" w:rsidR="003E4A0B" w:rsidRDefault="003E4A0B" w14:paraId="0E633D2D" w14:textId="77777777">
      <w:pPr>
        <w:widowControl/>
        <w:rPr>
          <w:rFonts w:ascii="Times New Roman" w:hAnsi="Times New Roman"/>
        </w:rPr>
      </w:pPr>
    </w:p>
    <w:p w:rsidRPr="00A27578" w:rsidR="003E4A0B" w:rsidRDefault="003E4A0B" w14:paraId="102EA744" w14:textId="77777777">
      <w:pPr>
        <w:widowControl/>
        <w:rPr>
          <w:rFonts w:ascii="Times New Roman" w:hAnsi="Times New Roman"/>
        </w:rPr>
      </w:pPr>
    </w:p>
    <w:p w:rsidRPr="00A27578" w:rsidR="00EB516E" w:rsidRDefault="003E4A0B" w14:paraId="68D38CDB" w14:textId="26E6D84A">
      <w:pPr>
        <w:widowControl/>
        <w:spacing w:line="480" w:lineRule="auto"/>
        <w:ind w:firstLine="720"/>
        <w:rPr>
          <w:rFonts w:ascii="Times New Roman" w:hAnsi="Times New Roman"/>
        </w:rPr>
      </w:pPr>
      <w:r w:rsidRPr="00A27578">
        <w:rPr>
          <w:rFonts w:ascii="Times New Roman" w:hAnsi="Times New Roman"/>
        </w:rPr>
        <w:t xml:space="preserve">1.  </w:t>
      </w:r>
      <w:r w:rsidRPr="00A27578">
        <w:rPr>
          <w:rFonts w:ascii="Times New Roman" w:hAnsi="Times New Roman"/>
          <w:u w:val="single"/>
        </w:rPr>
        <w:t>Need for collection.</w:t>
      </w:r>
      <w:r w:rsidRPr="00A27578">
        <w:rPr>
          <w:rFonts w:ascii="Times New Roman" w:hAnsi="Times New Roman"/>
        </w:rPr>
        <w:t xml:space="preserve">  Section 4219(c)(1)(D) of the Employee Retirement Income Security Act of 1974 (</w:t>
      </w:r>
      <w:r w:rsidR="00EE2C1C">
        <w:rPr>
          <w:rFonts w:ascii="Times New Roman" w:hAnsi="Times New Roman"/>
        </w:rPr>
        <w:t>“</w:t>
      </w:r>
      <w:r w:rsidRPr="00D32075">
        <w:rPr>
          <w:rFonts w:ascii="Times New Roman" w:hAnsi="Times New Roman"/>
        </w:rPr>
        <w:t>ERISA</w:t>
      </w:r>
      <w:r w:rsidR="00EE2C1C">
        <w:rPr>
          <w:rFonts w:ascii="Times New Roman" w:hAnsi="Times New Roman"/>
        </w:rPr>
        <w:t>”</w:t>
      </w:r>
      <w:r w:rsidRPr="00D32075">
        <w:rPr>
          <w:rFonts w:ascii="Times New Roman" w:hAnsi="Times New Roman"/>
        </w:rPr>
        <w:t>) requires that the Pension Benefit Guaranty Corporation (</w:t>
      </w:r>
      <w:r w:rsidR="00EE2C1C">
        <w:rPr>
          <w:rFonts w:ascii="Times New Roman" w:hAnsi="Times New Roman"/>
        </w:rPr>
        <w:t>“</w:t>
      </w:r>
      <w:r w:rsidRPr="00D32075">
        <w:rPr>
          <w:rFonts w:ascii="Times New Roman" w:hAnsi="Times New Roman"/>
        </w:rPr>
        <w:t>PBGC</w:t>
      </w:r>
      <w:r w:rsidR="00EE2C1C">
        <w:rPr>
          <w:rFonts w:ascii="Times New Roman" w:hAnsi="Times New Roman"/>
        </w:rPr>
        <w:t>”</w:t>
      </w:r>
      <w:r w:rsidRPr="00D32075">
        <w:rPr>
          <w:rFonts w:ascii="Times New Roman" w:hAnsi="Times New Roman"/>
        </w:rPr>
        <w:t>) prescribe regulations for the allocation of a multiemployer plan</w:t>
      </w:r>
      <w:r w:rsidR="00EE2C1C">
        <w:rPr>
          <w:rFonts w:ascii="Times New Roman" w:hAnsi="Times New Roman"/>
        </w:rPr>
        <w:t>’</w:t>
      </w:r>
      <w:r w:rsidRPr="00D32075">
        <w:rPr>
          <w:rFonts w:ascii="Times New Roman" w:hAnsi="Times New Roman"/>
        </w:rPr>
        <w:t xml:space="preserve">s total unfunded vested benefits in the event of a </w:t>
      </w:r>
      <w:r w:rsidR="00EE2C1C">
        <w:rPr>
          <w:rFonts w:ascii="Times New Roman" w:hAnsi="Times New Roman"/>
        </w:rPr>
        <w:t>“</w:t>
      </w:r>
      <w:r w:rsidRPr="00D32075">
        <w:rPr>
          <w:rFonts w:ascii="Times New Roman" w:hAnsi="Times New Roman"/>
        </w:rPr>
        <w:t>mass withdrawal,</w:t>
      </w:r>
      <w:r w:rsidR="00EE2C1C">
        <w:rPr>
          <w:rFonts w:ascii="Times New Roman" w:hAnsi="Times New Roman"/>
        </w:rPr>
        <w:t>”</w:t>
      </w:r>
      <w:r w:rsidRPr="00D32075">
        <w:rPr>
          <w:rFonts w:ascii="Times New Roman" w:hAnsi="Times New Roman"/>
        </w:rPr>
        <w:t xml:space="preserve"> </w:t>
      </w:r>
      <w:r w:rsidRPr="00D32075">
        <w:rPr>
          <w:rFonts w:ascii="Times New Roman" w:hAnsi="Times New Roman"/>
          <w:i/>
          <w:iCs/>
        </w:rPr>
        <w:t>i.e.</w:t>
      </w:r>
      <w:r w:rsidRPr="00D32075">
        <w:rPr>
          <w:rFonts w:ascii="Times New Roman" w:hAnsi="Times New Roman"/>
        </w:rPr>
        <w:t>, either (1) a plan termi</w:t>
      </w:r>
      <w:r w:rsidRPr="00A27578">
        <w:rPr>
          <w:rFonts w:ascii="Times New Roman" w:hAnsi="Times New Roman"/>
        </w:rPr>
        <w:t xml:space="preserve">nation due to the withdrawal of every employer or (2) a withdrawal of substantially all employers pursuant to an agreement or arrangement to withdraw.  Pursuant to this statutory requirement, </w:t>
      </w:r>
      <w:r w:rsidRPr="00A27578" w:rsidR="005A5153">
        <w:rPr>
          <w:rFonts w:ascii="Times New Roman" w:hAnsi="Times New Roman"/>
        </w:rPr>
        <w:t>PBGC</w:t>
      </w:r>
      <w:r w:rsidRPr="00A27578">
        <w:rPr>
          <w:rFonts w:ascii="Times New Roman" w:hAnsi="Times New Roman"/>
        </w:rPr>
        <w:t xml:space="preserve"> has promulgated subpart B (Redetermination of Withdrawal Liability Upon Mass Withdrawal) of its regulation on Notice, Collection, and Redetermination of Withdrawal Liability (29 CFR Part 4219).  Subpart B also provides rules under ERISA section 4209(c), dealing with an employer</w:t>
      </w:r>
      <w:r w:rsidR="00EE2C1C">
        <w:rPr>
          <w:rFonts w:ascii="Times New Roman" w:hAnsi="Times New Roman"/>
        </w:rPr>
        <w:t>’</w:t>
      </w:r>
      <w:r w:rsidRPr="00D32075">
        <w:rPr>
          <w:rFonts w:ascii="Times New Roman" w:hAnsi="Times New Roman"/>
        </w:rPr>
        <w:t xml:space="preserve">s liability for </w:t>
      </w:r>
      <w:r w:rsidRPr="00D32075">
        <w:rPr>
          <w:rFonts w:ascii="Times New Roman" w:hAnsi="Times New Roman"/>
          <w:i/>
          <w:iCs/>
        </w:rPr>
        <w:t>de minimis</w:t>
      </w:r>
      <w:r w:rsidRPr="00D32075">
        <w:rPr>
          <w:rFonts w:ascii="Times New Roman" w:hAnsi="Times New Roman"/>
        </w:rPr>
        <w:t xml:space="preserve"> amounts </w:t>
      </w:r>
      <w:r w:rsidRPr="00A27578">
        <w:rPr>
          <w:rFonts w:ascii="Times New Roman" w:hAnsi="Times New Roman"/>
        </w:rPr>
        <w:t xml:space="preserve">if the employer withdraws </w:t>
      </w:r>
      <w:r w:rsidR="00824A8E">
        <w:rPr>
          <w:rFonts w:ascii="Times New Roman" w:hAnsi="Times New Roman"/>
        </w:rPr>
        <w:t>in a year in which</w:t>
      </w:r>
      <w:r w:rsidR="00B829B8">
        <w:rPr>
          <w:rFonts w:ascii="Times New Roman" w:hAnsi="Times New Roman"/>
        </w:rPr>
        <w:t xml:space="preserve"> </w:t>
      </w:r>
      <w:r w:rsidRPr="00D32075">
        <w:rPr>
          <w:rFonts w:ascii="Times New Roman" w:hAnsi="Times New Roman"/>
        </w:rPr>
        <w:t xml:space="preserve">substantially all employers </w:t>
      </w:r>
      <w:r w:rsidR="00B829B8">
        <w:rPr>
          <w:rFonts w:ascii="Times New Roman" w:hAnsi="Times New Roman"/>
        </w:rPr>
        <w:t xml:space="preserve">withdraw </w:t>
      </w:r>
      <w:r w:rsidRPr="00D32075">
        <w:rPr>
          <w:rFonts w:ascii="Times New Roman" w:hAnsi="Times New Roman"/>
        </w:rPr>
        <w:t xml:space="preserve">without regard to whether there is an agreement or arrangement to withdraw.  </w:t>
      </w:r>
    </w:p>
    <w:p w:rsidRPr="00A27578" w:rsidR="003E4A0B" w:rsidRDefault="003E4A0B" w14:paraId="16CF8D65" w14:textId="1C9D87A5">
      <w:pPr>
        <w:widowControl/>
        <w:spacing w:line="480" w:lineRule="auto"/>
        <w:ind w:firstLine="720"/>
        <w:rPr>
          <w:rFonts w:ascii="Times New Roman" w:hAnsi="Times New Roman"/>
        </w:rPr>
      </w:pPr>
      <w:r w:rsidRPr="00A27578">
        <w:rPr>
          <w:rFonts w:ascii="Times New Roman" w:hAnsi="Times New Roman"/>
        </w:rPr>
        <w:t xml:space="preserve">The purpose of subpart B is to protect plan participants and beneficiaries against loss of nonguaranteed vested benefits, and the multiemployer plan insurance program against large claims, by requiring that all unfunded vested benefits be allocated to withdrawing employers.  In </w:t>
      </w:r>
      <w:r w:rsidRPr="00A27578">
        <w:rPr>
          <w:rFonts w:ascii="Times New Roman" w:hAnsi="Times New Roman"/>
        </w:rPr>
        <w:lastRenderedPageBreak/>
        <w:t>a non</w:t>
      </w:r>
      <w:r w:rsidRPr="00A27578">
        <w:rPr>
          <w:rFonts w:ascii="Times New Roman" w:hAnsi="Times New Roman"/>
        </w:rPr>
        <w:noBreakHyphen/>
        <w:t xml:space="preserve">termination mass withdrawal case, the allocation of unfunded vested benefits to withdrawing employers also reduces the burden on employers that remain in the plan, thus encouraging continuation of the plan.  The reporting requirements in the regulation further these purposes by giving employers timely notice of </w:t>
      </w:r>
      <w:r w:rsidR="00887977">
        <w:rPr>
          <w:rFonts w:ascii="Times New Roman" w:hAnsi="Times New Roman"/>
        </w:rPr>
        <w:t>a</w:t>
      </w:r>
      <w:r w:rsidRPr="00A27578">
        <w:rPr>
          <w:rFonts w:ascii="Times New Roman" w:hAnsi="Times New Roman"/>
        </w:rPr>
        <w:t xml:space="preserve"> mass withdrawal or </w:t>
      </w:r>
      <w:r w:rsidR="00887977">
        <w:rPr>
          <w:rFonts w:ascii="Times New Roman" w:hAnsi="Times New Roman"/>
        </w:rPr>
        <w:t xml:space="preserve"> a withdrawal in which </w:t>
      </w:r>
      <w:r w:rsidR="00CB453E">
        <w:rPr>
          <w:rFonts w:ascii="Times New Roman" w:hAnsi="Times New Roman"/>
        </w:rPr>
        <w:t>substantially all employers withdraw</w:t>
      </w:r>
      <w:r w:rsidRPr="00A27578">
        <w:rPr>
          <w:rFonts w:ascii="Times New Roman" w:hAnsi="Times New Roman"/>
        </w:rPr>
        <w:t xml:space="preserve"> and advising them of their rights and liabilities arising therefrom and by providing notice to </w:t>
      </w:r>
      <w:r w:rsidRPr="00A27578" w:rsidR="005A5153">
        <w:rPr>
          <w:rFonts w:ascii="Times New Roman" w:hAnsi="Times New Roman"/>
        </w:rPr>
        <w:t>PBGC</w:t>
      </w:r>
      <w:r w:rsidRPr="00A27578">
        <w:rPr>
          <w:rFonts w:ascii="Times New Roman" w:hAnsi="Times New Roman"/>
        </w:rPr>
        <w:t xml:space="preserve"> so that it can monitor the plan.  </w:t>
      </w:r>
    </w:p>
    <w:p w:rsidRPr="00A27578" w:rsidR="00482C9B" w:rsidRDefault="003E4A0B" w14:paraId="33701B62" w14:textId="07EF07FD">
      <w:pPr>
        <w:widowControl/>
        <w:spacing w:line="480" w:lineRule="auto"/>
        <w:ind w:firstLine="720"/>
        <w:rPr>
          <w:rFonts w:ascii="Times New Roman" w:hAnsi="Times New Roman"/>
        </w:rPr>
      </w:pPr>
      <w:r w:rsidRPr="00A27578">
        <w:rPr>
          <w:rFonts w:ascii="Times New Roman" w:hAnsi="Times New Roman"/>
        </w:rPr>
        <w:t xml:space="preserve">Submissions to </w:t>
      </w:r>
      <w:r w:rsidRPr="00A27578" w:rsidR="005A5153">
        <w:rPr>
          <w:rFonts w:ascii="Times New Roman" w:hAnsi="Times New Roman"/>
        </w:rPr>
        <w:t>PBGC</w:t>
      </w:r>
      <w:r w:rsidRPr="00A27578">
        <w:rPr>
          <w:rFonts w:ascii="Times New Roman" w:hAnsi="Times New Roman"/>
        </w:rPr>
        <w:t xml:space="preserve"> under the regulation are of two types: notices (that a mass withdrawal has occurred</w:t>
      </w:r>
      <w:r w:rsidR="00CB453E">
        <w:rPr>
          <w:rFonts w:ascii="Times New Roman" w:hAnsi="Times New Roman"/>
        </w:rPr>
        <w:t xml:space="preserve"> or </w:t>
      </w:r>
      <w:r w:rsidR="00887977">
        <w:rPr>
          <w:rFonts w:ascii="Times New Roman" w:hAnsi="Times New Roman"/>
        </w:rPr>
        <w:t xml:space="preserve">that </w:t>
      </w:r>
      <w:r w:rsidR="00CB453E">
        <w:rPr>
          <w:rFonts w:ascii="Times New Roman" w:hAnsi="Times New Roman"/>
        </w:rPr>
        <w:t>substantially all employers have withdrawn</w:t>
      </w:r>
      <w:r w:rsidRPr="00A27578">
        <w:rPr>
          <w:rFonts w:ascii="Times New Roman" w:hAnsi="Times New Roman"/>
        </w:rPr>
        <w:t xml:space="preserve">) and certifications (that liability of a particular kind arising from the withdrawal has been determined and assessed).  All notices and certifications must include information to identify the plan, the plan sponsor, and any representative authorized to act for the plan sponsor.  In addition, each notice must identify the time when the mass withdrawal occurred </w:t>
      </w:r>
      <w:r w:rsidR="00CB453E">
        <w:rPr>
          <w:rFonts w:ascii="Times New Roman" w:hAnsi="Times New Roman"/>
        </w:rPr>
        <w:t xml:space="preserve">or when substantially all employers withdrew </w:t>
      </w:r>
      <w:r w:rsidRPr="00A27578">
        <w:rPr>
          <w:rFonts w:ascii="Times New Roman" w:hAnsi="Times New Roman"/>
        </w:rPr>
        <w:t>and describe the withdrawal and its effects on the plan.  This information identifies the specific event covered by the notice (since a plan may undergo more than one of either type of withdrawal covered by the regulation), permits verification of the notice</w:t>
      </w:r>
      <w:r w:rsidR="000960D5">
        <w:rPr>
          <w:rFonts w:ascii="Times New Roman" w:hAnsi="Times New Roman"/>
        </w:rPr>
        <w:t>’</w:t>
      </w:r>
      <w:r w:rsidRPr="00D32075">
        <w:rPr>
          <w:rFonts w:ascii="Times New Roman" w:hAnsi="Times New Roman"/>
        </w:rPr>
        <w:t xml:space="preserve">s timeliness, and helps </w:t>
      </w:r>
      <w:r w:rsidRPr="00D32075" w:rsidR="005A5153">
        <w:rPr>
          <w:rFonts w:ascii="Times New Roman" w:hAnsi="Times New Roman"/>
        </w:rPr>
        <w:t>PBGC</w:t>
      </w:r>
      <w:r w:rsidRPr="00D32075">
        <w:rPr>
          <w:rFonts w:ascii="Times New Roman" w:hAnsi="Times New Roman"/>
        </w:rPr>
        <w:t xml:space="preserve"> as</w:t>
      </w:r>
      <w:r w:rsidRPr="00A27578">
        <w:rPr>
          <w:rFonts w:ascii="Times New Roman" w:hAnsi="Times New Roman"/>
        </w:rPr>
        <w:t xml:space="preserve">sess the possible impact of the event on participants and the multiemployer plan insurance program.  Each certification informs </w:t>
      </w:r>
      <w:r w:rsidRPr="00A27578" w:rsidR="005A5153">
        <w:rPr>
          <w:rFonts w:ascii="Times New Roman" w:hAnsi="Times New Roman"/>
        </w:rPr>
        <w:t>PBGC</w:t>
      </w:r>
      <w:r w:rsidRPr="00A27578">
        <w:rPr>
          <w:rFonts w:ascii="Times New Roman" w:hAnsi="Times New Roman"/>
        </w:rPr>
        <w:t xml:space="preserve"> that a specific type of liability under the regulation has been determined and assessed to employers.  </w:t>
      </w:r>
    </w:p>
    <w:p w:rsidRPr="00A27578" w:rsidR="003E4A0B" w:rsidRDefault="00883519" w14:paraId="6ED74136" w14:textId="78123A4A">
      <w:pPr>
        <w:widowControl/>
        <w:spacing w:line="480" w:lineRule="auto"/>
        <w:ind w:firstLine="720"/>
        <w:rPr>
          <w:rFonts w:ascii="Times New Roman" w:hAnsi="Times New Roman"/>
        </w:rPr>
      </w:pPr>
      <w:r>
        <w:rPr>
          <w:rFonts w:ascii="Times New Roman" w:hAnsi="Times New Roman"/>
        </w:rPr>
        <w:t>For a withdrawal in which</w:t>
      </w:r>
      <w:r w:rsidR="00CB453E">
        <w:rPr>
          <w:rFonts w:ascii="Times New Roman" w:hAnsi="Times New Roman"/>
        </w:rPr>
        <w:t xml:space="preserve"> substantially all employers withdraw</w:t>
      </w:r>
      <w:r w:rsidRPr="00A27578" w:rsidR="003E4A0B">
        <w:rPr>
          <w:rFonts w:ascii="Times New Roman" w:hAnsi="Times New Roman"/>
        </w:rPr>
        <w:t xml:space="preserve">, the required notice and certification are combined.  For a mass withdrawal, where assessments of liability to employers are typically made after the notice of mass withdrawal is due, certifications are made separately, </w:t>
      </w:r>
      <w:r w:rsidRPr="00A27578" w:rsidR="003E4A0B">
        <w:rPr>
          <w:rFonts w:ascii="Times New Roman" w:hAnsi="Times New Roman"/>
        </w:rPr>
        <w:lastRenderedPageBreak/>
        <w:t>and must identify which of the two types of mass withdrawal liability they relate to.  For liability that must be based on a new determination of a plan</w:t>
      </w:r>
      <w:r w:rsidR="000960D5">
        <w:rPr>
          <w:rFonts w:ascii="Times New Roman" w:hAnsi="Times New Roman"/>
        </w:rPr>
        <w:t>’</w:t>
      </w:r>
      <w:r w:rsidRPr="00D32075" w:rsidR="003E4A0B">
        <w:rPr>
          <w:rFonts w:ascii="Times New Roman" w:hAnsi="Times New Roman"/>
        </w:rPr>
        <w:t>s unfunded vested benefits (</w:t>
      </w:r>
      <w:r w:rsidR="000960D5">
        <w:rPr>
          <w:rFonts w:ascii="Times New Roman" w:hAnsi="Times New Roman"/>
        </w:rPr>
        <w:t>“</w:t>
      </w:r>
      <w:r w:rsidRPr="00D32075" w:rsidR="003E4A0B">
        <w:rPr>
          <w:rFonts w:ascii="Times New Roman" w:hAnsi="Times New Roman"/>
        </w:rPr>
        <w:t>UVBs</w:t>
      </w:r>
      <w:r w:rsidR="000960D5">
        <w:rPr>
          <w:rFonts w:ascii="Times New Roman" w:hAnsi="Times New Roman"/>
        </w:rPr>
        <w:t>”</w:t>
      </w:r>
      <w:r w:rsidRPr="00D32075" w:rsidR="003E4A0B">
        <w:rPr>
          <w:rFonts w:ascii="Times New Roman" w:hAnsi="Times New Roman"/>
        </w:rPr>
        <w:t xml:space="preserve">), the certification must also tell </w:t>
      </w:r>
      <w:r w:rsidRPr="00A27578" w:rsidR="005A5153">
        <w:rPr>
          <w:rFonts w:ascii="Times New Roman" w:hAnsi="Times New Roman"/>
        </w:rPr>
        <w:t>PBGC</w:t>
      </w:r>
      <w:r w:rsidRPr="00A27578" w:rsidR="003E4A0B">
        <w:rPr>
          <w:rFonts w:ascii="Times New Roman" w:hAnsi="Times New Roman"/>
        </w:rPr>
        <w:t xml:space="preserve"> that the UVBs were properly determined and must include a copy of any special plan rules for allocating the UVBs among employers, to enable </w:t>
      </w:r>
      <w:r w:rsidRPr="00A27578" w:rsidR="005A5153">
        <w:rPr>
          <w:rFonts w:ascii="Times New Roman" w:hAnsi="Times New Roman"/>
        </w:rPr>
        <w:t>PBGC</w:t>
      </w:r>
      <w:r w:rsidRPr="00A27578" w:rsidR="003E4A0B">
        <w:rPr>
          <w:rFonts w:ascii="Times New Roman" w:hAnsi="Times New Roman"/>
        </w:rPr>
        <w:t xml:space="preserve"> to see how the allocation differs from that provided for in the regulation.  </w:t>
      </w:r>
    </w:p>
    <w:p w:rsidRPr="00A27578" w:rsidR="003E4A0B" w:rsidRDefault="003E4A0B" w14:paraId="52EDA0D0" w14:textId="0881358D">
      <w:pPr>
        <w:widowControl/>
        <w:spacing w:line="480" w:lineRule="auto"/>
        <w:ind w:firstLine="720"/>
        <w:rPr>
          <w:rFonts w:ascii="Times New Roman" w:hAnsi="Times New Roman"/>
        </w:rPr>
      </w:pPr>
      <w:r w:rsidRPr="00A27578">
        <w:rPr>
          <w:rFonts w:ascii="Times New Roman" w:hAnsi="Times New Roman"/>
        </w:rPr>
        <w:t xml:space="preserve">Notices to employers under the regulation are also of two types: notices that a mass withdrawal has occurred </w:t>
      </w:r>
      <w:r w:rsidR="00D94133">
        <w:rPr>
          <w:rFonts w:ascii="Times New Roman" w:hAnsi="Times New Roman"/>
        </w:rPr>
        <w:t>or</w:t>
      </w:r>
      <w:r w:rsidR="00887977">
        <w:rPr>
          <w:rFonts w:ascii="Times New Roman" w:hAnsi="Times New Roman"/>
        </w:rPr>
        <w:t xml:space="preserve"> that</w:t>
      </w:r>
      <w:r w:rsidR="00D94133">
        <w:rPr>
          <w:rFonts w:ascii="Times New Roman" w:hAnsi="Times New Roman"/>
        </w:rPr>
        <w:t xml:space="preserve"> substantially all employers have withdrawn </w:t>
      </w:r>
      <w:r w:rsidRPr="00A27578">
        <w:rPr>
          <w:rFonts w:ascii="Times New Roman" w:hAnsi="Times New Roman"/>
        </w:rPr>
        <w:t>and notices assessing liability of a particular kind arising from the withdrawal.  A notice of withdrawal must identify when the mass withdrawal occurred</w:t>
      </w:r>
      <w:r w:rsidR="00D94133">
        <w:rPr>
          <w:rFonts w:ascii="Times New Roman" w:hAnsi="Times New Roman"/>
        </w:rPr>
        <w:t xml:space="preserve"> or </w:t>
      </w:r>
      <w:r w:rsidR="005774EB">
        <w:rPr>
          <w:rFonts w:ascii="Times New Roman" w:hAnsi="Times New Roman"/>
        </w:rPr>
        <w:t>the plan year in which</w:t>
      </w:r>
      <w:r w:rsidR="00D94133">
        <w:rPr>
          <w:rFonts w:ascii="Times New Roman" w:hAnsi="Times New Roman"/>
        </w:rPr>
        <w:t xml:space="preserve"> substantially all employers withdrew</w:t>
      </w:r>
      <w:r w:rsidRPr="00A27578">
        <w:rPr>
          <w:rFonts w:ascii="Times New Roman" w:hAnsi="Times New Roman"/>
        </w:rPr>
        <w:t xml:space="preserve">, describe the effects of the withdrawal, and state that any withdrawal liability payments currently being made should continue.  This information identifies the specific event covered by the notice (since a plan may undergo more than one of either type of withdrawal covered by the regulation) and helps employers understand the withdrawal and assess its impact on them.  </w:t>
      </w:r>
      <w:r w:rsidR="005774EB">
        <w:rPr>
          <w:rFonts w:ascii="Times New Roman" w:hAnsi="Times New Roman"/>
        </w:rPr>
        <w:t>N</w:t>
      </w:r>
      <w:r w:rsidR="00491D38">
        <w:rPr>
          <w:rFonts w:ascii="Times New Roman" w:hAnsi="Times New Roman"/>
        </w:rPr>
        <w:t xml:space="preserve">otices for withdrawals in which substantially all employers have withdrawn </w:t>
      </w:r>
      <w:r w:rsidR="005774EB">
        <w:rPr>
          <w:rFonts w:ascii="Times New Roman" w:hAnsi="Times New Roman"/>
        </w:rPr>
        <w:t xml:space="preserve">are issued only to employers </w:t>
      </w:r>
      <w:r w:rsidR="00BA5276">
        <w:rPr>
          <w:rFonts w:ascii="Times New Roman" w:hAnsi="Times New Roman"/>
        </w:rPr>
        <w:t xml:space="preserve">that are or may be </w:t>
      </w:r>
      <w:r w:rsidR="005774EB">
        <w:rPr>
          <w:rFonts w:ascii="Times New Roman" w:hAnsi="Times New Roman"/>
        </w:rPr>
        <w:t>assessed liability</w:t>
      </w:r>
      <w:r w:rsidR="00BA5276">
        <w:rPr>
          <w:rFonts w:ascii="Times New Roman" w:hAnsi="Times New Roman"/>
        </w:rPr>
        <w:t>.</w:t>
      </w:r>
    </w:p>
    <w:p w:rsidRPr="00A27578" w:rsidR="00060129" w:rsidRDefault="003E4A0B" w14:paraId="013F307F" w14:textId="77777777">
      <w:pPr>
        <w:widowControl/>
        <w:spacing w:line="480" w:lineRule="auto"/>
        <w:ind w:firstLine="720"/>
        <w:rPr>
          <w:rFonts w:ascii="Times New Roman" w:hAnsi="Times New Roman"/>
        </w:rPr>
      </w:pPr>
      <w:r w:rsidRPr="00A27578">
        <w:rPr>
          <w:rFonts w:ascii="Times New Roman" w:hAnsi="Times New Roman"/>
        </w:rPr>
        <w:t xml:space="preserve">Notices of liability to employers must state the type and amount of liability being assessed, the schedule for paying the liability, and a demand for payment.  The first liability notice for a mass withdrawal must also state when the plan expects to issue the second liability notice (there are two types of liability assessed, and one is determined earlier than the other).  In addition, if an employer receives a notice of mass withdrawal but is determined not to be liable </w:t>
      </w:r>
      <w:r w:rsidRPr="00A27578">
        <w:rPr>
          <w:rFonts w:ascii="Times New Roman" w:hAnsi="Times New Roman"/>
        </w:rPr>
        <w:lastRenderedPageBreak/>
        <w:t xml:space="preserve">for one or both types of mass withdrawal liability, the plan sponsor must give the employer a notice of that fact.  </w:t>
      </w:r>
    </w:p>
    <w:p w:rsidRPr="00A27578" w:rsidR="003E4A0B" w:rsidRDefault="003E4A0B" w14:paraId="70341EF2" w14:textId="19B9777A">
      <w:pPr>
        <w:widowControl/>
        <w:spacing w:line="480" w:lineRule="auto"/>
        <w:ind w:firstLine="720"/>
        <w:rPr>
          <w:rFonts w:ascii="Times New Roman" w:hAnsi="Times New Roman"/>
        </w:rPr>
      </w:pPr>
      <w:r w:rsidRPr="00A27578">
        <w:rPr>
          <w:rFonts w:ascii="Times New Roman" w:hAnsi="Times New Roman"/>
        </w:rPr>
        <w:t xml:space="preserve">Notices of withdrawal for concurrent mass </w:t>
      </w:r>
      <w:r w:rsidR="00784FE8">
        <w:rPr>
          <w:rFonts w:ascii="Times New Roman" w:hAnsi="Times New Roman"/>
        </w:rPr>
        <w:t xml:space="preserve">withdrawals </w:t>
      </w:r>
      <w:r w:rsidRPr="00A27578">
        <w:rPr>
          <w:rFonts w:ascii="Times New Roman" w:hAnsi="Times New Roman"/>
        </w:rPr>
        <w:t>and</w:t>
      </w:r>
      <w:r w:rsidR="00D94133">
        <w:rPr>
          <w:rFonts w:ascii="Times New Roman" w:hAnsi="Times New Roman"/>
        </w:rPr>
        <w:t xml:space="preserve"> </w:t>
      </w:r>
      <w:r w:rsidRPr="00A27578">
        <w:rPr>
          <w:rFonts w:ascii="Times New Roman" w:hAnsi="Times New Roman"/>
        </w:rPr>
        <w:t>withdrawals</w:t>
      </w:r>
      <w:r w:rsidR="00D94133">
        <w:rPr>
          <w:rFonts w:ascii="Times New Roman" w:hAnsi="Times New Roman"/>
        </w:rPr>
        <w:t xml:space="preserve"> in which</w:t>
      </w:r>
      <w:r w:rsidRPr="00A27578">
        <w:rPr>
          <w:rFonts w:ascii="Times New Roman" w:hAnsi="Times New Roman"/>
        </w:rPr>
        <w:t xml:space="preserve"> </w:t>
      </w:r>
      <w:r w:rsidR="00D94133">
        <w:rPr>
          <w:rFonts w:ascii="Times New Roman" w:hAnsi="Times New Roman"/>
        </w:rPr>
        <w:t xml:space="preserve">substantially all employers have withdrawn </w:t>
      </w:r>
      <w:r w:rsidRPr="00A27578">
        <w:rPr>
          <w:rFonts w:ascii="Times New Roman" w:hAnsi="Times New Roman"/>
        </w:rPr>
        <w:t xml:space="preserve">may be combined, and the first mass withdrawal liability notice may also be combined with the notice of liability for a withdrawal </w:t>
      </w:r>
      <w:r w:rsidR="00D94133">
        <w:rPr>
          <w:rFonts w:ascii="Times New Roman" w:hAnsi="Times New Roman"/>
        </w:rPr>
        <w:t xml:space="preserve">in which substantially all employers have withdrawn </w:t>
      </w:r>
      <w:r w:rsidRPr="00A27578">
        <w:rPr>
          <w:rFonts w:ascii="Times New Roman" w:hAnsi="Times New Roman"/>
        </w:rPr>
        <w:t xml:space="preserve">or with a notice of initial withdrawal liability under ERISA section 4219(b)(1).  </w:t>
      </w:r>
    </w:p>
    <w:p w:rsidRPr="00A27578" w:rsidR="003E4A0B" w:rsidRDefault="003E4A0B" w14:paraId="41A4D83C" w14:textId="3D0D9593">
      <w:pPr>
        <w:widowControl/>
        <w:spacing w:line="480" w:lineRule="auto"/>
        <w:ind w:firstLine="720"/>
        <w:rPr>
          <w:rFonts w:ascii="Times New Roman" w:hAnsi="Times New Roman"/>
        </w:rPr>
      </w:pPr>
      <w:r w:rsidRPr="00A27578">
        <w:rPr>
          <w:rFonts w:ascii="Times New Roman" w:hAnsi="Times New Roman"/>
        </w:rPr>
        <w:t xml:space="preserve">2.  </w:t>
      </w:r>
      <w:r w:rsidRPr="00A27578">
        <w:rPr>
          <w:rFonts w:ascii="Times New Roman" w:hAnsi="Times New Roman"/>
          <w:u w:val="single"/>
        </w:rPr>
        <w:t>Use of information.</w:t>
      </w:r>
      <w:r w:rsidRPr="00A27578">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uses the information submitted under the regulation to identify plans that have undergone mass withdrawals or </w:t>
      </w:r>
      <w:r w:rsidR="00784FE8">
        <w:rPr>
          <w:rFonts w:ascii="Times New Roman" w:hAnsi="Times New Roman"/>
        </w:rPr>
        <w:t>have had substantially all employers withdraw</w:t>
      </w:r>
      <w:r w:rsidRPr="00A27578">
        <w:rPr>
          <w:rFonts w:ascii="Times New Roman" w:hAnsi="Times New Roman"/>
        </w:rPr>
        <w:t>, and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w:t>
      </w:r>
      <w:r w:rsidRPr="00A27578">
        <w:rPr>
          <w:rFonts w:ascii="Times New Roman" w:hAnsi="Times New Roman"/>
        </w:rPr>
        <w:t xml:space="preserve">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substantial</w:t>
      </w:r>
      <w:r w:rsidR="00824A8E">
        <w:rPr>
          <w:rFonts w:ascii="Times New Roman" w:hAnsi="Times New Roman"/>
        </w:rPr>
        <w:t>ly all employers</w:t>
      </w:r>
      <w:r w:rsidRPr="00A27578">
        <w:rPr>
          <w:rFonts w:ascii="Times New Roman" w:hAnsi="Times New Roman"/>
        </w:rPr>
        <w:t xml:space="preserve"> withdraw.  </w:t>
      </w:r>
    </w:p>
    <w:p w:rsidRPr="00D32075" w:rsidR="003E4A0B" w:rsidRDefault="003E4A0B" w14:paraId="6C08575A" w14:textId="77777777">
      <w:pPr>
        <w:widowControl/>
        <w:spacing w:line="480" w:lineRule="auto"/>
        <w:ind w:firstLine="720"/>
        <w:rPr>
          <w:rFonts w:ascii="Times New Roman" w:hAnsi="Times New Roman"/>
        </w:rPr>
      </w:pPr>
      <w:r w:rsidRPr="00A27578">
        <w:rPr>
          <w:rFonts w:ascii="Times New Roman" w:hAnsi="Times New Roman"/>
        </w:rPr>
        <w:t xml:space="preserve">The notices of withdrawal to </w:t>
      </w:r>
      <w:proofErr w:type="gramStart"/>
      <w:r w:rsidRPr="00A27578">
        <w:rPr>
          <w:rFonts w:ascii="Times New Roman" w:hAnsi="Times New Roman"/>
        </w:rPr>
        <w:t>employers</w:t>
      </w:r>
      <w:proofErr w:type="gramEnd"/>
      <w:r w:rsidRPr="00A27578">
        <w:rPr>
          <w:rFonts w:ascii="Times New Roman" w:hAnsi="Times New Roman"/>
        </w:rPr>
        <w:t xml:space="preserve"> alert them that they may have to pay additional withdrawal liability.  The subsequent liability notices to employers tell them the amount (if any) of that liability (broken down by type) and the schedule for paying it.  The formal demand for payment in the notices of liability initiates the employer liability assessment and collection process and triggers an employer</w:t>
      </w:r>
      <w:r w:rsidR="000960D5">
        <w:rPr>
          <w:rFonts w:ascii="Times New Roman" w:hAnsi="Times New Roman"/>
        </w:rPr>
        <w:t>’</w:t>
      </w:r>
      <w:r w:rsidRPr="00D32075">
        <w:rPr>
          <w:rFonts w:ascii="Times New Roman" w:hAnsi="Times New Roman"/>
        </w:rPr>
        <w:t xml:space="preserve">s rights to review of its assessment.  </w:t>
      </w:r>
    </w:p>
    <w:p w:rsidRPr="00A27578" w:rsidR="003E4A0B" w:rsidRDefault="003E4A0B" w14:paraId="431805AB" w14:textId="77777777">
      <w:pPr>
        <w:widowControl/>
        <w:spacing w:line="480" w:lineRule="auto"/>
        <w:ind w:firstLine="720"/>
        <w:rPr>
          <w:rFonts w:ascii="Times New Roman" w:hAnsi="Times New Roman"/>
        </w:rPr>
      </w:pPr>
      <w:r w:rsidRPr="00A27578">
        <w:rPr>
          <w:rFonts w:ascii="Times New Roman" w:hAnsi="Times New Roman"/>
        </w:rPr>
        <w:t xml:space="preserve">3.  </w:t>
      </w:r>
      <w:r w:rsidRPr="00A27578">
        <w:rPr>
          <w:rFonts w:ascii="Times New Roman" w:hAnsi="Times New Roman"/>
          <w:u w:val="single"/>
        </w:rPr>
        <w:t>Information technology.</w:t>
      </w:r>
      <w:r w:rsidRPr="00A27578">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784FE8">
        <w:rPr>
          <w:rFonts w:ascii="Times New Roman" w:hAnsi="Times New Roman"/>
        </w:rPr>
        <w:t xml:space="preserve">However, PBGC expects that most, if not all, plan </w:t>
      </w:r>
      <w:r w:rsidR="00784FE8">
        <w:rPr>
          <w:rFonts w:ascii="Times New Roman" w:hAnsi="Times New Roman"/>
        </w:rPr>
        <w:lastRenderedPageBreak/>
        <w:t>sponsors and their representatives will use email and electronic versions of documents to provide the information required to PBGC under the regulation.</w:t>
      </w:r>
    </w:p>
    <w:p w:rsidRPr="00A27578" w:rsidR="003E4A0B" w:rsidRDefault="003E4A0B" w14:paraId="5204F8AB" w14:textId="77777777">
      <w:pPr>
        <w:widowControl/>
        <w:spacing w:line="480" w:lineRule="auto"/>
        <w:ind w:firstLine="720"/>
        <w:rPr>
          <w:rFonts w:ascii="Times New Roman" w:hAnsi="Times New Roman"/>
        </w:rPr>
      </w:pPr>
      <w:r w:rsidRPr="00A27578">
        <w:rPr>
          <w:rFonts w:ascii="Times New Roman" w:hAnsi="Times New Roman"/>
        </w:rPr>
        <w:t xml:space="preserve">4.  </w:t>
      </w:r>
      <w:r w:rsidRPr="00A27578">
        <w:rPr>
          <w:rFonts w:ascii="Times New Roman" w:hAnsi="Times New Roman"/>
          <w:u w:val="single"/>
        </w:rPr>
        <w:t>Duplicate or similar information.</w:t>
      </w:r>
      <w:r w:rsidRPr="00A27578">
        <w:rPr>
          <w:rFonts w:ascii="Times New Roman" w:hAnsi="Times New Roman"/>
        </w:rPr>
        <w:t xml:space="preserve">  To avoid duplication, the regulation provides that the notice of termination required to be filed with </w:t>
      </w:r>
      <w:r w:rsidRPr="00A27578" w:rsidR="005A5153">
        <w:rPr>
          <w:rFonts w:ascii="Times New Roman" w:hAnsi="Times New Roman"/>
        </w:rPr>
        <w:t>PBGC</w:t>
      </w:r>
      <w:r w:rsidRPr="00A27578">
        <w:rPr>
          <w:rFonts w:ascii="Times New Roman" w:hAnsi="Times New Roman"/>
        </w:rPr>
        <w:t xml:space="preserve"> in accordance with 29 CFR Part 4041A, Subpart B, will serve as the notice of mass withdrawal to </w:t>
      </w:r>
      <w:r w:rsidRPr="00A27578" w:rsidR="005A5153">
        <w:rPr>
          <w:rFonts w:ascii="Times New Roman" w:hAnsi="Times New Roman"/>
        </w:rPr>
        <w:t>PBGC</w:t>
      </w:r>
      <w:r w:rsidRPr="00A27578">
        <w:rPr>
          <w:rFonts w:ascii="Times New Roman" w:hAnsi="Times New Roman"/>
        </w:rPr>
        <w:t xml:space="preserve"> for a mass-withdrawal-terminated plan.  The remaining notices and certifications are unique and are not duplicative of any other reporting requirement.  No information similar to that required by the regulation exists. </w:t>
      </w:r>
    </w:p>
    <w:p w:rsidRPr="00A27578" w:rsidR="003E4A0B" w:rsidRDefault="003E4A0B" w14:paraId="49006671" w14:textId="77777777">
      <w:pPr>
        <w:widowControl/>
        <w:spacing w:line="480" w:lineRule="auto"/>
        <w:ind w:firstLine="720"/>
        <w:rPr>
          <w:rFonts w:ascii="Times New Roman" w:hAnsi="Times New Roman"/>
        </w:rPr>
      </w:pPr>
      <w:r w:rsidRPr="00A27578">
        <w:rPr>
          <w:rFonts w:ascii="Times New Roman" w:hAnsi="Times New Roman"/>
        </w:rPr>
        <w:t xml:space="preserve">5.  </w:t>
      </w:r>
      <w:r w:rsidRPr="00A27578">
        <w:rPr>
          <w:rFonts w:ascii="Times New Roman" w:hAnsi="Times New Roman"/>
          <w:u w:val="single"/>
        </w:rPr>
        <w:t>Reducing the burden on small entities.</w:t>
      </w:r>
      <w:r w:rsidRPr="00A27578">
        <w:rPr>
          <w:rFonts w:ascii="Times New Roman" w:hAnsi="Times New Roman"/>
        </w:rPr>
        <w:t xml:space="preserve">  Inapplicable.  </w:t>
      </w:r>
    </w:p>
    <w:p w:rsidRPr="00A27578" w:rsidR="003E4A0B" w:rsidRDefault="003E4A0B" w14:paraId="17969745" w14:textId="455FDB5E">
      <w:pPr>
        <w:widowControl/>
        <w:spacing w:line="480" w:lineRule="auto"/>
        <w:ind w:firstLine="720"/>
        <w:rPr>
          <w:rFonts w:ascii="Times New Roman" w:hAnsi="Times New Roman"/>
        </w:rPr>
      </w:pPr>
      <w:r w:rsidRPr="00A27578">
        <w:rPr>
          <w:rFonts w:ascii="Times New Roman" w:hAnsi="Times New Roman"/>
        </w:rPr>
        <w:t xml:space="preserve">6.  </w:t>
      </w:r>
      <w:r w:rsidRPr="00A27578">
        <w:rPr>
          <w:rFonts w:ascii="Times New Roman" w:hAnsi="Times New Roman"/>
          <w:u w:val="single"/>
        </w:rPr>
        <w:t>Consequence of reduced collection.</w:t>
      </w:r>
      <w:r w:rsidRPr="00A27578">
        <w:rPr>
          <w:rFonts w:ascii="Times New Roman" w:hAnsi="Times New Roman"/>
        </w:rPr>
        <w:t xml:space="preserve">  Because submission of information under the regulation is required only upon the occurrence of specified events, each collection of information under the regulation occurs only once. </w:t>
      </w:r>
    </w:p>
    <w:p w:rsidRPr="00A27578" w:rsidR="003E4A0B" w:rsidRDefault="003E4A0B" w14:paraId="0735F129" w14:textId="6EAD89AF">
      <w:pPr>
        <w:widowControl/>
        <w:spacing w:line="480" w:lineRule="auto"/>
        <w:ind w:firstLine="720"/>
        <w:rPr>
          <w:rFonts w:ascii="Times New Roman" w:hAnsi="Times New Roman"/>
        </w:rPr>
      </w:pPr>
      <w:r w:rsidRPr="00A27578">
        <w:rPr>
          <w:rFonts w:ascii="Times New Roman" w:hAnsi="Times New Roman"/>
        </w:rPr>
        <w:t xml:space="preserve">Without the information reported to </w:t>
      </w:r>
      <w:r w:rsidRPr="00A27578" w:rsidR="005A5153">
        <w:rPr>
          <w:rFonts w:ascii="Times New Roman" w:hAnsi="Times New Roman"/>
        </w:rPr>
        <w:t>PBGC</w:t>
      </w:r>
      <w:r w:rsidRPr="00A27578">
        <w:rPr>
          <w:rFonts w:ascii="Times New Roman" w:hAnsi="Times New Roman"/>
        </w:rPr>
        <w:t xml:space="preserve">, </w:t>
      </w:r>
      <w:r w:rsidRPr="00A27578" w:rsidR="005A5153">
        <w:rPr>
          <w:rFonts w:ascii="Times New Roman" w:hAnsi="Times New Roman"/>
        </w:rPr>
        <w:t>PBGC</w:t>
      </w:r>
      <w:r w:rsidR="000960D5">
        <w:rPr>
          <w:rFonts w:ascii="Times New Roman" w:hAnsi="Times New Roman"/>
        </w:rPr>
        <w:t>’</w:t>
      </w:r>
      <w:r w:rsidRPr="00D32075">
        <w:rPr>
          <w:rFonts w:ascii="Times New Roman" w:hAnsi="Times New Roman"/>
        </w:rPr>
        <w:t>s ability to monitor plans</w:t>
      </w:r>
      <w:r w:rsidR="000960D5">
        <w:rPr>
          <w:rFonts w:ascii="Times New Roman" w:hAnsi="Times New Roman"/>
        </w:rPr>
        <w:t>’</w:t>
      </w:r>
      <w:r w:rsidRPr="00D32075">
        <w:rPr>
          <w:rFonts w:ascii="Times New Roman" w:hAnsi="Times New Roman"/>
        </w:rPr>
        <w:t xml:space="preserve"> compliance with the provisions of the regulation and ERISA dealing with mass withdrawal liability and liability for </w:t>
      </w:r>
      <w:r w:rsidRPr="00A27578">
        <w:rPr>
          <w:rFonts w:ascii="Times New Roman" w:hAnsi="Times New Roman"/>
          <w:i/>
          <w:iCs/>
        </w:rPr>
        <w:t>de minimis</w:t>
      </w:r>
      <w:r w:rsidRPr="00A27578">
        <w:rPr>
          <w:rFonts w:ascii="Times New Roman" w:hAnsi="Times New Roman"/>
        </w:rPr>
        <w:t xml:space="preserve"> amounts by employers that withdraw from a plan in a plan year in which substantial</w:t>
      </w:r>
      <w:r w:rsidR="00D450CA">
        <w:rPr>
          <w:rFonts w:ascii="Times New Roman" w:hAnsi="Times New Roman"/>
        </w:rPr>
        <w:t>ly all employers</w:t>
      </w:r>
      <w:r w:rsidRPr="00A27578">
        <w:rPr>
          <w:rFonts w:ascii="Times New Roman" w:hAnsi="Times New Roman"/>
        </w:rPr>
        <w:t xml:space="preserve"> withdraw</w:t>
      </w:r>
      <w:r w:rsidR="001402F3">
        <w:rPr>
          <w:rFonts w:ascii="Times New Roman" w:hAnsi="Times New Roman"/>
        </w:rPr>
        <w:t xml:space="preserve"> </w:t>
      </w:r>
      <w:r w:rsidRPr="00A27578">
        <w:rPr>
          <w:rFonts w:ascii="Times New Roman" w:hAnsi="Times New Roman"/>
        </w:rPr>
        <w:t xml:space="preserve">would be significantly impaired.  A delay in reporting would leave </w:t>
      </w:r>
      <w:r w:rsidRPr="00A27578" w:rsidR="005A5153">
        <w:rPr>
          <w:rFonts w:ascii="Times New Roman" w:hAnsi="Times New Roman"/>
        </w:rPr>
        <w:t>PBGC</w:t>
      </w:r>
      <w:r w:rsidRPr="00A27578">
        <w:rPr>
          <w:rFonts w:ascii="Times New Roman" w:hAnsi="Times New Roman"/>
        </w:rPr>
        <w:t xml:space="preserve"> without timely notice of events that could adversely affect the insurance system.  </w:t>
      </w:r>
    </w:p>
    <w:p w:rsidRPr="00A27578" w:rsidR="003E4A0B" w:rsidRDefault="003E4A0B" w14:paraId="3B71631F" w14:textId="77777777">
      <w:pPr>
        <w:widowControl/>
        <w:spacing w:line="480" w:lineRule="auto"/>
        <w:ind w:firstLine="720"/>
        <w:rPr>
          <w:rFonts w:ascii="Times New Roman" w:hAnsi="Times New Roman"/>
        </w:rPr>
      </w:pPr>
      <w:r w:rsidRPr="00A27578">
        <w:rPr>
          <w:rFonts w:ascii="Times New Roman" w:hAnsi="Times New Roman"/>
        </w:rPr>
        <w:t xml:space="preserve">Without the information reported to employers, employers would not know how much liability to pay or when to pay it, and plans would not receive funds needed to pay benefits to participants and beneficiaries.  A delay in providing the required information could jeopardize collection from employers with financial difficulties.  </w:t>
      </w:r>
    </w:p>
    <w:p w:rsidRPr="00D32075" w:rsidR="003E4A0B" w:rsidRDefault="003E4A0B" w14:paraId="4A54DEBE" w14:textId="77777777">
      <w:pPr>
        <w:widowControl/>
        <w:spacing w:line="480" w:lineRule="auto"/>
        <w:ind w:firstLine="720"/>
        <w:rPr>
          <w:rFonts w:ascii="Times New Roman" w:hAnsi="Times New Roman"/>
        </w:rPr>
      </w:pPr>
      <w:r w:rsidRPr="00A27578">
        <w:rPr>
          <w:rFonts w:ascii="Times New Roman" w:hAnsi="Times New Roman"/>
        </w:rPr>
        <w:lastRenderedPageBreak/>
        <w:t xml:space="preserve">7.  </w:t>
      </w:r>
      <w:r w:rsidRPr="00A27578">
        <w:rPr>
          <w:rFonts w:ascii="Times New Roman" w:hAnsi="Times New Roman"/>
          <w:u w:val="single"/>
        </w:rPr>
        <w:t>Consistency with guidelines.</w:t>
      </w:r>
      <w:r w:rsidRPr="00A27578">
        <w:rPr>
          <w:rFonts w:ascii="Times New Roman" w:hAnsi="Times New Roman"/>
        </w:rPr>
        <w:t xml:space="preserve">  The information collection is not conducted in a manner inconsistent with 5 CFR </w:t>
      </w:r>
      <w:r w:rsidR="000960D5">
        <w:rPr>
          <w:rFonts w:ascii="Times New Roman" w:hAnsi="Times New Roman"/>
        </w:rPr>
        <w:t>§</w:t>
      </w:r>
      <w:r w:rsidRPr="00D32075">
        <w:rPr>
          <w:rFonts w:ascii="Times New Roman" w:hAnsi="Times New Roman"/>
        </w:rPr>
        <w:t xml:space="preserve"> 1320.5(d)(2).  </w:t>
      </w:r>
    </w:p>
    <w:p w:rsidRPr="00662D60" w:rsidR="00662D60" w:rsidP="00662D60" w:rsidRDefault="003E4A0B" w14:paraId="52264604" w14:textId="24EE301B">
      <w:pPr>
        <w:widowControl/>
        <w:spacing w:line="480" w:lineRule="auto"/>
        <w:ind w:firstLine="720"/>
        <w:rPr>
          <w:rFonts w:ascii="Times New Roman" w:hAnsi="Times New Roman"/>
        </w:rPr>
      </w:pPr>
      <w:r w:rsidRPr="00A27578">
        <w:rPr>
          <w:rFonts w:ascii="Times New Roman" w:hAnsi="Times New Roman"/>
        </w:rPr>
        <w:t xml:space="preserve">8.  </w:t>
      </w:r>
      <w:r w:rsidRPr="00A27578">
        <w:rPr>
          <w:rFonts w:ascii="Times New Roman" w:hAnsi="Times New Roman"/>
          <w:u w:val="single"/>
        </w:rPr>
        <w:t>Outside input.</w:t>
      </w:r>
      <w:r w:rsidRPr="00A27578" w:rsidR="0083453B">
        <w:rPr>
          <w:rFonts w:ascii="Times New Roman" w:hAnsi="Times New Roman"/>
        </w:rPr>
        <w:t xml:space="preserve">  </w:t>
      </w:r>
      <w:r w:rsidRPr="00662D60" w:rsidR="00662D60">
        <w:rPr>
          <w:rFonts w:ascii="Times New Roman" w:hAnsi="Times New Roman"/>
        </w:rPr>
        <w:t>PBGC published a Federal Register notice soliciting public comment on this and other collections of information pursuant to 5 CFR § 1320.8(d) (</w:t>
      </w:r>
      <w:r w:rsidR="00770DBF">
        <w:rPr>
          <w:rFonts w:ascii="Times New Roman" w:hAnsi="Times New Roman"/>
        </w:rPr>
        <w:t>February 11, 2020</w:t>
      </w:r>
      <w:r w:rsidRPr="00662D60" w:rsidR="00662D60">
        <w:rPr>
          <w:rFonts w:ascii="Times New Roman" w:hAnsi="Times New Roman"/>
        </w:rPr>
        <w:t>, at 8</w:t>
      </w:r>
      <w:r w:rsidR="00770DBF">
        <w:rPr>
          <w:rFonts w:ascii="Times New Roman" w:hAnsi="Times New Roman"/>
        </w:rPr>
        <w:t>5</w:t>
      </w:r>
      <w:r w:rsidRPr="00662D60" w:rsidR="00662D60">
        <w:rPr>
          <w:rFonts w:ascii="Times New Roman" w:hAnsi="Times New Roman"/>
        </w:rPr>
        <w:t xml:space="preserve"> FR </w:t>
      </w:r>
      <w:r w:rsidR="00D81B77">
        <w:rPr>
          <w:rFonts w:ascii="Times New Roman" w:hAnsi="Times New Roman"/>
        </w:rPr>
        <w:t>7803</w:t>
      </w:r>
      <w:r w:rsidRPr="00662D60" w:rsidR="00662D60">
        <w:rPr>
          <w:rFonts w:ascii="Times New Roman" w:hAnsi="Times New Roman"/>
        </w:rPr>
        <w:t xml:space="preserve">).  No public comments were received in response to the notice. </w:t>
      </w:r>
    </w:p>
    <w:p w:rsidRPr="00A27578" w:rsidR="003E4A0B" w:rsidRDefault="003E4A0B" w14:paraId="0E2F99E4" w14:textId="77777777">
      <w:pPr>
        <w:widowControl/>
        <w:spacing w:line="480" w:lineRule="auto"/>
        <w:ind w:firstLine="720"/>
        <w:rPr>
          <w:rFonts w:ascii="Times New Roman" w:hAnsi="Times New Roman"/>
        </w:rPr>
      </w:pPr>
      <w:r w:rsidRPr="00A27578">
        <w:rPr>
          <w:rFonts w:ascii="Times New Roman" w:hAnsi="Times New Roman"/>
        </w:rPr>
        <w:t xml:space="preserve">9.  </w:t>
      </w:r>
      <w:r w:rsidRPr="00A27578">
        <w:rPr>
          <w:rFonts w:ascii="Times New Roman" w:hAnsi="Times New Roman"/>
          <w:u w:val="single"/>
        </w:rPr>
        <w:t>Payment to respondents.</w:t>
      </w:r>
      <w:r w:rsidRPr="00A27578">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provides no payments or gifts to respondents in connection with this collection of information.  </w:t>
      </w:r>
    </w:p>
    <w:p w:rsidRPr="00A27578" w:rsidR="003E4A0B" w:rsidRDefault="003E4A0B" w14:paraId="6207BF3C" w14:textId="77777777">
      <w:pPr>
        <w:widowControl/>
        <w:spacing w:line="480" w:lineRule="auto"/>
        <w:ind w:firstLine="720"/>
        <w:rPr>
          <w:rFonts w:ascii="Times New Roman" w:hAnsi="Times New Roman"/>
        </w:rPr>
      </w:pPr>
      <w:r w:rsidRPr="00A27578">
        <w:rPr>
          <w:rFonts w:ascii="Times New Roman" w:hAnsi="Times New Roman"/>
        </w:rPr>
        <w:t xml:space="preserve">10.  </w:t>
      </w:r>
      <w:r w:rsidRPr="00A27578">
        <w:rPr>
          <w:rFonts w:ascii="Times New Roman" w:hAnsi="Times New Roman"/>
          <w:u w:val="single"/>
        </w:rPr>
        <w:t>Confidentiality.</w:t>
      </w:r>
      <w:r w:rsidRPr="00A27578">
        <w:rPr>
          <w:rFonts w:ascii="Times New Roman" w:hAnsi="Times New Roman"/>
        </w:rPr>
        <w:t xml:space="preserve">  The regulation gives no assurance of confidentiality, but information submitted to </w:t>
      </w:r>
      <w:r w:rsidRPr="00A27578" w:rsidR="005A5153">
        <w:rPr>
          <w:rFonts w:ascii="Times New Roman" w:hAnsi="Times New Roman"/>
        </w:rPr>
        <w:t>PBGC</w:t>
      </w:r>
      <w:r w:rsidRPr="00A27578">
        <w:rPr>
          <w:rFonts w:ascii="Times New Roman" w:hAnsi="Times New Roman"/>
        </w:rPr>
        <w:t xml:space="preserve"> under the regulation is accessible only in accordance with applicable law and regulations.  </w:t>
      </w:r>
      <w:r w:rsidRPr="00A27578" w:rsidR="005A5153">
        <w:rPr>
          <w:rFonts w:ascii="Times New Roman" w:hAnsi="Times New Roman"/>
        </w:rPr>
        <w:t>PBGC</w:t>
      </w:r>
      <w:r w:rsidR="000960D5">
        <w:rPr>
          <w:rFonts w:ascii="Times New Roman" w:hAnsi="Times New Roman"/>
        </w:rPr>
        <w:t>’</w:t>
      </w:r>
      <w:r w:rsidRPr="00D32075">
        <w:rPr>
          <w:rFonts w:ascii="Times New Roman" w:hAnsi="Times New Roman"/>
        </w:rPr>
        <w:t xml:space="preserve">s rules providing and restricting access to its records are set forth in 29 CFR Part 4901.  </w:t>
      </w:r>
    </w:p>
    <w:p w:rsidRPr="00A27578" w:rsidR="003E4A0B" w:rsidRDefault="003E4A0B" w14:paraId="62C29D9E" w14:textId="77777777">
      <w:pPr>
        <w:widowControl/>
        <w:spacing w:line="480" w:lineRule="auto"/>
        <w:ind w:firstLine="720"/>
        <w:rPr>
          <w:rFonts w:ascii="Times New Roman" w:hAnsi="Times New Roman"/>
        </w:rPr>
      </w:pPr>
      <w:r w:rsidRPr="00A27578">
        <w:rPr>
          <w:rFonts w:ascii="Times New Roman" w:hAnsi="Times New Roman"/>
        </w:rPr>
        <w:t xml:space="preserve">11.  </w:t>
      </w:r>
      <w:r w:rsidRPr="00A27578">
        <w:rPr>
          <w:rFonts w:ascii="Times New Roman" w:hAnsi="Times New Roman"/>
          <w:u w:val="single"/>
        </w:rPr>
        <w:t>Personal questions.</w:t>
      </w:r>
      <w:r w:rsidRPr="00A27578">
        <w:rPr>
          <w:rFonts w:ascii="Times New Roman" w:hAnsi="Times New Roman"/>
        </w:rPr>
        <w:t xml:space="preserve">  The regulation does not call for submission of information of a sensitive nature.  </w:t>
      </w:r>
    </w:p>
    <w:p w:rsidRPr="00A27578" w:rsidR="003E4A0B" w:rsidRDefault="003E4A0B" w14:paraId="3F0166FF" w14:textId="77777777">
      <w:pPr>
        <w:widowControl/>
        <w:spacing w:line="480" w:lineRule="auto"/>
        <w:ind w:firstLine="720"/>
        <w:rPr>
          <w:rFonts w:ascii="Times New Roman" w:hAnsi="Times New Roman"/>
        </w:rPr>
      </w:pPr>
      <w:r w:rsidRPr="00A27578">
        <w:rPr>
          <w:rFonts w:ascii="Times New Roman" w:hAnsi="Times New Roman"/>
        </w:rPr>
        <w:t xml:space="preserve">12.  </w:t>
      </w:r>
      <w:r w:rsidRPr="00A27578">
        <w:rPr>
          <w:rFonts w:ascii="Times New Roman" w:hAnsi="Times New Roman"/>
          <w:u w:val="single"/>
        </w:rPr>
        <w:t>Hour burden on the public.</w:t>
      </w:r>
      <w:r w:rsidRPr="00A27578">
        <w:rPr>
          <w:rFonts w:ascii="Times New Roman" w:hAnsi="Times New Roman"/>
        </w:rPr>
        <w:t xml:space="preserve">  The hour burden and cost burden estimates herein are based on the following assumptions: </w:t>
      </w:r>
    </w:p>
    <w:p w:rsidRPr="00A27578" w:rsidR="003E4A0B" w:rsidRDefault="00FA10D8" w14:paraId="33D91CC1" w14:textId="17D1EAB3">
      <w:pPr>
        <w:widowControl/>
        <w:spacing w:line="480" w:lineRule="auto"/>
        <w:ind w:firstLine="720"/>
        <w:rPr>
          <w:rFonts w:ascii="Times New Roman" w:hAnsi="Times New Roman"/>
        </w:rPr>
      </w:pPr>
      <w:r w:rsidRPr="00A27578">
        <w:rPr>
          <w:rFonts w:ascii="Times New Roman" w:hAnsi="Times New Roman"/>
        </w:rPr>
        <w:t xml:space="preserve">(1)  There are </w:t>
      </w:r>
      <w:r w:rsidRPr="00A27578" w:rsidR="0020625D">
        <w:rPr>
          <w:rFonts w:ascii="Times New Roman" w:hAnsi="Times New Roman"/>
        </w:rPr>
        <w:t>6</w:t>
      </w:r>
      <w:r w:rsidRPr="00A27578" w:rsidR="003E4A0B">
        <w:rPr>
          <w:rFonts w:ascii="Times New Roman" w:hAnsi="Times New Roman"/>
        </w:rPr>
        <w:t xml:space="preserve"> mass withdrawal</w:t>
      </w:r>
      <w:r w:rsidRPr="00A27578">
        <w:rPr>
          <w:rFonts w:ascii="Times New Roman" w:hAnsi="Times New Roman"/>
        </w:rPr>
        <w:t>s</w:t>
      </w:r>
      <w:r w:rsidRPr="00A27578" w:rsidR="003E4A0B">
        <w:rPr>
          <w:rFonts w:ascii="Times New Roman" w:hAnsi="Times New Roman"/>
        </w:rPr>
        <w:t xml:space="preserve"> an</w:t>
      </w:r>
      <w:r w:rsidRPr="00A27578">
        <w:rPr>
          <w:rFonts w:ascii="Times New Roman" w:hAnsi="Times New Roman"/>
        </w:rPr>
        <w:t>d 3</w:t>
      </w:r>
      <w:r w:rsidRPr="00A27578" w:rsidR="003E4A0B">
        <w:rPr>
          <w:rFonts w:ascii="Times New Roman" w:hAnsi="Times New Roman"/>
        </w:rPr>
        <w:t xml:space="preserve"> withdrawal</w:t>
      </w:r>
      <w:r w:rsidRPr="00A27578">
        <w:rPr>
          <w:rFonts w:ascii="Times New Roman" w:hAnsi="Times New Roman"/>
        </w:rPr>
        <w:t>s</w:t>
      </w:r>
      <w:r w:rsidRPr="00A27578" w:rsidR="003E4A0B">
        <w:rPr>
          <w:rFonts w:ascii="Times New Roman" w:hAnsi="Times New Roman"/>
        </w:rPr>
        <w:t xml:space="preserve"> </w:t>
      </w:r>
      <w:r w:rsidR="00883519">
        <w:rPr>
          <w:rFonts w:ascii="Times New Roman" w:hAnsi="Times New Roman"/>
        </w:rPr>
        <w:t xml:space="preserve">in which substantially all employers withdraw </w:t>
      </w:r>
      <w:r w:rsidRPr="00A27578" w:rsidR="003E4A0B">
        <w:rPr>
          <w:rFonts w:ascii="Times New Roman" w:hAnsi="Times New Roman"/>
        </w:rPr>
        <w:t xml:space="preserve">subject to the requirements of the regulation each year.  (Notice of a mass withdrawal that results in plan termination is given under 29 CFR Part 4041A (OMB control number 1212-0020) rather than under this regulation.)  </w:t>
      </w:r>
    </w:p>
    <w:p w:rsidRPr="00A27578" w:rsidR="00FA10D8" w:rsidRDefault="003E4A0B" w14:paraId="2B30E2F8" w14:textId="77777777">
      <w:pPr>
        <w:widowControl/>
        <w:spacing w:line="480" w:lineRule="auto"/>
        <w:ind w:firstLine="720"/>
        <w:rPr>
          <w:rFonts w:ascii="Times New Roman" w:hAnsi="Times New Roman"/>
        </w:rPr>
      </w:pPr>
      <w:r w:rsidRPr="00A27578">
        <w:rPr>
          <w:rFonts w:ascii="Times New Roman" w:hAnsi="Times New Roman"/>
        </w:rPr>
        <w:t xml:space="preserve">(2)  All reporting requirements for a mass withdrawal are completed within a year following the occurrence of the mass withdrawal.  </w:t>
      </w:r>
    </w:p>
    <w:p w:rsidRPr="00A27578" w:rsidR="003E4A0B" w:rsidRDefault="003E4A0B" w14:paraId="0D80092E" w14:textId="77777777">
      <w:pPr>
        <w:widowControl/>
        <w:spacing w:line="480" w:lineRule="auto"/>
        <w:ind w:firstLine="720"/>
        <w:rPr>
          <w:rFonts w:ascii="Times New Roman" w:hAnsi="Times New Roman"/>
        </w:rPr>
      </w:pPr>
      <w:r w:rsidRPr="00A27578">
        <w:rPr>
          <w:rFonts w:ascii="Times New Roman" w:hAnsi="Times New Roman"/>
        </w:rPr>
        <w:lastRenderedPageBreak/>
        <w:t xml:space="preserve">(3)  A multiemployer plan subject to the requirements of the regulation has about 35 employers.  </w:t>
      </w:r>
    </w:p>
    <w:p w:rsidRPr="00A27578" w:rsidR="003E4A0B" w:rsidRDefault="003E4A0B" w14:paraId="03ECEF53" w14:textId="77777777">
      <w:pPr>
        <w:widowControl/>
        <w:spacing w:line="480" w:lineRule="auto"/>
        <w:ind w:firstLine="720"/>
        <w:rPr>
          <w:rFonts w:ascii="Times New Roman" w:hAnsi="Times New Roman"/>
        </w:rPr>
      </w:pPr>
      <w:r w:rsidRPr="00A27578">
        <w:rPr>
          <w:rFonts w:ascii="Times New Roman" w:hAnsi="Times New Roman"/>
        </w:rPr>
        <w:t xml:space="preserve">(4)  All employers in a plan that undergoes a mass withdrawal are liable for redetermination liability (although in fact many are typically not so liable).  </w:t>
      </w:r>
    </w:p>
    <w:p w:rsidRPr="00A27578" w:rsidR="003E4A0B" w:rsidRDefault="003E4A0B" w14:paraId="33A5ECD0" w14:textId="77777777">
      <w:pPr>
        <w:widowControl/>
        <w:spacing w:line="480" w:lineRule="auto"/>
        <w:ind w:firstLine="720"/>
        <w:rPr>
          <w:rFonts w:ascii="Times New Roman" w:hAnsi="Times New Roman"/>
        </w:rPr>
      </w:pPr>
      <w:r w:rsidRPr="00A27578">
        <w:rPr>
          <w:rFonts w:ascii="Times New Roman" w:hAnsi="Times New Roman"/>
        </w:rPr>
        <w:t xml:space="preserve">(5)  Since any notice to an employer of non-assessment of mass withdrawal liability is given in place of one of the liability notices that would otherwise go to that employer (and be less burdensome to give), such notices may be ignored for purposes of estimating burden.  </w:t>
      </w:r>
    </w:p>
    <w:p w:rsidRPr="00A27578" w:rsidR="003E4A0B" w:rsidRDefault="003763A6" w14:paraId="7F7AC119" w14:textId="3E3E14FF">
      <w:pPr>
        <w:widowControl/>
        <w:spacing w:line="480" w:lineRule="auto"/>
        <w:ind w:firstLine="720"/>
        <w:rPr>
          <w:rFonts w:ascii="Times New Roman" w:hAnsi="Times New Roman"/>
        </w:rPr>
      </w:pPr>
      <w:r>
        <w:rPr>
          <w:rFonts w:ascii="Times New Roman" w:hAnsi="Times New Roman"/>
        </w:rPr>
        <w:t>As far as in-house labor is concerned, t</w:t>
      </w:r>
      <w:r w:rsidRPr="00A27578" w:rsidR="003E4A0B">
        <w:rPr>
          <w:rFonts w:ascii="Times New Roman" w:hAnsi="Times New Roman"/>
        </w:rPr>
        <w:t xml:space="preserve">he time needed to </w:t>
      </w:r>
      <w:r w:rsidR="00D1354E">
        <w:rPr>
          <w:rFonts w:ascii="Times New Roman" w:hAnsi="Times New Roman"/>
        </w:rPr>
        <w:t xml:space="preserve">compile the information needed to </w:t>
      </w:r>
      <w:r w:rsidRPr="00A27578" w:rsidR="003E4A0B">
        <w:rPr>
          <w:rFonts w:ascii="Times New Roman" w:hAnsi="Times New Roman"/>
        </w:rPr>
        <w:t xml:space="preserve">fulfill the reporting requirements for each mass withdrawal </w:t>
      </w:r>
      <w:r w:rsidR="00D1354E">
        <w:rPr>
          <w:rFonts w:ascii="Times New Roman" w:hAnsi="Times New Roman"/>
        </w:rPr>
        <w:t xml:space="preserve">and </w:t>
      </w:r>
      <w:r w:rsidR="00303BB6">
        <w:rPr>
          <w:rFonts w:ascii="Times New Roman" w:hAnsi="Times New Roman"/>
        </w:rPr>
        <w:t xml:space="preserve">each </w:t>
      </w:r>
      <w:r w:rsidR="00D1354E">
        <w:rPr>
          <w:rFonts w:ascii="Times New Roman" w:hAnsi="Times New Roman"/>
        </w:rPr>
        <w:t xml:space="preserve">withdrawal in which substantially all employers withdraw </w:t>
      </w:r>
      <w:r w:rsidRPr="00A27578" w:rsidR="003E4A0B">
        <w:rPr>
          <w:rFonts w:ascii="Times New Roman" w:hAnsi="Times New Roman"/>
        </w:rPr>
        <w:t xml:space="preserve">subject to the regulation is estimated as </w:t>
      </w:r>
      <w:r w:rsidR="00D1354E">
        <w:rPr>
          <w:rFonts w:ascii="Times New Roman" w:hAnsi="Times New Roman"/>
        </w:rPr>
        <w:t>five hours.  PBGC estimates that the annual hour burden of this collection of information is 45 hours (5</w:t>
      </w:r>
      <w:r w:rsidR="00303BB6">
        <w:rPr>
          <w:rFonts w:ascii="Times New Roman" w:hAnsi="Times New Roman"/>
        </w:rPr>
        <w:t xml:space="preserve"> hours times 9 plans).  The estimated dollar equivalent of this hour burden, based on an assumed blended hourly rate of $75 for administrative, clerical, and supervisory time</w:t>
      </w:r>
      <w:r w:rsidR="0017733A">
        <w:rPr>
          <w:rFonts w:ascii="Times New Roman" w:hAnsi="Times New Roman"/>
        </w:rPr>
        <w:t>,</w:t>
      </w:r>
      <w:r w:rsidR="00303BB6">
        <w:rPr>
          <w:rFonts w:ascii="Times New Roman" w:hAnsi="Times New Roman"/>
        </w:rPr>
        <w:t xml:space="preserve"> is $3,375.</w:t>
      </w:r>
    </w:p>
    <w:p w:rsidRPr="00A27578" w:rsidR="006F24B3" w:rsidP="00045399" w:rsidRDefault="00E35714" w14:paraId="78C44986" w14:textId="13D76782">
      <w:pPr>
        <w:widowControl/>
        <w:spacing w:line="480" w:lineRule="auto"/>
        <w:contextualSpacing/>
        <w:rPr>
          <w:rFonts w:ascii="Times New Roman" w:hAnsi="Times New Roman"/>
        </w:rPr>
      </w:pPr>
      <w:r>
        <w:rPr>
          <w:rFonts w:ascii="Times New Roman" w:hAnsi="Times New Roman"/>
        </w:rPr>
        <w:tab/>
      </w:r>
      <w:r w:rsidRPr="00A27578" w:rsidR="003E4A0B">
        <w:rPr>
          <w:rFonts w:ascii="Times New Roman" w:hAnsi="Times New Roman"/>
        </w:rPr>
        <w:t xml:space="preserve">13.  </w:t>
      </w:r>
      <w:r w:rsidRPr="00A27578" w:rsidR="003E4A0B">
        <w:rPr>
          <w:rFonts w:ascii="Times New Roman" w:hAnsi="Times New Roman"/>
          <w:u w:val="single"/>
        </w:rPr>
        <w:t>Cost burden on the public.</w:t>
      </w:r>
      <w:r w:rsidRPr="00A27578" w:rsidR="003E4A0B">
        <w:rPr>
          <w:rFonts w:ascii="Times New Roman" w:hAnsi="Times New Roman"/>
        </w:rPr>
        <w:t xml:space="preserve">  </w:t>
      </w:r>
      <w:r w:rsidR="002E4C0A">
        <w:rPr>
          <w:rFonts w:ascii="Times New Roman" w:hAnsi="Times New Roman"/>
        </w:rPr>
        <w:t>Plans use outside attorneys and actuaries to prepare the notices under the regulation.  The cost varies depending on the size of the plan</w:t>
      </w:r>
      <w:r w:rsidR="00C73BC2">
        <w:rPr>
          <w:rFonts w:ascii="Times New Roman" w:hAnsi="Times New Roman"/>
        </w:rPr>
        <w:t xml:space="preserve"> and type of withdrawal</w:t>
      </w:r>
      <w:r w:rsidR="002E4C0A">
        <w:rPr>
          <w:rFonts w:ascii="Times New Roman" w:hAnsi="Times New Roman"/>
        </w:rPr>
        <w:t>.  Based on the experience of attorneys and actuaries, PBGC estimates that the cost burden to prepare the notices for a mass withdraw</w:t>
      </w:r>
      <w:r w:rsidR="00C73BC2">
        <w:rPr>
          <w:rFonts w:ascii="Times New Roman" w:hAnsi="Times New Roman"/>
        </w:rPr>
        <w:t>al is $2</w:t>
      </w:r>
      <w:r w:rsidR="00543098">
        <w:rPr>
          <w:rFonts w:ascii="Times New Roman" w:hAnsi="Times New Roman"/>
        </w:rPr>
        <w:t>2,5</w:t>
      </w:r>
      <w:r w:rsidR="00C73BC2">
        <w:rPr>
          <w:rFonts w:ascii="Times New Roman" w:hAnsi="Times New Roman"/>
        </w:rPr>
        <w:t>00</w:t>
      </w:r>
      <w:r w:rsidR="00791195">
        <w:rPr>
          <w:rFonts w:ascii="Times New Roman" w:hAnsi="Times New Roman"/>
        </w:rPr>
        <w:t xml:space="preserve"> ($450 per hour x </w:t>
      </w:r>
      <w:r w:rsidR="007F08D9">
        <w:rPr>
          <w:rFonts w:ascii="Times New Roman" w:hAnsi="Times New Roman"/>
        </w:rPr>
        <w:t>50 hours)</w:t>
      </w:r>
      <w:r w:rsidR="00C73BC2">
        <w:rPr>
          <w:rFonts w:ascii="Times New Roman" w:hAnsi="Times New Roman"/>
        </w:rPr>
        <w:t xml:space="preserve"> and for a withdrawal in which substantially all employers withdraw is $4,</w:t>
      </w:r>
      <w:r w:rsidR="00A80698">
        <w:rPr>
          <w:rFonts w:ascii="Times New Roman" w:hAnsi="Times New Roman"/>
        </w:rPr>
        <w:t>5</w:t>
      </w:r>
      <w:r w:rsidR="00C73BC2">
        <w:rPr>
          <w:rFonts w:ascii="Times New Roman" w:hAnsi="Times New Roman"/>
        </w:rPr>
        <w:t>00</w:t>
      </w:r>
      <w:r w:rsidR="007F08D9">
        <w:rPr>
          <w:rFonts w:ascii="Times New Roman" w:hAnsi="Times New Roman"/>
        </w:rPr>
        <w:t xml:space="preserve"> ($450 per hour x 10 hours)</w:t>
      </w:r>
      <w:r w:rsidR="00C73BC2">
        <w:rPr>
          <w:rFonts w:ascii="Times New Roman" w:hAnsi="Times New Roman"/>
        </w:rPr>
        <w:t>.  Accordingly, the total estimated annual cost burden of the collection of information is $1</w:t>
      </w:r>
      <w:r w:rsidR="00FF5B48">
        <w:rPr>
          <w:rFonts w:ascii="Times New Roman" w:hAnsi="Times New Roman"/>
        </w:rPr>
        <w:t>48,5</w:t>
      </w:r>
      <w:r w:rsidR="00C73BC2">
        <w:rPr>
          <w:rFonts w:ascii="Times New Roman" w:hAnsi="Times New Roman"/>
        </w:rPr>
        <w:t>00 ((2</w:t>
      </w:r>
      <w:r w:rsidR="00FF5B48">
        <w:rPr>
          <w:rFonts w:ascii="Times New Roman" w:hAnsi="Times New Roman"/>
        </w:rPr>
        <w:t>2,5</w:t>
      </w:r>
      <w:r w:rsidR="00C73BC2">
        <w:rPr>
          <w:rFonts w:ascii="Times New Roman" w:hAnsi="Times New Roman"/>
        </w:rPr>
        <w:t>00 x 6) + (4,</w:t>
      </w:r>
      <w:r w:rsidR="00FF5B48">
        <w:rPr>
          <w:rFonts w:ascii="Times New Roman" w:hAnsi="Times New Roman"/>
        </w:rPr>
        <w:t>5</w:t>
      </w:r>
      <w:r w:rsidR="00C73BC2">
        <w:rPr>
          <w:rFonts w:ascii="Times New Roman" w:hAnsi="Times New Roman"/>
        </w:rPr>
        <w:t xml:space="preserve">00 x 3)).  </w:t>
      </w:r>
    </w:p>
    <w:p w:rsidRPr="00A27578" w:rsidR="003E4A0B" w:rsidP="004F08D9" w:rsidRDefault="003E4A0B" w14:paraId="1D458F78" w14:textId="09C3F942">
      <w:pPr>
        <w:widowControl/>
        <w:spacing w:line="480" w:lineRule="auto"/>
        <w:ind w:firstLine="720"/>
        <w:rPr>
          <w:rFonts w:ascii="Times New Roman" w:hAnsi="Times New Roman"/>
        </w:rPr>
      </w:pPr>
      <w:r w:rsidRPr="00A27578">
        <w:rPr>
          <w:rFonts w:ascii="Times New Roman" w:hAnsi="Times New Roman"/>
        </w:rPr>
        <w:lastRenderedPageBreak/>
        <w:t xml:space="preserve">14.  </w:t>
      </w:r>
      <w:r w:rsidRPr="00A27578">
        <w:rPr>
          <w:rFonts w:ascii="Times New Roman" w:hAnsi="Times New Roman"/>
          <w:u w:val="single"/>
        </w:rPr>
        <w:t>Cost to the government.</w:t>
      </w:r>
      <w:r w:rsidRPr="00A27578">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assumes that as noted in it</w:t>
      </w:r>
      <w:r w:rsidRPr="00A27578" w:rsidR="0079487D">
        <w:rPr>
          <w:rFonts w:ascii="Times New Roman" w:hAnsi="Times New Roman"/>
        </w:rPr>
        <w:t xml:space="preserve">em 12, it receives </w:t>
      </w:r>
      <w:r w:rsidR="00B10B6C">
        <w:rPr>
          <w:rFonts w:ascii="Times New Roman" w:hAnsi="Times New Roman"/>
        </w:rPr>
        <w:t xml:space="preserve">and processes </w:t>
      </w:r>
      <w:r w:rsidRPr="00A27578" w:rsidR="0095099C">
        <w:rPr>
          <w:rFonts w:ascii="Times New Roman" w:hAnsi="Times New Roman"/>
        </w:rPr>
        <w:t>6</w:t>
      </w:r>
      <w:r w:rsidRPr="00A27578">
        <w:rPr>
          <w:rFonts w:ascii="Times New Roman" w:hAnsi="Times New Roman"/>
        </w:rPr>
        <w:t xml:space="preserve"> notice</w:t>
      </w:r>
      <w:r w:rsidRPr="00A27578" w:rsidR="0079487D">
        <w:rPr>
          <w:rFonts w:ascii="Times New Roman" w:hAnsi="Times New Roman"/>
        </w:rPr>
        <w:t>s</w:t>
      </w:r>
      <w:r w:rsidR="00ED5606">
        <w:rPr>
          <w:rFonts w:ascii="Times New Roman" w:hAnsi="Times New Roman"/>
        </w:rPr>
        <w:t>,</w:t>
      </w:r>
      <w:r w:rsidR="00E35714">
        <w:rPr>
          <w:rFonts w:ascii="Times New Roman" w:hAnsi="Times New Roman"/>
        </w:rPr>
        <w:t xml:space="preserve"> </w:t>
      </w:r>
      <w:r w:rsidRPr="00A27578" w:rsidR="0095099C">
        <w:rPr>
          <w:rFonts w:ascii="Times New Roman" w:hAnsi="Times New Roman"/>
        </w:rPr>
        <w:t>6</w:t>
      </w:r>
      <w:r w:rsidRPr="00A27578">
        <w:rPr>
          <w:rFonts w:ascii="Times New Roman" w:hAnsi="Times New Roman"/>
        </w:rPr>
        <w:t xml:space="preserve"> certifications </w:t>
      </w:r>
      <w:r w:rsidR="00ED5606">
        <w:rPr>
          <w:rFonts w:ascii="Times New Roman" w:hAnsi="Times New Roman"/>
        </w:rPr>
        <w:t xml:space="preserve">for redetermination liability, and 6 certifications for reallocation liability </w:t>
      </w:r>
      <w:r w:rsidRPr="00A27578">
        <w:rPr>
          <w:rFonts w:ascii="Times New Roman" w:hAnsi="Times New Roman"/>
        </w:rPr>
        <w:t>per year fo</w:t>
      </w:r>
      <w:r w:rsidRPr="00A27578" w:rsidR="0079487D">
        <w:rPr>
          <w:rFonts w:ascii="Times New Roman" w:hAnsi="Times New Roman"/>
        </w:rPr>
        <w:t>r a single mass withdrawal and 3</w:t>
      </w:r>
      <w:r w:rsidRPr="00A27578">
        <w:rPr>
          <w:rFonts w:ascii="Times New Roman" w:hAnsi="Times New Roman"/>
        </w:rPr>
        <w:t xml:space="preserve"> combination notice and certification</w:t>
      </w:r>
      <w:r w:rsidRPr="00A27578" w:rsidR="0079487D">
        <w:rPr>
          <w:rFonts w:ascii="Times New Roman" w:hAnsi="Times New Roman"/>
        </w:rPr>
        <w:t>s</w:t>
      </w:r>
      <w:r w:rsidRPr="00A27578">
        <w:rPr>
          <w:rFonts w:ascii="Times New Roman" w:hAnsi="Times New Roman"/>
        </w:rPr>
        <w:t xml:space="preserve"> per year for a single withdrawal</w:t>
      </w:r>
      <w:r w:rsidRPr="00F652C8" w:rsidR="00F652C8">
        <w:rPr>
          <w:rFonts w:ascii="Times New Roman" w:hAnsi="Times New Roman"/>
        </w:rPr>
        <w:t xml:space="preserve"> </w:t>
      </w:r>
      <w:r w:rsidR="00C30CC5">
        <w:rPr>
          <w:rFonts w:ascii="Times New Roman" w:hAnsi="Times New Roman"/>
        </w:rPr>
        <w:t>in which substantially all employers withdraw</w:t>
      </w:r>
      <w:r w:rsidR="0017733A">
        <w:rPr>
          <w:rFonts w:ascii="Times New Roman" w:hAnsi="Times New Roman"/>
        </w:rPr>
        <w:t xml:space="preserve">. </w:t>
      </w:r>
      <w:r w:rsidR="00C30CC5">
        <w:rPr>
          <w:rFonts w:ascii="Times New Roman" w:hAnsi="Times New Roman"/>
        </w:rPr>
        <w:t xml:space="preserve"> </w:t>
      </w:r>
      <w:r w:rsidR="00F652C8">
        <w:rPr>
          <w:rFonts w:ascii="Times New Roman" w:hAnsi="Times New Roman"/>
        </w:rPr>
        <w:t>PBGC estimates that t</w:t>
      </w:r>
      <w:r w:rsidRPr="00E928F3" w:rsidR="00F652C8">
        <w:rPr>
          <w:rFonts w:ascii="Times New Roman" w:hAnsi="Times New Roman"/>
        </w:rPr>
        <w:t xml:space="preserve">he total annual cost to the government is </w:t>
      </w:r>
      <w:r w:rsidR="00B10B6C">
        <w:rPr>
          <w:rFonts w:ascii="Times New Roman" w:hAnsi="Times New Roman"/>
        </w:rPr>
        <w:t>$0</w:t>
      </w:r>
      <w:r w:rsidRPr="00E928F3" w:rsidR="00F652C8">
        <w:rPr>
          <w:rFonts w:ascii="Times New Roman" w:hAnsi="Times New Roman"/>
        </w:rPr>
        <w:t>.</w:t>
      </w:r>
      <w:r w:rsidRPr="00873788" w:rsidR="00873788">
        <w:rPr>
          <w:rFonts w:ascii="Times New Roman" w:hAnsi="Times New Roman"/>
        </w:rPr>
        <w:t xml:space="preserve"> </w:t>
      </w:r>
    </w:p>
    <w:p w:rsidRPr="00A27578" w:rsidR="003E4A0B" w:rsidP="00873788" w:rsidRDefault="003E4A0B" w14:paraId="0D78BA85" w14:textId="7EFE1C58">
      <w:pPr>
        <w:widowControl/>
        <w:spacing w:line="480" w:lineRule="auto"/>
        <w:ind w:firstLine="720"/>
        <w:rPr>
          <w:rFonts w:ascii="Times New Roman" w:hAnsi="Times New Roman"/>
        </w:rPr>
      </w:pPr>
      <w:r w:rsidRPr="00A27578">
        <w:rPr>
          <w:rFonts w:ascii="Times New Roman" w:hAnsi="Times New Roman"/>
        </w:rPr>
        <w:t xml:space="preserve">15.  </w:t>
      </w:r>
      <w:r w:rsidRPr="00A27578">
        <w:rPr>
          <w:rFonts w:ascii="Times New Roman" w:hAnsi="Times New Roman"/>
          <w:u w:val="single"/>
        </w:rPr>
        <w:t>Explanation of burden changes.</w:t>
      </w:r>
      <w:r w:rsidRPr="00A27578">
        <w:rPr>
          <w:rFonts w:ascii="Times New Roman" w:hAnsi="Times New Roman"/>
        </w:rPr>
        <w:t xml:space="preserve"> </w:t>
      </w:r>
      <w:r w:rsidR="00E35281">
        <w:rPr>
          <w:rFonts w:ascii="Times New Roman" w:hAnsi="Times New Roman"/>
        </w:rPr>
        <w:t xml:space="preserve"> </w:t>
      </w:r>
      <w:r w:rsidRPr="00A27578">
        <w:rPr>
          <w:rFonts w:ascii="Times New Roman" w:hAnsi="Times New Roman"/>
        </w:rPr>
        <w:t>The</w:t>
      </w:r>
      <w:r w:rsidR="00C05924">
        <w:rPr>
          <w:rFonts w:ascii="Times New Roman" w:hAnsi="Times New Roman"/>
        </w:rPr>
        <w:t>re is no change in the</w:t>
      </w:r>
      <w:r w:rsidRPr="00A27578">
        <w:rPr>
          <w:rFonts w:ascii="Times New Roman" w:hAnsi="Times New Roman"/>
        </w:rPr>
        <w:t xml:space="preserve"> </w:t>
      </w:r>
      <w:r w:rsidRPr="00A27578" w:rsidR="00064DA8">
        <w:rPr>
          <w:rFonts w:ascii="Times New Roman" w:hAnsi="Times New Roman"/>
        </w:rPr>
        <w:t>hour burden</w:t>
      </w:r>
      <w:r w:rsidR="00C05924">
        <w:rPr>
          <w:rFonts w:ascii="Times New Roman" w:hAnsi="Times New Roman"/>
        </w:rPr>
        <w:t xml:space="preserve">.  The </w:t>
      </w:r>
      <w:r w:rsidR="00EE0542">
        <w:rPr>
          <w:rFonts w:ascii="Times New Roman" w:hAnsi="Times New Roman"/>
        </w:rPr>
        <w:t>cost burden increased from $132,000 to $</w:t>
      </w:r>
      <w:r w:rsidR="00D52160">
        <w:rPr>
          <w:rFonts w:ascii="Times New Roman" w:hAnsi="Times New Roman"/>
        </w:rPr>
        <w:t>148,500 due to an increase in the estimated hourly rate for actuarial/attorney time</w:t>
      </w:r>
      <w:r w:rsidR="00774825">
        <w:rPr>
          <w:rFonts w:ascii="Times New Roman" w:hAnsi="Times New Roman"/>
        </w:rPr>
        <w:t xml:space="preserve">.  </w:t>
      </w:r>
      <w:r w:rsidRPr="00A27578" w:rsidR="00064DA8">
        <w:rPr>
          <w:rFonts w:ascii="Times New Roman" w:hAnsi="Times New Roman"/>
        </w:rPr>
        <w:t xml:space="preserve"> </w:t>
      </w:r>
    </w:p>
    <w:p w:rsidRPr="00A27578" w:rsidR="003E4A0B" w:rsidRDefault="003E4A0B" w14:paraId="4AFBEDEA" w14:textId="77777777">
      <w:pPr>
        <w:widowControl/>
        <w:spacing w:line="480" w:lineRule="auto"/>
        <w:ind w:firstLine="720"/>
        <w:rPr>
          <w:rFonts w:ascii="Times New Roman" w:hAnsi="Times New Roman"/>
        </w:rPr>
      </w:pPr>
      <w:r w:rsidRPr="00A27578">
        <w:rPr>
          <w:rFonts w:ascii="Times New Roman" w:hAnsi="Times New Roman"/>
        </w:rPr>
        <w:t xml:space="preserve">16.  </w:t>
      </w:r>
      <w:r w:rsidRPr="00A27578">
        <w:rPr>
          <w:rFonts w:ascii="Times New Roman" w:hAnsi="Times New Roman"/>
          <w:u w:val="single"/>
        </w:rPr>
        <w:t>Publication plans.</w:t>
      </w:r>
      <w:r w:rsidRPr="00A27578">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does not intend to publish the results of this collection of information. </w:t>
      </w:r>
    </w:p>
    <w:p w:rsidRPr="00A27578" w:rsidR="003E4A0B" w:rsidRDefault="003E4A0B" w14:paraId="4ACC59D9" w14:textId="77777777">
      <w:pPr>
        <w:widowControl/>
        <w:spacing w:line="480" w:lineRule="auto"/>
        <w:ind w:firstLine="720"/>
        <w:rPr>
          <w:rFonts w:ascii="Times New Roman" w:hAnsi="Times New Roman"/>
        </w:rPr>
      </w:pPr>
      <w:r w:rsidRPr="00A27578">
        <w:rPr>
          <w:rFonts w:ascii="Times New Roman" w:hAnsi="Times New Roman"/>
        </w:rPr>
        <w:t xml:space="preserve">17.  </w:t>
      </w:r>
      <w:r w:rsidRPr="00A27578">
        <w:rPr>
          <w:rFonts w:ascii="Times New Roman" w:hAnsi="Times New Roman"/>
          <w:u w:val="single"/>
        </w:rPr>
        <w:t>Display of expiration date.</w:t>
      </w:r>
      <w:r w:rsidRPr="00A27578">
        <w:rPr>
          <w:rFonts w:ascii="Times New Roman" w:hAnsi="Times New Roman"/>
        </w:rPr>
        <w:t xml:space="preserve">  </w:t>
      </w:r>
      <w:r w:rsidRPr="00A27578" w:rsidR="005A5153">
        <w:rPr>
          <w:rFonts w:ascii="Times New Roman" w:hAnsi="Times New Roman"/>
        </w:rPr>
        <w:t>PBGC</w:t>
      </w:r>
      <w:r w:rsidRPr="00A27578">
        <w:rPr>
          <w:rFonts w:ascii="Times New Roman" w:hAnsi="Times New Roman"/>
        </w:rPr>
        <w:t xml:space="preserve"> is not seeking approval to not display the expiration date for OMB approval of this information collection.  </w:t>
      </w:r>
    </w:p>
    <w:p w:rsidRPr="00A27578" w:rsidR="003E4A0B" w:rsidRDefault="003E4A0B" w14:paraId="33C875A9" w14:textId="77777777">
      <w:pPr>
        <w:widowControl/>
        <w:spacing w:line="480" w:lineRule="auto"/>
        <w:ind w:firstLine="720"/>
        <w:rPr>
          <w:rFonts w:ascii="Times New Roman" w:hAnsi="Times New Roman"/>
        </w:rPr>
      </w:pPr>
      <w:r w:rsidRPr="00A27578">
        <w:rPr>
          <w:rFonts w:ascii="Times New Roman" w:hAnsi="Times New Roman"/>
        </w:rPr>
        <w:t xml:space="preserve">18.  </w:t>
      </w:r>
      <w:r w:rsidRPr="00A27578">
        <w:rPr>
          <w:rFonts w:ascii="Times New Roman" w:hAnsi="Times New Roman"/>
          <w:u w:val="single"/>
        </w:rPr>
        <w:t>Exceptions to certification statement.</w:t>
      </w:r>
      <w:r w:rsidRPr="00A27578">
        <w:rPr>
          <w:rFonts w:ascii="Times New Roman" w:hAnsi="Times New Roman"/>
        </w:rPr>
        <w:t xml:space="preserve">  There are no exceptions to the certification statement.  </w:t>
      </w:r>
    </w:p>
    <w:p w:rsidRPr="00A27578" w:rsidR="003E4A0B" w:rsidRDefault="003E4A0B" w14:paraId="2C56A1F2" w14:textId="77777777">
      <w:pPr>
        <w:widowControl/>
        <w:spacing w:line="480" w:lineRule="auto"/>
        <w:rPr>
          <w:rFonts w:ascii="Times New Roman" w:hAnsi="Times New Roman"/>
        </w:rPr>
      </w:pPr>
    </w:p>
    <w:sectPr w:rsidRPr="00A27578" w:rsidR="003E4A0B" w:rsidSect="00E825D4">
      <w:headerReference w:type="default" r:id="rId11"/>
      <w:footerReference w:type="default" r:id="rId12"/>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E1567" w14:textId="77777777" w:rsidR="00C00A44" w:rsidRDefault="00C00A44">
      <w:r>
        <w:separator/>
      </w:r>
    </w:p>
  </w:endnote>
  <w:endnote w:type="continuationSeparator" w:id="0">
    <w:p w14:paraId="0472CE5B" w14:textId="77777777" w:rsidR="00C00A44" w:rsidRDefault="00C0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01B3" w14:textId="77777777" w:rsidR="00185E57" w:rsidRPr="00E825D4" w:rsidRDefault="00185E57">
    <w:pPr>
      <w:pStyle w:val="Footer"/>
      <w:jc w:val="center"/>
      <w:rPr>
        <w:rFonts w:ascii="Times New Roman" w:hAnsi="Times New Roman"/>
      </w:rPr>
    </w:pPr>
    <w:r w:rsidRPr="00E825D4">
      <w:rPr>
        <w:rFonts w:ascii="Times New Roman" w:hAnsi="Times New Roman"/>
      </w:rPr>
      <w:fldChar w:fldCharType="begin"/>
    </w:r>
    <w:r w:rsidRPr="00E825D4">
      <w:rPr>
        <w:rFonts w:ascii="Times New Roman" w:hAnsi="Times New Roman"/>
      </w:rPr>
      <w:instrText xml:space="preserve"> PAGE   \* MERGEFORMAT </w:instrText>
    </w:r>
    <w:r w:rsidRPr="00E825D4">
      <w:rPr>
        <w:rFonts w:ascii="Times New Roman" w:hAnsi="Times New Roman"/>
      </w:rPr>
      <w:fldChar w:fldCharType="separate"/>
    </w:r>
    <w:r w:rsidR="0017733A">
      <w:rPr>
        <w:rFonts w:ascii="Times New Roman" w:hAnsi="Times New Roman"/>
        <w:noProof/>
      </w:rPr>
      <w:t>8</w:t>
    </w:r>
    <w:r w:rsidRPr="00E825D4">
      <w:rPr>
        <w:rFonts w:ascii="Times New Roman" w:hAnsi="Times New Roman"/>
      </w:rPr>
      <w:fldChar w:fldCharType="end"/>
    </w:r>
  </w:p>
  <w:p w14:paraId="4B80E680" w14:textId="77777777" w:rsidR="00185E57" w:rsidRDefault="0018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7590A" w14:textId="77777777" w:rsidR="00C00A44" w:rsidRDefault="00C00A44">
      <w:r>
        <w:separator/>
      </w:r>
    </w:p>
  </w:footnote>
  <w:footnote w:type="continuationSeparator" w:id="0">
    <w:p w14:paraId="30FBE408" w14:textId="77777777" w:rsidR="00C00A44" w:rsidRDefault="00C0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633C" w14:textId="77777777" w:rsidR="00023CA4" w:rsidRDefault="00023CA4">
    <w:pPr>
      <w:framePr w:w="9361" w:wrap="notBeside" w:vAnchor="text" w:hAnchor="text" w:x="1" w:y="1"/>
      <w:jc w:val="center"/>
    </w:pPr>
  </w:p>
  <w:p w14:paraId="360DE6FD" w14:textId="77777777" w:rsidR="00023CA4" w:rsidRDefault="00023CA4">
    <w:pPr>
      <w:rPr>
        <w:rFonts w:ascii="Shruti" w:hAnsi="Shruti" w:cs="Shruti"/>
      </w:rPr>
    </w:pPr>
  </w:p>
  <w:p w14:paraId="4E634ADB" w14:textId="77777777" w:rsidR="00023CA4" w:rsidRDefault="00023CA4">
    <w:pPr>
      <w:rPr>
        <w:rFonts w:ascii="Shruti" w:hAnsi="Shruti" w:cs="Shruti"/>
      </w:rPr>
    </w:pPr>
  </w:p>
  <w:p w14:paraId="523B9052" w14:textId="77777777" w:rsidR="00023CA4" w:rsidRDefault="00023CA4">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5196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0B"/>
    <w:rsid w:val="00000D76"/>
    <w:rsid w:val="00006513"/>
    <w:rsid w:val="00023CA4"/>
    <w:rsid w:val="0004446E"/>
    <w:rsid w:val="00045399"/>
    <w:rsid w:val="00052F22"/>
    <w:rsid w:val="00060129"/>
    <w:rsid w:val="00064DA8"/>
    <w:rsid w:val="00072A12"/>
    <w:rsid w:val="000732DE"/>
    <w:rsid w:val="000960D5"/>
    <w:rsid w:val="000A1DF1"/>
    <w:rsid w:val="000B488E"/>
    <w:rsid w:val="000B7F9A"/>
    <w:rsid w:val="00123E7E"/>
    <w:rsid w:val="001402F3"/>
    <w:rsid w:val="001445C6"/>
    <w:rsid w:val="0017733A"/>
    <w:rsid w:val="00182AE4"/>
    <w:rsid w:val="00185E57"/>
    <w:rsid w:val="001927B3"/>
    <w:rsid w:val="0020625D"/>
    <w:rsid w:val="00295ECC"/>
    <w:rsid w:val="002B0F4E"/>
    <w:rsid w:val="002E4C0A"/>
    <w:rsid w:val="00303BB6"/>
    <w:rsid w:val="003763A6"/>
    <w:rsid w:val="003E4A0B"/>
    <w:rsid w:val="00401A91"/>
    <w:rsid w:val="00421D70"/>
    <w:rsid w:val="004373E5"/>
    <w:rsid w:val="00482C9B"/>
    <w:rsid w:val="00487A17"/>
    <w:rsid w:val="00490F59"/>
    <w:rsid w:val="00491D38"/>
    <w:rsid w:val="004D7C3F"/>
    <w:rsid w:val="004F08D9"/>
    <w:rsid w:val="004F471F"/>
    <w:rsid w:val="00543098"/>
    <w:rsid w:val="005774EB"/>
    <w:rsid w:val="005A5153"/>
    <w:rsid w:val="005B0DD6"/>
    <w:rsid w:val="005B5285"/>
    <w:rsid w:val="005B77AC"/>
    <w:rsid w:val="005F07F0"/>
    <w:rsid w:val="006027EB"/>
    <w:rsid w:val="00614B7A"/>
    <w:rsid w:val="00662D60"/>
    <w:rsid w:val="00675132"/>
    <w:rsid w:val="006763D1"/>
    <w:rsid w:val="0067652D"/>
    <w:rsid w:val="006946AC"/>
    <w:rsid w:val="006A5436"/>
    <w:rsid w:val="006A57BC"/>
    <w:rsid w:val="006B1C46"/>
    <w:rsid w:val="006D66DA"/>
    <w:rsid w:val="006E3015"/>
    <w:rsid w:val="006F24B3"/>
    <w:rsid w:val="006F62D9"/>
    <w:rsid w:val="00770DBF"/>
    <w:rsid w:val="00774825"/>
    <w:rsid w:val="007755A9"/>
    <w:rsid w:val="00784FE8"/>
    <w:rsid w:val="00791195"/>
    <w:rsid w:val="0079487D"/>
    <w:rsid w:val="007C18C3"/>
    <w:rsid w:val="007E2F2B"/>
    <w:rsid w:val="007E340A"/>
    <w:rsid w:val="007F08D9"/>
    <w:rsid w:val="00824A8E"/>
    <w:rsid w:val="0083453B"/>
    <w:rsid w:val="00873788"/>
    <w:rsid w:val="00883519"/>
    <w:rsid w:val="00887977"/>
    <w:rsid w:val="008C7BEA"/>
    <w:rsid w:val="008E55FF"/>
    <w:rsid w:val="0095099C"/>
    <w:rsid w:val="00957310"/>
    <w:rsid w:val="00982C5E"/>
    <w:rsid w:val="00992D81"/>
    <w:rsid w:val="009A13A5"/>
    <w:rsid w:val="009F1A97"/>
    <w:rsid w:val="00A16D94"/>
    <w:rsid w:val="00A27578"/>
    <w:rsid w:val="00A6385E"/>
    <w:rsid w:val="00A80698"/>
    <w:rsid w:val="00A923B8"/>
    <w:rsid w:val="00AA3581"/>
    <w:rsid w:val="00AC1363"/>
    <w:rsid w:val="00AE4BA0"/>
    <w:rsid w:val="00B07796"/>
    <w:rsid w:val="00B10B6C"/>
    <w:rsid w:val="00B160B3"/>
    <w:rsid w:val="00B32044"/>
    <w:rsid w:val="00B438A2"/>
    <w:rsid w:val="00B829B8"/>
    <w:rsid w:val="00BA5276"/>
    <w:rsid w:val="00BD4BAA"/>
    <w:rsid w:val="00BD78DE"/>
    <w:rsid w:val="00C00A44"/>
    <w:rsid w:val="00C05924"/>
    <w:rsid w:val="00C30CC5"/>
    <w:rsid w:val="00C47661"/>
    <w:rsid w:val="00C73BC2"/>
    <w:rsid w:val="00CB453E"/>
    <w:rsid w:val="00CC1497"/>
    <w:rsid w:val="00CD118B"/>
    <w:rsid w:val="00CD7AA8"/>
    <w:rsid w:val="00CD7AF6"/>
    <w:rsid w:val="00CF2941"/>
    <w:rsid w:val="00D01115"/>
    <w:rsid w:val="00D1088C"/>
    <w:rsid w:val="00D1354E"/>
    <w:rsid w:val="00D16F8B"/>
    <w:rsid w:val="00D32075"/>
    <w:rsid w:val="00D422D9"/>
    <w:rsid w:val="00D450CA"/>
    <w:rsid w:val="00D52160"/>
    <w:rsid w:val="00D81B77"/>
    <w:rsid w:val="00D86651"/>
    <w:rsid w:val="00D94133"/>
    <w:rsid w:val="00DB39E6"/>
    <w:rsid w:val="00DC36D9"/>
    <w:rsid w:val="00E20C30"/>
    <w:rsid w:val="00E35281"/>
    <w:rsid w:val="00E35714"/>
    <w:rsid w:val="00E773B2"/>
    <w:rsid w:val="00E80016"/>
    <w:rsid w:val="00E825D4"/>
    <w:rsid w:val="00EB4570"/>
    <w:rsid w:val="00EB516E"/>
    <w:rsid w:val="00EC1EE7"/>
    <w:rsid w:val="00ED5606"/>
    <w:rsid w:val="00EE0542"/>
    <w:rsid w:val="00EE088C"/>
    <w:rsid w:val="00EE2C1C"/>
    <w:rsid w:val="00EF59A4"/>
    <w:rsid w:val="00F270EC"/>
    <w:rsid w:val="00F3672C"/>
    <w:rsid w:val="00F37DD6"/>
    <w:rsid w:val="00F41341"/>
    <w:rsid w:val="00F652C8"/>
    <w:rsid w:val="00F80F2B"/>
    <w:rsid w:val="00F82CEF"/>
    <w:rsid w:val="00F8684B"/>
    <w:rsid w:val="00F94501"/>
    <w:rsid w:val="00FA10D8"/>
    <w:rsid w:val="00FA3DAD"/>
    <w:rsid w:val="00FF495F"/>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3BA8D"/>
  <w15:docId w15:val="{45657A76-512E-44E9-A115-26D8A1B4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9F1A97"/>
    <w:pPr>
      <w:tabs>
        <w:tab w:val="center" w:pos="4320"/>
        <w:tab w:val="right" w:pos="8640"/>
      </w:tabs>
    </w:pPr>
  </w:style>
  <w:style w:type="paragraph" w:styleId="Footer">
    <w:name w:val="footer"/>
    <w:basedOn w:val="Normal"/>
    <w:link w:val="FooterChar"/>
    <w:uiPriority w:val="99"/>
    <w:rsid w:val="009F1A97"/>
    <w:pPr>
      <w:tabs>
        <w:tab w:val="center" w:pos="4320"/>
        <w:tab w:val="right" w:pos="8640"/>
      </w:tabs>
    </w:pPr>
  </w:style>
  <w:style w:type="character" w:styleId="PageNumber">
    <w:name w:val="page number"/>
    <w:basedOn w:val="DefaultParagraphFont"/>
    <w:rsid w:val="009F1A97"/>
  </w:style>
  <w:style w:type="paragraph" w:styleId="BalloonText">
    <w:name w:val="Balloon Text"/>
    <w:basedOn w:val="Normal"/>
    <w:link w:val="BalloonTextChar"/>
    <w:rsid w:val="009A13A5"/>
    <w:rPr>
      <w:rFonts w:ascii="Tahoma" w:hAnsi="Tahoma" w:cs="Tahoma"/>
      <w:sz w:val="16"/>
      <w:szCs w:val="16"/>
    </w:rPr>
  </w:style>
  <w:style w:type="character" w:customStyle="1" w:styleId="BalloonTextChar">
    <w:name w:val="Balloon Text Char"/>
    <w:link w:val="BalloonText"/>
    <w:rsid w:val="009A13A5"/>
    <w:rPr>
      <w:rFonts w:ascii="Tahoma" w:hAnsi="Tahoma" w:cs="Tahoma"/>
      <w:sz w:val="16"/>
      <w:szCs w:val="16"/>
    </w:rPr>
  </w:style>
  <w:style w:type="character" w:customStyle="1" w:styleId="FooterChar">
    <w:name w:val="Footer Char"/>
    <w:link w:val="Footer"/>
    <w:uiPriority w:val="99"/>
    <w:rsid w:val="00185E57"/>
    <w:rPr>
      <w:rFonts w:ascii="Courier" w:hAnsi="Courier"/>
      <w:sz w:val="24"/>
      <w:szCs w:val="24"/>
    </w:rPr>
  </w:style>
  <w:style w:type="character" w:styleId="CommentReference">
    <w:name w:val="annotation reference"/>
    <w:rsid w:val="003763A6"/>
    <w:rPr>
      <w:sz w:val="16"/>
      <w:szCs w:val="16"/>
    </w:rPr>
  </w:style>
  <w:style w:type="paragraph" w:styleId="CommentText">
    <w:name w:val="annotation text"/>
    <w:basedOn w:val="Normal"/>
    <w:link w:val="CommentTextChar"/>
    <w:rsid w:val="003763A6"/>
    <w:rPr>
      <w:sz w:val="20"/>
      <w:szCs w:val="20"/>
    </w:rPr>
  </w:style>
  <w:style w:type="character" w:customStyle="1" w:styleId="CommentTextChar">
    <w:name w:val="Comment Text Char"/>
    <w:link w:val="CommentText"/>
    <w:rsid w:val="003763A6"/>
    <w:rPr>
      <w:rFonts w:ascii="Courier" w:hAnsi="Courier"/>
    </w:rPr>
  </w:style>
  <w:style w:type="character" w:styleId="Hyperlink">
    <w:name w:val="Hyperlink"/>
    <w:rsid w:val="003763A6"/>
    <w:rPr>
      <w:strike w:val="0"/>
      <w:dstrike w:val="0"/>
      <w:color w:val="000080"/>
      <w:u w:val="none"/>
      <w:effect w:val="none"/>
    </w:rPr>
  </w:style>
  <w:style w:type="paragraph" w:styleId="FootnoteText">
    <w:name w:val="footnote text"/>
    <w:basedOn w:val="Normal"/>
    <w:link w:val="FootnoteTextChar"/>
    <w:rsid w:val="003763A6"/>
    <w:rPr>
      <w:sz w:val="20"/>
      <w:szCs w:val="20"/>
    </w:rPr>
  </w:style>
  <w:style w:type="character" w:customStyle="1" w:styleId="FootnoteTextChar">
    <w:name w:val="Footnote Text Char"/>
    <w:link w:val="FootnoteText"/>
    <w:rsid w:val="003763A6"/>
    <w:rPr>
      <w:rFonts w:ascii="Courier" w:hAnsi="Courier"/>
    </w:rPr>
  </w:style>
  <w:style w:type="paragraph" w:styleId="ListParagraph">
    <w:name w:val="List Paragraph"/>
    <w:basedOn w:val="Normal"/>
    <w:uiPriority w:val="34"/>
    <w:qFormat/>
    <w:rsid w:val="003763A6"/>
    <w:pPr>
      <w:ind w:left="720"/>
    </w:pPr>
  </w:style>
  <w:style w:type="paragraph" w:styleId="CommentSubject">
    <w:name w:val="annotation subject"/>
    <w:basedOn w:val="CommentText"/>
    <w:next w:val="CommentText"/>
    <w:link w:val="CommentSubjectChar"/>
    <w:semiHidden/>
    <w:unhideWhenUsed/>
    <w:rsid w:val="00D450CA"/>
    <w:rPr>
      <w:b/>
      <w:bCs/>
    </w:rPr>
  </w:style>
  <w:style w:type="character" w:customStyle="1" w:styleId="CommentSubjectChar">
    <w:name w:val="Comment Subject Char"/>
    <w:basedOn w:val="CommentTextChar"/>
    <w:link w:val="CommentSubject"/>
    <w:semiHidden/>
    <w:rsid w:val="00D450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6FA55820-9238-4CA6-8F2F-D3524D302005}">
  <ds:schemaRefs>
    <ds:schemaRef ds:uri="http://schemas.microsoft.com/sharepoint/v3/contenttype/forms"/>
  </ds:schemaRefs>
</ds:datastoreItem>
</file>

<file path=customXml/itemProps2.xml><?xml version="1.0" encoding="utf-8"?>
<ds:datastoreItem xmlns:ds="http://schemas.openxmlformats.org/officeDocument/2006/customXml" ds:itemID="{803E0F6F-B561-47D1-B280-65D147E0739B}">
  <ds:schemaRefs>
    <ds:schemaRef ds:uri="42a8a83a-5e27-410c-a1fc-7c5ac4e503f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EDA84E7-8C4B-451B-97DE-A86955F55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F5D24-350F-44E5-ACA8-EFD6D53CD2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12945</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2017-05-23T21:32:00Z</cp:lastPrinted>
  <dcterms:created xsi:type="dcterms:W3CDTF">2020-04-27T18:33:00Z</dcterms:created>
  <dcterms:modified xsi:type="dcterms:W3CDTF">2020-04-27T18:33:00Z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