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058BA" w:rsidR="000933B0" w:rsidP="0088768F" w:rsidRDefault="00A91D50" w14:paraId="123FF938" w14:textId="1C08D102">
      <w:pPr>
        <w:spacing w:after="0"/>
        <w:rPr>
          <w:sz w:val="28"/>
          <w:szCs w:val="28"/>
        </w:rPr>
      </w:pPr>
      <w:r w:rsidRPr="003058BA">
        <w:rPr>
          <w:sz w:val="28"/>
          <w:szCs w:val="28"/>
        </w:rPr>
        <w:t>Incentive Study proposal for the American Time Use Survey</w:t>
      </w:r>
    </w:p>
    <w:p w:rsidRPr="00627615" w:rsidR="00A91D50" w:rsidP="0088768F" w:rsidRDefault="006000D7" w14:paraId="1A61A3DF" w14:textId="1B3D67A0">
      <w:pPr>
        <w:spacing w:after="0"/>
        <w:rPr>
          <w:sz w:val="24"/>
          <w:szCs w:val="24"/>
        </w:rPr>
      </w:pPr>
      <w:r>
        <w:rPr>
          <w:sz w:val="24"/>
          <w:szCs w:val="24"/>
        </w:rPr>
        <w:t xml:space="preserve">October </w:t>
      </w:r>
      <w:r w:rsidR="00D1368F">
        <w:rPr>
          <w:sz w:val="24"/>
          <w:szCs w:val="24"/>
        </w:rPr>
        <w:t>2</w:t>
      </w:r>
      <w:r w:rsidR="0097279F">
        <w:rPr>
          <w:sz w:val="24"/>
          <w:szCs w:val="24"/>
        </w:rPr>
        <w:t>,</w:t>
      </w:r>
      <w:r w:rsidR="00701C38">
        <w:rPr>
          <w:sz w:val="24"/>
          <w:szCs w:val="24"/>
        </w:rPr>
        <w:t xml:space="preserve"> 2019</w:t>
      </w:r>
    </w:p>
    <w:p w:rsidR="00BC3CA8" w:rsidP="00802492" w:rsidRDefault="00BC3CA8" w14:paraId="4AE1A204" w14:textId="77777777">
      <w:pPr>
        <w:spacing w:line="360" w:lineRule="auto"/>
      </w:pPr>
    </w:p>
    <w:p w:rsidR="00EC59E1" w:rsidP="00802492" w:rsidRDefault="008532B0" w14:paraId="7A3B7262" w14:textId="605E6EF5">
      <w:pPr>
        <w:spacing w:line="360" w:lineRule="auto"/>
      </w:pPr>
      <w:r>
        <w:rPr>
          <w:i/>
        </w:rPr>
        <w:t>The American Time Use Survey</w:t>
      </w:r>
      <w:r w:rsidRPr="008532B0" w:rsidR="00EC59E1">
        <w:rPr>
          <w:i/>
        </w:rPr>
        <w:t xml:space="preserve"> </w:t>
      </w:r>
      <w:r w:rsidRPr="008532B0">
        <w:rPr>
          <w:i/>
        </w:rPr>
        <w:t>uses</w:t>
      </w:r>
      <w:r w:rsidRPr="008532B0" w:rsidR="00EC59E1">
        <w:rPr>
          <w:i/>
        </w:rPr>
        <w:t xml:space="preserve"> debit card incentives to reach no-telephone-number households</w:t>
      </w:r>
      <w:r w:rsidRPr="008532B0">
        <w:rPr>
          <w:i/>
        </w:rPr>
        <w:t xml:space="preserve">, but doing so has become costly. ATUS management is thus exploring other options, including the possibility of sending cash incentives rather than debit cards to these households. Doing so </w:t>
      </w:r>
      <w:r w:rsidR="00EA25CB">
        <w:rPr>
          <w:i/>
        </w:rPr>
        <w:t>may</w:t>
      </w:r>
      <w:r w:rsidRPr="008532B0">
        <w:rPr>
          <w:i/>
        </w:rPr>
        <w:t xml:space="preserve"> save the program money that could be spent on other projects, such as expanding </w:t>
      </w:r>
      <w:r>
        <w:rPr>
          <w:i/>
        </w:rPr>
        <w:t xml:space="preserve">the use of </w:t>
      </w:r>
      <w:r w:rsidRPr="008532B0">
        <w:rPr>
          <w:i/>
        </w:rPr>
        <w:t>incentive</w:t>
      </w:r>
      <w:r>
        <w:rPr>
          <w:i/>
        </w:rPr>
        <w:t>s</w:t>
      </w:r>
      <w:r w:rsidRPr="008532B0">
        <w:rPr>
          <w:i/>
        </w:rPr>
        <w:t xml:space="preserve"> to include difficult-to-reach cases. This paper summarizes ATUS’s use of incentives and proposes a study to test the use of cash incentives.</w:t>
      </w:r>
    </w:p>
    <w:p w:rsidRPr="00DB4D89" w:rsidR="008B05FD" w:rsidP="00802492" w:rsidRDefault="007E5E01" w14:paraId="2ED865C0" w14:textId="77777777">
      <w:pPr>
        <w:spacing w:line="360" w:lineRule="auto"/>
        <w:rPr>
          <w:b/>
        </w:rPr>
      </w:pPr>
      <w:r w:rsidRPr="00DB4D89">
        <w:rPr>
          <w:b/>
        </w:rPr>
        <w:t>Who receives incentives?</w:t>
      </w:r>
    </w:p>
    <w:p w:rsidR="008B05FD" w:rsidP="00802492" w:rsidRDefault="008B05FD" w14:paraId="3EC43205" w14:textId="6A495E88">
      <w:pPr>
        <w:spacing w:line="360" w:lineRule="auto"/>
        <w:ind w:firstLine="720"/>
      </w:pPr>
      <w:r>
        <w:t xml:space="preserve">Since the survey began in 2003, </w:t>
      </w:r>
      <w:r w:rsidR="00EC72F3">
        <w:t>the American Time Use Survey (ATUS)</w:t>
      </w:r>
      <w:r>
        <w:t xml:space="preserve"> has mailed $40 incentive cards to </w:t>
      </w:r>
      <w:r w:rsidR="00EC72F3">
        <w:t xml:space="preserve">sampled DPs (designated persons) </w:t>
      </w:r>
      <w:r>
        <w:t xml:space="preserve">for </w:t>
      </w:r>
      <w:r w:rsidR="00EC72F3">
        <w:t>whom</w:t>
      </w:r>
      <w:r>
        <w:t xml:space="preserve"> there </w:t>
      </w:r>
      <w:r w:rsidR="00D06B27">
        <w:t>are</w:t>
      </w:r>
      <w:r>
        <w:t xml:space="preserve"> no phone number</w:t>
      </w:r>
      <w:r w:rsidR="00D06B27">
        <w:t>s</w:t>
      </w:r>
      <w:r>
        <w:t xml:space="preserve"> available from the Current Population Survey (CPS).</w:t>
      </w:r>
      <w:r w:rsidR="00285276">
        <w:t xml:space="preserve"> This is done to minimize the </w:t>
      </w:r>
      <w:r w:rsidR="00AC1E33">
        <w:t>probability</w:t>
      </w:r>
      <w:r w:rsidR="00285276">
        <w:t xml:space="preserve"> of nonresponse bias due to the survey’s design</w:t>
      </w:r>
      <w:r w:rsidR="00AC1E33">
        <w:t xml:space="preserve"> as a telephone-based survey</w:t>
      </w:r>
      <w:r w:rsidR="00285276">
        <w:t>.</w:t>
      </w:r>
      <w:r>
        <w:t xml:space="preserve"> </w:t>
      </w:r>
      <w:r w:rsidR="00EC72F3">
        <w:t>DPs</w:t>
      </w:r>
      <w:r w:rsidR="00285276">
        <w:t xml:space="preserve"> without phone numbers available from CPS</w:t>
      </w:r>
      <w:r>
        <w:t xml:space="preserve"> are sent a brochure about the survey, a $40 debit card incentive, and a letter that contains an appeal to call an ATUS interviewer </w:t>
      </w:r>
      <w:r w:rsidR="00EC72F3">
        <w:t>and</w:t>
      </w:r>
      <w:r>
        <w:t xml:space="preserve"> complete the survey. A</w:t>
      </w:r>
      <w:r w:rsidR="00DE30AB">
        <w:t xml:space="preserve">fter participating in </w:t>
      </w:r>
      <w:r>
        <w:t xml:space="preserve">the survey, </w:t>
      </w:r>
      <w:r w:rsidR="00EC72F3">
        <w:t>these</w:t>
      </w:r>
      <w:r>
        <w:t xml:space="preserve"> respondents are provided with the </w:t>
      </w:r>
      <w:r w:rsidR="00F12CFF">
        <w:t>PIN (Personal Identification Number)</w:t>
      </w:r>
      <w:r>
        <w:t xml:space="preserve"> they need to cash the</w:t>
      </w:r>
      <w:r w:rsidR="00D06B27">
        <w:t>ir</w:t>
      </w:r>
      <w:r>
        <w:t xml:space="preserve"> debit card</w:t>
      </w:r>
      <w:r w:rsidR="00D06B27">
        <w:t>s</w:t>
      </w:r>
      <w:r>
        <w:t xml:space="preserve">. In this discussion, I refer to these </w:t>
      </w:r>
      <w:r w:rsidR="00EC72F3">
        <w:t xml:space="preserve">no-telephone-number </w:t>
      </w:r>
      <w:r>
        <w:t xml:space="preserve">cases as </w:t>
      </w:r>
      <w:r w:rsidRPr="008B05FD">
        <w:rPr>
          <w:i/>
        </w:rPr>
        <w:t>regular incentive cases</w:t>
      </w:r>
      <w:r>
        <w:t>.</w:t>
      </w:r>
      <w:r w:rsidR="00D06B27">
        <w:t xml:space="preserve"> In 2014-16, 6</w:t>
      </w:r>
      <w:r w:rsidR="00B47420">
        <w:t>.2</w:t>
      </w:r>
      <w:r w:rsidR="00D06B27">
        <w:t xml:space="preserve"> percent of the ATUS sample were regular incentive cases.</w:t>
      </w:r>
    </w:p>
    <w:p w:rsidR="00F81BD5" w:rsidP="00802492" w:rsidRDefault="00DE30AB" w14:paraId="716FE6FF" w14:textId="77777777">
      <w:pPr>
        <w:spacing w:line="360" w:lineRule="auto"/>
        <w:ind w:firstLine="720"/>
      </w:pPr>
      <w:r>
        <w:t xml:space="preserve">With OMB permission, ATUS expanded its definition of no-telephone-number households first in 2008, and then again in </w:t>
      </w:r>
      <w:r w:rsidR="00AF586F">
        <w:t>2011</w:t>
      </w:r>
      <w:r>
        <w:t>.</w:t>
      </w:r>
      <w:r w:rsidR="00DF1D4A">
        <w:t xml:space="preserve"> </w:t>
      </w:r>
      <w:r w:rsidR="005C2F00">
        <w:t xml:space="preserve">Since </w:t>
      </w:r>
      <w:r w:rsidR="007E5E01">
        <w:t>mid-</w:t>
      </w:r>
      <w:r w:rsidR="005C2F00">
        <w:t>2011</w:t>
      </w:r>
      <w:r w:rsidR="00B47420">
        <w:t>,</w:t>
      </w:r>
      <w:r w:rsidR="005C2F00">
        <w:t xml:space="preserve"> when the second initiative was implemented,</w:t>
      </w:r>
      <w:r w:rsidR="00DF1D4A">
        <w:t xml:space="preserve"> cases assigned one of the following call outcome codes after the first of eight weeks in sample are converted to incentive cases:  </w:t>
      </w:r>
      <w:r w:rsidR="005C2F00">
        <w:t xml:space="preserve">108 Number not in service; 109 Number changed, no new number given; 124 Number could not be completed as dialed; </w:t>
      </w:r>
      <w:r w:rsidR="00416EDD">
        <w:t xml:space="preserve">and </w:t>
      </w:r>
      <w:r w:rsidR="005C2F00">
        <w:t>127 Temporarily not in service</w:t>
      </w:r>
      <w:r w:rsidR="00DF1D4A">
        <w:t>. The</w:t>
      </w:r>
      <w:r w:rsidR="005C2F00">
        <w:t xml:space="preserve">se </w:t>
      </w:r>
      <w:r w:rsidRPr="005C2F00" w:rsidR="005C2F00">
        <w:rPr>
          <w:i/>
        </w:rPr>
        <w:t>expanded incentive cases</w:t>
      </w:r>
      <w:r w:rsidR="00DF1D4A">
        <w:t xml:space="preserve"> are</w:t>
      </w:r>
      <w:r w:rsidR="008B05FD">
        <w:t xml:space="preserve"> sent the same materials that regular incentive cases receive. Interviewers also continue to try to reach the </w:t>
      </w:r>
      <w:r w:rsidR="00505CDA">
        <w:t xml:space="preserve">DPs associated with </w:t>
      </w:r>
      <w:r w:rsidR="008B05FD">
        <w:t>expanded incentive cases by phone, using the number provided in CPS and any new numbers identified through research.</w:t>
      </w:r>
      <w:r w:rsidR="00D06B27">
        <w:t xml:space="preserve"> In 2014-16, 2</w:t>
      </w:r>
      <w:r w:rsidR="00B47420">
        <w:t>.1</w:t>
      </w:r>
      <w:r w:rsidR="00D06B27">
        <w:t xml:space="preserve"> percent of the ATUS sample were expanded incentive cases.</w:t>
      </w:r>
    </w:p>
    <w:p w:rsidR="00802492" w:rsidP="00F81BD5" w:rsidRDefault="00D06B27" w14:paraId="3D22388C" w14:textId="613DD6E8">
      <w:pPr>
        <w:spacing w:line="360" w:lineRule="auto"/>
        <w:ind w:firstLine="720"/>
        <w:rPr>
          <w:i/>
        </w:rPr>
      </w:pPr>
      <w:r>
        <w:lastRenderedPageBreak/>
        <w:t>Compared to cases with phone numbers</w:t>
      </w:r>
      <w:r w:rsidR="003200A0">
        <w:rPr>
          <w:rStyle w:val="FootnoteReference"/>
        </w:rPr>
        <w:footnoteReference w:id="1"/>
      </w:r>
      <w:r>
        <w:t>, b</w:t>
      </w:r>
      <w:r w:rsidR="008B05FD">
        <w:t xml:space="preserve">oth regular </w:t>
      </w:r>
      <w:r>
        <w:t>and</w:t>
      </w:r>
      <w:r w:rsidR="008B05FD">
        <w:t xml:space="preserve"> expanded incentive case</w:t>
      </w:r>
      <w:r w:rsidR="00505CDA">
        <w:t xml:space="preserve"> DP</w:t>
      </w:r>
      <w:r w:rsidR="008B05FD">
        <w:t xml:space="preserve">s </w:t>
      </w:r>
      <w:r w:rsidR="00985EC5">
        <w:t>were</w:t>
      </w:r>
      <w:r w:rsidR="008B05FD">
        <w:t xml:space="preserve"> </w:t>
      </w:r>
      <w:r>
        <w:t xml:space="preserve">more likely to be </w:t>
      </w:r>
      <w:r w:rsidR="00505CDA">
        <w:t>Black</w:t>
      </w:r>
      <w:r>
        <w:t xml:space="preserve">, Hispanic, </w:t>
      </w:r>
      <w:r w:rsidR="00AF586F">
        <w:t>less-educated</w:t>
      </w:r>
      <w:r>
        <w:t xml:space="preserve">, and </w:t>
      </w:r>
      <w:r w:rsidR="00416EDD">
        <w:t xml:space="preserve">to </w:t>
      </w:r>
      <w:r>
        <w:t>have lower annual household incomes</w:t>
      </w:r>
      <w:r w:rsidR="00784CBA">
        <w:t>. E</w:t>
      </w:r>
      <w:r w:rsidR="00C30F7F">
        <w:t>xpanded incentive case DPs were more likely to be younger (</w:t>
      </w:r>
      <w:r w:rsidR="00985EC5">
        <w:t>ages 1</w:t>
      </w:r>
      <w:r w:rsidR="003A6404">
        <w:t>5 to 34</w:t>
      </w:r>
      <w:r w:rsidR="00C30F7F">
        <w:t>)</w:t>
      </w:r>
      <w:r w:rsidR="00784CBA">
        <w:t xml:space="preserve"> compared to all cases with phone numbers</w:t>
      </w:r>
      <w:r w:rsidR="00985EC5">
        <w:t>.</w:t>
      </w:r>
      <w:r>
        <w:t xml:space="preserve"> Table 1 provides information about the characteristics of </w:t>
      </w:r>
      <w:r w:rsidR="00505CDA">
        <w:t xml:space="preserve">DPs for </w:t>
      </w:r>
      <w:r w:rsidR="00AF586F">
        <w:t>cases with phone numbers, regular incentive cases, and expanded incentive cases</w:t>
      </w:r>
      <w:r w:rsidR="00DE30AB">
        <w:t xml:space="preserve"> in 2014-16</w:t>
      </w:r>
      <w:r>
        <w:t>.</w:t>
      </w:r>
    </w:p>
    <w:p w:rsidRPr="00EA4E74" w:rsidR="00D06B27" w:rsidP="00DB6753" w:rsidRDefault="00D06B27" w14:paraId="510F9C6D" w14:textId="425B2188">
      <w:pPr>
        <w:spacing w:after="0"/>
        <w:rPr>
          <w:i/>
        </w:rPr>
      </w:pPr>
      <w:r w:rsidRPr="00EA4E74">
        <w:rPr>
          <w:i/>
        </w:rPr>
        <w:t>Table 1. Descriptive info about telephone and no-telephone number cases in the ATUS sample for Jan-Dec sample months in 2014-16</w:t>
      </w:r>
    </w:p>
    <w:tbl>
      <w:tblPr>
        <w:tblW w:w="10380" w:type="dxa"/>
        <w:tblLook w:val="04A0" w:firstRow="1" w:lastRow="0" w:firstColumn="1" w:lastColumn="0" w:noHBand="0" w:noVBand="1"/>
      </w:tblPr>
      <w:tblGrid>
        <w:gridCol w:w="3792"/>
        <w:gridCol w:w="1644"/>
        <w:gridCol w:w="1647"/>
        <w:gridCol w:w="1648"/>
        <w:gridCol w:w="1649"/>
      </w:tblGrid>
      <w:tr w:rsidRPr="00F81BD5" w:rsidR="00F81BD5" w:rsidTr="00F81BD5" w14:paraId="3F5F78FC" w14:textId="77777777">
        <w:trPr>
          <w:trHeight w:val="600"/>
        </w:trPr>
        <w:tc>
          <w:tcPr>
            <w:tcW w:w="3792" w:type="dxa"/>
            <w:tcBorders>
              <w:top w:val="single" w:color="auto" w:sz="4" w:space="0"/>
              <w:left w:val="single" w:color="auto" w:sz="4" w:space="0"/>
              <w:bottom w:val="nil"/>
              <w:right w:val="nil"/>
            </w:tcBorders>
            <w:shd w:val="clear" w:color="000000" w:fill="F2F2F2"/>
            <w:noWrap/>
            <w:vAlign w:val="center"/>
            <w:hideMark/>
          </w:tcPr>
          <w:p w:rsidRPr="00F81BD5" w:rsidR="00F81BD5" w:rsidP="00F81BD5" w:rsidRDefault="00F81BD5" w14:paraId="58888918" w14:textId="77777777">
            <w:pPr>
              <w:spacing w:after="0" w:line="240" w:lineRule="auto"/>
              <w:jc w:val="center"/>
              <w:rPr>
                <w:rFonts w:ascii="Calibri" w:hAnsi="Calibri" w:eastAsia="Times New Roman" w:cs="Calibri"/>
                <w:b/>
                <w:bCs/>
                <w:color w:val="000000"/>
              </w:rPr>
            </w:pPr>
            <w:r w:rsidRPr="00F81BD5">
              <w:rPr>
                <w:rFonts w:ascii="Calibri" w:hAnsi="Calibri" w:eastAsia="Times New Roman" w:cs="Calibri"/>
                <w:b/>
                <w:bCs/>
                <w:color w:val="000000"/>
              </w:rPr>
              <w:t> </w:t>
            </w:r>
          </w:p>
        </w:tc>
        <w:tc>
          <w:tcPr>
            <w:tcW w:w="1644" w:type="dxa"/>
            <w:tcBorders>
              <w:top w:val="single" w:color="auto" w:sz="4" w:space="0"/>
              <w:left w:val="nil"/>
              <w:bottom w:val="nil"/>
              <w:right w:val="nil"/>
            </w:tcBorders>
            <w:shd w:val="clear" w:color="000000" w:fill="F2F2F2"/>
            <w:vAlign w:val="center"/>
            <w:hideMark/>
          </w:tcPr>
          <w:p w:rsidRPr="00F81BD5" w:rsidR="00F81BD5" w:rsidP="00F81BD5" w:rsidRDefault="00F81BD5" w14:paraId="09004067" w14:textId="77777777">
            <w:pPr>
              <w:spacing w:after="0" w:line="240" w:lineRule="auto"/>
              <w:jc w:val="center"/>
              <w:rPr>
                <w:rFonts w:ascii="Calibri" w:hAnsi="Calibri" w:eastAsia="Times New Roman" w:cs="Calibri"/>
                <w:b/>
                <w:bCs/>
                <w:color w:val="000000"/>
              </w:rPr>
            </w:pPr>
            <w:r w:rsidRPr="00F81BD5">
              <w:rPr>
                <w:rFonts w:ascii="Calibri" w:hAnsi="Calibri" w:eastAsia="Times New Roman" w:cs="Calibri"/>
                <w:b/>
                <w:bCs/>
                <w:color w:val="000000"/>
              </w:rPr>
              <w:t>Total sample</w:t>
            </w:r>
          </w:p>
        </w:tc>
        <w:tc>
          <w:tcPr>
            <w:tcW w:w="1647" w:type="dxa"/>
            <w:tcBorders>
              <w:top w:val="single" w:color="auto" w:sz="4" w:space="0"/>
              <w:left w:val="nil"/>
              <w:bottom w:val="nil"/>
              <w:right w:val="nil"/>
            </w:tcBorders>
            <w:shd w:val="clear" w:color="000000" w:fill="F2F2F2"/>
            <w:vAlign w:val="center"/>
            <w:hideMark/>
          </w:tcPr>
          <w:p w:rsidRPr="00F81BD5" w:rsidR="00F81BD5" w:rsidP="00F81BD5" w:rsidRDefault="00F81BD5" w14:paraId="69B36B5C" w14:textId="77777777">
            <w:pPr>
              <w:spacing w:after="0" w:line="240" w:lineRule="auto"/>
              <w:jc w:val="center"/>
              <w:rPr>
                <w:rFonts w:ascii="Calibri" w:hAnsi="Calibri" w:eastAsia="Times New Roman" w:cs="Calibri"/>
                <w:b/>
                <w:bCs/>
                <w:color w:val="000000"/>
              </w:rPr>
            </w:pPr>
            <w:r w:rsidRPr="00F81BD5">
              <w:rPr>
                <w:rFonts w:ascii="Calibri" w:hAnsi="Calibri" w:eastAsia="Times New Roman" w:cs="Calibri"/>
                <w:b/>
                <w:bCs/>
                <w:color w:val="000000"/>
              </w:rPr>
              <w:t>Cases with phone numbers</w:t>
            </w:r>
          </w:p>
        </w:tc>
        <w:tc>
          <w:tcPr>
            <w:tcW w:w="1648" w:type="dxa"/>
            <w:tcBorders>
              <w:top w:val="single" w:color="auto" w:sz="4" w:space="0"/>
              <w:left w:val="nil"/>
              <w:bottom w:val="nil"/>
              <w:right w:val="nil"/>
            </w:tcBorders>
            <w:shd w:val="clear" w:color="000000" w:fill="F2F2F2"/>
            <w:vAlign w:val="center"/>
            <w:hideMark/>
          </w:tcPr>
          <w:p w:rsidRPr="00F81BD5" w:rsidR="00F81BD5" w:rsidP="00F81BD5" w:rsidRDefault="00F81BD5" w14:paraId="232A8E40" w14:textId="77777777">
            <w:pPr>
              <w:spacing w:after="0" w:line="240" w:lineRule="auto"/>
              <w:jc w:val="center"/>
              <w:rPr>
                <w:rFonts w:ascii="Calibri" w:hAnsi="Calibri" w:eastAsia="Times New Roman" w:cs="Calibri"/>
                <w:b/>
                <w:bCs/>
                <w:color w:val="000000"/>
              </w:rPr>
            </w:pPr>
            <w:r w:rsidRPr="00F81BD5">
              <w:rPr>
                <w:rFonts w:ascii="Calibri" w:hAnsi="Calibri" w:eastAsia="Times New Roman" w:cs="Calibri"/>
                <w:b/>
                <w:bCs/>
                <w:color w:val="000000"/>
              </w:rPr>
              <w:t>Regular incentive cases</w:t>
            </w:r>
          </w:p>
        </w:tc>
        <w:tc>
          <w:tcPr>
            <w:tcW w:w="1649" w:type="dxa"/>
            <w:tcBorders>
              <w:top w:val="single" w:color="auto" w:sz="4" w:space="0"/>
              <w:left w:val="nil"/>
              <w:bottom w:val="nil"/>
              <w:right w:val="single" w:color="auto" w:sz="4" w:space="0"/>
            </w:tcBorders>
            <w:shd w:val="clear" w:color="000000" w:fill="F2F2F2"/>
            <w:vAlign w:val="center"/>
            <w:hideMark/>
          </w:tcPr>
          <w:p w:rsidRPr="00F81BD5" w:rsidR="00F81BD5" w:rsidP="00F81BD5" w:rsidRDefault="00F81BD5" w14:paraId="32A00152" w14:textId="77777777">
            <w:pPr>
              <w:spacing w:after="0" w:line="240" w:lineRule="auto"/>
              <w:jc w:val="center"/>
              <w:rPr>
                <w:rFonts w:ascii="Calibri" w:hAnsi="Calibri" w:eastAsia="Times New Roman" w:cs="Calibri"/>
                <w:b/>
                <w:bCs/>
                <w:color w:val="000000"/>
              </w:rPr>
            </w:pPr>
            <w:r w:rsidRPr="00F81BD5">
              <w:rPr>
                <w:rFonts w:ascii="Calibri" w:hAnsi="Calibri" w:eastAsia="Times New Roman" w:cs="Calibri"/>
                <w:b/>
                <w:bCs/>
                <w:color w:val="000000"/>
              </w:rPr>
              <w:t>Expanded incentive cases</w:t>
            </w:r>
          </w:p>
        </w:tc>
      </w:tr>
      <w:tr w:rsidRPr="00F81BD5" w:rsidR="00F81BD5" w:rsidTr="00F81BD5" w14:paraId="0A0CB816" w14:textId="77777777">
        <w:trPr>
          <w:trHeight w:val="279"/>
        </w:trPr>
        <w:tc>
          <w:tcPr>
            <w:tcW w:w="3792" w:type="dxa"/>
            <w:tcBorders>
              <w:top w:val="single" w:color="auto" w:sz="4" w:space="0"/>
              <w:left w:val="single" w:color="auto" w:sz="4" w:space="0"/>
              <w:bottom w:val="nil"/>
              <w:right w:val="nil"/>
            </w:tcBorders>
            <w:shd w:val="clear" w:color="auto" w:fill="auto"/>
            <w:noWrap/>
            <w:vAlign w:val="center"/>
            <w:hideMark/>
          </w:tcPr>
          <w:p w:rsidRPr="00F81BD5" w:rsidR="00F81BD5" w:rsidP="00F81BD5" w:rsidRDefault="00F81BD5" w14:paraId="4CB13F5A" w14:textId="77777777">
            <w:pPr>
              <w:spacing w:after="0" w:line="240" w:lineRule="auto"/>
              <w:rPr>
                <w:rFonts w:ascii="Calibri" w:hAnsi="Calibri" w:eastAsia="Times New Roman" w:cs="Calibri"/>
                <w:color w:val="000000"/>
              </w:rPr>
            </w:pPr>
            <w:r w:rsidRPr="00F81BD5">
              <w:rPr>
                <w:rFonts w:ascii="Calibri" w:hAnsi="Calibri" w:eastAsia="Times New Roman" w:cs="Calibri"/>
                <w:color w:val="000000"/>
              </w:rPr>
              <w:t>Number of cases per year</w:t>
            </w:r>
          </w:p>
        </w:tc>
        <w:tc>
          <w:tcPr>
            <w:tcW w:w="1644" w:type="dxa"/>
            <w:tcBorders>
              <w:top w:val="single" w:color="auto" w:sz="4" w:space="0"/>
              <w:left w:val="nil"/>
              <w:bottom w:val="nil"/>
              <w:right w:val="nil"/>
            </w:tcBorders>
            <w:shd w:val="clear" w:color="auto" w:fill="auto"/>
            <w:noWrap/>
            <w:vAlign w:val="center"/>
            <w:hideMark/>
          </w:tcPr>
          <w:p w:rsidRPr="00F81BD5" w:rsidR="00F81BD5" w:rsidP="00F81BD5" w:rsidRDefault="00F81BD5" w14:paraId="46D83770"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24,596</w:t>
            </w:r>
          </w:p>
        </w:tc>
        <w:tc>
          <w:tcPr>
            <w:tcW w:w="1647" w:type="dxa"/>
            <w:tcBorders>
              <w:top w:val="single" w:color="auto" w:sz="4" w:space="0"/>
              <w:left w:val="nil"/>
              <w:bottom w:val="nil"/>
              <w:right w:val="nil"/>
            </w:tcBorders>
            <w:shd w:val="clear" w:color="auto" w:fill="auto"/>
            <w:noWrap/>
            <w:vAlign w:val="center"/>
            <w:hideMark/>
          </w:tcPr>
          <w:p w:rsidRPr="00F81BD5" w:rsidR="00F81BD5" w:rsidP="00F81BD5" w:rsidRDefault="00F81BD5" w14:paraId="6FD3920F"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22,548</w:t>
            </w:r>
          </w:p>
        </w:tc>
        <w:tc>
          <w:tcPr>
            <w:tcW w:w="1648" w:type="dxa"/>
            <w:tcBorders>
              <w:top w:val="single" w:color="auto" w:sz="4" w:space="0"/>
              <w:left w:val="nil"/>
              <w:bottom w:val="nil"/>
              <w:right w:val="nil"/>
            </w:tcBorders>
            <w:shd w:val="clear" w:color="auto" w:fill="auto"/>
            <w:noWrap/>
            <w:vAlign w:val="center"/>
            <w:hideMark/>
          </w:tcPr>
          <w:p w:rsidRPr="00F81BD5" w:rsidR="00F81BD5" w:rsidP="00F81BD5" w:rsidRDefault="00F81BD5" w14:paraId="22974981"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1,533</w:t>
            </w:r>
          </w:p>
        </w:tc>
        <w:tc>
          <w:tcPr>
            <w:tcW w:w="1649" w:type="dxa"/>
            <w:tcBorders>
              <w:top w:val="single" w:color="auto" w:sz="4" w:space="0"/>
              <w:left w:val="nil"/>
              <w:bottom w:val="nil"/>
              <w:right w:val="single" w:color="auto" w:sz="4" w:space="0"/>
            </w:tcBorders>
            <w:shd w:val="clear" w:color="auto" w:fill="auto"/>
            <w:noWrap/>
            <w:vAlign w:val="center"/>
            <w:hideMark/>
          </w:tcPr>
          <w:p w:rsidRPr="00F81BD5" w:rsidR="00F81BD5" w:rsidP="00F81BD5" w:rsidRDefault="00F81BD5" w14:paraId="20EB9DAD"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515</w:t>
            </w:r>
          </w:p>
        </w:tc>
      </w:tr>
      <w:tr w:rsidRPr="00F81BD5" w:rsidR="00F81BD5" w:rsidTr="00F81BD5" w14:paraId="43B9DFC7"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24FEED59" w14:textId="77777777">
            <w:pPr>
              <w:spacing w:after="0" w:line="240" w:lineRule="auto"/>
              <w:rPr>
                <w:rFonts w:ascii="Calibri" w:hAnsi="Calibri" w:eastAsia="Times New Roman" w:cs="Calibri"/>
                <w:color w:val="000000"/>
              </w:rPr>
            </w:pPr>
            <w:r w:rsidRPr="00F81BD5">
              <w:rPr>
                <w:rFonts w:ascii="Calibri" w:hAnsi="Calibri" w:eastAsia="Times New Roman" w:cs="Calibri"/>
                <w:color w:val="000000"/>
              </w:rPr>
              <w:t>Percent of ATUS sample</w:t>
            </w:r>
          </w:p>
        </w:tc>
        <w:tc>
          <w:tcPr>
            <w:tcW w:w="1644" w:type="dxa"/>
            <w:tcBorders>
              <w:top w:val="nil"/>
              <w:left w:val="nil"/>
              <w:bottom w:val="nil"/>
              <w:right w:val="nil"/>
            </w:tcBorders>
            <w:shd w:val="clear" w:color="auto" w:fill="auto"/>
            <w:vAlign w:val="center"/>
            <w:hideMark/>
          </w:tcPr>
          <w:p w:rsidRPr="00F81BD5" w:rsidR="00F81BD5" w:rsidP="00F81BD5" w:rsidRDefault="00F81BD5" w14:paraId="62E44280"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100.0</w:t>
            </w:r>
          </w:p>
        </w:tc>
        <w:tc>
          <w:tcPr>
            <w:tcW w:w="1647" w:type="dxa"/>
            <w:tcBorders>
              <w:top w:val="nil"/>
              <w:left w:val="nil"/>
              <w:bottom w:val="nil"/>
              <w:right w:val="nil"/>
            </w:tcBorders>
            <w:shd w:val="clear" w:color="auto" w:fill="auto"/>
            <w:noWrap/>
            <w:vAlign w:val="center"/>
            <w:hideMark/>
          </w:tcPr>
          <w:p w:rsidRPr="00F81BD5" w:rsidR="00F81BD5" w:rsidP="00F81BD5" w:rsidRDefault="00F81BD5" w14:paraId="69D81A2A"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91.7</w:t>
            </w: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2270AC27"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6.2</w:t>
            </w: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5789276A"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2.1</w:t>
            </w:r>
          </w:p>
        </w:tc>
      </w:tr>
      <w:tr w:rsidRPr="00F81BD5" w:rsidR="00F81BD5" w:rsidTr="00F81BD5" w14:paraId="6305E014"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4CCAC011" w14:textId="77777777">
            <w:pPr>
              <w:spacing w:after="0" w:line="240" w:lineRule="auto"/>
              <w:rPr>
                <w:rFonts w:ascii="Calibri" w:hAnsi="Calibri" w:eastAsia="Times New Roman" w:cs="Calibri"/>
                <w:color w:val="000000"/>
              </w:rPr>
            </w:pPr>
            <w:r w:rsidRPr="00F81BD5">
              <w:rPr>
                <w:rFonts w:ascii="Calibri" w:hAnsi="Calibri" w:eastAsia="Times New Roman" w:cs="Calibri"/>
                <w:color w:val="000000"/>
              </w:rPr>
              <w:t>Number of completes per year</w:t>
            </w:r>
          </w:p>
        </w:tc>
        <w:tc>
          <w:tcPr>
            <w:tcW w:w="1644" w:type="dxa"/>
            <w:tcBorders>
              <w:top w:val="nil"/>
              <w:left w:val="nil"/>
              <w:bottom w:val="nil"/>
              <w:right w:val="nil"/>
            </w:tcBorders>
            <w:shd w:val="clear" w:color="auto" w:fill="auto"/>
            <w:vAlign w:val="center"/>
            <w:hideMark/>
          </w:tcPr>
          <w:p w:rsidRPr="00F81BD5" w:rsidR="00F81BD5" w:rsidP="00F81BD5" w:rsidRDefault="00F81BD5" w14:paraId="19371FCC"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11,000</w:t>
            </w:r>
          </w:p>
        </w:tc>
        <w:tc>
          <w:tcPr>
            <w:tcW w:w="1647" w:type="dxa"/>
            <w:tcBorders>
              <w:top w:val="nil"/>
              <w:left w:val="nil"/>
              <w:bottom w:val="nil"/>
              <w:right w:val="nil"/>
            </w:tcBorders>
            <w:shd w:val="clear" w:color="auto" w:fill="auto"/>
            <w:vAlign w:val="center"/>
            <w:hideMark/>
          </w:tcPr>
          <w:p w:rsidRPr="00F81BD5" w:rsidR="00F81BD5" w:rsidP="00F81BD5" w:rsidRDefault="00F81BD5" w14:paraId="72CBA3DB"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10,260</w:t>
            </w: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095A0518"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569</w:t>
            </w: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5D8218FF"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172</w:t>
            </w:r>
          </w:p>
        </w:tc>
      </w:tr>
      <w:tr w:rsidRPr="00F81BD5" w:rsidR="00F81BD5" w:rsidTr="00F81BD5" w14:paraId="5E3C5546"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73723940" w14:textId="77777777">
            <w:pPr>
              <w:spacing w:after="0" w:line="240" w:lineRule="auto"/>
              <w:rPr>
                <w:rFonts w:ascii="Calibri" w:hAnsi="Calibri" w:eastAsia="Times New Roman" w:cs="Calibri"/>
                <w:color w:val="000000"/>
              </w:rPr>
            </w:pPr>
            <w:r w:rsidRPr="00F81BD5">
              <w:rPr>
                <w:rFonts w:ascii="Calibri" w:hAnsi="Calibri" w:eastAsia="Times New Roman" w:cs="Calibri"/>
                <w:color w:val="000000"/>
              </w:rPr>
              <w:t>Response rates</w:t>
            </w:r>
          </w:p>
        </w:tc>
        <w:tc>
          <w:tcPr>
            <w:tcW w:w="1644" w:type="dxa"/>
            <w:tcBorders>
              <w:top w:val="nil"/>
              <w:left w:val="nil"/>
              <w:bottom w:val="nil"/>
              <w:right w:val="nil"/>
            </w:tcBorders>
            <w:shd w:val="clear" w:color="auto" w:fill="auto"/>
            <w:vAlign w:val="center"/>
            <w:hideMark/>
          </w:tcPr>
          <w:p w:rsidRPr="00F81BD5" w:rsidR="00F81BD5" w:rsidP="00F81BD5" w:rsidRDefault="00F81BD5" w14:paraId="000B523A"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44.7</w:t>
            </w:r>
          </w:p>
        </w:tc>
        <w:tc>
          <w:tcPr>
            <w:tcW w:w="1647" w:type="dxa"/>
            <w:tcBorders>
              <w:top w:val="nil"/>
              <w:left w:val="nil"/>
              <w:bottom w:val="nil"/>
              <w:right w:val="nil"/>
            </w:tcBorders>
            <w:shd w:val="clear" w:color="auto" w:fill="auto"/>
            <w:vAlign w:val="center"/>
            <w:hideMark/>
          </w:tcPr>
          <w:p w:rsidRPr="00F81BD5" w:rsidR="00F81BD5" w:rsidP="00F81BD5" w:rsidRDefault="00F81BD5" w14:paraId="4D5E25DB"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45.5</w:t>
            </w:r>
          </w:p>
        </w:tc>
        <w:tc>
          <w:tcPr>
            <w:tcW w:w="1648" w:type="dxa"/>
            <w:tcBorders>
              <w:top w:val="nil"/>
              <w:left w:val="nil"/>
              <w:bottom w:val="nil"/>
              <w:right w:val="nil"/>
            </w:tcBorders>
            <w:shd w:val="clear" w:color="auto" w:fill="auto"/>
            <w:vAlign w:val="center"/>
            <w:hideMark/>
          </w:tcPr>
          <w:p w:rsidRPr="00F81BD5" w:rsidR="00F81BD5" w:rsidP="00F81BD5" w:rsidRDefault="00F81BD5" w14:paraId="2FDF1189"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37.1</w:t>
            </w:r>
          </w:p>
        </w:tc>
        <w:tc>
          <w:tcPr>
            <w:tcW w:w="1649" w:type="dxa"/>
            <w:tcBorders>
              <w:top w:val="nil"/>
              <w:left w:val="nil"/>
              <w:bottom w:val="nil"/>
              <w:right w:val="single" w:color="auto" w:sz="4" w:space="0"/>
            </w:tcBorders>
            <w:shd w:val="clear" w:color="auto" w:fill="auto"/>
            <w:vAlign w:val="center"/>
            <w:hideMark/>
          </w:tcPr>
          <w:p w:rsidRPr="00F81BD5" w:rsidR="00F81BD5" w:rsidP="00F81BD5" w:rsidRDefault="00F81BD5" w14:paraId="1BB0871E"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33.4</w:t>
            </w:r>
          </w:p>
        </w:tc>
      </w:tr>
      <w:tr w:rsidRPr="00F81BD5" w:rsidR="00F81BD5" w:rsidTr="00F81BD5" w14:paraId="135437A3"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4BA0544B" w14:textId="77777777">
            <w:pPr>
              <w:spacing w:after="0" w:line="240" w:lineRule="auto"/>
              <w:rPr>
                <w:rFonts w:ascii="Calibri" w:hAnsi="Calibri" w:eastAsia="Times New Roman" w:cs="Calibri"/>
                <w:color w:val="000000"/>
              </w:rPr>
            </w:pPr>
            <w:r w:rsidRPr="00F81BD5">
              <w:rPr>
                <w:rFonts w:ascii="Calibri" w:hAnsi="Calibri" w:eastAsia="Times New Roman" w:cs="Calibri"/>
                <w:color w:val="000000"/>
              </w:rPr>
              <w:t>Percent of completes</w:t>
            </w:r>
          </w:p>
        </w:tc>
        <w:tc>
          <w:tcPr>
            <w:tcW w:w="1644" w:type="dxa"/>
            <w:tcBorders>
              <w:top w:val="nil"/>
              <w:left w:val="nil"/>
              <w:bottom w:val="nil"/>
              <w:right w:val="nil"/>
            </w:tcBorders>
            <w:shd w:val="clear" w:color="auto" w:fill="auto"/>
            <w:vAlign w:val="center"/>
            <w:hideMark/>
          </w:tcPr>
          <w:p w:rsidRPr="00F81BD5" w:rsidR="00F81BD5" w:rsidP="00F81BD5" w:rsidRDefault="00F81BD5" w14:paraId="60CE905E"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100.0</w:t>
            </w:r>
          </w:p>
        </w:tc>
        <w:tc>
          <w:tcPr>
            <w:tcW w:w="1647" w:type="dxa"/>
            <w:tcBorders>
              <w:top w:val="nil"/>
              <w:left w:val="nil"/>
              <w:bottom w:val="nil"/>
              <w:right w:val="nil"/>
            </w:tcBorders>
            <w:shd w:val="clear" w:color="auto" w:fill="auto"/>
            <w:vAlign w:val="center"/>
            <w:hideMark/>
          </w:tcPr>
          <w:p w:rsidRPr="00F81BD5" w:rsidR="00F81BD5" w:rsidP="00F81BD5" w:rsidRDefault="00F81BD5" w14:paraId="6F855F28"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93.3</w:t>
            </w: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6AA068C8"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5.2</w:t>
            </w: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26E0A630"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1.6</w:t>
            </w:r>
          </w:p>
        </w:tc>
      </w:tr>
      <w:tr w:rsidRPr="00F81BD5" w:rsidR="00F81BD5" w:rsidTr="00F81BD5" w14:paraId="2E176AD4" w14:textId="77777777">
        <w:trPr>
          <w:trHeight w:val="72"/>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20E72489" w14:textId="77777777">
            <w:pPr>
              <w:spacing w:after="0" w:line="240" w:lineRule="auto"/>
              <w:rPr>
                <w:rFonts w:ascii="Calibri" w:hAnsi="Calibri" w:eastAsia="Times New Roman" w:cs="Calibri"/>
                <w:b/>
                <w:bCs/>
                <w:color w:val="000000"/>
              </w:rPr>
            </w:pPr>
            <w:r w:rsidRPr="00F81BD5">
              <w:rPr>
                <w:rFonts w:ascii="Calibri" w:hAnsi="Calibri" w:eastAsia="Times New Roman" w:cs="Calibri"/>
                <w:b/>
                <w:bCs/>
                <w:color w:val="000000"/>
              </w:rPr>
              <w:t> </w:t>
            </w:r>
          </w:p>
        </w:tc>
        <w:tc>
          <w:tcPr>
            <w:tcW w:w="1644" w:type="dxa"/>
            <w:tcBorders>
              <w:top w:val="nil"/>
              <w:left w:val="nil"/>
              <w:bottom w:val="nil"/>
              <w:right w:val="nil"/>
            </w:tcBorders>
            <w:shd w:val="clear" w:color="auto" w:fill="auto"/>
            <w:vAlign w:val="center"/>
            <w:hideMark/>
          </w:tcPr>
          <w:p w:rsidRPr="00F81BD5" w:rsidR="00F81BD5" w:rsidP="00F81BD5" w:rsidRDefault="00F81BD5" w14:paraId="5E7157B6" w14:textId="77777777">
            <w:pPr>
              <w:spacing w:after="0" w:line="240" w:lineRule="auto"/>
              <w:rPr>
                <w:rFonts w:ascii="Calibri" w:hAnsi="Calibri" w:eastAsia="Times New Roman" w:cs="Calibri"/>
                <w:b/>
                <w:bCs/>
                <w:color w:val="000000"/>
              </w:rPr>
            </w:pPr>
          </w:p>
        </w:tc>
        <w:tc>
          <w:tcPr>
            <w:tcW w:w="1647" w:type="dxa"/>
            <w:tcBorders>
              <w:top w:val="nil"/>
              <w:left w:val="nil"/>
              <w:bottom w:val="nil"/>
              <w:right w:val="nil"/>
            </w:tcBorders>
            <w:shd w:val="clear" w:color="auto" w:fill="auto"/>
            <w:vAlign w:val="center"/>
            <w:hideMark/>
          </w:tcPr>
          <w:p w:rsidRPr="00F81BD5" w:rsidR="00F81BD5" w:rsidP="00F81BD5" w:rsidRDefault="00F81BD5" w14:paraId="3D3EC6F2" w14:textId="77777777">
            <w:pPr>
              <w:spacing w:after="0" w:line="240" w:lineRule="auto"/>
              <w:jc w:val="center"/>
              <w:rPr>
                <w:rFonts w:ascii="Times New Roman" w:hAnsi="Times New Roman" w:eastAsia="Times New Roman" w:cs="Times New Roman"/>
                <w:sz w:val="20"/>
                <w:szCs w:val="20"/>
              </w:rPr>
            </w:pP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2C6305FC" w14:textId="77777777">
            <w:pPr>
              <w:spacing w:after="0" w:line="240" w:lineRule="auto"/>
              <w:jc w:val="center"/>
              <w:rPr>
                <w:rFonts w:ascii="Times New Roman" w:hAnsi="Times New Roman" w:eastAsia="Times New Roman" w:cs="Times New Roman"/>
                <w:sz w:val="20"/>
                <w:szCs w:val="20"/>
              </w:rPr>
            </w:pP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6DE966BE"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 </w:t>
            </w:r>
          </w:p>
        </w:tc>
      </w:tr>
      <w:tr w:rsidRPr="00F81BD5" w:rsidR="00F81BD5" w:rsidTr="00F81BD5" w14:paraId="0B67E260"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536A1EC1" w14:textId="77777777">
            <w:pPr>
              <w:spacing w:after="0" w:line="240" w:lineRule="auto"/>
              <w:rPr>
                <w:rFonts w:ascii="Calibri" w:hAnsi="Calibri" w:eastAsia="Times New Roman" w:cs="Calibri"/>
                <w:b/>
                <w:bCs/>
                <w:color w:val="000000"/>
              </w:rPr>
            </w:pPr>
            <w:r w:rsidRPr="00F81BD5">
              <w:rPr>
                <w:rFonts w:ascii="Calibri" w:hAnsi="Calibri" w:eastAsia="Times New Roman" w:cs="Calibri"/>
                <w:b/>
                <w:bCs/>
                <w:color w:val="000000"/>
              </w:rPr>
              <w:t>Percent distribution, total</w:t>
            </w:r>
          </w:p>
        </w:tc>
        <w:tc>
          <w:tcPr>
            <w:tcW w:w="1644" w:type="dxa"/>
            <w:tcBorders>
              <w:top w:val="nil"/>
              <w:left w:val="nil"/>
              <w:bottom w:val="nil"/>
              <w:right w:val="nil"/>
            </w:tcBorders>
            <w:shd w:val="clear" w:color="auto" w:fill="auto"/>
            <w:vAlign w:val="center"/>
            <w:hideMark/>
          </w:tcPr>
          <w:p w:rsidRPr="00F81BD5" w:rsidR="00F81BD5" w:rsidP="00F81BD5" w:rsidRDefault="00F81BD5" w14:paraId="292AC6DA"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100.0</w:t>
            </w:r>
          </w:p>
        </w:tc>
        <w:tc>
          <w:tcPr>
            <w:tcW w:w="1647" w:type="dxa"/>
            <w:tcBorders>
              <w:top w:val="nil"/>
              <w:left w:val="nil"/>
              <w:bottom w:val="nil"/>
              <w:right w:val="nil"/>
            </w:tcBorders>
            <w:shd w:val="clear" w:color="auto" w:fill="auto"/>
            <w:vAlign w:val="center"/>
            <w:hideMark/>
          </w:tcPr>
          <w:p w:rsidRPr="00F81BD5" w:rsidR="00F81BD5" w:rsidP="00F81BD5" w:rsidRDefault="00F81BD5" w14:paraId="691B72E2"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100.0</w:t>
            </w:r>
          </w:p>
        </w:tc>
        <w:tc>
          <w:tcPr>
            <w:tcW w:w="1648" w:type="dxa"/>
            <w:tcBorders>
              <w:top w:val="nil"/>
              <w:left w:val="nil"/>
              <w:bottom w:val="nil"/>
              <w:right w:val="nil"/>
            </w:tcBorders>
            <w:shd w:val="clear" w:color="auto" w:fill="auto"/>
            <w:vAlign w:val="center"/>
            <w:hideMark/>
          </w:tcPr>
          <w:p w:rsidRPr="00F81BD5" w:rsidR="00F81BD5" w:rsidP="00F81BD5" w:rsidRDefault="00F81BD5" w14:paraId="5D133233"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100.0</w:t>
            </w:r>
          </w:p>
        </w:tc>
        <w:tc>
          <w:tcPr>
            <w:tcW w:w="1649" w:type="dxa"/>
            <w:tcBorders>
              <w:top w:val="nil"/>
              <w:left w:val="nil"/>
              <w:bottom w:val="nil"/>
              <w:right w:val="single" w:color="auto" w:sz="4" w:space="0"/>
            </w:tcBorders>
            <w:shd w:val="clear" w:color="auto" w:fill="auto"/>
            <w:vAlign w:val="center"/>
            <w:hideMark/>
          </w:tcPr>
          <w:p w:rsidRPr="00F81BD5" w:rsidR="00F81BD5" w:rsidP="00F81BD5" w:rsidRDefault="00F81BD5" w14:paraId="4479B029"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100.0</w:t>
            </w:r>
          </w:p>
        </w:tc>
      </w:tr>
      <w:tr w:rsidRPr="00F81BD5" w:rsidR="00F81BD5" w:rsidTr="00F81BD5" w14:paraId="3E3E3F1F"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2B64294F" w14:textId="77777777">
            <w:pPr>
              <w:spacing w:after="0" w:line="240" w:lineRule="auto"/>
              <w:ind w:firstLine="221" w:firstLineChars="100"/>
              <w:rPr>
                <w:rFonts w:ascii="Calibri" w:hAnsi="Calibri" w:eastAsia="Times New Roman" w:cs="Calibri"/>
                <w:b/>
                <w:bCs/>
                <w:color w:val="000000"/>
              </w:rPr>
            </w:pPr>
            <w:r w:rsidRPr="00F81BD5">
              <w:rPr>
                <w:rFonts w:ascii="Calibri" w:hAnsi="Calibri" w:eastAsia="Times New Roman" w:cs="Calibri"/>
                <w:b/>
                <w:bCs/>
                <w:color w:val="000000"/>
              </w:rPr>
              <w:t>Age</w:t>
            </w:r>
          </w:p>
        </w:tc>
        <w:tc>
          <w:tcPr>
            <w:tcW w:w="1644" w:type="dxa"/>
            <w:tcBorders>
              <w:top w:val="nil"/>
              <w:left w:val="nil"/>
              <w:bottom w:val="nil"/>
              <w:right w:val="nil"/>
            </w:tcBorders>
            <w:shd w:val="clear" w:color="auto" w:fill="auto"/>
            <w:vAlign w:val="center"/>
            <w:hideMark/>
          </w:tcPr>
          <w:p w:rsidRPr="00F81BD5" w:rsidR="00F81BD5" w:rsidP="00F81BD5" w:rsidRDefault="00F81BD5" w14:paraId="3C918A86" w14:textId="77777777">
            <w:pPr>
              <w:spacing w:after="0" w:line="240" w:lineRule="auto"/>
              <w:ind w:firstLine="221" w:firstLineChars="100"/>
              <w:rPr>
                <w:rFonts w:ascii="Calibri" w:hAnsi="Calibri" w:eastAsia="Times New Roman" w:cs="Calibri"/>
                <w:b/>
                <w:bCs/>
                <w:color w:val="000000"/>
              </w:rPr>
            </w:pPr>
          </w:p>
        </w:tc>
        <w:tc>
          <w:tcPr>
            <w:tcW w:w="1647" w:type="dxa"/>
            <w:tcBorders>
              <w:top w:val="nil"/>
              <w:left w:val="nil"/>
              <w:bottom w:val="nil"/>
              <w:right w:val="nil"/>
            </w:tcBorders>
            <w:shd w:val="clear" w:color="auto" w:fill="auto"/>
            <w:vAlign w:val="center"/>
            <w:hideMark/>
          </w:tcPr>
          <w:p w:rsidRPr="00F81BD5" w:rsidR="00F81BD5" w:rsidP="00F81BD5" w:rsidRDefault="00F81BD5" w14:paraId="367C13D1" w14:textId="77777777">
            <w:pPr>
              <w:spacing w:after="0" w:line="240" w:lineRule="auto"/>
              <w:jc w:val="center"/>
              <w:rPr>
                <w:rFonts w:ascii="Times New Roman" w:hAnsi="Times New Roman" w:eastAsia="Times New Roman" w:cs="Times New Roman"/>
                <w:sz w:val="20"/>
                <w:szCs w:val="20"/>
              </w:rPr>
            </w:pPr>
          </w:p>
        </w:tc>
        <w:tc>
          <w:tcPr>
            <w:tcW w:w="1648" w:type="dxa"/>
            <w:tcBorders>
              <w:top w:val="nil"/>
              <w:left w:val="nil"/>
              <w:bottom w:val="nil"/>
              <w:right w:val="nil"/>
            </w:tcBorders>
            <w:shd w:val="clear" w:color="auto" w:fill="auto"/>
            <w:vAlign w:val="center"/>
            <w:hideMark/>
          </w:tcPr>
          <w:p w:rsidRPr="00F81BD5" w:rsidR="00F81BD5" w:rsidP="00F81BD5" w:rsidRDefault="00F81BD5" w14:paraId="51110A4C" w14:textId="77777777">
            <w:pPr>
              <w:spacing w:after="0" w:line="240" w:lineRule="auto"/>
              <w:jc w:val="center"/>
              <w:rPr>
                <w:rFonts w:ascii="Times New Roman" w:hAnsi="Times New Roman" w:eastAsia="Times New Roman" w:cs="Times New Roman"/>
                <w:sz w:val="20"/>
                <w:szCs w:val="20"/>
              </w:rPr>
            </w:pPr>
          </w:p>
        </w:tc>
        <w:tc>
          <w:tcPr>
            <w:tcW w:w="1649" w:type="dxa"/>
            <w:tcBorders>
              <w:top w:val="nil"/>
              <w:left w:val="nil"/>
              <w:bottom w:val="nil"/>
              <w:right w:val="single" w:color="auto" w:sz="4" w:space="0"/>
            </w:tcBorders>
            <w:shd w:val="clear" w:color="auto" w:fill="auto"/>
            <w:vAlign w:val="center"/>
            <w:hideMark/>
          </w:tcPr>
          <w:p w:rsidRPr="00F81BD5" w:rsidR="00F81BD5" w:rsidP="00F81BD5" w:rsidRDefault="00F81BD5" w14:paraId="15C4E97E"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 </w:t>
            </w:r>
          </w:p>
        </w:tc>
      </w:tr>
      <w:tr w:rsidRPr="00F81BD5" w:rsidR="00F81BD5" w:rsidTr="00F81BD5" w14:paraId="595822F1"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75085283"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15 to 24</w:t>
            </w:r>
          </w:p>
        </w:tc>
        <w:tc>
          <w:tcPr>
            <w:tcW w:w="1644" w:type="dxa"/>
            <w:tcBorders>
              <w:top w:val="nil"/>
              <w:left w:val="nil"/>
              <w:bottom w:val="nil"/>
              <w:right w:val="nil"/>
            </w:tcBorders>
            <w:shd w:val="clear" w:color="auto" w:fill="auto"/>
            <w:vAlign w:val="center"/>
            <w:hideMark/>
          </w:tcPr>
          <w:p w:rsidRPr="00F81BD5" w:rsidR="00F81BD5" w:rsidP="00F81BD5" w:rsidRDefault="00F81BD5" w14:paraId="5B526C04"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12.5</w:t>
            </w:r>
          </w:p>
        </w:tc>
        <w:tc>
          <w:tcPr>
            <w:tcW w:w="1647" w:type="dxa"/>
            <w:tcBorders>
              <w:top w:val="nil"/>
              <w:left w:val="nil"/>
              <w:bottom w:val="nil"/>
              <w:right w:val="nil"/>
            </w:tcBorders>
            <w:shd w:val="clear" w:color="auto" w:fill="auto"/>
            <w:vAlign w:val="center"/>
            <w:hideMark/>
          </w:tcPr>
          <w:p w:rsidRPr="00F81BD5" w:rsidR="00F81BD5" w:rsidP="00F81BD5" w:rsidRDefault="00F81BD5" w14:paraId="0406BC2F"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12.4</w:t>
            </w:r>
          </w:p>
        </w:tc>
        <w:tc>
          <w:tcPr>
            <w:tcW w:w="1648" w:type="dxa"/>
            <w:tcBorders>
              <w:top w:val="nil"/>
              <w:left w:val="nil"/>
              <w:bottom w:val="nil"/>
              <w:right w:val="nil"/>
            </w:tcBorders>
            <w:shd w:val="clear" w:color="auto" w:fill="auto"/>
            <w:vAlign w:val="center"/>
            <w:hideMark/>
          </w:tcPr>
          <w:p w:rsidRPr="00F81BD5" w:rsidR="00F81BD5" w:rsidP="00F81BD5" w:rsidRDefault="00F81BD5" w14:paraId="116E0BAD"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12.2</w:t>
            </w:r>
          </w:p>
        </w:tc>
        <w:tc>
          <w:tcPr>
            <w:tcW w:w="1649" w:type="dxa"/>
            <w:tcBorders>
              <w:top w:val="nil"/>
              <w:left w:val="nil"/>
              <w:bottom w:val="nil"/>
              <w:right w:val="single" w:color="auto" w:sz="4" w:space="0"/>
            </w:tcBorders>
            <w:shd w:val="clear" w:color="auto" w:fill="auto"/>
            <w:vAlign w:val="center"/>
            <w:hideMark/>
          </w:tcPr>
          <w:p w:rsidRPr="00F81BD5" w:rsidR="00F81BD5" w:rsidP="00F81BD5" w:rsidRDefault="00F81BD5" w14:paraId="45C2B2F4"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18.3</w:t>
            </w:r>
          </w:p>
        </w:tc>
      </w:tr>
      <w:tr w:rsidRPr="00F81BD5" w:rsidR="00F81BD5" w:rsidTr="00F81BD5" w14:paraId="689CD611"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25414B66"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25 to 34</w:t>
            </w:r>
          </w:p>
        </w:tc>
        <w:tc>
          <w:tcPr>
            <w:tcW w:w="1644" w:type="dxa"/>
            <w:tcBorders>
              <w:top w:val="nil"/>
              <w:left w:val="nil"/>
              <w:bottom w:val="nil"/>
              <w:right w:val="nil"/>
            </w:tcBorders>
            <w:shd w:val="clear" w:color="auto" w:fill="auto"/>
            <w:vAlign w:val="center"/>
            <w:hideMark/>
          </w:tcPr>
          <w:p w:rsidRPr="00F81BD5" w:rsidR="00F81BD5" w:rsidP="00F81BD5" w:rsidRDefault="00F81BD5" w14:paraId="54F64558"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18.1</w:t>
            </w:r>
          </w:p>
        </w:tc>
        <w:tc>
          <w:tcPr>
            <w:tcW w:w="1647" w:type="dxa"/>
            <w:tcBorders>
              <w:top w:val="nil"/>
              <w:left w:val="nil"/>
              <w:bottom w:val="nil"/>
              <w:right w:val="nil"/>
            </w:tcBorders>
            <w:shd w:val="clear" w:color="auto" w:fill="auto"/>
            <w:vAlign w:val="center"/>
            <w:hideMark/>
          </w:tcPr>
          <w:p w:rsidRPr="00F81BD5" w:rsidR="00F81BD5" w:rsidP="00F81BD5" w:rsidRDefault="00F81BD5" w14:paraId="06CF3124"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17.9</w:t>
            </w:r>
          </w:p>
        </w:tc>
        <w:tc>
          <w:tcPr>
            <w:tcW w:w="1648" w:type="dxa"/>
            <w:tcBorders>
              <w:top w:val="nil"/>
              <w:left w:val="nil"/>
              <w:bottom w:val="nil"/>
              <w:right w:val="nil"/>
            </w:tcBorders>
            <w:shd w:val="clear" w:color="auto" w:fill="auto"/>
            <w:vAlign w:val="center"/>
            <w:hideMark/>
          </w:tcPr>
          <w:p w:rsidRPr="00F81BD5" w:rsidR="00F81BD5" w:rsidP="00F81BD5" w:rsidRDefault="00F81BD5" w14:paraId="559CE255"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19.7</w:t>
            </w:r>
          </w:p>
        </w:tc>
        <w:tc>
          <w:tcPr>
            <w:tcW w:w="1649" w:type="dxa"/>
            <w:tcBorders>
              <w:top w:val="nil"/>
              <w:left w:val="nil"/>
              <w:bottom w:val="nil"/>
              <w:right w:val="single" w:color="auto" w:sz="4" w:space="0"/>
            </w:tcBorders>
            <w:shd w:val="clear" w:color="auto" w:fill="auto"/>
            <w:vAlign w:val="center"/>
            <w:hideMark/>
          </w:tcPr>
          <w:p w:rsidRPr="00F81BD5" w:rsidR="00F81BD5" w:rsidP="00F81BD5" w:rsidRDefault="00F81BD5" w14:paraId="7EA3AFD1"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22.4</w:t>
            </w:r>
          </w:p>
        </w:tc>
      </w:tr>
      <w:tr w:rsidRPr="00F81BD5" w:rsidR="00F81BD5" w:rsidTr="00F81BD5" w14:paraId="20F6DF3D"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63CD2ECD"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35 to 44</w:t>
            </w:r>
          </w:p>
        </w:tc>
        <w:tc>
          <w:tcPr>
            <w:tcW w:w="1644" w:type="dxa"/>
            <w:tcBorders>
              <w:top w:val="nil"/>
              <w:left w:val="nil"/>
              <w:bottom w:val="nil"/>
              <w:right w:val="nil"/>
            </w:tcBorders>
            <w:shd w:val="clear" w:color="auto" w:fill="auto"/>
            <w:vAlign w:val="center"/>
            <w:hideMark/>
          </w:tcPr>
          <w:p w:rsidRPr="00F81BD5" w:rsidR="00F81BD5" w:rsidP="00F81BD5" w:rsidRDefault="00F81BD5" w14:paraId="51896C80"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19.1</w:t>
            </w:r>
          </w:p>
        </w:tc>
        <w:tc>
          <w:tcPr>
            <w:tcW w:w="1647" w:type="dxa"/>
            <w:tcBorders>
              <w:top w:val="nil"/>
              <w:left w:val="nil"/>
              <w:bottom w:val="nil"/>
              <w:right w:val="nil"/>
            </w:tcBorders>
            <w:shd w:val="clear" w:color="auto" w:fill="auto"/>
            <w:vAlign w:val="center"/>
            <w:hideMark/>
          </w:tcPr>
          <w:p w:rsidRPr="00F81BD5" w:rsidR="00F81BD5" w:rsidP="00F81BD5" w:rsidRDefault="00F81BD5" w14:paraId="20145846"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19.2</w:t>
            </w:r>
          </w:p>
        </w:tc>
        <w:tc>
          <w:tcPr>
            <w:tcW w:w="1648" w:type="dxa"/>
            <w:tcBorders>
              <w:top w:val="nil"/>
              <w:left w:val="nil"/>
              <w:bottom w:val="nil"/>
              <w:right w:val="nil"/>
            </w:tcBorders>
            <w:shd w:val="clear" w:color="auto" w:fill="auto"/>
            <w:vAlign w:val="center"/>
            <w:hideMark/>
          </w:tcPr>
          <w:p w:rsidRPr="00F81BD5" w:rsidR="00F81BD5" w:rsidP="00F81BD5" w:rsidRDefault="00F81BD5" w14:paraId="478B2CE0"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16.8</w:t>
            </w:r>
          </w:p>
        </w:tc>
        <w:tc>
          <w:tcPr>
            <w:tcW w:w="1649" w:type="dxa"/>
            <w:tcBorders>
              <w:top w:val="nil"/>
              <w:left w:val="nil"/>
              <w:bottom w:val="nil"/>
              <w:right w:val="single" w:color="auto" w:sz="4" w:space="0"/>
            </w:tcBorders>
            <w:shd w:val="clear" w:color="auto" w:fill="auto"/>
            <w:vAlign w:val="center"/>
            <w:hideMark/>
          </w:tcPr>
          <w:p w:rsidRPr="00F81BD5" w:rsidR="00F81BD5" w:rsidP="00F81BD5" w:rsidRDefault="00F81BD5" w14:paraId="41457719"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18.3</w:t>
            </w:r>
          </w:p>
        </w:tc>
      </w:tr>
      <w:tr w:rsidRPr="00F81BD5" w:rsidR="00F81BD5" w:rsidTr="00F81BD5" w14:paraId="32FC915C"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39DEE2E1"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45 to 54</w:t>
            </w:r>
          </w:p>
        </w:tc>
        <w:tc>
          <w:tcPr>
            <w:tcW w:w="1644" w:type="dxa"/>
            <w:tcBorders>
              <w:top w:val="nil"/>
              <w:left w:val="nil"/>
              <w:bottom w:val="nil"/>
              <w:right w:val="nil"/>
            </w:tcBorders>
            <w:shd w:val="clear" w:color="auto" w:fill="auto"/>
            <w:vAlign w:val="center"/>
            <w:hideMark/>
          </w:tcPr>
          <w:p w:rsidRPr="00F81BD5" w:rsidR="00F81BD5" w:rsidP="00F81BD5" w:rsidRDefault="00F81BD5" w14:paraId="36B2A2A9"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16.8</w:t>
            </w:r>
          </w:p>
        </w:tc>
        <w:tc>
          <w:tcPr>
            <w:tcW w:w="1647" w:type="dxa"/>
            <w:tcBorders>
              <w:top w:val="nil"/>
              <w:left w:val="nil"/>
              <w:bottom w:val="nil"/>
              <w:right w:val="nil"/>
            </w:tcBorders>
            <w:shd w:val="clear" w:color="auto" w:fill="auto"/>
            <w:vAlign w:val="center"/>
            <w:hideMark/>
          </w:tcPr>
          <w:p w:rsidRPr="00F81BD5" w:rsidR="00F81BD5" w:rsidP="00F81BD5" w:rsidRDefault="00F81BD5" w14:paraId="7E170DD3"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16.9</w:t>
            </w:r>
          </w:p>
        </w:tc>
        <w:tc>
          <w:tcPr>
            <w:tcW w:w="1648" w:type="dxa"/>
            <w:tcBorders>
              <w:top w:val="nil"/>
              <w:left w:val="nil"/>
              <w:bottom w:val="nil"/>
              <w:right w:val="nil"/>
            </w:tcBorders>
            <w:shd w:val="clear" w:color="auto" w:fill="auto"/>
            <w:vAlign w:val="center"/>
            <w:hideMark/>
          </w:tcPr>
          <w:p w:rsidRPr="00F81BD5" w:rsidR="00F81BD5" w:rsidP="00F81BD5" w:rsidRDefault="00F81BD5" w14:paraId="557A4F16"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16.2</w:t>
            </w:r>
          </w:p>
        </w:tc>
        <w:tc>
          <w:tcPr>
            <w:tcW w:w="1649" w:type="dxa"/>
            <w:tcBorders>
              <w:top w:val="nil"/>
              <w:left w:val="nil"/>
              <w:bottom w:val="nil"/>
              <w:right w:val="single" w:color="auto" w:sz="4" w:space="0"/>
            </w:tcBorders>
            <w:shd w:val="clear" w:color="auto" w:fill="auto"/>
            <w:vAlign w:val="center"/>
            <w:hideMark/>
          </w:tcPr>
          <w:p w:rsidRPr="00F81BD5" w:rsidR="00F81BD5" w:rsidP="00F81BD5" w:rsidRDefault="00F81BD5" w14:paraId="5038ED83"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15.0</w:t>
            </w:r>
          </w:p>
        </w:tc>
      </w:tr>
      <w:tr w:rsidRPr="00F81BD5" w:rsidR="00F81BD5" w:rsidTr="00F81BD5" w14:paraId="6DEA20A7"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1E6136F0"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55 to 64</w:t>
            </w:r>
          </w:p>
        </w:tc>
        <w:tc>
          <w:tcPr>
            <w:tcW w:w="1644" w:type="dxa"/>
            <w:tcBorders>
              <w:top w:val="nil"/>
              <w:left w:val="nil"/>
              <w:bottom w:val="nil"/>
              <w:right w:val="nil"/>
            </w:tcBorders>
            <w:shd w:val="clear" w:color="auto" w:fill="auto"/>
            <w:vAlign w:val="center"/>
            <w:hideMark/>
          </w:tcPr>
          <w:p w:rsidRPr="00F81BD5" w:rsidR="00F81BD5" w:rsidP="00F81BD5" w:rsidRDefault="00F81BD5" w14:paraId="128557BA"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14.6</w:t>
            </w:r>
          </w:p>
        </w:tc>
        <w:tc>
          <w:tcPr>
            <w:tcW w:w="1647" w:type="dxa"/>
            <w:tcBorders>
              <w:top w:val="nil"/>
              <w:left w:val="nil"/>
              <w:bottom w:val="nil"/>
              <w:right w:val="nil"/>
            </w:tcBorders>
            <w:shd w:val="clear" w:color="auto" w:fill="auto"/>
            <w:vAlign w:val="center"/>
            <w:hideMark/>
          </w:tcPr>
          <w:p w:rsidRPr="00F81BD5" w:rsidR="00F81BD5" w:rsidP="00F81BD5" w:rsidRDefault="00F81BD5" w14:paraId="20833970"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14.7</w:t>
            </w:r>
          </w:p>
        </w:tc>
        <w:tc>
          <w:tcPr>
            <w:tcW w:w="1648" w:type="dxa"/>
            <w:tcBorders>
              <w:top w:val="nil"/>
              <w:left w:val="nil"/>
              <w:bottom w:val="nil"/>
              <w:right w:val="nil"/>
            </w:tcBorders>
            <w:shd w:val="clear" w:color="auto" w:fill="auto"/>
            <w:vAlign w:val="center"/>
            <w:hideMark/>
          </w:tcPr>
          <w:p w:rsidRPr="00F81BD5" w:rsidR="00F81BD5" w:rsidP="00F81BD5" w:rsidRDefault="00F81BD5" w14:paraId="653F405F"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14.4</w:t>
            </w:r>
          </w:p>
        </w:tc>
        <w:tc>
          <w:tcPr>
            <w:tcW w:w="1649" w:type="dxa"/>
            <w:tcBorders>
              <w:top w:val="nil"/>
              <w:left w:val="nil"/>
              <w:bottom w:val="nil"/>
              <w:right w:val="single" w:color="auto" w:sz="4" w:space="0"/>
            </w:tcBorders>
            <w:shd w:val="clear" w:color="auto" w:fill="auto"/>
            <w:vAlign w:val="center"/>
            <w:hideMark/>
          </w:tcPr>
          <w:p w:rsidRPr="00F81BD5" w:rsidR="00F81BD5" w:rsidP="00F81BD5" w:rsidRDefault="00F81BD5" w14:paraId="46956FAD"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11.8</w:t>
            </w:r>
          </w:p>
        </w:tc>
      </w:tr>
      <w:tr w:rsidRPr="00F81BD5" w:rsidR="00F81BD5" w:rsidTr="00F81BD5" w14:paraId="722C101C"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49F39A95"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65 to 74</w:t>
            </w:r>
          </w:p>
        </w:tc>
        <w:tc>
          <w:tcPr>
            <w:tcW w:w="1644" w:type="dxa"/>
            <w:tcBorders>
              <w:top w:val="nil"/>
              <w:left w:val="nil"/>
              <w:bottom w:val="nil"/>
              <w:right w:val="nil"/>
            </w:tcBorders>
            <w:shd w:val="clear" w:color="auto" w:fill="auto"/>
            <w:vAlign w:val="center"/>
            <w:hideMark/>
          </w:tcPr>
          <w:p w:rsidRPr="00F81BD5" w:rsidR="00F81BD5" w:rsidP="00F81BD5" w:rsidRDefault="00F81BD5" w14:paraId="217E1FF8"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10.6</w:t>
            </w:r>
          </w:p>
        </w:tc>
        <w:tc>
          <w:tcPr>
            <w:tcW w:w="1647" w:type="dxa"/>
            <w:tcBorders>
              <w:top w:val="nil"/>
              <w:left w:val="nil"/>
              <w:bottom w:val="nil"/>
              <w:right w:val="nil"/>
            </w:tcBorders>
            <w:shd w:val="clear" w:color="auto" w:fill="auto"/>
            <w:vAlign w:val="center"/>
            <w:hideMark/>
          </w:tcPr>
          <w:p w:rsidRPr="00F81BD5" w:rsidR="00F81BD5" w:rsidP="00F81BD5" w:rsidRDefault="00F81BD5" w14:paraId="7E9D3EC3"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10.6</w:t>
            </w:r>
          </w:p>
        </w:tc>
        <w:tc>
          <w:tcPr>
            <w:tcW w:w="1648" w:type="dxa"/>
            <w:tcBorders>
              <w:top w:val="nil"/>
              <w:left w:val="nil"/>
              <w:bottom w:val="nil"/>
              <w:right w:val="nil"/>
            </w:tcBorders>
            <w:shd w:val="clear" w:color="auto" w:fill="auto"/>
            <w:vAlign w:val="center"/>
            <w:hideMark/>
          </w:tcPr>
          <w:p w:rsidRPr="00F81BD5" w:rsidR="00F81BD5" w:rsidP="00F81BD5" w:rsidRDefault="00F81BD5" w14:paraId="717DBE97"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10.5</w:t>
            </w:r>
          </w:p>
        </w:tc>
        <w:tc>
          <w:tcPr>
            <w:tcW w:w="1649" w:type="dxa"/>
            <w:tcBorders>
              <w:top w:val="nil"/>
              <w:left w:val="nil"/>
              <w:bottom w:val="nil"/>
              <w:right w:val="single" w:color="auto" w:sz="4" w:space="0"/>
            </w:tcBorders>
            <w:shd w:val="clear" w:color="auto" w:fill="auto"/>
            <w:vAlign w:val="center"/>
            <w:hideMark/>
          </w:tcPr>
          <w:p w:rsidRPr="00F81BD5" w:rsidR="00F81BD5" w:rsidP="00F81BD5" w:rsidRDefault="00F81BD5" w14:paraId="00059B86"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8.8</w:t>
            </w:r>
          </w:p>
        </w:tc>
      </w:tr>
      <w:tr w:rsidRPr="00F81BD5" w:rsidR="00F81BD5" w:rsidTr="00F81BD5" w14:paraId="2BF7B76B"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1F72F75D"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75 and over</w:t>
            </w:r>
          </w:p>
        </w:tc>
        <w:tc>
          <w:tcPr>
            <w:tcW w:w="1644" w:type="dxa"/>
            <w:tcBorders>
              <w:top w:val="nil"/>
              <w:left w:val="nil"/>
              <w:bottom w:val="nil"/>
              <w:right w:val="nil"/>
            </w:tcBorders>
            <w:shd w:val="clear" w:color="auto" w:fill="auto"/>
            <w:vAlign w:val="center"/>
            <w:hideMark/>
          </w:tcPr>
          <w:p w:rsidRPr="00F81BD5" w:rsidR="00F81BD5" w:rsidP="00F81BD5" w:rsidRDefault="00F81BD5" w14:paraId="18886F7F"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8.3</w:t>
            </w:r>
          </w:p>
        </w:tc>
        <w:tc>
          <w:tcPr>
            <w:tcW w:w="1647" w:type="dxa"/>
            <w:tcBorders>
              <w:top w:val="nil"/>
              <w:left w:val="nil"/>
              <w:bottom w:val="nil"/>
              <w:right w:val="nil"/>
            </w:tcBorders>
            <w:shd w:val="clear" w:color="auto" w:fill="auto"/>
            <w:vAlign w:val="center"/>
            <w:hideMark/>
          </w:tcPr>
          <w:p w:rsidRPr="00F81BD5" w:rsidR="00F81BD5" w:rsidP="00F81BD5" w:rsidRDefault="00F81BD5" w14:paraId="452A2444"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8.2</w:t>
            </w:r>
          </w:p>
        </w:tc>
        <w:tc>
          <w:tcPr>
            <w:tcW w:w="1648" w:type="dxa"/>
            <w:tcBorders>
              <w:top w:val="nil"/>
              <w:left w:val="nil"/>
              <w:bottom w:val="nil"/>
              <w:right w:val="nil"/>
            </w:tcBorders>
            <w:shd w:val="clear" w:color="auto" w:fill="auto"/>
            <w:vAlign w:val="center"/>
            <w:hideMark/>
          </w:tcPr>
          <w:p w:rsidRPr="00F81BD5" w:rsidR="00F81BD5" w:rsidP="00F81BD5" w:rsidRDefault="00F81BD5" w14:paraId="7CBE2954"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10.2</w:t>
            </w:r>
          </w:p>
        </w:tc>
        <w:tc>
          <w:tcPr>
            <w:tcW w:w="1649" w:type="dxa"/>
            <w:tcBorders>
              <w:top w:val="nil"/>
              <w:left w:val="nil"/>
              <w:bottom w:val="nil"/>
              <w:right w:val="single" w:color="auto" w:sz="4" w:space="0"/>
            </w:tcBorders>
            <w:shd w:val="clear" w:color="auto" w:fill="auto"/>
            <w:vAlign w:val="center"/>
            <w:hideMark/>
          </w:tcPr>
          <w:p w:rsidRPr="00F81BD5" w:rsidR="00F81BD5" w:rsidP="00F81BD5" w:rsidRDefault="00F81BD5" w14:paraId="2644798C"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5.5</w:t>
            </w:r>
          </w:p>
        </w:tc>
      </w:tr>
      <w:tr w:rsidRPr="00F81BD5" w:rsidR="00F81BD5" w:rsidTr="00F81BD5" w14:paraId="691F0509"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59444941" w14:textId="77777777">
            <w:pPr>
              <w:spacing w:after="0" w:line="240" w:lineRule="auto"/>
              <w:ind w:firstLine="221" w:firstLineChars="100"/>
              <w:rPr>
                <w:rFonts w:ascii="Calibri" w:hAnsi="Calibri" w:eastAsia="Times New Roman" w:cs="Calibri"/>
                <w:b/>
                <w:bCs/>
                <w:color w:val="000000"/>
              </w:rPr>
            </w:pPr>
            <w:r w:rsidRPr="00F81BD5">
              <w:rPr>
                <w:rFonts w:ascii="Calibri" w:hAnsi="Calibri" w:eastAsia="Times New Roman" w:cs="Calibri"/>
                <w:b/>
                <w:bCs/>
                <w:color w:val="000000"/>
              </w:rPr>
              <w:t>Race</w:t>
            </w:r>
          </w:p>
        </w:tc>
        <w:tc>
          <w:tcPr>
            <w:tcW w:w="1644" w:type="dxa"/>
            <w:tcBorders>
              <w:top w:val="nil"/>
              <w:left w:val="nil"/>
              <w:bottom w:val="nil"/>
              <w:right w:val="nil"/>
            </w:tcBorders>
            <w:shd w:val="clear" w:color="auto" w:fill="auto"/>
            <w:vAlign w:val="bottom"/>
            <w:hideMark/>
          </w:tcPr>
          <w:p w:rsidRPr="00F81BD5" w:rsidR="00F81BD5" w:rsidP="00F81BD5" w:rsidRDefault="00F81BD5" w14:paraId="2BBB2419" w14:textId="77777777">
            <w:pPr>
              <w:spacing w:after="0" w:line="240" w:lineRule="auto"/>
              <w:ind w:firstLine="221" w:firstLineChars="100"/>
              <w:rPr>
                <w:rFonts w:ascii="Calibri" w:hAnsi="Calibri" w:eastAsia="Times New Roman" w:cs="Calibri"/>
                <w:b/>
                <w:bCs/>
                <w:color w:val="000000"/>
              </w:rPr>
            </w:pPr>
          </w:p>
        </w:tc>
        <w:tc>
          <w:tcPr>
            <w:tcW w:w="1647" w:type="dxa"/>
            <w:tcBorders>
              <w:top w:val="nil"/>
              <w:left w:val="nil"/>
              <w:bottom w:val="nil"/>
              <w:right w:val="nil"/>
            </w:tcBorders>
            <w:shd w:val="clear" w:color="auto" w:fill="auto"/>
            <w:noWrap/>
            <w:vAlign w:val="bottom"/>
            <w:hideMark/>
          </w:tcPr>
          <w:p w:rsidRPr="00F81BD5" w:rsidR="00F81BD5" w:rsidP="00F81BD5" w:rsidRDefault="00F81BD5" w14:paraId="4564929F" w14:textId="77777777">
            <w:pPr>
              <w:spacing w:after="0" w:line="240" w:lineRule="auto"/>
              <w:rPr>
                <w:rFonts w:ascii="Times New Roman" w:hAnsi="Times New Roman" w:eastAsia="Times New Roman" w:cs="Times New Roman"/>
                <w:sz w:val="20"/>
                <w:szCs w:val="20"/>
              </w:rPr>
            </w:pPr>
          </w:p>
        </w:tc>
        <w:tc>
          <w:tcPr>
            <w:tcW w:w="1648" w:type="dxa"/>
            <w:tcBorders>
              <w:top w:val="nil"/>
              <w:left w:val="nil"/>
              <w:bottom w:val="nil"/>
              <w:right w:val="nil"/>
            </w:tcBorders>
            <w:shd w:val="clear" w:color="auto" w:fill="auto"/>
            <w:vAlign w:val="bottom"/>
            <w:hideMark/>
          </w:tcPr>
          <w:p w:rsidRPr="00F81BD5" w:rsidR="00F81BD5" w:rsidP="00F81BD5" w:rsidRDefault="00F81BD5" w14:paraId="3E59B8CD" w14:textId="77777777">
            <w:pPr>
              <w:spacing w:after="0" w:line="240" w:lineRule="auto"/>
              <w:rPr>
                <w:rFonts w:ascii="Times New Roman" w:hAnsi="Times New Roman" w:eastAsia="Times New Roman" w:cs="Times New Roman"/>
                <w:sz w:val="20"/>
                <w:szCs w:val="20"/>
              </w:rPr>
            </w:pPr>
          </w:p>
        </w:tc>
        <w:tc>
          <w:tcPr>
            <w:tcW w:w="1649" w:type="dxa"/>
            <w:tcBorders>
              <w:top w:val="nil"/>
              <w:left w:val="nil"/>
              <w:bottom w:val="nil"/>
              <w:right w:val="single" w:color="auto" w:sz="4" w:space="0"/>
            </w:tcBorders>
            <w:shd w:val="clear" w:color="auto" w:fill="auto"/>
            <w:vAlign w:val="center"/>
            <w:hideMark/>
          </w:tcPr>
          <w:p w:rsidRPr="00F81BD5" w:rsidR="00F81BD5" w:rsidP="00F81BD5" w:rsidRDefault="00F81BD5" w14:paraId="13135E8D"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 </w:t>
            </w:r>
          </w:p>
        </w:tc>
      </w:tr>
      <w:tr w:rsidRPr="00F81BD5" w:rsidR="00F81BD5" w:rsidTr="00F81BD5" w14:paraId="57B9890A"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661124DA"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White only</w:t>
            </w:r>
          </w:p>
        </w:tc>
        <w:tc>
          <w:tcPr>
            <w:tcW w:w="1644" w:type="dxa"/>
            <w:tcBorders>
              <w:top w:val="nil"/>
              <w:left w:val="nil"/>
              <w:bottom w:val="nil"/>
              <w:right w:val="nil"/>
            </w:tcBorders>
            <w:shd w:val="clear" w:color="auto" w:fill="auto"/>
            <w:noWrap/>
            <w:vAlign w:val="center"/>
            <w:hideMark/>
          </w:tcPr>
          <w:p w:rsidRPr="00F81BD5" w:rsidR="00F81BD5" w:rsidP="00F81BD5" w:rsidRDefault="00F81BD5" w14:paraId="3ABF9F54"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75.6</w:t>
            </w:r>
          </w:p>
        </w:tc>
        <w:tc>
          <w:tcPr>
            <w:tcW w:w="1647" w:type="dxa"/>
            <w:tcBorders>
              <w:top w:val="nil"/>
              <w:left w:val="nil"/>
              <w:bottom w:val="nil"/>
              <w:right w:val="nil"/>
            </w:tcBorders>
            <w:shd w:val="clear" w:color="auto" w:fill="auto"/>
            <w:noWrap/>
            <w:vAlign w:val="center"/>
            <w:hideMark/>
          </w:tcPr>
          <w:p w:rsidRPr="00F81BD5" w:rsidR="00F81BD5" w:rsidP="00F81BD5" w:rsidRDefault="00F81BD5" w14:paraId="64503513"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76.4</w:t>
            </w: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741118C1"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68.1</w:t>
            </w: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4EEF91CF"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63.3</w:t>
            </w:r>
          </w:p>
        </w:tc>
      </w:tr>
      <w:tr w:rsidRPr="00F81BD5" w:rsidR="00F81BD5" w:rsidTr="00F81BD5" w14:paraId="7CADCF0A"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03CB327B"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Black or African American only</w:t>
            </w:r>
          </w:p>
        </w:tc>
        <w:tc>
          <w:tcPr>
            <w:tcW w:w="1644" w:type="dxa"/>
            <w:tcBorders>
              <w:top w:val="nil"/>
              <w:left w:val="nil"/>
              <w:bottom w:val="nil"/>
              <w:right w:val="nil"/>
            </w:tcBorders>
            <w:shd w:val="clear" w:color="auto" w:fill="auto"/>
            <w:noWrap/>
            <w:vAlign w:val="center"/>
            <w:hideMark/>
          </w:tcPr>
          <w:p w:rsidRPr="00F81BD5" w:rsidR="00F81BD5" w:rsidP="00F81BD5" w:rsidRDefault="00F81BD5" w14:paraId="255C571A"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17.5</w:t>
            </w:r>
          </w:p>
        </w:tc>
        <w:tc>
          <w:tcPr>
            <w:tcW w:w="1647" w:type="dxa"/>
            <w:tcBorders>
              <w:top w:val="nil"/>
              <w:left w:val="nil"/>
              <w:bottom w:val="nil"/>
              <w:right w:val="nil"/>
            </w:tcBorders>
            <w:shd w:val="clear" w:color="auto" w:fill="auto"/>
            <w:noWrap/>
            <w:vAlign w:val="center"/>
            <w:hideMark/>
          </w:tcPr>
          <w:p w:rsidRPr="00F81BD5" w:rsidR="00F81BD5" w:rsidP="00F81BD5" w:rsidRDefault="00F81BD5" w14:paraId="62863FAF"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16.8</w:t>
            </w: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5346021A"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25.0</w:t>
            </w: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3FCB7E01"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29.0</w:t>
            </w:r>
          </w:p>
        </w:tc>
      </w:tr>
      <w:tr w:rsidRPr="00F81BD5" w:rsidR="00F81BD5" w:rsidTr="00F81BD5" w14:paraId="2E6A358D"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32ECBB4E"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Other</w:t>
            </w:r>
          </w:p>
        </w:tc>
        <w:tc>
          <w:tcPr>
            <w:tcW w:w="1644" w:type="dxa"/>
            <w:tcBorders>
              <w:top w:val="nil"/>
              <w:left w:val="nil"/>
              <w:bottom w:val="nil"/>
              <w:right w:val="nil"/>
            </w:tcBorders>
            <w:shd w:val="clear" w:color="auto" w:fill="auto"/>
            <w:noWrap/>
            <w:vAlign w:val="center"/>
            <w:hideMark/>
          </w:tcPr>
          <w:p w:rsidRPr="00F81BD5" w:rsidR="00F81BD5" w:rsidP="00F81BD5" w:rsidRDefault="00F81BD5" w14:paraId="3EDA5ECD"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6.8</w:t>
            </w:r>
          </w:p>
        </w:tc>
        <w:tc>
          <w:tcPr>
            <w:tcW w:w="1647" w:type="dxa"/>
            <w:tcBorders>
              <w:top w:val="nil"/>
              <w:left w:val="nil"/>
              <w:bottom w:val="nil"/>
              <w:right w:val="nil"/>
            </w:tcBorders>
            <w:shd w:val="clear" w:color="auto" w:fill="auto"/>
            <w:noWrap/>
            <w:vAlign w:val="center"/>
            <w:hideMark/>
          </w:tcPr>
          <w:p w:rsidRPr="00F81BD5" w:rsidR="00F81BD5" w:rsidP="00F81BD5" w:rsidRDefault="00F81BD5" w14:paraId="5A73B28A"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6.8</w:t>
            </w: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239550B2"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6.9</w:t>
            </w: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32457A1B"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7.7</w:t>
            </w:r>
          </w:p>
        </w:tc>
      </w:tr>
      <w:tr w:rsidRPr="00F81BD5" w:rsidR="00F81BD5" w:rsidTr="00F81BD5" w14:paraId="3C626A23"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3B953099" w14:textId="77777777">
            <w:pPr>
              <w:spacing w:after="0" w:line="240" w:lineRule="auto"/>
              <w:ind w:firstLine="221" w:firstLineChars="100"/>
              <w:rPr>
                <w:rFonts w:ascii="Calibri" w:hAnsi="Calibri" w:eastAsia="Times New Roman" w:cs="Calibri"/>
                <w:b/>
                <w:bCs/>
                <w:color w:val="000000"/>
              </w:rPr>
            </w:pPr>
            <w:r w:rsidRPr="00F81BD5">
              <w:rPr>
                <w:rFonts w:ascii="Calibri" w:hAnsi="Calibri" w:eastAsia="Times New Roman" w:cs="Calibri"/>
                <w:b/>
                <w:bCs/>
                <w:color w:val="000000"/>
              </w:rPr>
              <w:t>Hispanic or Latino ethnicity</w:t>
            </w:r>
          </w:p>
        </w:tc>
        <w:tc>
          <w:tcPr>
            <w:tcW w:w="1644" w:type="dxa"/>
            <w:tcBorders>
              <w:top w:val="nil"/>
              <w:left w:val="nil"/>
              <w:bottom w:val="nil"/>
              <w:right w:val="nil"/>
            </w:tcBorders>
            <w:shd w:val="clear" w:color="auto" w:fill="auto"/>
            <w:noWrap/>
            <w:vAlign w:val="bottom"/>
            <w:hideMark/>
          </w:tcPr>
          <w:p w:rsidRPr="00F81BD5" w:rsidR="00F81BD5" w:rsidP="00F81BD5" w:rsidRDefault="00F81BD5" w14:paraId="65763745" w14:textId="77777777">
            <w:pPr>
              <w:spacing w:after="0" w:line="240" w:lineRule="auto"/>
              <w:ind w:firstLine="221" w:firstLineChars="100"/>
              <w:rPr>
                <w:rFonts w:ascii="Calibri" w:hAnsi="Calibri" w:eastAsia="Times New Roman" w:cs="Calibri"/>
                <w:b/>
                <w:bCs/>
                <w:color w:val="000000"/>
              </w:rPr>
            </w:pPr>
          </w:p>
        </w:tc>
        <w:tc>
          <w:tcPr>
            <w:tcW w:w="1647" w:type="dxa"/>
            <w:tcBorders>
              <w:top w:val="nil"/>
              <w:left w:val="nil"/>
              <w:bottom w:val="nil"/>
              <w:right w:val="nil"/>
            </w:tcBorders>
            <w:shd w:val="clear" w:color="auto" w:fill="auto"/>
            <w:noWrap/>
            <w:vAlign w:val="bottom"/>
            <w:hideMark/>
          </w:tcPr>
          <w:p w:rsidRPr="00F81BD5" w:rsidR="00F81BD5" w:rsidP="00F81BD5" w:rsidRDefault="00F81BD5" w14:paraId="03333C2B" w14:textId="77777777">
            <w:pPr>
              <w:spacing w:after="0" w:line="240" w:lineRule="auto"/>
              <w:rPr>
                <w:rFonts w:ascii="Times New Roman" w:hAnsi="Times New Roman" w:eastAsia="Times New Roman" w:cs="Times New Roman"/>
                <w:sz w:val="20"/>
                <w:szCs w:val="20"/>
              </w:rPr>
            </w:pPr>
          </w:p>
        </w:tc>
        <w:tc>
          <w:tcPr>
            <w:tcW w:w="1648" w:type="dxa"/>
            <w:tcBorders>
              <w:top w:val="nil"/>
              <w:left w:val="nil"/>
              <w:bottom w:val="nil"/>
              <w:right w:val="nil"/>
            </w:tcBorders>
            <w:shd w:val="clear" w:color="auto" w:fill="auto"/>
            <w:noWrap/>
            <w:vAlign w:val="bottom"/>
            <w:hideMark/>
          </w:tcPr>
          <w:p w:rsidRPr="00F81BD5" w:rsidR="00F81BD5" w:rsidP="00F81BD5" w:rsidRDefault="00F81BD5" w14:paraId="5F97F8E3" w14:textId="77777777">
            <w:pPr>
              <w:spacing w:after="0" w:line="240" w:lineRule="auto"/>
              <w:rPr>
                <w:rFonts w:ascii="Times New Roman" w:hAnsi="Times New Roman" w:eastAsia="Times New Roman" w:cs="Times New Roman"/>
                <w:sz w:val="20"/>
                <w:szCs w:val="20"/>
              </w:rPr>
            </w:pP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6434104E"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 </w:t>
            </w:r>
          </w:p>
        </w:tc>
      </w:tr>
      <w:tr w:rsidRPr="00F81BD5" w:rsidR="00F81BD5" w:rsidTr="00F81BD5" w14:paraId="1857478B"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268E867A"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Hispanic or Latino</w:t>
            </w:r>
          </w:p>
        </w:tc>
        <w:tc>
          <w:tcPr>
            <w:tcW w:w="1644" w:type="dxa"/>
            <w:tcBorders>
              <w:top w:val="nil"/>
              <w:left w:val="nil"/>
              <w:bottom w:val="nil"/>
              <w:right w:val="nil"/>
            </w:tcBorders>
            <w:shd w:val="clear" w:color="auto" w:fill="auto"/>
            <w:noWrap/>
            <w:vAlign w:val="center"/>
            <w:hideMark/>
          </w:tcPr>
          <w:p w:rsidRPr="00F81BD5" w:rsidR="00F81BD5" w:rsidP="00F81BD5" w:rsidRDefault="00F81BD5" w14:paraId="44C9ADEB"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17.6</w:t>
            </w:r>
          </w:p>
        </w:tc>
        <w:tc>
          <w:tcPr>
            <w:tcW w:w="1647" w:type="dxa"/>
            <w:tcBorders>
              <w:top w:val="nil"/>
              <w:left w:val="nil"/>
              <w:bottom w:val="nil"/>
              <w:right w:val="nil"/>
            </w:tcBorders>
            <w:shd w:val="clear" w:color="auto" w:fill="auto"/>
            <w:noWrap/>
            <w:vAlign w:val="center"/>
            <w:hideMark/>
          </w:tcPr>
          <w:p w:rsidRPr="00F81BD5" w:rsidR="00F81BD5" w:rsidP="00F81BD5" w:rsidRDefault="00F81BD5" w14:paraId="0821E1AC"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17.3</w:t>
            </w: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16DB3A09"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21.0</w:t>
            </w: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734E27BC"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23.1</w:t>
            </w:r>
          </w:p>
        </w:tc>
      </w:tr>
      <w:tr w:rsidRPr="00F81BD5" w:rsidR="00F81BD5" w:rsidTr="00F81BD5" w14:paraId="0FC1A28E"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676056DE"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Non-Hispanic</w:t>
            </w:r>
          </w:p>
        </w:tc>
        <w:tc>
          <w:tcPr>
            <w:tcW w:w="1644" w:type="dxa"/>
            <w:tcBorders>
              <w:top w:val="nil"/>
              <w:left w:val="nil"/>
              <w:bottom w:val="nil"/>
              <w:right w:val="nil"/>
            </w:tcBorders>
            <w:shd w:val="clear" w:color="auto" w:fill="auto"/>
            <w:noWrap/>
            <w:vAlign w:val="center"/>
            <w:hideMark/>
          </w:tcPr>
          <w:p w:rsidRPr="00F81BD5" w:rsidR="00F81BD5" w:rsidP="00F81BD5" w:rsidRDefault="00F81BD5" w14:paraId="75F16567"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82.4</w:t>
            </w:r>
          </w:p>
        </w:tc>
        <w:tc>
          <w:tcPr>
            <w:tcW w:w="1647" w:type="dxa"/>
            <w:tcBorders>
              <w:top w:val="nil"/>
              <w:left w:val="nil"/>
              <w:bottom w:val="nil"/>
              <w:right w:val="nil"/>
            </w:tcBorders>
            <w:shd w:val="clear" w:color="auto" w:fill="auto"/>
            <w:noWrap/>
            <w:vAlign w:val="center"/>
            <w:hideMark/>
          </w:tcPr>
          <w:p w:rsidRPr="00F81BD5" w:rsidR="00F81BD5" w:rsidP="00F81BD5" w:rsidRDefault="00F81BD5" w14:paraId="48CC09B1"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82.7</w:t>
            </w: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569CAD15"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79.0</w:t>
            </w: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53A8DA0A"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76.9</w:t>
            </w:r>
          </w:p>
        </w:tc>
      </w:tr>
      <w:tr w:rsidRPr="00F81BD5" w:rsidR="00F81BD5" w:rsidTr="00F81BD5" w14:paraId="6DE30681"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1285CACD" w14:textId="77777777">
            <w:pPr>
              <w:spacing w:after="0" w:line="240" w:lineRule="auto"/>
              <w:ind w:firstLine="221" w:firstLineChars="100"/>
              <w:rPr>
                <w:rFonts w:ascii="Calibri" w:hAnsi="Calibri" w:eastAsia="Times New Roman" w:cs="Calibri"/>
                <w:b/>
                <w:bCs/>
                <w:color w:val="000000"/>
              </w:rPr>
            </w:pPr>
            <w:r w:rsidRPr="00F81BD5">
              <w:rPr>
                <w:rFonts w:ascii="Calibri" w:hAnsi="Calibri" w:eastAsia="Times New Roman" w:cs="Calibri"/>
                <w:b/>
                <w:bCs/>
                <w:color w:val="000000"/>
              </w:rPr>
              <w:t>Educational attainment</w:t>
            </w:r>
          </w:p>
        </w:tc>
        <w:tc>
          <w:tcPr>
            <w:tcW w:w="1644" w:type="dxa"/>
            <w:tcBorders>
              <w:top w:val="nil"/>
              <w:left w:val="nil"/>
              <w:bottom w:val="nil"/>
              <w:right w:val="nil"/>
            </w:tcBorders>
            <w:shd w:val="clear" w:color="auto" w:fill="auto"/>
            <w:noWrap/>
            <w:vAlign w:val="bottom"/>
            <w:hideMark/>
          </w:tcPr>
          <w:p w:rsidRPr="00F81BD5" w:rsidR="00F81BD5" w:rsidP="00F81BD5" w:rsidRDefault="00F81BD5" w14:paraId="31C1CA34" w14:textId="77777777">
            <w:pPr>
              <w:spacing w:after="0" w:line="240" w:lineRule="auto"/>
              <w:ind w:firstLine="221" w:firstLineChars="100"/>
              <w:rPr>
                <w:rFonts w:ascii="Calibri" w:hAnsi="Calibri" w:eastAsia="Times New Roman" w:cs="Calibri"/>
                <w:b/>
                <w:bCs/>
                <w:color w:val="000000"/>
              </w:rPr>
            </w:pPr>
          </w:p>
        </w:tc>
        <w:tc>
          <w:tcPr>
            <w:tcW w:w="1647" w:type="dxa"/>
            <w:tcBorders>
              <w:top w:val="nil"/>
              <w:left w:val="nil"/>
              <w:bottom w:val="nil"/>
              <w:right w:val="nil"/>
            </w:tcBorders>
            <w:shd w:val="clear" w:color="auto" w:fill="auto"/>
            <w:noWrap/>
            <w:vAlign w:val="bottom"/>
            <w:hideMark/>
          </w:tcPr>
          <w:p w:rsidRPr="00F81BD5" w:rsidR="00F81BD5" w:rsidP="00F81BD5" w:rsidRDefault="00F81BD5" w14:paraId="7276FB6A" w14:textId="77777777">
            <w:pPr>
              <w:spacing w:after="0" w:line="240" w:lineRule="auto"/>
              <w:rPr>
                <w:rFonts w:ascii="Times New Roman" w:hAnsi="Times New Roman" w:eastAsia="Times New Roman" w:cs="Times New Roman"/>
                <w:sz w:val="20"/>
                <w:szCs w:val="20"/>
              </w:rPr>
            </w:pPr>
          </w:p>
        </w:tc>
        <w:tc>
          <w:tcPr>
            <w:tcW w:w="1648" w:type="dxa"/>
            <w:tcBorders>
              <w:top w:val="nil"/>
              <w:left w:val="nil"/>
              <w:bottom w:val="nil"/>
              <w:right w:val="nil"/>
            </w:tcBorders>
            <w:shd w:val="clear" w:color="auto" w:fill="auto"/>
            <w:noWrap/>
            <w:vAlign w:val="bottom"/>
            <w:hideMark/>
          </w:tcPr>
          <w:p w:rsidRPr="00F81BD5" w:rsidR="00F81BD5" w:rsidP="00F81BD5" w:rsidRDefault="00F81BD5" w14:paraId="5997F922" w14:textId="77777777">
            <w:pPr>
              <w:spacing w:after="0" w:line="240" w:lineRule="auto"/>
              <w:rPr>
                <w:rFonts w:ascii="Times New Roman" w:hAnsi="Times New Roman" w:eastAsia="Times New Roman" w:cs="Times New Roman"/>
                <w:sz w:val="20"/>
                <w:szCs w:val="20"/>
              </w:rPr>
            </w:pPr>
          </w:p>
        </w:tc>
        <w:tc>
          <w:tcPr>
            <w:tcW w:w="1649" w:type="dxa"/>
            <w:tcBorders>
              <w:top w:val="nil"/>
              <w:left w:val="nil"/>
              <w:bottom w:val="nil"/>
              <w:right w:val="single" w:color="auto" w:sz="4" w:space="0"/>
            </w:tcBorders>
            <w:shd w:val="clear" w:color="auto" w:fill="auto"/>
            <w:noWrap/>
            <w:vAlign w:val="bottom"/>
            <w:hideMark/>
          </w:tcPr>
          <w:p w:rsidRPr="00F81BD5" w:rsidR="00F81BD5" w:rsidP="00F81BD5" w:rsidRDefault="00F81BD5" w14:paraId="363D6F49" w14:textId="77777777">
            <w:pPr>
              <w:spacing w:after="0" w:line="240" w:lineRule="auto"/>
              <w:rPr>
                <w:rFonts w:ascii="Calibri" w:hAnsi="Calibri" w:eastAsia="Times New Roman" w:cs="Calibri"/>
                <w:color w:val="000000"/>
                <w:sz w:val="20"/>
                <w:szCs w:val="20"/>
              </w:rPr>
            </w:pPr>
            <w:r w:rsidRPr="00F81BD5">
              <w:rPr>
                <w:rFonts w:ascii="Calibri" w:hAnsi="Calibri" w:eastAsia="Times New Roman" w:cs="Calibri"/>
                <w:color w:val="000000"/>
                <w:sz w:val="20"/>
                <w:szCs w:val="20"/>
              </w:rPr>
              <w:t> </w:t>
            </w:r>
          </w:p>
        </w:tc>
      </w:tr>
      <w:tr w:rsidRPr="00F81BD5" w:rsidR="00F81BD5" w:rsidTr="00F81BD5" w14:paraId="62926E5C"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397D6B8A"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High school diploma or less</w:t>
            </w:r>
          </w:p>
        </w:tc>
        <w:tc>
          <w:tcPr>
            <w:tcW w:w="1644" w:type="dxa"/>
            <w:tcBorders>
              <w:top w:val="nil"/>
              <w:left w:val="nil"/>
              <w:bottom w:val="nil"/>
              <w:right w:val="nil"/>
            </w:tcBorders>
            <w:shd w:val="clear" w:color="auto" w:fill="auto"/>
            <w:noWrap/>
            <w:vAlign w:val="center"/>
            <w:hideMark/>
          </w:tcPr>
          <w:p w:rsidRPr="00F81BD5" w:rsidR="00F81BD5" w:rsidP="00F81BD5" w:rsidRDefault="00F81BD5" w14:paraId="1B935D89"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43.6</w:t>
            </w:r>
          </w:p>
        </w:tc>
        <w:tc>
          <w:tcPr>
            <w:tcW w:w="1647" w:type="dxa"/>
            <w:tcBorders>
              <w:top w:val="nil"/>
              <w:left w:val="nil"/>
              <w:bottom w:val="nil"/>
              <w:right w:val="nil"/>
            </w:tcBorders>
            <w:shd w:val="clear" w:color="auto" w:fill="auto"/>
            <w:noWrap/>
            <w:vAlign w:val="center"/>
            <w:hideMark/>
          </w:tcPr>
          <w:p w:rsidRPr="00F81BD5" w:rsidR="00F81BD5" w:rsidP="00F81BD5" w:rsidRDefault="00F81BD5" w14:paraId="7F78006C"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42.5</w:t>
            </w: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39B51D28"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54.4</w:t>
            </w: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742C4CFD"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60.0</w:t>
            </w:r>
          </w:p>
        </w:tc>
      </w:tr>
      <w:tr w:rsidRPr="00F81BD5" w:rsidR="00F81BD5" w:rsidTr="00F81BD5" w14:paraId="388BAFD2"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26A0A15B"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Some college or associate degree</w:t>
            </w:r>
          </w:p>
        </w:tc>
        <w:tc>
          <w:tcPr>
            <w:tcW w:w="1644" w:type="dxa"/>
            <w:tcBorders>
              <w:top w:val="nil"/>
              <w:left w:val="nil"/>
              <w:bottom w:val="nil"/>
              <w:right w:val="nil"/>
            </w:tcBorders>
            <w:shd w:val="clear" w:color="auto" w:fill="auto"/>
            <w:noWrap/>
            <w:vAlign w:val="center"/>
            <w:hideMark/>
          </w:tcPr>
          <w:p w:rsidRPr="00F81BD5" w:rsidR="00F81BD5" w:rsidP="00F81BD5" w:rsidRDefault="00F81BD5" w14:paraId="7B5AE30B"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27.6</w:t>
            </w:r>
          </w:p>
        </w:tc>
        <w:tc>
          <w:tcPr>
            <w:tcW w:w="1647" w:type="dxa"/>
            <w:tcBorders>
              <w:top w:val="nil"/>
              <w:left w:val="nil"/>
              <w:bottom w:val="nil"/>
              <w:right w:val="nil"/>
            </w:tcBorders>
            <w:shd w:val="clear" w:color="auto" w:fill="auto"/>
            <w:noWrap/>
            <w:vAlign w:val="center"/>
            <w:hideMark/>
          </w:tcPr>
          <w:p w:rsidRPr="00F81BD5" w:rsidR="00F81BD5" w:rsidP="00F81BD5" w:rsidRDefault="00F81BD5" w14:paraId="68C505AB"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27.9</w:t>
            </w: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697767E1"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24.1</w:t>
            </w: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24D91F1F"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25.9</w:t>
            </w:r>
          </w:p>
        </w:tc>
      </w:tr>
      <w:tr w:rsidRPr="00F81BD5" w:rsidR="00F81BD5" w:rsidTr="00F81BD5" w14:paraId="7EE8F73E"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61E4D0AC"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Bachelor's degree or higher</w:t>
            </w:r>
          </w:p>
        </w:tc>
        <w:tc>
          <w:tcPr>
            <w:tcW w:w="1644" w:type="dxa"/>
            <w:tcBorders>
              <w:top w:val="nil"/>
              <w:left w:val="nil"/>
              <w:bottom w:val="nil"/>
              <w:right w:val="nil"/>
            </w:tcBorders>
            <w:shd w:val="clear" w:color="auto" w:fill="auto"/>
            <w:noWrap/>
            <w:vAlign w:val="center"/>
            <w:hideMark/>
          </w:tcPr>
          <w:p w:rsidRPr="00F81BD5" w:rsidR="00F81BD5" w:rsidP="00F81BD5" w:rsidRDefault="00F81BD5" w14:paraId="222637F8"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28.8</w:t>
            </w:r>
          </w:p>
        </w:tc>
        <w:tc>
          <w:tcPr>
            <w:tcW w:w="1647" w:type="dxa"/>
            <w:tcBorders>
              <w:top w:val="nil"/>
              <w:left w:val="nil"/>
              <w:bottom w:val="nil"/>
              <w:right w:val="nil"/>
            </w:tcBorders>
            <w:shd w:val="clear" w:color="auto" w:fill="auto"/>
            <w:noWrap/>
            <w:vAlign w:val="center"/>
            <w:hideMark/>
          </w:tcPr>
          <w:p w:rsidRPr="00F81BD5" w:rsidR="00F81BD5" w:rsidP="00F81BD5" w:rsidRDefault="00F81BD5" w14:paraId="2F3DE4A2"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29.7</w:t>
            </w: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7478F5E3"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21.5</w:t>
            </w: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5F7DF9E7"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14.1</w:t>
            </w:r>
          </w:p>
        </w:tc>
      </w:tr>
      <w:tr w:rsidRPr="00F81BD5" w:rsidR="00F81BD5" w:rsidTr="00F81BD5" w14:paraId="46548B8E"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4A620E0B" w14:textId="77777777">
            <w:pPr>
              <w:spacing w:after="0" w:line="240" w:lineRule="auto"/>
              <w:ind w:firstLine="221" w:firstLineChars="100"/>
              <w:rPr>
                <w:rFonts w:ascii="Calibri" w:hAnsi="Calibri" w:eastAsia="Times New Roman" w:cs="Calibri"/>
                <w:b/>
                <w:bCs/>
                <w:color w:val="000000"/>
              </w:rPr>
            </w:pPr>
            <w:r w:rsidRPr="00F81BD5">
              <w:rPr>
                <w:rFonts w:ascii="Calibri" w:hAnsi="Calibri" w:eastAsia="Times New Roman" w:cs="Calibri"/>
                <w:b/>
                <w:bCs/>
                <w:color w:val="000000"/>
              </w:rPr>
              <w:t>Annual household income</w:t>
            </w:r>
          </w:p>
        </w:tc>
        <w:tc>
          <w:tcPr>
            <w:tcW w:w="1644" w:type="dxa"/>
            <w:tcBorders>
              <w:top w:val="nil"/>
              <w:left w:val="nil"/>
              <w:bottom w:val="nil"/>
              <w:right w:val="nil"/>
            </w:tcBorders>
            <w:shd w:val="clear" w:color="auto" w:fill="auto"/>
            <w:noWrap/>
            <w:vAlign w:val="bottom"/>
            <w:hideMark/>
          </w:tcPr>
          <w:p w:rsidRPr="00F81BD5" w:rsidR="00F81BD5" w:rsidP="00F81BD5" w:rsidRDefault="00F81BD5" w14:paraId="2EC1940A" w14:textId="77777777">
            <w:pPr>
              <w:spacing w:after="0" w:line="240" w:lineRule="auto"/>
              <w:ind w:firstLine="221" w:firstLineChars="100"/>
              <w:rPr>
                <w:rFonts w:ascii="Calibri" w:hAnsi="Calibri" w:eastAsia="Times New Roman" w:cs="Calibri"/>
                <w:b/>
                <w:bCs/>
                <w:color w:val="000000"/>
              </w:rPr>
            </w:pPr>
          </w:p>
        </w:tc>
        <w:tc>
          <w:tcPr>
            <w:tcW w:w="1647" w:type="dxa"/>
            <w:tcBorders>
              <w:top w:val="nil"/>
              <w:left w:val="nil"/>
              <w:bottom w:val="nil"/>
              <w:right w:val="nil"/>
            </w:tcBorders>
            <w:shd w:val="clear" w:color="auto" w:fill="auto"/>
            <w:noWrap/>
            <w:vAlign w:val="bottom"/>
            <w:hideMark/>
          </w:tcPr>
          <w:p w:rsidRPr="00F81BD5" w:rsidR="00F81BD5" w:rsidP="00F81BD5" w:rsidRDefault="00F81BD5" w14:paraId="53590784" w14:textId="77777777">
            <w:pPr>
              <w:spacing w:after="0" w:line="240" w:lineRule="auto"/>
              <w:rPr>
                <w:rFonts w:ascii="Times New Roman" w:hAnsi="Times New Roman" w:eastAsia="Times New Roman" w:cs="Times New Roman"/>
                <w:sz w:val="20"/>
                <w:szCs w:val="20"/>
              </w:rPr>
            </w:pPr>
          </w:p>
        </w:tc>
        <w:tc>
          <w:tcPr>
            <w:tcW w:w="1648" w:type="dxa"/>
            <w:tcBorders>
              <w:top w:val="nil"/>
              <w:left w:val="nil"/>
              <w:bottom w:val="nil"/>
              <w:right w:val="nil"/>
            </w:tcBorders>
            <w:shd w:val="clear" w:color="auto" w:fill="auto"/>
            <w:noWrap/>
            <w:vAlign w:val="bottom"/>
            <w:hideMark/>
          </w:tcPr>
          <w:p w:rsidRPr="00F81BD5" w:rsidR="00F81BD5" w:rsidP="00F81BD5" w:rsidRDefault="00F81BD5" w14:paraId="19824286" w14:textId="77777777">
            <w:pPr>
              <w:spacing w:after="0" w:line="240" w:lineRule="auto"/>
              <w:rPr>
                <w:rFonts w:ascii="Times New Roman" w:hAnsi="Times New Roman" w:eastAsia="Times New Roman" w:cs="Times New Roman"/>
                <w:sz w:val="20"/>
                <w:szCs w:val="20"/>
              </w:rPr>
            </w:pPr>
          </w:p>
        </w:tc>
        <w:tc>
          <w:tcPr>
            <w:tcW w:w="1649" w:type="dxa"/>
            <w:tcBorders>
              <w:top w:val="nil"/>
              <w:left w:val="nil"/>
              <w:bottom w:val="nil"/>
              <w:right w:val="single" w:color="auto" w:sz="4" w:space="0"/>
            </w:tcBorders>
            <w:shd w:val="clear" w:color="auto" w:fill="auto"/>
            <w:noWrap/>
            <w:vAlign w:val="bottom"/>
            <w:hideMark/>
          </w:tcPr>
          <w:p w:rsidRPr="00F81BD5" w:rsidR="00F81BD5" w:rsidP="00F81BD5" w:rsidRDefault="00F81BD5" w14:paraId="353ED3EA" w14:textId="77777777">
            <w:pPr>
              <w:spacing w:after="0" w:line="240" w:lineRule="auto"/>
              <w:rPr>
                <w:rFonts w:ascii="Calibri" w:hAnsi="Calibri" w:eastAsia="Times New Roman" w:cs="Calibri"/>
                <w:color w:val="000000"/>
                <w:sz w:val="20"/>
                <w:szCs w:val="20"/>
              </w:rPr>
            </w:pPr>
            <w:r w:rsidRPr="00F81BD5">
              <w:rPr>
                <w:rFonts w:ascii="Calibri" w:hAnsi="Calibri" w:eastAsia="Times New Roman" w:cs="Calibri"/>
                <w:color w:val="000000"/>
                <w:sz w:val="20"/>
                <w:szCs w:val="20"/>
              </w:rPr>
              <w:t> </w:t>
            </w:r>
          </w:p>
        </w:tc>
      </w:tr>
      <w:tr w:rsidRPr="00F81BD5" w:rsidR="00F81BD5" w:rsidTr="00F81BD5" w14:paraId="0F838977"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347A8E5E"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Less than $25,000</w:t>
            </w:r>
          </w:p>
        </w:tc>
        <w:tc>
          <w:tcPr>
            <w:tcW w:w="1644" w:type="dxa"/>
            <w:tcBorders>
              <w:top w:val="nil"/>
              <w:left w:val="nil"/>
              <w:bottom w:val="nil"/>
              <w:right w:val="nil"/>
            </w:tcBorders>
            <w:shd w:val="clear" w:color="auto" w:fill="auto"/>
            <w:noWrap/>
            <w:vAlign w:val="center"/>
            <w:hideMark/>
          </w:tcPr>
          <w:p w:rsidRPr="00F81BD5" w:rsidR="00F81BD5" w:rsidP="00F81BD5" w:rsidRDefault="00F81BD5" w14:paraId="5CB48670"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26.3</w:t>
            </w:r>
          </w:p>
        </w:tc>
        <w:tc>
          <w:tcPr>
            <w:tcW w:w="1647" w:type="dxa"/>
            <w:tcBorders>
              <w:top w:val="nil"/>
              <w:left w:val="nil"/>
              <w:bottom w:val="nil"/>
              <w:right w:val="nil"/>
            </w:tcBorders>
            <w:shd w:val="clear" w:color="auto" w:fill="auto"/>
            <w:noWrap/>
            <w:vAlign w:val="center"/>
            <w:hideMark/>
          </w:tcPr>
          <w:p w:rsidRPr="00F81BD5" w:rsidR="00F81BD5" w:rsidP="00F81BD5" w:rsidRDefault="00F81BD5" w14:paraId="14964BCF"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25.0</w:t>
            </w: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64E704DC"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40.1</w:t>
            </w: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0DB262C3"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45.9</w:t>
            </w:r>
          </w:p>
        </w:tc>
      </w:tr>
      <w:tr w:rsidRPr="00F81BD5" w:rsidR="00F81BD5" w:rsidTr="00F81BD5" w14:paraId="1407089A"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443D5DAA"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$25,000 to $49,999</w:t>
            </w:r>
          </w:p>
        </w:tc>
        <w:tc>
          <w:tcPr>
            <w:tcW w:w="1644" w:type="dxa"/>
            <w:tcBorders>
              <w:top w:val="nil"/>
              <w:left w:val="nil"/>
              <w:bottom w:val="nil"/>
              <w:right w:val="nil"/>
            </w:tcBorders>
            <w:shd w:val="clear" w:color="auto" w:fill="auto"/>
            <w:noWrap/>
            <w:vAlign w:val="center"/>
            <w:hideMark/>
          </w:tcPr>
          <w:p w:rsidRPr="00F81BD5" w:rsidR="00F81BD5" w:rsidP="00F81BD5" w:rsidRDefault="00F81BD5" w14:paraId="013F2EE2"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26.0</w:t>
            </w:r>
          </w:p>
        </w:tc>
        <w:tc>
          <w:tcPr>
            <w:tcW w:w="1647" w:type="dxa"/>
            <w:tcBorders>
              <w:top w:val="nil"/>
              <w:left w:val="nil"/>
              <w:bottom w:val="nil"/>
              <w:right w:val="nil"/>
            </w:tcBorders>
            <w:shd w:val="clear" w:color="auto" w:fill="auto"/>
            <w:noWrap/>
            <w:vAlign w:val="center"/>
            <w:hideMark/>
          </w:tcPr>
          <w:p w:rsidRPr="00F81BD5" w:rsidR="00F81BD5" w:rsidP="00F81BD5" w:rsidRDefault="00F81BD5" w14:paraId="6FF64BB2"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25.8</w:t>
            </w: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56C2E353"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27.7</w:t>
            </w: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0D97CFAE"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28.3</w:t>
            </w:r>
          </w:p>
        </w:tc>
      </w:tr>
      <w:tr w:rsidRPr="00F81BD5" w:rsidR="00F81BD5" w:rsidTr="00F81BD5" w14:paraId="70F1C93E" w14:textId="77777777">
        <w:trPr>
          <w:trHeight w:val="279"/>
        </w:trPr>
        <w:tc>
          <w:tcPr>
            <w:tcW w:w="3792" w:type="dxa"/>
            <w:tcBorders>
              <w:top w:val="nil"/>
              <w:left w:val="single" w:color="auto" w:sz="4" w:space="0"/>
              <w:bottom w:val="nil"/>
              <w:right w:val="nil"/>
            </w:tcBorders>
            <w:shd w:val="clear" w:color="auto" w:fill="auto"/>
            <w:noWrap/>
            <w:vAlign w:val="center"/>
            <w:hideMark/>
          </w:tcPr>
          <w:p w:rsidRPr="00F81BD5" w:rsidR="00F81BD5" w:rsidP="00F81BD5" w:rsidRDefault="00F81BD5" w14:paraId="6CE1ACDF"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$50,000 to $74,999</w:t>
            </w:r>
          </w:p>
        </w:tc>
        <w:tc>
          <w:tcPr>
            <w:tcW w:w="1644" w:type="dxa"/>
            <w:tcBorders>
              <w:top w:val="nil"/>
              <w:left w:val="nil"/>
              <w:bottom w:val="nil"/>
              <w:right w:val="nil"/>
            </w:tcBorders>
            <w:shd w:val="clear" w:color="auto" w:fill="auto"/>
            <w:noWrap/>
            <w:vAlign w:val="center"/>
            <w:hideMark/>
          </w:tcPr>
          <w:p w:rsidRPr="00F81BD5" w:rsidR="00F81BD5" w:rsidP="00F81BD5" w:rsidRDefault="00F81BD5" w14:paraId="28B1D84E"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17.7</w:t>
            </w:r>
          </w:p>
        </w:tc>
        <w:tc>
          <w:tcPr>
            <w:tcW w:w="1647" w:type="dxa"/>
            <w:tcBorders>
              <w:top w:val="nil"/>
              <w:left w:val="nil"/>
              <w:bottom w:val="nil"/>
              <w:right w:val="nil"/>
            </w:tcBorders>
            <w:shd w:val="clear" w:color="auto" w:fill="auto"/>
            <w:noWrap/>
            <w:vAlign w:val="center"/>
            <w:hideMark/>
          </w:tcPr>
          <w:p w:rsidRPr="00F81BD5" w:rsidR="00F81BD5" w:rsidP="00F81BD5" w:rsidRDefault="00F81BD5" w14:paraId="49C3F463"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18.0</w:t>
            </w:r>
          </w:p>
        </w:tc>
        <w:tc>
          <w:tcPr>
            <w:tcW w:w="1648" w:type="dxa"/>
            <w:tcBorders>
              <w:top w:val="nil"/>
              <w:left w:val="nil"/>
              <w:bottom w:val="nil"/>
              <w:right w:val="nil"/>
            </w:tcBorders>
            <w:shd w:val="clear" w:color="auto" w:fill="auto"/>
            <w:noWrap/>
            <w:vAlign w:val="center"/>
            <w:hideMark/>
          </w:tcPr>
          <w:p w:rsidRPr="00F81BD5" w:rsidR="00F81BD5" w:rsidP="00F81BD5" w:rsidRDefault="00F81BD5" w14:paraId="7D8361D0"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15.3</w:t>
            </w:r>
          </w:p>
        </w:tc>
        <w:tc>
          <w:tcPr>
            <w:tcW w:w="1649" w:type="dxa"/>
            <w:tcBorders>
              <w:top w:val="nil"/>
              <w:left w:val="nil"/>
              <w:bottom w:val="nil"/>
              <w:right w:val="single" w:color="auto" w:sz="4" w:space="0"/>
            </w:tcBorders>
            <w:shd w:val="clear" w:color="auto" w:fill="auto"/>
            <w:noWrap/>
            <w:vAlign w:val="center"/>
            <w:hideMark/>
          </w:tcPr>
          <w:p w:rsidRPr="00F81BD5" w:rsidR="00F81BD5" w:rsidP="00F81BD5" w:rsidRDefault="00F81BD5" w14:paraId="344C5F53"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12.3</w:t>
            </w:r>
          </w:p>
        </w:tc>
      </w:tr>
      <w:tr w:rsidRPr="00F81BD5" w:rsidR="00F81BD5" w:rsidTr="00F81BD5" w14:paraId="07E6E555" w14:textId="77777777">
        <w:trPr>
          <w:trHeight w:val="279"/>
        </w:trPr>
        <w:tc>
          <w:tcPr>
            <w:tcW w:w="3792" w:type="dxa"/>
            <w:tcBorders>
              <w:top w:val="nil"/>
              <w:left w:val="single" w:color="auto" w:sz="4" w:space="0"/>
              <w:bottom w:val="single" w:color="auto" w:sz="4" w:space="0"/>
              <w:right w:val="nil"/>
            </w:tcBorders>
            <w:shd w:val="clear" w:color="auto" w:fill="auto"/>
            <w:noWrap/>
            <w:vAlign w:val="center"/>
            <w:hideMark/>
          </w:tcPr>
          <w:p w:rsidRPr="00F81BD5" w:rsidR="00F81BD5" w:rsidP="00F81BD5" w:rsidRDefault="00F81BD5" w14:paraId="06C2446A" w14:textId="77777777">
            <w:pPr>
              <w:spacing w:after="0" w:line="240" w:lineRule="auto"/>
              <w:ind w:firstLine="440" w:firstLineChars="200"/>
              <w:rPr>
                <w:rFonts w:ascii="Calibri" w:hAnsi="Calibri" w:eastAsia="Times New Roman" w:cs="Calibri"/>
                <w:color w:val="000000"/>
              </w:rPr>
            </w:pPr>
            <w:r w:rsidRPr="00F81BD5">
              <w:rPr>
                <w:rFonts w:ascii="Calibri" w:hAnsi="Calibri" w:eastAsia="Times New Roman" w:cs="Calibri"/>
                <w:color w:val="000000"/>
              </w:rPr>
              <w:t>$75,000 or more</w:t>
            </w:r>
          </w:p>
        </w:tc>
        <w:tc>
          <w:tcPr>
            <w:tcW w:w="1644" w:type="dxa"/>
            <w:tcBorders>
              <w:top w:val="nil"/>
              <w:left w:val="nil"/>
              <w:bottom w:val="single" w:color="auto" w:sz="4" w:space="0"/>
              <w:right w:val="nil"/>
            </w:tcBorders>
            <w:shd w:val="clear" w:color="auto" w:fill="auto"/>
            <w:noWrap/>
            <w:vAlign w:val="center"/>
            <w:hideMark/>
          </w:tcPr>
          <w:p w:rsidRPr="00F81BD5" w:rsidR="00F81BD5" w:rsidP="00F81BD5" w:rsidRDefault="00F81BD5" w14:paraId="65C757C5"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30.0</w:t>
            </w:r>
          </w:p>
        </w:tc>
        <w:tc>
          <w:tcPr>
            <w:tcW w:w="1647" w:type="dxa"/>
            <w:tcBorders>
              <w:top w:val="nil"/>
              <w:left w:val="nil"/>
              <w:bottom w:val="single" w:color="auto" w:sz="4" w:space="0"/>
              <w:right w:val="nil"/>
            </w:tcBorders>
            <w:shd w:val="clear" w:color="auto" w:fill="auto"/>
            <w:noWrap/>
            <w:vAlign w:val="center"/>
            <w:hideMark/>
          </w:tcPr>
          <w:p w:rsidRPr="00F81BD5" w:rsidR="00F81BD5" w:rsidP="00F81BD5" w:rsidRDefault="00F81BD5" w14:paraId="2B7F026D"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31.2</w:t>
            </w:r>
          </w:p>
        </w:tc>
        <w:tc>
          <w:tcPr>
            <w:tcW w:w="1648" w:type="dxa"/>
            <w:tcBorders>
              <w:top w:val="nil"/>
              <w:left w:val="nil"/>
              <w:bottom w:val="single" w:color="auto" w:sz="4" w:space="0"/>
              <w:right w:val="nil"/>
            </w:tcBorders>
            <w:shd w:val="clear" w:color="auto" w:fill="auto"/>
            <w:noWrap/>
            <w:vAlign w:val="center"/>
            <w:hideMark/>
          </w:tcPr>
          <w:p w:rsidRPr="00F81BD5" w:rsidR="00F81BD5" w:rsidP="00F81BD5" w:rsidRDefault="00F81BD5" w14:paraId="428CCB9E"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16.9</w:t>
            </w:r>
          </w:p>
        </w:tc>
        <w:tc>
          <w:tcPr>
            <w:tcW w:w="1649" w:type="dxa"/>
            <w:tcBorders>
              <w:top w:val="nil"/>
              <w:left w:val="nil"/>
              <w:bottom w:val="single" w:color="auto" w:sz="4" w:space="0"/>
              <w:right w:val="single" w:color="auto" w:sz="4" w:space="0"/>
            </w:tcBorders>
            <w:shd w:val="clear" w:color="auto" w:fill="auto"/>
            <w:noWrap/>
            <w:vAlign w:val="center"/>
            <w:hideMark/>
          </w:tcPr>
          <w:p w:rsidRPr="00F81BD5" w:rsidR="00F81BD5" w:rsidP="00F81BD5" w:rsidRDefault="00F81BD5" w14:paraId="2E6C32D5" w14:textId="77777777">
            <w:pPr>
              <w:spacing w:after="0" w:line="240" w:lineRule="auto"/>
              <w:jc w:val="center"/>
              <w:rPr>
                <w:rFonts w:ascii="Calibri" w:hAnsi="Calibri" w:eastAsia="Times New Roman" w:cs="Calibri"/>
                <w:color w:val="000000"/>
              </w:rPr>
            </w:pPr>
            <w:r w:rsidRPr="00F81BD5">
              <w:rPr>
                <w:rFonts w:ascii="Calibri" w:hAnsi="Calibri" w:eastAsia="Times New Roman" w:cs="Calibri"/>
                <w:color w:val="000000"/>
              </w:rPr>
              <w:t>13.5</w:t>
            </w:r>
          </w:p>
        </w:tc>
      </w:tr>
    </w:tbl>
    <w:p w:rsidRPr="00DB4D89" w:rsidR="007E5E01" w:rsidP="00802492" w:rsidRDefault="007E5E01" w14:paraId="6FA5FBE6" w14:textId="4DA065AD">
      <w:pPr>
        <w:spacing w:line="360" w:lineRule="auto"/>
        <w:rPr>
          <w:b/>
        </w:rPr>
      </w:pPr>
      <w:r w:rsidRPr="00DB4D89">
        <w:rPr>
          <w:b/>
        </w:rPr>
        <w:lastRenderedPageBreak/>
        <w:t xml:space="preserve">How much do </w:t>
      </w:r>
      <w:r w:rsidRPr="00DB4D89" w:rsidR="00643115">
        <w:rPr>
          <w:b/>
        </w:rPr>
        <w:t>debit card</w:t>
      </w:r>
      <w:r w:rsidRPr="00DB4D89">
        <w:rPr>
          <w:b/>
        </w:rPr>
        <w:t xml:space="preserve"> incentives cost?</w:t>
      </w:r>
    </w:p>
    <w:p w:rsidR="00946BD9" w:rsidP="00802492" w:rsidRDefault="00A11AC3" w14:paraId="38A7C287" w14:textId="27667863">
      <w:pPr>
        <w:spacing w:line="360" w:lineRule="auto"/>
        <w:ind w:firstLine="720"/>
        <w:rPr>
          <w:rFonts w:cstheme="minorHAnsi"/>
        </w:rPr>
      </w:pPr>
      <w:r>
        <w:rPr>
          <w:rFonts w:cstheme="minorHAnsi"/>
        </w:rPr>
        <w:t xml:space="preserve">In fiscal year 2018, ATUS debit card incentives cost the program approximately </w:t>
      </w:r>
      <w:r w:rsidR="0088164B">
        <w:rPr>
          <w:rFonts w:cstheme="minorHAnsi"/>
        </w:rPr>
        <w:t>$</w:t>
      </w:r>
      <w:r w:rsidR="000201B1">
        <w:rPr>
          <w:rFonts w:cstheme="minorHAnsi"/>
        </w:rPr>
        <w:t>152</w:t>
      </w:r>
      <w:r w:rsidR="0088164B">
        <w:rPr>
          <w:rFonts w:cstheme="minorHAnsi"/>
        </w:rPr>
        <w:t>,000</w:t>
      </w:r>
      <w:r w:rsidR="008F1D62">
        <w:rPr>
          <w:rFonts w:cstheme="minorHAnsi"/>
        </w:rPr>
        <w:t>. This included</w:t>
      </w:r>
      <w:r w:rsidR="000201B1">
        <w:rPr>
          <w:rFonts w:cstheme="minorHAnsi"/>
        </w:rPr>
        <w:t xml:space="preserve"> $82,000 of Census staff time associated with</w:t>
      </w:r>
      <w:r w:rsidR="0088164B">
        <w:rPr>
          <w:rFonts w:cstheme="minorHAnsi"/>
        </w:rPr>
        <w:t xml:space="preserve"> managing the debit cards</w:t>
      </w:r>
      <w:r w:rsidR="000201B1">
        <w:rPr>
          <w:rFonts w:cstheme="minorHAnsi"/>
        </w:rPr>
        <w:t>, including the</w:t>
      </w:r>
      <w:r w:rsidR="0088164B">
        <w:rPr>
          <w:rFonts w:cstheme="minorHAnsi"/>
        </w:rPr>
        <w:t xml:space="preserve"> time involved in </w:t>
      </w:r>
      <w:r w:rsidR="000201B1">
        <w:rPr>
          <w:rFonts w:cstheme="minorHAnsi"/>
        </w:rPr>
        <w:t>contracting</w:t>
      </w:r>
      <w:r w:rsidR="0088164B">
        <w:rPr>
          <w:rFonts w:cstheme="minorHAnsi"/>
        </w:rPr>
        <w:t xml:space="preserve"> with the bank that administers the cards, funding and defunding cards, checking in card shipments, assembly and mailing of the cards, managing electronic files with card information</w:t>
      </w:r>
      <w:r w:rsidR="000201B1">
        <w:rPr>
          <w:rFonts w:cstheme="minorHAnsi"/>
        </w:rPr>
        <w:t>, and creating and maintaining card tracking reports</w:t>
      </w:r>
      <w:r w:rsidR="0088164B">
        <w:rPr>
          <w:rFonts w:cstheme="minorHAnsi"/>
        </w:rPr>
        <w:t>.</w:t>
      </w:r>
      <w:r w:rsidR="000201B1">
        <w:rPr>
          <w:rFonts w:cstheme="minorHAnsi"/>
        </w:rPr>
        <w:t xml:space="preserve"> </w:t>
      </w:r>
      <w:r w:rsidR="00575578">
        <w:rPr>
          <w:rFonts w:cstheme="minorHAnsi"/>
        </w:rPr>
        <w:t>(See table 2.)</w:t>
      </w:r>
    </w:p>
    <w:p w:rsidR="00A11AC3" w:rsidP="00802492" w:rsidRDefault="000201B1" w14:paraId="7C87238D" w14:textId="6B5BFCC4">
      <w:pPr>
        <w:spacing w:line="360" w:lineRule="auto"/>
        <w:ind w:firstLine="720"/>
        <w:rPr>
          <w:rFonts w:cstheme="minorHAnsi"/>
        </w:rPr>
      </w:pPr>
      <w:r>
        <w:rPr>
          <w:rFonts w:cstheme="minorHAnsi"/>
        </w:rPr>
        <w:t>An additional $70,000 expense w</w:t>
      </w:r>
      <w:r w:rsidR="003A55AF">
        <w:rPr>
          <w:rFonts w:cstheme="minorHAnsi"/>
        </w:rPr>
        <w:t>as associated with backing the value of the incentive cards</w:t>
      </w:r>
      <w:r>
        <w:rPr>
          <w:rFonts w:cstheme="minorHAnsi"/>
        </w:rPr>
        <w:t>.</w:t>
      </w:r>
      <w:r w:rsidR="00946BD9">
        <w:rPr>
          <w:rFonts w:cstheme="minorHAnsi"/>
        </w:rPr>
        <w:t xml:space="preserve"> After each card was issued, $44 in ATUS funds were set aside </w:t>
      </w:r>
      <w:r w:rsidR="003A55AF">
        <w:rPr>
          <w:rFonts w:cstheme="minorHAnsi"/>
        </w:rPr>
        <w:t xml:space="preserve">to provide the recipient with $40 and </w:t>
      </w:r>
      <w:r w:rsidR="008F1D62">
        <w:rPr>
          <w:rFonts w:cstheme="minorHAnsi"/>
        </w:rPr>
        <w:t xml:space="preserve">to </w:t>
      </w:r>
      <w:r w:rsidR="003A55AF">
        <w:rPr>
          <w:rFonts w:cstheme="minorHAnsi"/>
        </w:rPr>
        <w:t>cover</w:t>
      </w:r>
      <w:r w:rsidR="008F1D62">
        <w:rPr>
          <w:rFonts w:cstheme="minorHAnsi"/>
        </w:rPr>
        <w:t xml:space="preserve"> the</w:t>
      </w:r>
      <w:r w:rsidR="003A55AF">
        <w:rPr>
          <w:rFonts w:cstheme="minorHAnsi"/>
        </w:rPr>
        <w:t xml:space="preserve"> ATM fee</w:t>
      </w:r>
      <w:r w:rsidR="008F1D62">
        <w:rPr>
          <w:rFonts w:cstheme="minorHAnsi"/>
        </w:rPr>
        <w:t xml:space="preserve"> (up to $4)</w:t>
      </w:r>
      <w:r w:rsidR="003A55AF">
        <w:rPr>
          <w:rFonts w:cstheme="minorHAnsi"/>
        </w:rPr>
        <w:t xml:space="preserve"> should </w:t>
      </w:r>
      <w:r w:rsidR="004A4A09">
        <w:rPr>
          <w:rFonts w:cstheme="minorHAnsi"/>
        </w:rPr>
        <w:t>the recipient</w:t>
      </w:r>
      <w:r w:rsidR="003A55AF">
        <w:rPr>
          <w:rFonts w:cstheme="minorHAnsi"/>
        </w:rPr>
        <w:t xml:space="preserve"> cash the card. These funds were tied up until the cards expired and, upon expiration, any unused funds were returned to the ATUS account and used to purchase new debit cards.</w:t>
      </w:r>
      <w:r w:rsidR="00417880">
        <w:rPr>
          <w:rStyle w:val="FootnoteReference"/>
          <w:rFonts w:cstheme="minorHAnsi"/>
        </w:rPr>
        <w:footnoteReference w:id="2"/>
      </w:r>
      <w:r w:rsidR="003A55AF">
        <w:rPr>
          <w:rFonts w:cstheme="minorHAnsi"/>
        </w:rPr>
        <w:t xml:space="preserve"> </w:t>
      </w:r>
      <w:r w:rsidR="00B150C8">
        <w:rPr>
          <w:rFonts w:cstheme="minorHAnsi"/>
        </w:rPr>
        <w:t>In FY 201</w:t>
      </w:r>
      <w:r w:rsidR="00C102B2">
        <w:rPr>
          <w:rFonts w:cstheme="minorHAnsi"/>
        </w:rPr>
        <w:t>8</w:t>
      </w:r>
      <w:r w:rsidR="00B150C8">
        <w:rPr>
          <w:rFonts w:cstheme="minorHAnsi"/>
        </w:rPr>
        <w:t xml:space="preserve">, about $25,000 was spent </w:t>
      </w:r>
      <w:r w:rsidR="0028693A">
        <w:rPr>
          <w:rFonts w:cstheme="minorHAnsi"/>
        </w:rPr>
        <w:t>covering the face value of the debit cards and ATM fees</w:t>
      </w:r>
      <w:r w:rsidR="00B150C8">
        <w:rPr>
          <w:rFonts w:cstheme="minorHAnsi"/>
        </w:rPr>
        <w:t xml:space="preserve">. The remaining $45,000 cost to the program was incurred when we crossed from one fiscal year into the next. </w:t>
      </w:r>
      <w:r w:rsidR="003A55AF">
        <w:rPr>
          <w:rFonts w:cstheme="minorHAnsi"/>
        </w:rPr>
        <w:t>Because</w:t>
      </w:r>
      <w:r w:rsidR="005E0D65">
        <w:rPr>
          <w:rFonts w:cstheme="minorHAnsi"/>
        </w:rPr>
        <w:t xml:space="preserve"> Congress provides</w:t>
      </w:r>
      <w:r w:rsidR="004A4A09">
        <w:rPr>
          <w:rFonts w:cstheme="minorHAnsi"/>
        </w:rPr>
        <w:t xml:space="preserve"> </w:t>
      </w:r>
      <w:r w:rsidR="005E0D65">
        <w:rPr>
          <w:rFonts w:cstheme="minorHAnsi"/>
        </w:rPr>
        <w:t xml:space="preserve">the </w:t>
      </w:r>
      <w:r w:rsidRPr="004A4A09" w:rsidR="004A4A09">
        <w:rPr>
          <w:rFonts w:cstheme="minorHAnsi"/>
        </w:rPr>
        <w:t>Bureau of Labor Statistics</w:t>
      </w:r>
      <w:r w:rsidR="003A55AF">
        <w:rPr>
          <w:rFonts w:cstheme="minorHAnsi"/>
        </w:rPr>
        <w:t xml:space="preserve"> </w:t>
      </w:r>
      <w:r w:rsidR="005E0D65">
        <w:rPr>
          <w:rFonts w:cstheme="minorHAnsi"/>
        </w:rPr>
        <w:t>with</w:t>
      </w:r>
      <w:r w:rsidR="003A55AF">
        <w:rPr>
          <w:rFonts w:cstheme="minorHAnsi"/>
        </w:rPr>
        <w:t xml:space="preserve"> single-year funding</w:t>
      </w:r>
      <w:r w:rsidR="005E0D65">
        <w:rPr>
          <w:rFonts w:cstheme="minorHAnsi"/>
        </w:rPr>
        <w:t xml:space="preserve"> only</w:t>
      </w:r>
      <w:r w:rsidR="003A55AF">
        <w:rPr>
          <w:rFonts w:cstheme="minorHAnsi"/>
        </w:rPr>
        <w:t xml:space="preserve">, </w:t>
      </w:r>
      <w:r w:rsidR="005E0D65">
        <w:rPr>
          <w:rFonts w:cstheme="minorHAnsi"/>
        </w:rPr>
        <w:t>money</w:t>
      </w:r>
      <w:r w:rsidR="003A55AF">
        <w:rPr>
          <w:rFonts w:cstheme="minorHAnsi"/>
        </w:rPr>
        <w:t xml:space="preserve"> associated with debit cards that are </w:t>
      </w:r>
      <w:r w:rsidR="005E0D65">
        <w:rPr>
          <w:rFonts w:cstheme="minorHAnsi"/>
        </w:rPr>
        <w:t>issued</w:t>
      </w:r>
      <w:r w:rsidR="003A55AF">
        <w:rPr>
          <w:rFonts w:cstheme="minorHAnsi"/>
        </w:rPr>
        <w:t xml:space="preserve"> in one fiscal year</w:t>
      </w:r>
      <w:r w:rsidR="005E0D65">
        <w:rPr>
          <w:rFonts w:cstheme="minorHAnsi"/>
        </w:rPr>
        <w:t xml:space="preserve"> and</w:t>
      </w:r>
      <w:r w:rsidR="003A55AF">
        <w:rPr>
          <w:rFonts w:cstheme="minorHAnsi"/>
        </w:rPr>
        <w:t xml:space="preserve"> expire in the next </w:t>
      </w:r>
      <w:r w:rsidR="00D5238B">
        <w:rPr>
          <w:rFonts w:cstheme="minorHAnsi"/>
        </w:rPr>
        <w:t>cannot</w:t>
      </w:r>
      <w:r w:rsidR="003A55AF">
        <w:rPr>
          <w:rFonts w:cstheme="minorHAnsi"/>
        </w:rPr>
        <w:t xml:space="preserve"> be recycled to purchase debit cards</w:t>
      </w:r>
      <w:r w:rsidR="005E0D65">
        <w:rPr>
          <w:rFonts w:cstheme="minorHAnsi"/>
        </w:rPr>
        <w:t xml:space="preserve"> in the new fiscal year</w:t>
      </w:r>
      <w:r w:rsidR="003A55AF">
        <w:rPr>
          <w:rFonts w:cstheme="minorHAnsi"/>
        </w:rPr>
        <w:t>. This single-year funding restriction led to a loss to the program of approximately $45,000 in FY 201</w:t>
      </w:r>
      <w:r w:rsidR="00C102B2">
        <w:rPr>
          <w:rFonts w:cstheme="minorHAnsi"/>
        </w:rPr>
        <w:t>8</w:t>
      </w:r>
      <w:r w:rsidR="004A4A09">
        <w:rPr>
          <w:rFonts w:cstheme="minorHAnsi"/>
        </w:rPr>
        <w:t>, and accounts for the majority of the $70,000 cost associated with backing the cards</w:t>
      </w:r>
      <w:r w:rsidR="003A55AF">
        <w:rPr>
          <w:rFonts w:cstheme="minorHAnsi"/>
        </w:rPr>
        <w:t>.</w:t>
      </w:r>
      <w:r w:rsidR="009140A9">
        <w:rPr>
          <w:rStyle w:val="FootnoteReference"/>
          <w:rFonts w:cstheme="minorHAnsi"/>
        </w:rPr>
        <w:footnoteReference w:id="3"/>
      </w:r>
      <w:r w:rsidR="00575578">
        <w:rPr>
          <w:rFonts w:cstheme="minorHAnsi"/>
        </w:rPr>
        <w:t xml:space="preserve"> </w:t>
      </w:r>
    </w:p>
    <w:tbl>
      <w:tblPr>
        <w:tblW w:w="9160" w:type="dxa"/>
        <w:tblLook w:val="04A0" w:firstRow="1" w:lastRow="0" w:firstColumn="1" w:lastColumn="0" w:noHBand="0" w:noVBand="1"/>
      </w:tblPr>
      <w:tblGrid>
        <w:gridCol w:w="7400"/>
        <w:gridCol w:w="1760"/>
      </w:tblGrid>
      <w:tr w:rsidRPr="00723607" w:rsidR="00723607" w:rsidTr="00723607" w14:paraId="1CCC56A6" w14:textId="77777777">
        <w:trPr>
          <w:trHeight w:val="300"/>
        </w:trPr>
        <w:tc>
          <w:tcPr>
            <w:tcW w:w="7400" w:type="dxa"/>
            <w:tcBorders>
              <w:top w:val="nil"/>
              <w:left w:val="nil"/>
              <w:bottom w:val="nil"/>
              <w:right w:val="nil"/>
            </w:tcBorders>
            <w:shd w:val="clear" w:color="auto" w:fill="auto"/>
            <w:noWrap/>
            <w:vAlign w:val="bottom"/>
            <w:hideMark/>
          </w:tcPr>
          <w:p w:rsidRPr="00723607" w:rsidR="00723607" w:rsidP="00723607" w:rsidRDefault="00723607" w14:paraId="09A14F09" w14:textId="77777777">
            <w:pPr>
              <w:spacing w:after="0" w:line="240" w:lineRule="auto"/>
              <w:rPr>
                <w:rFonts w:ascii="Calibri" w:hAnsi="Calibri" w:eastAsia="Times New Roman" w:cs="Calibri"/>
                <w:i/>
                <w:iCs/>
                <w:color w:val="000000"/>
              </w:rPr>
            </w:pPr>
            <w:r w:rsidRPr="00723607">
              <w:rPr>
                <w:rFonts w:ascii="Calibri" w:hAnsi="Calibri" w:eastAsia="Times New Roman" w:cs="Calibri"/>
                <w:i/>
                <w:iCs/>
                <w:color w:val="000000"/>
              </w:rPr>
              <w:t>Table 2. Cost associated with $40 debit card incentives in FY 2018</w:t>
            </w:r>
          </w:p>
        </w:tc>
        <w:tc>
          <w:tcPr>
            <w:tcW w:w="1760" w:type="dxa"/>
            <w:tcBorders>
              <w:top w:val="nil"/>
              <w:left w:val="nil"/>
              <w:bottom w:val="nil"/>
              <w:right w:val="nil"/>
            </w:tcBorders>
            <w:shd w:val="clear" w:color="auto" w:fill="auto"/>
            <w:noWrap/>
            <w:vAlign w:val="bottom"/>
            <w:hideMark/>
          </w:tcPr>
          <w:p w:rsidRPr="00723607" w:rsidR="00723607" w:rsidP="00723607" w:rsidRDefault="00723607" w14:paraId="0C61BE40" w14:textId="77777777">
            <w:pPr>
              <w:spacing w:after="0" w:line="240" w:lineRule="auto"/>
              <w:rPr>
                <w:rFonts w:ascii="Calibri" w:hAnsi="Calibri" w:eastAsia="Times New Roman" w:cs="Calibri"/>
                <w:i/>
                <w:iCs/>
                <w:color w:val="000000"/>
              </w:rPr>
            </w:pPr>
          </w:p>
        </w:tc>
      </w:tr>
      <w:tr w:rsidRPr="00723607" w:rsidR="00723607" w:rsidTr="00723607" w14:paraId="4B16DF40" w14:textId="77777777">
        <w:trPr>
          <w:trHeight w:val="300"/>
        </w:trPr>
        <w:tc>
          <w:tcPr>
            <w:tcW w:w="7400" w:type="dxa"/>
            <w:tcBorders>
              <w:top w:val="single" w:color="auto" w:sz="4" w:space="0"/>
              <w:left w:val="single" w:color="auto" w:sz="4" w:space="0"/>
              <w:bottom w:val="single" w:color="auto" w:sz="4" w:space="0"/>
              <w:right w:val="nil"/>
            </w:tcBorders>
            <w:shd w:val="clear" w:color="000000" w:fill="EDEDED"/>
            <w:noWrap/>
            <w:vAlign w:val="bottom"/>
            <w:hideMark/>
          </w:tcPr>
          <w:p w:rsidRPr="00723607" w:rsidR="00723607" w:rsidP="00723607" w:rsidRDefault="00723607" w14:paraId="6624D706" w14:textId="77777777">
            <w:pPr>
              <w:spacing w:after="0" w:line="240" w:lineRule="auto"/>
              <w:rPr>
                <w:rFonts w:ascii="Calibri" w:hAnsi="Calibri" w:eastAsia="Times New Roman" w:cs="Calibri"/>
                <w:color w:val="000000"/>
              </w:rPr>
            </w:pPr>
            <w:r w:rsidRPr="00723607">
              <w:rPr>
                <w:rFonts w:ascii="Calibri" w:hAnsi="Calibri" w:eastAsia="Times New Roman" w:cs="Calibri"/>
                <w:color w:val="000000"/>
              </w:rPr>
              <w:t> </w:t>
            </w:r>
          </w:p>
        </w:tc>
        <w:tc>
          <w:tcPr>
            <w:tcW w:w="1760" w:type="dxa"/>
            <w:tcBorders>
              <w:top w:val="single" w:color="auto" w:sz="4" w:space="0"/>
              <w:left w:val="nil"/>
              <w:bottom w:val="single" w:color="auto" w:sz="4" w:space="0"/>
              <w:right w:val="single" w:color="auto" w:sz="4" w:space="0"/>
            </w:tcBorders>
            <w:shd w:val="clear" w:color="000000" w:fill="EDEDED"/>
            <w:vAlign w:val="bottom"/>
            <w:hideMark/>
          </w:tcPr>
          <w:p w:rsidRPr="00723607" w:rsidR="00723607" w:rsidP="00723607" w:rsidRDefault="00723607" w14:paraId="2E59EE47" w14:textId="77777777">
            <w:pPr>
              <w:spacing w:after="0" w:line="240" w:lineRule="auto"/>
              <w:jc w:val="center"/>
              <w:rPr>
                <w:rFonts w:ascii="Calibri" w:hAnsi="Calibri" w:eastAsia="Times New Roman" w:cs="Calibri"/>
                <w:color w:val="000000"/>
              </w:rPr>
            </w:pPr>
            <w:r w:rsidRPr="00723607">
              <w:rPr>
                <w:rFonts w:ascii="Calibri" w:hAnsi="Calibri" w:eastAsia="Times New Roman" w:cs="Calibri"/>
                <w:color w:val="000000"/>
              </w:rPr>
              <w:t>Annual costs</w:t>
            </w:r>
          </w:p>
        </w:tc>
      </w:tr>
      <w:tr w:rsidRPr="00723607" w:rsidR="00723607" w:rsidTr="00723607" w14:paraId="2167569D" w14:textId="77777777">
        <w:trPr>
          <w:trHeight w:val="300"/>
        </w:trPr>
        <w:tc>
          <w:tcPr>
            <w:tcW w:w="7400" w:type="dxa"/>
            <w:tcBorders>
              <w:top w:val="nil"/>
              <w:left w:val="single" w:color="auto" w:sz="4" w:space="0"/>
              <w:bottom w:val="nil"/>
              <w:right w:val="nil"/>
            </w:tcBorders>
            <w:shd w:val="clear" w:color="auto" w:fill="auto"/>
            <w:noWrap/>
            <w:vAlign w:val="bottom"/>
            <w:hideMark/>
          </w:tcPr>
          <w:p w:rsidRPr="00723607" w:rsidR="00723607" w:rsidP="00723607" w:rsidRDefault="00723607" w14:paraId="477F82B3" w14:textId="77777777">
            <w:pPr>
              <w:spacing w:after="0" w:line="240" w:lineRule="auto"/>
              <w:rPr>
                <w:rFonts w:ascii="Calibri" w:hAnsi="Calibri" w:eastAsia="Times New Roman" w:cs="Calibri"/>
                <w:color w:val="000000"/>
              </w:rPr>
            </w:pPr>
            <w:r w:rsidRPr="00723607">
              <w:rPr>
                <w:rFonts w:ascii="Calibri" w:hAnsi="Calibri" w:eastAsia="Times New Roman" w:cs="Calibri"/>
                <w:color w:val="000000"/>
              </w:rPr>
              <w:t>Census staff management costs</w:t>
            </w:r>
          </w:p>
        </w:tc>
        <w:tc>
          <w:tcPr>
            <w:tcW w:w="1760" w:type="dxa"/>
            <w:tcBorders>
              <w:top w:val="nil"/>
              <w:left w:val="nil"/>
              <w:bottom w:val="nil"/>
              <w:right w:val="single" w:color="auto" w:sz="4" w:space="0"/>
            </w:tcBorders>
            <w:shd w:val="clear" w:color="auto" w:fill="auto"/>
            <w:noWrap/>
            <w:vAlign w:val="bottom"/>
            <w:hideMark/>
          </w:tcPr>
          <w:p w:rsidRPr="00723607" w:rsidR="00723607" w:rsidP="00723607" w:rsidRDefault="00723607" w14:paraId="01C5EED0" w14:textId="77777777">
            <w:pPr>
              <w:spacing w:after="0" w:line="240" w:lineRule="auto"/>
              <w:jc w:val="right"/>
              <w:rPr>
                <w:rFonts w:ascii="Calibri" w:hAnsi="Calibri" w:eastAsia="Times New Roman" w:cs="Calibri"/>
                <w:color w:val="000000"/>
              </w:rPr>
            </w:pPr>
            <w:r w:rsidRPr="00723607">
              <w:rPr>
                <w:rFonts w:ascii="Calibri" w:hAnsi="Calibri" w:eastAsia="Times New Roman" w:cs="Calibri"/>
                <w:color w:val="000000"/>
              </w:rPr>
              <w:t>$82,000</w:t>
            </w:r>
          </w:p>
        </w:tc>
      </w:tr>
      <w:tr w:rsidRPr="00723607" w:rsidR="00723607" w:rsidTr="00723607" w14:paraId="0F94C15B" w14:textId="77777777">
        <w:trPr>
          <w:trHeight w:val="345"/>
        </w:trPr>
        <w:tc>
          <w:tcPr>
            <w:tcW w:w="7400" w:type="dxa"/>
            <w:tcBorders>
              <w:top w:val="nil"/>
              <w:left w:val="single" w:color="auto" w:sz="4" w:space="0"/>
              <w:bottom w:val="nil"/>
              <w:right w:val="nil"/>
            </w:tcBorders>
            <w:shd w:val="clear" w:color="auto" w:fill="auto"/>
            <w:noWrap/>
            <w:vAlign w:val="bottom"/>
            <w:hideMark/>
          </w:tcPr>
          <w:p w:rsidRPr="00723607" w:rsidR="00723607" w:rsidP="00723607" w:rsidRDefault="00723607" w14:paraId="14728F98" w14:textId="77777777">
            <w:pPr>
              <w:spacing w:after="0" w:line="240" w:lineRule="auto"/>
              <w:rPr>
                <w:rFonts w:ascii="Calibri" w:hAnsi="Calibri" w:eastAsia="Times New Roman" w:cs="Calibri"/>
                <w:color w:val="000000"/>
              </w:rPr>
            </w:pPr>
            <w:r w:rsidRPr="00723607">
              <w:rPr>
                <w:rFonts w:ascii="Calibri" w:hAnsi="Calibri" w:eastAsia="Times New Roman" w:cs="Calibri"/>
                <w:color w:val="000000"/>
              </w:rPr>
              <w:t xml:space="preserve">Funds sent to bank vendor </w:t>
            </w:r>
            <w:r w:rsidRPr="00723607">
              <w:rPr>
                <w:rFonts w:ascii="Calibri" w:hAnsi="Calibri" w:eastAsia="Times New Roman" w:cs="Calibri"/>
                <w:color w:val="000000"/>
                <w:vertAlign w:val="superscript"/>
              </w:rPr>
              <w:t>a</w:t>
            </w:r>
          </w:p>
        </w:tc>
        <w:tc>
          <w:tcPr>
            <w:tcW w:w="1760" w:type="dxa"/>
            <w:tcBorders>
              <w:top w:val="nil"/>
              <w:left w:val="nil"/>
              <w:bottom w:val="nil"/>
              <w:right w:val="single" w:color="auto" w:sz="4" w:space="0"/>
            </w:tcBorders>
            <w:shd w:val="clear" w:color="auto" w:fill="auto"/>
            <w:noWrap/>
            <w:vAlign w:val="bottom"/>
            <w:hideMark/>
          </w:tcPr>
          <w:p w:rsidRPr="00723607" w:rsidR="00723607" w:rsidP="00723607" w:rsidRDefault="00723607" w14:paraId="09FB7A70" w14:textId="77777777">
            <w:pPr>
              <w:spacing w:after="0" w:line="240" w:lineRule="auto"/>
              <w:jc w:val="right"/>
              <w:rPr>
                <w:rFonts w:ascii="Calibri" w:hAnsi="Calibri" w:eastAsia="Times New Roman" w:cs="Calibri"/>
                <w:color w:val="000000"/>
              </w:rPr>
            </w:pPr>
            <w:r w:rsidRPr="00723607">
              <w:rPr>
                <w:rFonts w:ascii="Calibri" w:hAnsi="Calibri" w:eastAsia="Times New Roman" w:cs="Calibri"/>
                <w:color w:val="000000"/>
              </w:rPr>
              <w:t>$70,000</w:t>
            </w:r>
          </w:p>
        </w:tc>
      </w:tr>
      <w:tr w:rsidRPr="00723607" w:rsidR="00723607" w:rsidTr="00723607" w14:paraId="15CA7FC0" w14:textId="77777777">
        <w:trPr>
          <w:trHeight w:val="300"/>
        </w:trPr>
        <w:tc>
          <w:tcPr>
            <w:tcW w:w="7400" w:type="dxa"/>
            <w:tcBorders>
              <w:top w:val="nil"/>
              <w:left w:val="single" w:color="auto" w:sz="4" w:space="0"/>
              <w:bottom w:val="nil"/>
              <w:right w:val="nil"/>
            </w:tcBorders>
            <w:shd w:val="clear" w:color="auto" w:fill="auto"/>
            <w:noWrap/>
            <w:vAlign w:val="bottom"/>
            <w:hideMark/>
          </w:tcPr>
          <w:p w:rsidRPr="00723607" w:rsidR="00723607" w:rsidP="00723607" w:rsidRDefault="00723607" w14:paraId="58CA690B" w14:textId="77777777">
            <w:pPr>
              <w:spacing w:after="0" w:line="240" w:lineRule="auto"/>
              <w:ind w:firstLine="220" w:firstLineChars="100"/>
              <w:rPr>
                <w:rFonts w:ascii="Calibri" w:hAnsi="Calibri" w:eastAsia="Times New Roman" w:cs="Calibri"/>
                <w:color w:val="000000"/>
              </w:rPr>
            </w:pPr>
            <w:r w:rsidRPr="00723607">
              <w:rPr>
                <w:rFonts w:ascii="Calibri" w:hAnsi="Calibri" w:eastAsia="Times New Roman" w:cs="Calibri"/>
                <w:color w:val="000000"/>
              </w:rPr>
              <w:t>Expired funds that bank vendor returned</w:t>
            </w:r>
          </w:p>
        </w:tc>
        <w:tc>
          <w:tcPr>
            <w:tcW w:w="1760" w:type="dxa"/>
            <w:tcBorders>
              <w:top w:val="nil"/>
              <w:left w:val="nil"/>
              <w:bottom w:val="nil"/>
              <w:right w:val="single" w:color="auto" w:sz="4" w:space="0"/>
            </w:tcBorders>
            <w:shd w:val="clear" w:color="auto" w:fill="auto"/>
            <w:noWrap/>
            <w:vAlign w:val="bottom"/>
            <w:hideMark/>
          </w:tcPr>
          <w:p w:rsidRPr="00723607" w:rsidR="00723607" w:rsidP="00723607" w:rsidRDefault="00723607" w14:paraId="682CB28B" w14:textId="77777777">
            <w:pPr>
              <w:spacing w:after="0" w:line="240" w:lineRule="auto"/>
              <w:jc w:val="right"/>
              <w:rPr>
                <w:rFonts w:ascii="Calibri" w:hAnsi="Calibri" w:eastAsia="Times New Roman" w:cs="Calibri"/>
                <w:color w:val="000000"/>
              </w:rPr>
            </w:pPr>
            <w:r w:rsidRPr="00723607">
              <w:rPr>
                <w:rFonts w:ascii="Calibri" w:hAnsi="Calibri" w:eastAsia="Times New Roman" w:cs="Calibri"/>
                <w:color w:val="000000"/>
              </w:rPr>
              <w:t>$45,000</w:t>
            </w:r>
          </w:p>
        </w:tc>
      </w:tr>
      <w:tr w:rsidRPr="00723607" w:rsidR="00723607" w:rsidTr="00723607" w14:paraId="75D2EFEF" w14:textId="77777777">
        <w:trPr>
          <w:trHeight w:val="300"/>
        </w:trPr>
        <w:tc>
          <w:tcPr>
            <w:tcW w:w="7400" w:type="dxa"/>
            <w:tcBorders>
              <w:top w:val="nil"/>
              <w:left w:val="single" w:color="auto" w:sz="4" w:space="0"/>
              <w:bottom w:val="nil"/>
              <w:right w:val="nil"/>
            </w:tcBorders>
            <w:shd w:val="clear" w:color="auto" w:fill="auto"/>
            <w:noWrap/>
            <w:vAlign w:val="bottom"/>
            <w:hideMark/>
          </w:tcPr>
          <w:p w:rsidRPr="00723607" w:rsidR="00723607" w:rsidP="00723607" w:rsidRDefault="00723607" w14:paraId="1493A8E4" w14:textId="77777777">
            <w:pPr>
              <w:spacing w:after="0" w:line="240" w:lineRule="auto"/>
              <w:ind w:firstLine="220" w:firstLineChars="100"/>
              <w:rPr>
                <w:rFonts w:ascii="Calibri" w:hAnsi="Calibri" w:eastAsia="Times New Roman" w:cs="Calibri"/>
                <w:color w:val="000000"/>
              </w:rPr>
            </w:pPr>
            <w:r w:rsidRPr="00723607">
              <w:rPr>
                <w:rFonts w:ascii="Calibri" w:hAnsi="Calibri" w:eastAsia="Times New Roman" w:cs="Calibri"/>
                <w:color w:val="000000"/>
              </w:rPr>
              <w:t>Approximate cost of cards cashed</w:t>
            </w:r>
          </w:p>
        </w:tc>
        <w:tc>
          <w:tcPr>
            <w:tcW w:w="1760" w:type="dxa"/>
            <w:tcBorders>
              <w:top w:val="nil"/>
              <w:left w:val="nil"/>
              <w:bottom w:val="nil"/>
              <w:right w:val="single" w:color="auto" w:sz="4" w:space="0"/>
            </w:tcBorders>
            <w:shd w:val="clear" w:color="auto" w:fill="auto"/>
            <w:noWrap/>
            <w:vAlign w:val="bottom"/>
            <w:hideMark/>
          </w:tcPr>
          <w:p w:rsidRPr="00723607" w:rsidR="00723607" w:rsidP="00723607" w:rsidRDefault="00723607" w14:paraId="7FC2F8E2" w14:textId="77777777">
            <w:pPr>
              <w:spacing w:after="0" w:line="240" w:lineRule="auto"/>
              <w:jc w:val="right"/>
              <w:rPr>
                <w:rFonts w:ascii="Calibri" w:hAnsi="Calibri" w:eastAsia="Times New Roman" w:cs="Calibri"/>
                <w:color w:val="000000"/>
              </w:rPr>
            </w:pPr>
            <w:r w:rsidRPr="00723607">
              <w:rPr>
                <w:rFonts w:ascii="Calibri" w:hAnsi="Calibri" w:eastAsia="Times New Roman" w:cs="Calibri"/>
                <w:color w:val="000000"/>
              </w:rPr>
              <w:t>$25,000</w:t>
            </w:r>
          </w:p>
        </w:tc>
      </w:tr>
      <w:tr w:rsidRPr="00723607" w:rsidR="00723607" w:rsidTr="00723607" w14:paraId="623C0D8A" w14:textId="77777777">
        <w:trPr>
          <w:trHeight w:val="315"/>
        </w:trPr>
        <w:tc>
          <w:tcPr>
            <w:tcW w:w="7400" w:type="dxa"/>
            <w:tcBorders>
              <w:top w:val="nil"/>
              <w:left w:val="single" w:color="auto" w:sz="4" w:space="0"/>
              <w:bottom w:val="single" w:color="auto" w:sz="4" w:space="0"/>
              <w:right w:val="nil"/>
            </w:tcBorders>
            <w:shd w:val="clear" w:color="auto" w:fill="auto"/>
            <w:noWrap/>
            <w:vAlign w:val="bottom"/>
            <w:hideMark/>
          </w:tcPr>
          <w:p w:rsidRPr="00723607" w:rsidR="00723607" w:rsidP="00723607" w:rsidRDefault="00723607" w14:paraId="384B8B27" w14:textId="77777777">
            <w:pPr>
              <w:spacing w:after="0" w:line="240" w:lineRule="auto"/>
              <w:rPr>
                <w:rFonts w:ascii="Calibri" w:hAnsi="Calibri" w:eastAsia="Times New Roman" w:cs="Calibri"/>
                <w:b/>
                <w:bCs/>
                <w:color w:val="000000"/>
              </w:rPr>
            </w:pPr>
            <w:r w:rsidRPr="00723607">
              <w:rPr>
                <w:rFonts w:ascii="Calibri" w:hAnsi="Calibri" w:eastAsia="Times New Roman" w:cs="Calibri"/>
                <w:b/>
                <w:bCs/>
                <w:color w:val="000000"/>
              </w:rPr>
              <w:t>Total cost of debit cards</w:t>
            </w:r>
          </w:p>
        </w:tc>
        <w:tc>
          <w:tcPr>
            <w:tcW w:w="1760" w:type="dxa"/>
            <w:tcBorders>
              <w:top w:val="single" w:color="auto" w:sz="4" w:space="0"/>
              <w:left w:val="nil"/>
              <w:bottom w:val="double" w:color="auto" w:sz="6" w:space="0"/>
              <w:right w:val="single" w:color="auto" w:sz="4" w:space="0"/>
            </w:tcBorders>
            <w:shd w:val="clear" w:color="auto" w:fill="auto"/>
            <w:noWrap/>
            <w:vAlign w:val="bottom"/>
            <w:hideMark/>
          </w:tcPr>
          <w:p w:rsidRPr="00723607" w:rsidR="00723607" w:rsidP="00723607" w:rsidRDefault="00723607" w14:paraId="45261D3A" w14:textId="77777777">
            <w:pPr>
              <w:spacing w:after="0" w:line="240" w:lineRule="auto"/>
              <w:jc w:val="right"/>
              <w:rPr>
                <w:rFonts w:ascii="Calibri" w:hAnsi="Calibri" w:eastAsia="Times New Roman" w:cs="Calibri"/>
                <w:b/>
                <w:bCs/>
                <w:color w:val="000000"/>
              </w:rPr>
            </w:pPr>
            <w:r w:rsidRPr="00723607">
              <w:rPr>
                <w:rFonts w:ascii="Calibri" w:hAnsi="Calibri" w:eastAsia="Times New Roman" w:cs="Calibri"/>
                <w:b/>
                <w:bCs/>
                <w:color w:val="000000"/>
              </w:rPr>
              <w:t>$152,000</w:t>
            </w:r>
          </w:p>
        </w:tc>
      </w:tr>
      <w:tr w:rsidRPr="00723607" w:rsidR="00723607" w:rsidTr="00723607" w14:paraId="1C290B1D" w14:textId="77777777">
        <w:trPr>
          <w:trHeight w:val="360"/>
        </w:trPr>
        <w:tc>
          <w:tcPr>
            <w:tcW w:w="9160" w:type="dxa"/>
            <w:gridSpan w:val="2"/>
            <w:tcBorders>
              <w:top w:val="nil"/>
              <w:left w:val="nil"/>
              <w:bottom w:val="nil"/>
              <w:right w:val="nil"/>
            </w:tcBorders>
            <w:shd w:val="clear" w:color="auto" w:fill="auto"/>
            <w:noWrap/>
            <w:vAlign w:val="bottom"/>
            <w:hideMark/>
          </w:tcPr>
          <w:p w:rsidRPr="00723607" w:rsidR="00723607" w:rsidP="00723607" w:rsidRDefault="00723607" w14:paraId="34E04E4F" w14:textId="77777777">
            <w:pPr>
              <w:spacing w:after="0" w:line="240" w:lineRule="auto"/>
              <w:rPr>
                <w:rFonts w:ascii="Calibri" w:hAnsi="Calibri" w:eastAsia="Times New Roman" w:cs="Calibri"/>
                <w:i/>
                <w:iCs/>
                <w:color w:val="000000"/>
              </w:rPr>
            </w:pPr>
            <w:r w:rsidRPr="00723607">
              <w:rPr>
                <w:rFonts w:ascii="Calibri" w:hAnsi="Calibri" w:eastAsia="Times New Roman" w:cs="Calibri"/>
                <w:i/>
                <w:iCs/>
                <w:color w:val="000000"/>
                <w:vertAlign w:val="superscript"/>
              </w:rPr>
              <w:t>a.</w:t>
            </w:r>
            <w:r w:rsidRPr="00723607">
              <w:rPr>
                <w:rFonts w:ascii="Calibri" w:hAnsi="Calibri" w:eastAsia="Times New Roman" w:cs="Calibri"/>
                <w:i/>
                <w:iCs/>
                <w:color w:val="000000"/>
              </w:rPr>
              <w:t xml:space="preserve"> Includes face value of debit cards, ATM fees, expired funds, and associated management fees.</w:t>
            </w:r>
          </w:p>
        </w:tc>
      </w:tr>
    </w:tbl>
    <w:p w:rsidR="00723607" w:rsidP="00802492" w:rsidRDefault="00723607" w14:paraId="05DA5FB0" w14:textId="77777777">
      <w:pPr>
        <w:spacing w:line="360" w:lineRule="auto"/>
        <w:rPr>
          <w:u w:val="single"/>
        </w:rPr>
      </w:pPr>
    </w:p>
    <w:p w:rsidRPr="00DB4D89" w:rsidR="00B046CE" w:rsidP="00802492" w:rsidRDefault="00643115" w14:paraId="73385567" w14:textId="75C2E3C9">
      <w:pPr>
        <w:spacing w:line="360" w:lineRule="auto"/>
        <w:rPr>
          <w:b/>
        </w:rPr>
      </w:pPr>
      <w:r w:rsidRPr="00DB4D89">
        <w:rPr>
          <w:b/>
        </w:rPr>
        <w:t>What</w:t>
      </w:r>
      <w:r w:rsidRPr="00DB4D89" w:rsidR="00152E9F">
        <w:rPr>
          <w:b/>
        </w:rPr>
        <w:t xml:space="preserve"> costs are expected with the use of</w:t>
      </w:r>
      <w:r w:rsidRPr="00DB4D89">
        <w:rPr>
          <w:b/>
        </w:rPr>
        <w:t xml:space="preserve"> </w:t>
      </w:r>
      <w:r w:rsidRPr="00DB4D89" w:rsidR="00152E9F">
        <w:rPr>
          <w:b/>
        </w:rPr>
        <w:t>cash</w:t>
      </w:r>
      <w:r w:rsidRPr="00DB4D89">
        <w:rPr>
          <w:b/>
        </w:rPr>
        <w:t xml:space="preserve"> incentives instead</w:t>
      </w:r>
      <w:r w:rsidRPr="00DB4D89" w:rsidR="00152E9F">
        <w:rPr>
          <w:b/>
        </w:rPr>
        <w:t xml:space="preserve"> of debit cards</w:t>
      </w:r>
      <w:r w:rsidRPr="00DB4D89" w:rsidR="00B046CE">
        <w:rPr>
          <w:b/>
        </w:rPr>
        <w:t>?</w:t>
      </w:r>
    </w:p>
    <w:p w:rsidR="00D5238B" w:rsidP="00802492" w:rsidRDefault="00643115" w14:paraId="0445A359" w14:textId="12DB108C">
      <w:pPr>
        <w:spacing w:line="360" w:lineRule="auto"/>
        <w:ind w:firstLine="720"/>
        <w:rPr>
          <w:rFonts w:cstheme="minorHAnsi"/>
        </w:rPr>
      </w:pPr>
      <w:r>
        <w:rPr>
          <w:rFonts w:cstheme="minorHAnsi"/>
        </w:rPr>
        <w:t xml:space="preserve">In </w:t>
      </w:r>
      <w:r w:rsidR="004A420E">
        <w:rPr>
          <w:rFonts w:cstheme="minorHAnsi"/>
        </w:rPr>
        <w:t>fiscal year 2017</w:t>
      </w:r>
      <w:r>
        <w:rPr>
          <w:rFonts w:cstheme="minorHAnsi"/>
        </w:rPr>
        <w:t>, when</w:t>
      </w:r>
      <w:r w:rsidR="004A420E">
        <w:rPr>
          <w:rFonts w:cstheme="minorHAnsi"/>
        </w:rPr>
        <w:t xml:space="preserve"> the U.S. Treasury</w:t>
      </w:r>
      <w:r>
        <w:rPr>
          <w:rFonts w:cstheme="minorHAnsi"/>
        </w:rPr>
        <w:t xml:space="preserve"> </w:t>
      </w:r>
      <w:r w:rsidR="004A420E">
        <w:rPr>
          <w:rFonts w:cstheme="minorHAnsi"/>
        </w:rPr>
        <w:t xml:space="preserve">contracted with </w:t>
      </w:r>
      <w:r>
        <w:rPr>
          <w:rFonts w:cstheme="minorHAnsi"/>
        </w:rPr>
        <w:t xml:space="preserve">a new debit card vendor, the costs associated with administering ATUS debit card incentives rose substantially. This was primarily because </w:t>
      </w:r>
      <w:r>
        <w:rPr>
          <w:rFonts w:cstheme="minorHAnsi"/>
        </w:rPr>
        <w:lastRenderedPageBreak/>
        <w:t>the new contract does not allow ATUS debit card funds to be carried across fiscal years. However, Census staff management costs also increased as the new bank vendor requires Census staff to perform functions that previously</w:t>
      </w:r>
      <w:r w:rsidR="004A420E">
        <w:rPr>
          <w:rFonts w:cstheme="minorHAnsi"/>
        </w:rPr>
        <w:t xml:space="preserve"> had</w:t>
      </w:r>
      <w:r>
        <w:rPr>
          <w:rFonts w:cstheme="minorHAnsi"/>
        </w:rPr>
        <w:t xml:space="preserve"> been the responsibility of the debit card vendor.</w:t>
      </w:r>
      <w:r w:rsidR="004A420E">
        <w:rPr>
          <w:rFonts w:cstheme="minorHAnsi"/>
        </w:rPr>
        <w:t xml:space="preserve"> In addition to cost concerns, a g</w:t>
      </w:r>
      <w:r>
        <w:rPr>
          <w:rFonts w:cstheme="minorHAnsi"/>
        </w:rPr>
        <w:t xml:space="preserve">eneral dissatisfaction with the new vendor and their </w:t>
      </w:r>
      <w:r w:rsidR="004A420E">
        <w:rPr>
          <w:rFonts w:cstheme="minorHAnsi"/>
        </w:rPr>
        <w:t>un</w:t>
      </w:r>
      <w:r>
        <w:rPr>
          <w:rFonts w:cstheme="minorHAnsi"/>
        </w:rPr>
        <w:t>willingness t</w:t>
      </w:r>
      <w:r w:rsidR="004A420E">
        <w:rPr>
          <w:rFonts w:cstheme="minorHAnsi"/>
        </w:rPr>
        <w:t xml:space="preserve">o </w:t>
      </w:r>
      <w:r w:rsidR="00575578">
        <w:rPr>
          <w:rFonts w:cstheme="minorHAnsi"/>
        </w:rPr>
        <w:t>resolve ongoing</w:t>
      </w:r>
      <w:r w:rsidR="004A420E">
        <w:rPr>
          <w:rFonts w:cstheme="minorHAnsi"/>
        </w:rPr>
        <w:t xml:space="preserve"> processing issues has </w:t>
      </w:r>
      <w:r w:rsidR="00110E84">
        <w:rPr>
          <w:rFonts w:cstheme="minorHAnsi"/>
        </w:rPr>
        <w:t>motivated</w:t>
      </w:r>
      <w:r w:rsidR="004A420E">
        <w:rPr>
          <w:rFonts w:cstheme="minorHAnsi"/>
        </w:rPr>
        <w:t xml:space="preserve"> management to consider alternative</w:t>
      </w:r>
      <w:r w:rsidR="003251BD">
        <w:rPr>
          <w:rFonts w:cstheme="minorHAnsi"/>
        </w:rPr>
        <w:t xml:space="preserve">s to </w:t>
      </w:r>
      <w:r w:rsidR="00D328FC">
        <w:rPr>
          <w:rFonts w:cstheme="minorHAnsi"/>
        </w:rPr>
        <w:t xml:space="preserve">sending </w:t>
      </w:r>
      <w:r w:rsidR="003251BD">
        <w:rPr>
          <w:rFonts w:cstheme="minorHAnsi"/>
        </w:rPr>
        <w:t>debit card</w:t>
      </w:r>
      <w:r w:rsidR="004A420E">
        <w:rPr>
          <w:rFonts w:cstheme="minorHAnsi"/>
        </w:rPr>
        <w:t xml:space="preserve"> incentives.</w:t>
      </w:r>
    </w:p>
    <w:p w:rsidRPr="00CC52EB" w:rsidR="0069078B" w:rsidP="00802492" w:rsidRDefault="004A420E" w14:paraId="2BD3FF6B" w14:textId="280D902D">
      <w:pPr>
        <w:spacing w:line="360" w:lineRule="auto"/>
        <w:ind w:firstLine="720"/>
        <w:rPr>
          <w:rFonts w:cstheme="minorHAnsi"/>
        </w:rPr>
      </w:pPr>
      <w:r>
        <w:rPr>
          <w:rFonts w:cstheme="minorHAnsi"/>
        </w:rPr>
        <w:t xml:space="preserve">ATUS management is considering the possibility of sending </w:t>
      </w:r>
      <w:r w:rsidR="00FE1AD7">
        <w:rPr>
          <w:rFonts w:cstheme="minorHAnsi"/>
        </w:rPr>
        <w:t xml:space="preserve">$5 or $10 </w:t>
      </w:r>
      <w:r w:rsidR="00457890">
        <w:rPr>
          <w:rFonts w:cstheme="minorHAnsi"/>
        </w:rPr>
        <w:t xml:space="preserve">cash </w:t>
      </w:r>
      <w:r w:rsidR="00FE1AD7">
        <w:rPr>
          <w:rFonts w:cstheme="minorHAnsi"/>
        </w:rPr>
        <w:t xml:space="preserve">incentives </w:t>
      </w:r>
      <w:r w:rsidR="00457890">
        <w:rPr>
          <w:rFonts w:cstheme="minorHAnsi"/>
        </w:rPr>
        <w:t>instead of prepaid</w:t>
      </w:r>
      <w:r>
        <w:rPr>
          <w:rFonts w:cstheme="minorHAnsi"/>
        </w:rPr>
        <w:t xml:space="preserve"> $40 debit card</w:t>
      </w:r>
      <w:r w:rsidR="00457890">
        <w:rPr>
          <w:rFonts w:cstheme="minorHAnsi"/>
        </w:rPr>
        <w:t>s</w:t>
      </w:r>
      <w:r w:rsidR="00D21462">
        <w:rPr>
          <w:rFonts w:cstheme="minorHAnsi"/>
        </w:rPr>
        <w:t xml:space="preserve"> to </w:t>
      </w:r>
      <w:r w:rsidRPr="00CC52EB" w:rsidR="00D21462">
        <w:rPr>
          <w:rFonts w:cstheme="minorHAnsi"/>
        </w:rPr>
        <w:t>incentive cases</w:t>
      </w:r>
      <w:r w:rsidRPr="00CC52EB" w:rsidR="00457890">
        <w:rPr>
          <w:rFonts w:cstheme="minorHAnsi"/>
        </w:rPr>
        <w:t>.</w:t>
      </w:r>
      <w:r w:rsidRPr="00CC52EB" w:rsidR="00D10A25">
        <w:rPr>
          <w:rFonts w:cstheme="minorHAnsi"/>
        </w:rPr>
        <w:t xml:space="preserve"> As shown in t</w:t>
      </w:r>
      <w:r w:rsidRPr="00CC52EB" w:rsidR="00D328FC">
        <w:rPr>
          <w:rFonts w:cstheme="minorHAnsi"/>
        </w:rPr>
        <w:t>able 3</w:t>
      </w:r>
      <w:r w:rsidRPr="00CC52EB" w:rsidR="00D10A25">
        <w:rPr>
          <w:rFonts w:cstheme="minorHAnsi"/>
        </w:rPr>
        <w:t>,</w:t>
      </w:r>
      <w:r w:rsidRPr="00CC52EB" w:rsidR="00457890">
        <w:rPr>
          <w:rFonts w:cstheme="minorHAnsi"/>
        </w:rPr>
        <w:t xml:space="preserve"> the estimated </w:t>
      </w:r>
      <w:r w:rsidRPr="00CC52EB" w:rsidR="00D10A25">
        <w:rPr>
          <w:rFonts w:cstheme="minorHAnsi"/>
        </w:rPr>
        <w:t xml:space="preserve">annual </w:t>
      </w:r>
      <w:r w:rsidRPr="00CC52EB" w:rsidR="00457890">
        <w:rPr>
          <w:rFonts w:cstheme="minorHAnsi"/>
        </w:rPr>
        <w:t>costs associated with sending</w:t>
      </w:r>
      <w:r w:rsidRPr="00CC52EB" w:rsidR="00B41C75">
        <w:rPr>
          <w:rFonts w:cstheme="minorHAnsi"/>
        </w:rPr>
        <w:t xml:space="preserve"> $5</w:t>
      </w:r>
      <w:r w:rsidRPr="00CC52EB" w:rsidR="00FE1AD7">
        <w:rPr>
          <w:rFonts w:cstheme="minorHAnsi"/>
        </w:rPr>
        <w:t xml:space="preserve"> incentives amounts to $8</w:t>
      </w:r>
      <w:r w:rsidRPr="00CC52EB" w:rsidR="00216E50">
        <w:rPr>
          <w:rFonts w:cstheme="minorHAnsi"/>
        </w:rPr>
        <w:t>2</w:t>
      </w:r>
      <w:r w:rsidRPr="00CC52EB" w:rsidR="00FE1AD7">
        <w:rPr>
          <w:rFonts w:cstheme="minorHAnsi"/>
        </w:rPr>
        <w:t xml:space="preserve">,500, and those </w:t>
      </w:r>
      <w:r w:rsidRPr="00CC52EB" w:rsidR="003F1B52">
        <w:rPr>
          <w:rFonts w:cstheme="minorHAnsi"/>
        </w:rPr>
        <w:t xml:space="preserve">costs </w:t>
      </w:r>
      <w:r w:rsidRPr="00CC52EB" w:rsidR="00FE1AD7">
        <w:rPr>
          <w:rFonts w:cstheme="minorHAnsi"/>
        </w:rPr>
        <w:t>associated with</w:t>
      </w:r>
      <w:r w:rsidRPr="00CC52EB" w:rsidR="00457890">
        <w:rPr>
          <w:rFonts w:cstheme="minorHAnsi"/>
        </w:rPr>
        <w:t xml:space="preserve"> $</w:t>
      </w:r>
      <w:r w:rsidRPr="00CC52EB" w:rsidR="00A347D4">
        <w:rPr>
          <w:rFonts w:cstheme="minorHAnsi"/>
        </w:rPr>
        <w:t>10</w:t>
      </w:r>
      <w:r w:rsidRPr="00CC52EB" w:rsidR="00457890">
        <w:rPr>
          <w:rFonts w:cstheme="minorHAnsi"/>
        </w:rPr>
        <w:t xml:space="preserve"> </w:t>
      </w:r>
      <w:r w:rsidRPr="00CC52EB" w:rsidR="00FE1AD7">
        <w:rPr>
          <w:rFonts w:cstheme="minorHAnsi"/>
        </w:rPr>
        <w:t>incentives</w:t>
      </w:r>
      <w:r w:rsidRPr="00CC52EB" w:rsidR="003F1B52">
        <w:rPr>
          <w:rFonts w:cstheme="minorHAnsi"/>
        </w:rPr>
        <w:t xml:space="preserve"> are</w:t>
      </w:r>
      <w:r w:rsidRPr="00CC52EB" w:rsidR="00D10A25">
        <w:rPr>
          <w:rFonts w:cstheme="minorHAnsi"/>
        </w:rPr>
        <w:t xml:space="preserve"> approximately $</w:t>
      </w:r>
      <w:r w:rsidRPr="00CC52EB" w:rsidR="00A347D4">
        <w:rPr>
          <w:rFonts w:cstheme="minorHAnsi"/>
        </w:rPr>
        <w:t>9</w:t>
      </w:r>
      <w:r w:rsidRPr="00CC52EB" w:rsidR="00216E50">
        <w:rPr>
          <w:rFonts w:cstheme="minorHAnsi"/>
        </w:rPr>
        <w:t>6</w:t>
      </w:r>
      <w:r w:rsidRPr="00CC52EB" w:rsidR="00A347D4">
        <w:rPr>
          <w:rFonts w:cstheme="minorHAnsi"/>
        </w:rPr>
        <w:t>,000</w:t>
      </w:r>
      <w:r w:rsidRPr="00CC52EB" w:rsidR="00D10A25">
        <w:rPr>
          <w:rFonts w:cstheme="minorHAnsi"/>
        </w:rPr>
        <w:t xml:space="preserve">. </w:t>
      </w:r>
      <w:r w:rsidRPr="00CC52EB" w:rsidR="003F1B52">
        <w:rPr>
          <w:rFonts w:cstheme="minorHAnsi"/>
        </w:rPr>
        <w:t>In both cases, t</w:t>
      </w:r>
      <w:r w:rsidRPr="00CC52EB" w:rsidR="00D10A25">
        <w:rPr>
          <w:rFonts w:cstheme="minorHAnsi"/>
        </w:rPr>
        <w:t xml:space="preserve">he largest expense is </w:t>
      </w:r>
      <w:r w:rsidRPr="00CC52EB" w:rsidR="000A1576">
        <w:rPr>
          <w:rFonts w:cstheme="minorHAnsi"/>
        </w:rPr>
        <w:t xml:space="preserve">that </w:t>
      </w:r>
      <w:r w:rsidRPr="00CC52EB" w:rsidR="00D10A25">
        <w:rPr>
          <w:rFonts w:cstheme="minorHAnsi"/>
        </w:rPr>
        <w:t>associated with Census</w:t>
      </w:r>
      <w:r w:rsidRPr="00CC52EB" w:rsidR="0069078B">
        <w:rPr>
          <w:rFonts w:cstheme="minorHAnsi"/>
        </w:rPr>
        <w:t xml:space="preserve">’s </w:t>
      </w:r>
      <w:r w:rsidRPr="00CC52EB" w:rsidR="00D10A25">
        <w:rPr>
          <w:rFonts w:cstheme="minorHAnsi"/>
        </w:rPr>
        <w:t>management</w:t>
      </w:r>
      <w:r w:rsidRPr="00CC52EB" w:rsidR="0069078B">
        <w:rPr>
          <w:rFonts w:cstheme="minorHAnsi"/>
        </w:rPr>
        <w:t xml:space="preserve"> of the incentives. Staff would</w:t>
      </w:r>
      <w:r w:rsidRPr="00CC52EB" w:rsidR="007D3B63">
        <w:rPr>
          <w:rFonts w:cstheme="minorHAnsi"/>
        </w:rPr>
        <w:t xml:space="preserve"> need to order the </w:t>
      </w:r>
      <w:r w:rsidRPr="00CC52EB" w:rsidR="0069078B">
        <w:rPr>
          <w:rFonts w:cstheme="minorHAnsi"/>
        </w:rPr>
        <w:t>cash delivery</w:t>
      </w:r>
      <w:r w:rsidRPr="00CC52EB" w:rsidR="007D3B63">
        <w:rPr>
          <w:rFonts w:cstheme="minorHAnsi"/>
        </w:rPr>
        <w:t>, check</w:t>
      </w:r>
      <w:r w:rsidRPr="00CC52EB" w:rsidR="0069078B">
        <w:rPr>
          <w:rFonts w:cstheme="minorHAnsi"/>
        </w:rPr>
        <w:t xml:space="preserve"> </w:t>
      </w:r>
      <w:r w:rsidRPr="00CC52EB" w:rsidR="007D3B63">
        <w:rPr>
          <w:rFonts w:cstheme="minorHAnsi"/>
        </w:rPr>
        <w:t>in</w:t>
      </w:r>
      <w:r w:rsidRPr="00CC52EB" w:rsidR="00272416">
        <w:rPr>
          <w:rFonts w:cstheme="minorHAnsi"/>
        </w:rPr>
        <w:t xml:space="preserve"> cash</w:t>
      </w:r>
      <w:r w:rsidRPr="00CC52EB" w:rsidR="007D3B63">
        <w:rPr>
          <w:rFonts w:cstheme="minorHAnsi"/>
        </w:rPr>
        <w:t xml:space="preserve"> shipments</w:t>
      </w:r>
      <w:r w:rsidRPr="00CC52EB" w:rsidR="00272416">
        <w:rPr>
          <w:rFonts w:cstheme="minorHAnsi"/>
        </w:rPr>
        <w:t>,</w:t>
      </w:r>
      <w:r w:rsidRPr="00CC52EB" w:rsidR="007D3B63">
        <w:rPr>
          <w:rFonts w:cstheme="minorHAnsi"/>
        </w:rPr>
        <w:t xml:space="preserve"> secure funds at the National Processing Center</w:t>
      </w:r>
      <w:r w:rsidRPr="00CC52EB" w:rsidR="00C51F3A">
        <w:rPr>
          <w:rFonts w:cstheme="minorHAnsi"/>
        </w:rPr>
        <w:t xml:space="preserve"> (NPC)</w:t>
      </w:r>
      <w:r w:rsidRPr="00CC52EB" w:rsidR="007D3B63">
        <w:rPr>
          <w:rFonts w:cstheme="minorHAnsi"/>
        </w:rPr>
        <w:t>, and assemble and mail the incentives.</w:t>
      </w:r>
      <w:r w:rsidRPr="00CC52EB" w:rsidR="00C51F3A">
        <w:rPr>
          <w:rFonts w:cstheme="minorHAnsi"/>
        </w:rPr>
        <w:t xml:space="preserve"> Because Census staff no longer would need to track funds and generate reports after the incentives are mailed, the management costs associated with cash incentives </w:t>
      </w:r>
      <w:r w:rsidRPr="00CC52EB" w:rsidR="0069078B">
        <w:rPr>
          <w:rFonts w:cstheme="minorHAnsi"/>
        </w:rPr>
        <w:t>are</w:t>
      </w:r>
      <w:r w:rsidRPr="00CC52EB" w:rsidR="00C51F3A">
        <w:rPr>
          <w:rFonts w:cstheme="minorHAnsi"/>
        </w:rPr>
        <w:t xml:space="preserve"> expected to be </w:t>
      </w:r>
      <w:r w:rsidRPr="00CC52EB" w:rsidR="008D7F2C">
        <w:rPr>
          <w:rFonts w:cstheme="minorHAnsi"/>
        </w:rPr>
        <w:t xml:space="preserve">approximately $57,000 per year, which is </w:t>
      </w:r>
      <w:r w:rsidRPr="00CC52EB" w:rsidR="00C51F3A">
        <w:rPr>
          <w:rFonts w:cstheme="minorHAnsi"/>
        </w:rPr>
        <w:t>$25,000</w:t>
      </w:r>
      <w:r w:rsidRPr="00CC52EB" w:rsidR="008D7F2C">
        <w:rPr>
          <w:rFonts w:cstheme="minorHAnsi"/>
        </w:rPr>
        <w:t xml:space="preserve"> </w:t>
      </w:r>
      <w:r w:rsidRPr="00CC52EB" w:rsidR="00C51F3A">
        <w:rPr>
          <w:rFonts w:cstheme="minorHAnsi"/>
        </w:rPr>
        <w:t>less than the costs associated with managing the debit cards.</w:t>
      </w:r>
      <w:r w:rsidRPr="00CC52EB" w:rsidR="00272416">
        <w:rPr>
          <w:rFonts w:cstheme="minorHAnsi"/>
        </w:rPr>
        <w:t xml:space="preserve"> </w:t>
      </w:r>
    </w:p>
    <w:p w:rsidR="00E53C7D" w:rsidP="00802492" w:rsidRDefault="0069078B" w14:paraId="493A0692" w14:textId="2B60E26B">
      <w:pPr>
        <w:spacing w:line="360" w:lineRule="auto"/>
        <w:ind w:firstLine="720"/>
        <w:rPr>
          <w:rFonts w:cstheme="minorHAnsi"/>
        </w:rPr>
      </w:pPr>
      <w:r w:rsidRPr="00CC52EB">
        <w:rPr>
          <w:rFonts w:cstheme="minorHAnsi"/>
        </w:rPr>
        <w:t xml:space="preserve">The ATUS program would incur </w:t>
      </w:r>
      <w:r w:rsidRPr="00CC52EB" w:rsidR="00D21462">
        <w:rPr>
          <w:rFonts w:cstheme="minorHAnsi"/>
        </w:rPr>
        <w:t>bank fees</w:t>
      </w:r>
      <w:r w:rsidRPr="00CC52EB">
        <w:rPr>
          <w:rFonts w:cstheme="minorHAnsi"/>
        </w:rPr>
        <w:t xml:space="preserve"> </w:t>
      </w:r>
      <w:r w:rsidRPr="00CC52EB" w:rsidR="008D7F2C">
        <w:rPr>
          <w:rFonts w:cstheme="minorHAnsi"/>
        </w:rPr>
        <w:t>each time cash is delivered to</w:t>
      </w:r>
      <w:r w:rsidRPr="00CC52EB" w:rsidR="00D21462">
        <w:rPr>
          <w:rFonts w:cstheme="minorHAnsi"/>
        </w:rPr>
        <w:t xml:space="preserve"> NPC</w:t>
      </w:r>
      <w:r w:rsidRPr="00CC52EB">
        <w:rPr>
          <w:rFonts w:cstheme="minorHAnsi"/>
        </w:rPr>
        <w:t xml:space="preserve">. </w:t>
      </w:r>
      <w:r w:rsidRPr="00CC52EB" w:rsidR="00272416">
        <w:rPr>
          <w:rFonts w:cstheme="minorHAnsi"/>
        </w:rPr>
        <w:t>Banks charge approximately $</w:t>
      </w:r>
      <w:r w:rsidRPr="00CC52EB" w:rsidR="00216E50">
        <w:rPr>
          <w:rFonts w:cstheme="minorHAnsi"/>
        </w:rPr>
        <w:t>12</w:t>
      </w:r>
      <w:r w:rsidRPr="00CC52EB" w:rsidR="00272416">
        <w:rPr>
          <w:rFonts w:cstheme="minorHAnsi"/>
        </w:rPr>
        <w:t xml:space="preserve">,000 </w:t>
      </w:r>
      <w:r w:rsidRPr="00CC52EB">
        <w:rPr>
          <w:rFonts w:cstheme="minorHAnsi"/>
        </w:rPr>
        <w:t>per delivery</w:t>
      </w:r>
      <w:r>
        <w:rPr>
          <w:rFonts w:cstheme="minorHAnsi"/>
        </w:rPr>
        <w:t xml:space="preserve">, but a couple </w:t>
      </w:r>
      <w:r w:rsidR="0079796C">
        <w:rPr>
          <w:rFonts w:cstheme="minorHAnsi"/>
        </w:rPr>
        <w:t xml:space="preserve">of </w:t>
      </w:r>
      <w:r>
        <w:rPr>
          <w:rFonts w:cstheme="minorHAnsi"/>
        </w:rPr>
        <w:t>factors could help to minimize the</w:t>
      </w:r>
      <w:r w:rsidR="00D21462">
        <w:rPr>
          <w:rFonts w:cstheme="minorHAnsi"/>
        </w:rPr>
        <w:t>se</w:t>
      </w:r>
      <w:r>
        <w:rPr>
          <w:rFonts w:cstheme="minorHAnsi"/>
        </w:rPr>
        <w:t xml:space="preserve"> costs.</w:t>
      </w:r>
      <w:r w:rsidR="00D21462">
        <w:rPr>
          <w:rFonts w:cstheme="minorHAnsi"/>
        </w:rPr>
        <w:t xml:space="preserve"> First, N</w:t>
      </w:r>
      <w:r>
        <w:rPr>
          <w:rFonts w:cstheme="minorHAnsi"/>
        </w:rPr>
        <w:t>PC allows up to one year’s worth of incentive cash to be delivered at a time, and s</w:t>
      </w:r>
      <w:r w:rsidR="00E53C7D">
        <w:rPr>
          <w:rFonts w:cstheme="minorHAnsi"/>
        </w:rPr>
        <w:t xml:space="preserve">o at most ATUS would need to fund </w:t>
      </w:r>
      <w:r>
        <w:rPr>
          <w:rFonts w:cstheme="minorHAnsi"/>
        </w:rPr>
        <w:t xml:space="preserve">one delivery per year. </w:t>
      </w:r>
      <w:r w:rsidR="00E53C7D">
        <w:rPr>
          <w:rFonts w:cstheme="minorHAnsi"/>
        </w:rPr>
        <w:t xml:space="preserve">Second, deliveries and their associated costs can be shared as long as </w:t>
      </w:r>
      <w:r>
        <w:rPr>
          <w:rFonts w:cstheme="minorHAnsi"/>
        </w:rPr>
        <w:t xml:space="preserve">ATUS is able to </w:t>
      </w:r>
      <w:r w:rsidR="00E53C7D">
        <w:rPr>
          <w:rFonts w:cstheme="minorHAnsi"/>
        </w:rPr>
        <w:t xml:space="preserve">coordinate this with </w:t>
      </w:r>
      <w:r w:rsidR="00017C59">
        <w:rPr>
          <w:rFonts w:cstheme="minorHAnsi"/>
        </w:rPr>
        <w:t>other</w:t>
      </w:r>
      <w:r w:rsidR="00E53C7D">
        <w:rPr>
          <w:rFonts w:cstheme="minorHAnsi"/>
        </w:rPr>
        <w:t xml:space="preserve"> survey</w:t>
      </w:r>
      <w:r w:rsidR="00017C59">
        <w:rPr>
          <w:rFonts w:cstheme="minorHAnsi"/>
        </w:rPr>
        <w:t>s</w:t>
      </w:r>
      <w:r>
        <w:rPr>
          <w:rFonts w:cstheme="minorHAnsi"/>
        </w:rPr>
        <w:t>.</w:t>
      </w:r>
      <w:r w:rsidR="00110E84">
        <w:rPr>
          <w:rFonts w:cstheme="minorHAnsi"/>
        </w:rPr>
        <w:t xml:space="preserve"> </w:t>
      </w:r>
      <w:r w:rsidRPr="00CC52EB" w:rsidR="00110E84">
        <w:rPr>
          <w:rFonts w:cstheme="minorHAnsi"/>
        </w:rPr>
        <w:t>Finally, approximately</w:t>
      </w:r>
      <w:r w:rsidRPr="00CC52EB" w:rsidR="003F1B52">
        <w:rPr>
          <w:rFonts w:cstheme="minorHAnsi"/>
        </w:rPr>
        <w:t xml:space="preserve"> $13,500 per year would be needed to purchase $5 cash incentives, or twice this</w:t>
      </w:r>
      <w:r w:rsidRPr="00CC52EB" w:rsidR="000A1576">
        <w:rPr>
          <w:rFonts w:cstheme="minorHAnsi"/>
        </w:rPr>
        <w:t>—$</w:t>
      </w:r>
      <w:r w:rsidRPr="00CC52EB" w:rsidR="00A347D4">
        <w:rPr>
          <w:rFonts w:cstheme="minorHAnsi"/>
        </w:rPr>
        <w:t>27,000</w:t>
      </w:r>
      <w:r w:rsidRPr="00CC52EB" w:rsidR="00110E84">
        <w:rPr>
          <w:rFonts w:cstheme="minorHAnsi"/>
        </w:rPr>
        <w:t xml:space="preserve"> per year</w:t>
      </w:r>
      <w:r w:rsidRPr="00CC52EB" w:rsidR="00DE31AA">
        <w:rPr>
          <w:rFonts w:cstheme="minorHAnsi"/>
        </w:rPr>
        <w:t>—</w:t>
      </w:r>
      <w:r w:rsidRPr="00CC52EB" w:rsidR="00110E84">
        <w:rPr>
          <w:rFonts w:cstheme="minorHAnsi"/>
        </w:rPr>
        <w:t>would be needed to purchase $</w:t>
      </w:r>
      <w:r w:rsidRPr="00CC52EB" w:rsidR="00A347D4">
        <w:rPr>
          <w:rFonts w:cstheme="minorHAnsi"/>
        </w:rPr>
        <w:t xml:space="preserve">10 </w:t>
      </w:r>
      <w:r w:rsidRPr="00CC52EB" w:rsidR="008D7F2C">
        <w:rPr>
          <w:rFonts w:cstheme="minorHAnsi"/>
        </w:rPr>
        <w:t xml:space="preserve">cash </w:t>
      </w:r>
      <w:r w:rsidRPr="00CC52EB" w:rsidR="00110E84">
        <w:rPr>
          <w:rFonts w:cstheme="minorHAnsi"/>
        </w:rPr>
        <w:t>incentives.</w:t>
      </w:r>
    </w:p>
    <w:p w:rsidR="007D3B63" w:rsidP="00802492" w:rsidRDefault="0069078B" w14:paraId="5552C416" w14:textId="70F870FA">
      <w:pPr>
        <w:spacing w:line="360" w:lineRule="auto"/>
        <w:ind w:firstLine="720"/>
        <w:rPr>
          <w:rFonts w:cstheme="minorHAnsi"/>
        </w:rPr>
      </w:pPr>
      <w:r>
        <w:rPr>
          <w:rFonts w:cstheme="minorHAnsi"/>
        </w:rPr>
        <w:t xml:space="preserve"> </w:t>
      </w:r>
      <w:r w:rsidR="00C51F3A">
        <w:rPr>
          <w:rFonts w:cstheme="minorHAnsi"/>
        </w:rPr>
        <w:t xml:space="preserve"> </w:t>
      </w:r>
      <w:r w:rsidR="00110E84">
        <w:rPr>
          <w:rFonts w:cstheme="minorHAnsi"/>
        </w:rPr>
        <w:t xml:space="preserve">The use of cash incentives is expected to save </w:t>
      </w:r>
      <w:r w:rsidR="003F1B52">
        <w:rPr>
          <w:rFonts w:cstheme="minorHAnsi"/>
        </w:rPr>
        <w:t>between</w:t>
      </w:r>
      <w:r w:rsidR="00110E84">
        <w:rPr>
          <w:rFonts w:cstheme="minorHAnsi"/>
        </w:rPr>
        <w:t xml:space="preserve"> $</w:t>
      </w:r>
      <w:r w:rsidR="00A347D4">
        <w:rPr>
          <w:rFonts w:cstheme="minorHAnsi"/>
        </w:rPr>
        <w:t>5</w:t>
      </w:r>
      <w:r w:rsidR="00216E50">
        <w:rPr>
          <w:rFonts w:cstheme="minorHAnsi"/>
        </w:rPr>
        <w:t>6</w:t>
      </w:r>
      <w:r w:rsidR="00A347D4">
        <w:rPr>
          <w:rFonts w:cstheme="minorHAnsi"/>
        </w:rPr>
        <w:t>,000</w:t>
      </w:r>
      <w:r w:rsidR="00110E84">
        <w:rPr>
          <w:rFonts w:cstheme="minorHAnsi"/>
        </w:rPr>
        <w:t xml:space="preserve"> per year</w:t>
      </w:r>
      <w:r w:rsidR="003F1B52">
        <w:rPr>
          <w:rFonts w:cstheme="minorHAnsi"/>
        </w:rPr>
        <w:t xml:space="preserve"> (if </w:t>
      </w:r>
      <w:r w:rsidR="004C36CC">
        <w:rPr>
          <w:rFonts w:cstheme="minorHAnsi"/>
        </w:rPr>
        <w:t>only</w:t>
      </w:r>
      <w:r w:rsidR="003F1B52">
        <w:rPr>
          <w:rFonts w:cstheme="minorHAnsi"/>
        </w:rPr>
        <w:t xml:space="preserve"> $10 cash incentives are used) and $6</w:t>
      </w:r>
      <w:r w:rsidR="00216E50">
        <w:rPr>
          <w:rFonts w:cstheme="minorHAnsi"/>
        </w:rPr>
        <w:t>9</w:t>
      </w:r>
      <w:r w:rsidR="003F1B52">
        <w:rPr>
          <w:rFonts w:cstheme="minorHAnsi"/>
        </w:rPr>
        <w:t xml:space="preserve">,500 per year (if </w:t>
      </w:r>
      <w:r w:rsidR="004C36CC">
        <w:rPr>
          <w:rFonts w:cstheme="minorHAnsi"/>
        </w:rPr>
        <w:t>only</w:t>
      </w:r>
      <w:r w:rsidR="003F1B52">
        <w:rPr>
          <w:rFonts w:cstheme="minorHAnsi"/>
        </w:rPr>
        <w:t xml:space="preserve"> $5 cash incentives are used)</w:t>
      </w:r>
      <w:r w:rsidR="00110E84">
        <w:rPr>
          <w:rFonts w:cstheme="minorHAnsi"/>
        </w:rPr>
        <w:t xml:space="preserve"> in costs associated with the ATUS program’s use of incentives. These funds could be spent </w:t>
      </w:r>
      <w:r w:rsidR="00BE5BAD">
        <w:rPr>
          <w:rFonts w:cstheme="minorHAnsi"/>
        </w:rPr>
        <w:t xml:space="preserve">on other aspects of the survey, </w:t>
      </w:r>
      <w:r w:rsidR="00110E84">
        <w:rPr>
          <w:rFonts w:cstheme="minorHAnsi"/>
        </w:rPr>
        <w:t>such as expanding incentives to target groups with the lowest survey response rates.</w:t>
      </w:r>
    </w:p>
    <w:p w:rsidR="004C36CC" w:rsidP="004C36CC" w:rsidRDefault="004C36CC" w14:paraId="154DC75B" w14:textId="63E5A3A1">
      <w:pPr>
        <w:rPr>
          <w:rFonts w:cstheme="minorHAnsi"/>
        </w:rPr>
      </w:pPr>
      <w:r>
        <w:rPr>
          <w:rFonts w:cstheme="minorHAnsi"/>
        </w:rPr>
        <w:br w:type="page"/>
      </w:r>
    </w:p>
    <w:tbl>
      <w:tblPr>
        <w:tblW w:w="9400" w:type="dxa"/>
        <w:tblLook w:val="04A0" w:firstRow="1" w:lastRow="0" w:firstColumn="1" w:lastColumn="0" w:noHBand="0" w:noVBand="1"/>
      </w:tblPr>
      <w:tblGrid>
        <w:gridCol w:w="7867"/>
        <w:gridCol w:w="1533"/>
      </w:tblGrid>
      <w:tr w:rsidRPr="00FE1AD7" w:rsidR="00FE1AD7" w:rsidTr="00FE1AD7" w14:paraId="46A121FA" w14:textId="77777777">
        <w:trPr>
          <w:trHeight w:val="288"/>
        </w:trPr>
        <w:tc>
          <w:tcPr>
            <w:tcW w:w="9400" w:type="dxa"/>
            <w:gridSpan w:val="2"/>
            <w:tcBorders>
              <w:top w:val="nil"/>
              <w:left w:val="nil"/>
              <w:bottom w:val="single" w:color="auto" w:sz="4" w:space="0"/>
              <w:right w:val="nil"/>
            </w:tcBorders>
            <w:shd w:val="clear" w:color="auto" w:fill="auto"/>
            <w:noWrap/>
            <w:vAlign w:val="bottom"/>
            <w:hideMark/>
          </w:tcPr>
          <w:p w:rsidRPr="00FE1AD7" w:rsidR="00FE1AD7" w:rsidP="00FE1AD7" w:rsidRDefault="00FE1AD7" w14:paraId="2EFD4DDF" w14:textId="77777777">
            <w:pPr>
              <w:spacing w:after="0" w:line="240" w:lineRule="auto"/>
              <w:rPr>
                <w:rFonts w:ascii="Calibri" w:hAnsi="Calibri" w:eastAsia="Times New Roman" w:cs="Calibri"/>
                <w:i/>
                <w:iCs/>
                <w:color w:val="000000"/>
              </w:rPr>
            </w:pPr>
            <w:r w:rsidRPr="00FE1AD7">
              <w:rPr>
                <w:rFonts w:ascii="Calibri" w:hAnsi="Calibri" w:eastAsia="Times New Roman" w:cs="Calibri"/>
                <w:i/>
                <w:iCs/>
                <w:color w:val="000000"/>
              </w:rPr>
              <w:lastRenderedPageBreak/>
              <w:t>Table 3. Approximate annual costs associated with sending $5 and $10 cash incentives</w:t>
            </w:r>
          </w:p>
        </w:tc>
      </w:tr>
      <w:tr w:rsidRPr="00FE1AD7" w:rsidR="00FE1AD7" w:rsidTr="00FE1AD7" w14:paraId="176F356F" w14:textId="77777777">
        <w:trPr>
          <w:trHeight w:val="288"/>
        </w:trPr>
        <w:tc>
          <w:tcPr>
            <w:tcW w:w="7867" w:type="dxa"/>
            <w:tcBorders>
              <w:top w:val="nil"/>
              <w:left w:val="single" w:color="auto" w:sz="4" w:space="0"/>
              <w:bottom w:val="single" w:color="auto" w:sz="4" w:space="0"/>
              <w:right w:val="nil"/>
            </w:tcBorders>
            <w:shd w:val="clear" w:color="000000" w:fill="EDEDED"/>
            <w:noWrap/>
            <w:vAlign w:val="bottom"/>
            <w:hideMark/>
          </w:tcPr>
          <w:p w:rsidRPr="00FE1AD7" w:rsidR="00FE1AD7" w:rsidP="00FE1AD7" w:rsidRDefault="00FE1AD7" w14:paraId="2EA155FA" w14:textId="77777777">
            <w:pPr>
              <w:spacing w:after="0" w:line="240" w:lineRule="auto"/>
              <w:rPr>
                <w:rFonts w:ascii="Calibri" w:hAnsi="Calibri" w:eastAsia="Times New Roman" w:cs="Calibri"/>
                <w:color w:val="000000"/>
              </w:rPr>
            </w:pPr>
            <w:r w:rsidRPr="00FE1AD7">
              <w:rPr>
                <w:rFonts w:ascii="Calibri" w:hAnsi="Calibri" w:eastAsia="Times New Roman" w:cs="Calibri"/>
                <w:color w:val="000000"/>
              </w:rPr>
              <w:t> </w:t>
            </w:r>
          </w:p>
        </w:tc>
        <w:tc>
          <w:tcPr>
            <w:tcW w:w="1533" w:type="dxa"/>
            <w:tcBorders>
              <w:top w:val="nil"/>
              <w:left w:val="nil"/>
              <w:bottom w:val="single" w:color="auto" w:sz="4" w:space="0"/>
              <w:right w:val="single" w:color="auto" w:sz="4" w:space="0"/>
            </w:tcBorders>
            <w:shd w:val="clear" w:color="000000" w:fill="EDEDED"/>
            <w:vAlign w:val="bottom"/>
            <w:hideMark/>
          </w:tcPr>
          <w:p w:rsidRPr="00FE1AD7" w:rsidR="00FE1AD7" w:rsidP="00FE1AD7" w:rsidRDefault="00FE1AD7" w14:paraId="7E6C2FB5" w14:textId="77777777">
            <w:pPr>
              <w:spacing w:after="0" w:line="240" w:lineRule="auto"/>
              <w:jc w:val="center"/>
              <w:rPr>
                <w:rFonts w:ascii="Calibri" w:hAnsi="Calibri" w:eastAsia="Times New Roman" w:cs="Calibri"/>
                <w:color w:val="000000"/>
              </w:rPr>
            </w:pPr>
            <w:r w:rsidRPr="00FE1AD7">
              <w:rPr>
                <w:rFonts w:ascii="Calibri" w:hAnsi="Calibri" w:eastAsia="Times New Roman" w:cs="Calibri"/>
                <w:color w:val="000000"/>
              </w:rPr>
              <w:t>Annual costs</w:t>
            </w:r>
          </w:p>
        </w:tc>
      </w:tr>
      <w:tr w:rsidRPr="00FE1AD7" w:rsidR="00FE1AD7" w:rsidTr="00FE1AD7" w14:paraId="13EDF914" w14:textId="77777777">
        <w:trPr>
          <w:trHeight w:val="288"/>
        </w:trPr>
        <w:tc>
          <w:tcPr>
            <w:tcW w:w="7867" w:type="dxa"/>
            <w:tcBorders>
              <w:top w:val="nil"/>
              <w:left w:val="single" w:color="auto" w:sz="4" w:space="0"/>
              <w:bottom w:val="nil"/>
              <w:right w:val="nil"/>
            </w:tcBorders>
            <w:shd w:val="clear" w:color="auto" w:fill="auto"/>
            <w:noWrap/>
            <w:vAlign w:val="bottom"/>
            <w:hideMark/>
          </w:tcPr>
          <w:p w:rsidRPr="00FE1AD7" w:rsidR="00FE1AD7" w:rsidP="004C36CC" w:rsidRDefault="00FE1AD7" w14:paraId="20618E69" w14:textId="6926D81B">
            <w:pPr>
              <w:spacing w:after="0" w:line="240" w:lineRule="auto"/>
              <w:rPr>
                <w:rFonts w:ascii="Calibri" w:hAnsi="Calibri" w:eastAsia="Times New Roman" w:cs="Calibri"/>
                <w:b/>
                <w:bCs/>
                <w:color w:val="000000"/>
              </w:rPr>
            </w:pPr>
            <w:r w:rsidRPr="00FE1AD7">
              <w:rPr>
                <w:rFonts w:ascii="Calibri" w:hAnsi="Calibri" w:eastAsia="Times New Roman" w:cs="Calibri"/>
                <w:b/>
                <w:bCs/>
                <w:color w:val="000000"/>
              </w:rPr>
              <w:t xml:space="preserve">Costs associated with use of </w:t>
            </w:r>
            <w:r w:rsidR="004C36CC">
              <w:rPr>
                <w:rFonts w:ascii="Calibri" w:hAnsi="Calibri" w:eastAsia="Times New Roman" w:cs="Calibri"/>
                <w:b/>
                <w:bCs/>
                <w:color w:val="000000"/>
              </w:rPr>
              <w:t xml:space="preserve">only </w:t>
            </w:r>
            <w:r w:rsidRPr="00FE1AD7">
              <w:rPr>
                <w:rFonts w:ascii="Calibri" w:hAnsi="Calibri" w:eastAsia="Times New Roman" w:cs="Calibri"/>
                <w:b/>
                <w:bCs/>
                <w:color w:val="000000"/>
              </w:rPr>
              <w:t>$5 incentives</w:t>
            </w:r>
          </w:p>
        </w:tc>
        <w:tc>
          <w:tcPr>
            <w:tcW w:w="1533" w:type="dxa"/>
            <w:tcBorders>
              <w:top w:val="nil"/>
              <w:left w:val="nil"/>
              <w:bottom w:val="nil"/>
              <w:right w:val="single" w:color="auto" w:sz="4" w:space="0"/>
            </w:tcBorders>
            <w:shd w:val="clear" w:color="auto" w:fill="auto"/>
            <w:vAlign w:val="bottom"/>
            <w:hideMark/>
          </w:tcPr>
          <w:p w:rsidRPr="00FE1AD7" w:rsidR="00FE1AD7" w:rsidP="00FE1AD7" w:rsidRDefault="00FE1AD7" w14:paraId="59A116A1" w14:textId="77777777">
            <w:pPr>
              <w:spacing w:after="0" w:line="240" w:lineRule="auto"/>
              <w:jc w:val="center"/>
              <w:rPr>
                <w:rFonts w:ascii="Calibri" w:hAnsi="Calibri" w:eastAsia="Times New Roman" w:cs="Calibri"/>
                <w:color w:val="000000"/>
              </w:rPr>
            </w:pPr>
            <w:r w:rsidRPr="00FE1AD7">
              <w:rPr>
                <w:rFonts w:ascii="Calibri" w:hAnsi="Calibri" w:eastAsia="Times New Roman" w:cs="Calibri"/>
                <w:color w:val="000000"/>
              </w:rPr>
              <w:t> </w:t>
            </w:r>
          </w:p>
        </w:tc>
      </w:tr>
      <w:tr w:rsidRPr="00FE1AD7" w:rsidR="00FE1AD7" w:rsidTr="00FE1AD7" w14:paraId="620BD744" w14:textId="77777777">
        <w:trPr>
          <w:trHeight w:val="288"/>
        </w:trPr>
        <w:tc>
          <w:tcPr>
            <w:tcW w:w="7867" w:type="dxa"/>
            <w:tcBorders>
              <w:top w:val="nil"/>
              <w:left w:val="single" w:color="auto" w:sz="4" w:space="0"/>
              <w:bottom w:val="nil"/>
              <w:right w:val="nil"/>
            </w:tcBorders>
            <w:shd w:val="clear" w:color="auto" w:fill="auto"/>
            <w:noWrap/>
            <w:vAlign w:val="bottom"/>
            <w:hideMark/>
          </w:tcPr>
          <w:p w:rsidRPr="00FE1AD7" w:rsidR="00FE1AD7" w:rsidP="00FE1AD7" w:rsidRDefault="00FE1AD7" w14:paraId="2B793EE5" w14:textId="77777777">
            <w:pPr>
              <w:spacing w:after="0" w:line="240" w:lineRule="auto"/>
              <w:ind w:firstLine="440" w:firstLineChars="200"/>
              <w:rPr>
                <w:rFonts w:ascii="Calibri" w:hAnsi="Calibri" w:eastAsia="Times New Roman" w:cs="Calibri"/>
                <w:color w:val="000000"/>
              </w:rPr>
            </w:pPr>
            <w:r w:rsidRPr="00FE1AD7">
              <w:rPr>
                <w:rFonts w:ascii="Calibri" w:hAnsi="Calibri" w:eastAsia="Times New Roman" w:cs="Calibri"/>
                <w:color w:val="000000"/>
              </w:rPr>
              <w:t>Census staff management costs</w:t>
            </w:r>
          </w:p>
        </w:tc>
        <w:tc>
          <w:tcPr>
            <w:tcW w:w="1533" w:type="dxa"/>
            <w:tcBorders>
              <w:top w:val="nil"/>
              <w:left w:val="nil"/>
              <w:bottom w:val="nil"/>
              <w:right w:val="single" w:color="auto" w:sz="4" w:space="0"/>
            </w:tcBorders>
            <w:shd w:val="clear" w:color="auto" w:fill="auto"/>
            <w:noWrap/>
            <w:vAlign w:val="bottom"/>
            <w:hideMark/>
          </w:tcPr>
          <w:p w:rsidRPr="00FE1AD7" w:rsidR="00FE1AD7" w:rsidP="00FE1AD7" w:rsidRDefault="00FE1AD7" w14:paraId="656EADBB" w14:textId="77777777">
            <w:pPr>
              <w:spacing w:after="0" w:line="240" w:lineRule="auto"/>
              <w:jc w:val="right"/>
              <w:rPr>
                <w:rFonts w:ascii="Calibri" w:hAnsi="Calibri" w:eastAsia="Times New Roman" w:cs="Calibri"/>
                <w:color w:val="000000"/>
              </w:rPr>
            </w:pPr>
            <w:r w:rsidRPr="00FE1AD7">
              <w:rPr>
                <w:rFonts w:ascii="Calibri" w:hAnsi="Calibri" w:eastAsia="Times New Roman" w:cs="Calibri"/>
                <w:color w:val="000000"/>
              </w:rPr>
              <w:t>$57,000</w:t>
            </w:r>
          </w:p>
        </w:tc>
      </w:tr>
      <w:tr w:rsidRPr="00FE1AD7" w:rsidR="00FE1AD7" w:rsidTr="00FE1AD7" w14:paraId="3A4809FE" w14:textId="77777777">
        <w:trPr>
          <w:trHeight w:val="324"/>
        </w:trPr>
        <w:tc>
          <w:tcPr>
            <w:tcW w:w="7867" w:type="dxa"/>
            <w:tcBorders>
              <w:top w:val="nil"/>
              <w:left w:val="single" w:color="auto" w:sz="4" w:space="0"/>
              <w:bottom w:val="nil"/>
              <w:right w:val="nil"/>
            </w:tcBorders>
            <w:shd w:val="clear" w:color="auto" w:fill="auto"/>
            <w:noWrap/>
            <w:vAlign w:val="bottom"/>
            <w:hideMark/>
          </w:tcPr>
          <w:p w:rsidRPr="00FE1AD7" w:rsidR="00FE1AD7" w:rsidP="00FE1AD7" w:rsidRDefault="00FE1AD7" w14:paraId="7B4E40F6" w14:textId="77777777">
            <w:pPr>
              <w:spacing w:after="0" w:line="240" w:lineRule="auto"/>
              <w:ind w:firstLine="440" w:firstLineChars="200"/>
              <w:rPr>
                <w:rFonts w:ascii="Calibri" w:hAnsi="Calibri" w:eastAsia="Times New Roman" w:cs="Calibri"/>
                <w:color w:val="000000"/>
              </w:rPr>
            </w:pPr>
            <w:r w:rsidRPr="00FE1AD7">
              <w:rPr>
                <w:rFonts w:ascii="Calibri" w:hAnsi="Calibri" w:eastAsia="Times New Roman" w:cs="Calibri"/>
                <w:color w:val="000000"/>
              </w:rPr>
              <w:t xml:space="preserve">Funds sent as cash incentives </w:t>
            </w:r>
            <w:r w:rsidRPr="00FE1AD7">
              <w:rPr>
                <w:rFonts w:ascii="Calibri" w:hAnsi="Calibri" w:eastAsia="Times New Roman" w:cs="Calibri"/>
                <w:color w:val="000000"/>
                <w:vertAlign w:val="superscript"/>
              </w:rPr>
              <w:t>a</w:t>
            </w:r>
          </w:p>
        </w:tc>
        <w:tc>
          <w:tcPr>
            <w:tcW w:w="1533" w:type="dxa"/>
            <w:tcBorders>
              <w:top w:val="nil"/>
              <w:left w:val="nil"/>
              <w:bottom w:val="nil"/>
              <w:right w:val="single" w:color="auto" w:sz="4" w:space="0"/>
            </w:tcBorders>
            <w:shd w:val="clear" w:color="auto" w:fill="auto"/>
            <w:noWrap/>
            <w:vAlign w:val="bottom"/>
            <w:hideMark/>
          </w:tcPr>
          <w:p w:rsidRPr="00FE1AD7" w:rsidR="00FE1AD7" w:rsidP="00FE1AD7" w:rsidRDefault="00FE1AD7" w14:paraId="041F27D7" w14:textId="77777777">
            <w:pPr>
              <w:spacing w:after="0" w:line="240" w:lineRule="auto"/>
              <w:jc w:val="right"/>
              <w:rPr>
                <w:rFonts w:ascii="Calibri" w:hAnsi="Calibri" w:eastAsia="Times New Roman" w:cs="Calibri"/>
                <w:color w:val="000000"/>
              </w:rPr>
            </w:pPr>
            <w:r w:rsidRPr="00FE1AD7">
              <w:rPr>
                <w:rFonts w:ascii="Calibri" w:hAnsi="Calibri" w:eastAsia="Times New Roman" w:cs="Calibri"/>
                <w:color w:val="000000"/>
              </w:rPr>
              <w:t>$13,500</w:t>
            </w:r>
          </w:p>
        </w:tc>
      </w:tr>
      <w:tr w:rsidRPr="00FE1AD7" w:rsidR="00FE1AD7" w:rsidTr="00FE1AD7" w14:paraId="39F47285" w14:textId="77777777">
        <w:trPr>
          <w:trHeight w:val="324"/>
        </w:trPr>
        <w:tc>
          <w:tcPr>
            <w:tcW w:w="7867" w:type="dxa"/>
            <w:tcBorders>
              <w:top w:val="nil"/>
              <w:left w:val="single" w:color="auto" w:sz="4" w:space="0"/>
              <w:bottom w:val="nil"/>
              <w:right w:val="nil"/>
            </w:tcBorders>
            <w:shd w:val="clear" w:color="auto" w:fill="auto"/>
            <w:noWrap/>
            <w:vAlign w:val="bottom"/>
            <w:hideMark/>
          </w:tcPr>
          <w:p w:rsidRPr="00FE1AD7" w:rsidR="00FE1AD7" w:rsidP="00FE1AD7" w:rsidRDefault="00FE1AD7" w14:paraId="78B43986" w14:textId="77777777">
            <w:pPr>
              <w:spacing w:after="0" w:line="240" w:lineRule="auto"/>
              <w:ind w:firstLine="440" w:firstLineChars="200"/>
              <w:rPr>
                <w:rFonts w:ascii="Calibri" w:hAnsi="Calibri" w:eastAsia="Times New Roman" w:cs="Calibri"/>
              </w:rPr>
            </w:pPr>
            <w:r w:rsidRPr="00FE1AD7">
              <w:rPr>
                <w:rFonts w:ascii="Calibri" w:hAnsi="Calibri" w:eastAsia="Times New Roman" w:cs="Calibri"/>
              </w:rPr>
              <w:t xml:space="preserve">Bank fees associated with one cash delivery per year to Census </w:t>
            </w:r>
            <w:r w:rsidRPr="00FE1AD7">
              <w:rPr>
                <w:rFonts w:ascii="Calibri" w:hAnsi="Calibri" w:eastAsia="Times New Roman" w:cs="Calibri"/>
                <w:vertAlign w:val="superscript"/>
              </w:rPr>
              <w:t>b</w:t>
            </w:r>
          </w:p>
        </w:tc>
        <w:tc>
          <w:tcPr>
            <w:tcW w:w="1533" w:type="dxa"/>
            <w:tcBorders>
              <w:top w:val="nil"/>
              <w:left w:val="nil"/>
              <w:bottom w:val="nil"/>
              <w:right w:val="single" w:color="auto" w:sz="4" w:space="0"/>
            </w:tcBorders>
            <w:shd w:val="clear" w:color="auto" w:fill="auto"/>
            <w:noWrap/>
            <w:vAlign w:val="bottom"/>
            <w:hideMark/>
          </w:tcPr>
          <w:p w:rsidRPr="00FE1AD7" w:rsidR="00FE1AD7" w:rsidP="00216E50" w:rsidRDefault="00FE1AD7" w14:paraId="350FCB3B" w14:textId="061324EE">
            <w:pPr>
              <w:spacing w:after="0" w:line="240" w:lineRule="auto"/>
              <w:jc w:val="right"/>
              <w:rPr>
                <w:rFonts w:ascii="Calibri" w:hAnsi="Calibri" w:eastAsia="Times New Roman" w:cs="Calibri"/>
              </w:rPr>
            </w:pPr>
            <w:r w:rsidRPr="00FE1AD7">
              <w:rPr>
                <w:rFonts w:ascii="Calibri" w:hAnsi="Calibri" w:eastAsia="Times New Roman" w:cs="Calibri"/>
              </w:rPr>
              <w:t>$1</w:t>
            </w:r>
            <w:r w:rsidR="00216E50">
              <w:rPr>
                <w:rFonts w:ascii="Calibri" w:hAnsi="Calibri" w:eastAsia="Times New Roman" w:cs="Calibri"/>
              </w:rPr>
              <w:t>2</w:t>
            </w:r>
            <w:r w:rsidRPr="00FE1AD7">
              <w:rPr>
                <w:rFonts w:ascii="Calibri" w:hAnsi="Calibri" w:eastAsia="Times New Roman" w:cs="Calibri"/>
              </w:rPr>
              <w:t>,000</w:t>
            </w:r>
          </w:p>
        </w:tc>
      </w:tr>
      <w:tr w:rsidRPr="00FE1AD7" w:rsidR="00FE1AD7" w:rsidTr="00FE1AD7" w14:paraId="244D8321" w14:textId="77777777">
        <w:trPr>
          <w:trHeight w:val="300"/>
        </w:trPr>
        <w:tc>
          <w:tcPr>
            <w:tcW w:w="7867" w:type="dxa"/>
            <w:tcBorders>
              <w:top w:val="nil"/>
              <w:left w:val="single" w:color="auto" w:sz="4" w:space="0"/>
              <w:bottom w:val="single" w:color="auto" w:sz="4" w:space="0"/>
              <w:right w:val="nil"/>
            </w:tcBorders>
            <w:shd w:val="clear" w:color="auto" w:fill="auto"/>
            <w:noWrap/>
            <w:vAlign w:val="bottom"/>
            <w:hideMark/>
          </w:tcPr>
          <w:p w:rsidRPr="00FE1AD7" w:rsidR="00FE1AD7" w:rsidP="00FE1AD7" w:rsidRDefault="00FE1AD7" w14:paraId="71DA3B38" w14:textId="77777777">
            <w:pPr>
              <w:spacing w:after="0" w:line="240" w:lineRule="auto"/>
              <w:ind w:firstLine="440" w:firstLineChars="200"/>
              <w:rPr>
                <w:rFonts w:ascii="Calibri" w:hAnsi="Calibri" w:eastAsia="Times New Roman" w:cs="Calibri"/>
                <w:color w:val="000000"/>
              </w:rPr>
            </w:pPr>
            <w:r w:rsidRPr="00FE1AD7">
              <w:rPr>
                <w:rFonts w:ascii="Calibri" w:hAnsi="Calibri" w:eastAsia="Times New Roman" w:cs="Calibri"/>
                <w:color w:val="000000"/>
              </w:rPr>
              <w:t>Total cost of cash incentives</w:t>
            </w:r>
          </w:p>
        </w:tc>
        <w:tc>
          <w:tcPr>
            <w:tcW w:w="1533" w:type="dxa"/>
            <w:tcBorders>
              <w:top w:val="single" w:color="auto" w:sz="4" w:space="0"/>
              <w:left w:val="nil"/>
              <w:bottom w:val="double" w:color="auto" w:sz="6" w:space="0"/>
              <w:right w:val="single" w:color="auto" w:sz="4" w:space="0"/>
            </w:tcBorders>
            <w:shd w:val="clear" w:color="auto" w:fill="auto"/>
            <w:noWrap/>
            <w:vAlign w:val="bottom"/>
            <w:hideMark/>
          </w:tcPr>
          <w:p w:rsidRPr="00FE1AD7" w:rsidR="00FE1AD7" w:rsidP="00216E50" w:rsidRDefault="00FE1AD7" w14:paraId="5C1ECA8E" w14:textId="277C668D">
            <w:pPr>
              <w:spacing w:after="0" w:line="240" w:lineRule="auto"/>
              <w:jc w:val="right"/>
              <w:rPr>
                <w:rFonts w:ascii="Calibri" w:hAnsi="Calibri" w:eastAsia="Times New Roman" w:cs="Calibri"/>
                <w:color w:val="000000"/>
              </w:rPr>
            </w:pPr>
            <w:r w:rsidRPr="00FE1AD7">
              <w:rPr>
                <w:rFonts w:ascii="Calibri" w:hAnsi="Calibri" w:eastAsia="Times New Roman" w:cs="Calibri"/>
                <w:color w:val="000000"/>
              </w:rPr>
              <w:t>$8</w:t>
            </w:r>
            <w:r w:rsidR="00216E50">
              <w:rPr>
                <w:rFonts w:ascii="Calibri" w:hAnsi="Calibri" w:eastAsia="Times New Roman" w:cs="Calibri"/>
                <w:color w:val="000000"/>
              </w:rPr>
              <w:t>2</w:t>
            </w:r>
            <w:r w:rsidRPr="00FE1AD7">
              <w:rPr>
                <w:rFonts w:ascii="Calibri" w:hAnsi="Calibri" w:eastAsia="Times New Roman" w:cs="Calibri"/>
                <w:color w:val="000000"/>
              </w:rPr>
              <w:t>,500</w:t>
            </w:r>
          </w:p>
        </w:tc>
      </w:tr>
      <w:tr w:rsidRPr="00FE1AD7" w:rsidR="00FE1AD7" w:rsidTr="00FE1AD7" w14:paraId="7C03B3EA" w14:textId="77777777">
        <w:trPr>
          <w:trHeight w:val="300"/>
        </w:trPr>
        <w:tc>
          <w:tcPr>
            <w:tcW w:w="7867" w:type="dxa"/>
            <w:tcBorders>
              <w:top w:val="nil"/>
              <w:left w:val="single" w:color="auto" w:sz="4" w:space="0"/>
              <w:bottom w:val="nil"/>
              <w:right w:val="nil"/>
            </w:tcBorders>
            <w:shd w:val="clear" w:color="auto" w:fill="auto"/>
            <w:noWrap/>
            <w:vAlign w:val="bottom"/>
            <w:hideMark/>
          </w:tcPr>
          <w:p w:rsidRPr="00FE1AD7" w:rsidR="00FE1AD7" w:rsidP="004C36CC" w:rsidRDefault="00FE1AD7" w14:paraId="4CAC3EC9" w14:textId="33F158D5">
            <w:pPr>
              <w:spacing w:after="0" w:line="240" w:lineRule="auto"/>
              <w:rPr>
                <w:rFonts w:ascii="Calibri" w:hAnsi="Calibri" w:eastAsia="Times New Roman" w:cs="Calibri"/>
                <w:b/>
                <w:bCs/>
                <w:color w:val="000000"/>
              </w:rPr>
            </w:pPr>
            <w:r w:rsidRPr="00FE1AD7">
              <w:rPr>
                <w:rFonts w:ascii="Calibri" w:hAnsi="Calibri" w:eastAsia="Times New Roman" w:cs="Calibri"/>
                <w:b/>
                <w:bCs/>
                <w:color w:val="000000"/>
              </w:rPr>
              <w:t xml:space="preserve">Costs associated with use of </w:t>
            </w:r>
            <w:r w:rsidR="004C36CC">
              <w:rPr>
                <w:rFonts w:ascii="Calibri" w:hAnsi="Calibri" w:eastAsia="Times New Roman" w:cs="Calibri"/>
                <w:b/>
                <w:bCs/>
                <w:color w:val="000000"/>
              </w:rPr>
              <w:t xml:space="preserve">only </w:t>
            </w:r>
            <w:r w:rsidRPr="00FE1AD7">
              <w:rPr>
                <w:rFonts w:ascii="Calibri" w:hAnsi="Calibri" w:eastAsia="Times New Roman" w:cs="Calibri"/>
                <w:b/>
                <w:bCs/>
                <w:color w:val="000000"/>
              </w:rPr>
              <w:t>$10 incentives</w:t>
            </w:r>
          </w:p>
        </w:tc>
        <w:tc>
          <w:tcPr>
            <w:tcW w:w="1533" w:type="dxa"/>
            <w:tcBorders>
              <w:top w:val="nil"/>
              <w:left w:val="nil"/>
              <w:bottom w:val="nil"/>
              <w:right w:val="single" w:color="auto" w:sz="4" w:space="0"/>
            </w:tcBorders>
            <w:shd w:val="clear" w:color="auto" w:fill="auto"/>
            <w:vAlign w:val="bottom"/>
            <w:hideMark/>
          </w:tcPr>
          <w:p w:rsidRPr="00FE1AD7" w:rsidR="00FE1AD7" w:rsidP="00FE1AD7" w:rsidRDefault="00FE1AD7" w14:paraId="06F18EE6" w14:textId="77777777">
            <w:pPr>
              <w:spacing w:after="0" w:line="240" w:lineRule="auto"/>
              <w:jc w:val="center"/>
              <w:rPr>
                <w:rFonts w:ascii="Calibri" w:hAnsi="Calibri" w:eastAsia="Times New Roman" w:cs="Calibri"/>
                <w:b/>
                <w:bCs/>
                <w:color w:val="000000"/>
              </w:rPr>
            </w:pPr>
            <w:r w:rsidRPr="00FE1AD7">
              <w:rPr>
                <w:rFonts w:ascii="Calibri" w:hAnsi="Calibri" w:eastAsia="Times New Roman" w:cs="Calibri"/>
                <w:b/>
                <w:bCs/>
                <w:color w:val="000000"/>
              </w:rPr>
              <w:t> </w:t>
            </w:r>
          </w:p>
        </w:tc>
      </w:tr>
      <w:tr w:rsidRPr="00FE1AD7" w:rsidR="00FE1AD7" w:rsidTr="00FE1AD7" w14:paraId="697E4D24" w14:textId="77777777">
        <w:trPr>
          <w:trHeight w:val="288"/>
        </w:trPr>
        <w:tc>
          <w:tcPr>
            <w:tcW w:w="7867" w:type="dxa"/>
            <w:tcBorders>
              <w:top w:val="nil"/>
              <w:left w:val="single" w:color="auto" w:sz="4" w:space="0"/>
              <w:bottom w:val="nil"/>
              <w:right w:val="nil"/>
            </w:tcBorders>
            <w:shd w:val="clear" w:color="auto" w:fill="auto"/>
            <w:noWrap/>
            <w:vAlign w:val="bottom"/>
            <w:hideMark/>
          </w:tcPr>
          <w:p w:rsidRPr="00FE1AD7" w:rsidR="00FE1AD7" w:rsidP="00FE1AD7" w:rsidRDefault="00FE1AD7" w14:paraId="351A1836" w14:textId="77777777">
            <w:pPr>
              <w:spacing w:after="0" w:line="240" w:lineRule="auto"/>
              <w:ind w:firstLine="440" w:firstLineChars="200"/>
              <w:rPr>
                <w:rFonts w:ascii="Calibri" w:hAnsi="Calibri" w:eastAsia="Times New Roman" w:cs="Calibri"/>
                <w:color w:val="000000"/>
              </w:rPr>
            </w:pPr>
            <w:r w:rsidRPr="00FE1AD7">
              <w:rPr>
                <w:rFonts w:ascii="Calibri" w:hAnsi="Calibri" w:eastAsia="Times New Roman" w:cs="Calibri"/>
                <w:color w:val="000000"/>
              </w:rPr>
              <w:t>Census staff management costs</w:t>
            </w:r>
          </w:p>
        </w:tc>
        <w:tc>
          <w:tcPr>
            <w:tcW w:w="1533" w:type="dxa"/>
            <w:tcBorders>
              <w:top w:val="nil"/>
              <w:left w:val="nil"/>
              <w:bottom w:val="nil"/>
              <w:right w:val="single" w:color="auto" w:sz="4" w:space="0"/>
            </w:tcBorders>
            <w:shd w:val="clear" w:color="auto" w:fill="auto"/>
            <w:noWrap/>
            <w:vAlign w:val="bottom"/>
            <w:hideMark/>
          </w:tcPr>
          <w:p w:rsidRPr="00FE1AD7" w:rsidR="00FE1AD7" w:rsidP="00FE1AD7" w:rsidRDefault="00FE1AD7" w14:paraId="451FA15D" w14:textId="77777777">
            <w:pPr>
              <w:spacing w:after="0" w:line="240" w:lineRule="auto"/>
              <w:jc w:val="right"/>
              <w:rPr>
                <w:rFonts w:ascii="Calibri" w:hAnsi="Calibri" w:eastAsia="Times New Roman" w:cs="Calibri"/>
                <w:color w:val="000000"/>
              </w:rPr>
            </w:pPr>
            <w:r w:rsidRPr="00FE1AD7">
              <w:rPr>
                <w:rFonts w:ascii="Calibri" w:hAnsi="Calibri" w:eastAsia="Times New Roman" w:cs="Calibri"/>
                <w:color w:val="000000"/>
              </w:rPr>
              <w:t>$57,000</w:t>
            </w:r>
          </w:p>
        </w:tc>
      </w:tr>
      <w:tr w:rsidRPr="00FE1AD7" w:rsidR="00FE1AD7" w:rsidTr="00FE1AD7" w14:paraId="61A0DE5D" w14:textId="77777777">
        <w:trPr>
          <w:trHeight w:val="324"/>
        </w:trPr>
        <w:tc>
          <w:tcPr>
            <w:tcW w:w="7867" w:type="dxa"/>
            <w:tcBorders>
              <w:top w:val="nil"/>
              <w:left w:val="single" w:color="auto" w:sz="4" w:space="0"/>
              <w:bottom w:val="nil"/>
              <w:right w:val="nil"/>
            </w:tcBorders>
            <w:shd w:val="clear" w:color="auto" w:fill="auto"/>
            <w:noWrap/>
            <w:vAlign w:val="bottom"/>
            <w:hideMark/>
          </w:tcPr>
          <w:p w:rsidRPr="00FE1AD7" w:rsidR="00FE1AD7" w:rsidP="00FE1AD7" w:rsidRDefault="00FE1AD7" w14:paraId="2D624E8C" w14:textId="77777777">
            <w:pPr>
              <w:spacing w:after="0" w:line="240" w:lineRule="auto"/>
              <w:ind w:firstLine="440" w:firstLineChars="200"/>
              <w:rPr>
                <w:rFonts w:ascii="Calibri" w:hAnsi="Calibri" w:eastAsia="Times New Roman" w:cs="Calibri"/>
                <w:color w:val="000000"/>
              </w:rPr>
            </w:pPr>
            <w:r w:rsidRPr="00FE1AD7">
              <w:rPr>
                <w:rFonts w:ascii="Calibri" w:hAnsi="Calibri" w:eastAsia="Times New Roman" w:cs="Calibri"/>
                <w:color w:val="000000"/>
              </w:rPr>
              <w:t xml:space="preserve">Funds sent as cash incentives </w:t>
            </w:r>
            <w:r w:rsidRPr="00FE1AD7">
              <w:rPr>
                <w:rFonts w:ascii="Calibri" w:hAnsi="Calibri" w:eastAsia="Times New Roman" w:cs="Calibri"/>
                <w:color w:val="000000"/>
                <w:vertAlign w:val="superscript"/>
              </w:rPr>
              <w:t>a</w:t>
            </w:r>
          </w:p>
        </w:tc>
        <w:tc>
          <w:tcPr>
            <w:tcW w:w="1533" w:type="dxa"/>
            <w:tcBorders>
              <w:top w:val="nil"/>
              <w:left w:val="nil"/>
              <w:bottom w:val="nil"/>
              <w:right w:val="single" w:color="auto" w:sz="4" w:space="0"/>
            </w:tcBorders>
            <w:shd w:val="clear" w:color="auto" w:fill="auto"/>
            <w:noWrap/>
            <w:vAlign w:val="bottom"/>
            <w:hideMark/>
          </w:tcPr>
          <w:p w:rsidRPr="00FE1AD7" w:rsidR="00FE1AD7" w:rsidP="00FE1AD7" w:rsidRDefault="00FE1AD7" w14:paraId="2F6C1CFD" w14:textId="77777777">
            <w:pPr>
              <w:spacing w:after="0" w:line="240" w:lineRule="auto"/>
              <w:jc w:val="right"/>
              <w:rPr>
                <w:rFonts w:ascii="Calibri" w:hAnsi="Calibri" w:eastAsia="Times New Roman" w:cs="Calibri"/>
                <w:color w:val="000000"/>
              </w:rPr>
            </w:pPr>
            <w:r w:rsidRPr="00FE1AD7">
              <w:rPr>
                <w:rFonts w:ascii="Calibri" w:hAnsi="Calibri" w:eastAsia="Times New Roman" w:cs="Calibri"/>
                <w:color w:val="000000"/>
              </w:rPr>
              <w:t>$27,000</w:t>
            </w:r>
          </w:p>
        </w:tc>
      </w:tr>
      <w:tr w:rsidRPr="00FE1AD7" w:rsidR="00FE1AD7" w:rsidTr="00FE1AD7" w14:paraId="17B73B63" w14:textId="77777777">
        <w:trPr>
          <w:trHeight w:val="324"/>
        </w:trPr>
        <w:tc>
          <w:tcPr>
            <w:tcW w:w="7867" w:type="dxa"/>
            <w:tcBorders>
              <w:top w:val="nil"/>
              <w:left w:val="single" w:color="auto" w:sz="4" w:space="0"/>
              <w:bottom w:val="nil"/>
              <w:right w:val="nil"/>
            </w:tcBorders>
            <w:shd w:val="clear" w:color="auto" w:fill="auto"/>
            <w:noWrap/>
            <w:vAlign w:val="bottom"/>
            <w:hideMark/>
          </w:tcPr>
          <w:p w:rsidRPr="00FE1AD7" w:rsidR="00FE1AD7" w:rsidP="00FE1AD7" w:rsidRDefault="00FE1AD7" w14:paraId="737F886C" w14:textId="77777777">
            <w:pPr>
              <w:spacing w:after="0" w:line="240" w:lineRule="auto"/>
              <w:ind w:firstLine="440" w:firstLineChars="200"/>
              <w:rPr>
                <w:rFonts w:ascii="Calibri" w:hAnsi="Calibri" w:eastAsia="Times New Roman" w:cs="Calibri"/>
              </w:rPr>
            </w:pPr>
            <w:r w:rsidRPr="00FE1AD7">
              <w:rPr>
                <w:rFonts w:ascii="Calibri" w:hAnsi="Calibri" w:eastAsia="Times New Roman" w:cs="Calibri"/>
              </w:rPr>
              <w:t xml:space="preserve">Bank fees associated with one cash delivery per year to Census </w:t>
            </w:r>
            <w:r w:rsidRPr="00FE1AD7">
              <w:rPr>
                <w:rFonts w:ascii="Calibri" w:hAnsi="Calibri" w:eastAsia="Times New Roman" w:cs="Calibri"/>
                <w:vertAlign w:val="superscript"/>
              </w:rPr>
              <w:t>b</w:t>
            </w:r>
          </w:p>
        </w:tc>
        <w:tc>
          <w:tcPr>
            <w:tcW w:w="1533" w:type="dxa"/>
            <w:tcBorders>
              <w:top w:val="nil"/>
              <w:left w:val="nil"/>
              <w:bottom w:val="nil"/>
              <w:right w:val="single" w:color="auto" w:sz="4" w:space="0"/>
            </w:tcBorders>
            <w:shd w:val="clear" w:color="auto" w:fill="auto"/>
            <w:noWrap/>
            <w:vAlign w:val="bottom"/>
            <w:hideMark/>
          </w:tcPr>
          <w:p w:rsidRPr="00FE1AD7" w:rsidR="00FE1AD7" w:rsidP="00216E50" w:rsidRDefault="00FE1AD7" w14:paraId="7EA193FD" w14:textId="6A76E984">
            <w:pPr>
              <w:spacing w:after="0" w:line="240" w:lineRule="auto"/>
              <w:jc w:val="right"/>
              <w:rPr>
                <w:rFonts w:ascii="Calibri" w:hAnsi="Calibri" w:eastAsia="Times New Roman" w:cs="Calibri"/>
              </w:rPr>
            </w:pPr>
            <w:r w:rsidRPr="00FE1AD7">
              <w:rPr>
                <w:rFonts w:ascii="Calibri" w:hAnsi="Calibri" w:eastAsia="Times New Roman" w:cs="Calibri"/>
              </w:rPr>
              <w:t>$1</w:t>
            </w:r>
            <w:r w:rsidR="00216E50">
              <w:rPr>
                <w:rFonts w:ascii="Calibri" w:hAnsi="Calibri" w:eastAsia="Times New Roman" w:cs="Calibri"/>
              </w:rPr>
              <w:t>2</w:t>
            </w:r>
            <w:r w:rsidRPr="00FE1AD7">
              <w:rPr>
                <w:rFonts w:ascii="Calibri" w:hAnsi="Calibri" w:eastAsia="Times New Roman" w:cs="Calibri"/>
              </w:rPr>
              <w:t>,000</w:t>
            </w:r>
          </w:p>
        </w:tc>
      </w:tr>
      <w:tr w:rsidRPr="00FE1AD7" w:rsidR="00FE1AD7" w:rsidTr="00FE1AD7" w14:paraId="6CDB0841" w14:textId="77777777">
        <w:trPr>
          <w:trHeight w:val="300"/>
        </w:trPr>
        <w:tc>
          <w:tcPr>
            <w:tcW w:w="7867" w:type="dxa"/>
            <w:tcBorders>
              <w:top w:val="nil"/>
              <w:left w:val="single" w:color="auto" w:sz="4" w:space="0"/>
              <w:bottom w:val="single" w:color="auto" w:sz="4" w:space="0"/>
              <w:right w:val="nil"/>
            </w:tcBorders>
            <w:shd w:val="clear" w:color="auto" w:fill="auto"/>
            <w:noWrap/>
            <w:vAlign w:val="bottom"/>
            <w:hideMark/>
          </w:tcPr>
          <w:p w:rsidRPr="00FE1AD7" w:rsidR="00FE1AD7" w:rsidP="00FE1AD7" w:rsidRDefault="00FE1AD7" w14:paraId="6B6DFCC9" w14:textId="77777777">
            <w:pPr>
              <w:spacing w:after="0" w:line="240" w:lineRule="auto"/>
              <w:ind w:firstLine="440" w:firstLineChars="200"/>
              <w:rPr>
                <w:rFonts w:ascii="Calibri" w:hAnsi="Calibri" w:eastAsia="Times New Roman" w:cs="Calibri"/>
                <w:color w:val="000000"/>
              </w:rPr>
            </w:pPr>
            <w:r w:rsidRPr="00FE1AD7">
              <w:rPr>
                <w:rFonts w:ascii="Calibri" w:hAnsi="Calibri" w:eastAsia="Times New Roman" w:cs="Calibri"/>
                <w:color w:val="000000"/>
              </w:rPr>
              <w:t>Total cost of cash incentives</w:t>
            </w:r>
          </w:p>
        </w:tc>
        <w:tc>
          <w:tcPr>
            <w:tcW w:w="1533" w:type="dxa"/>
            <w:tcBorders>
              <w:top w:val="single" w:color="auto" w:sz="4" w:space="0"/>
              <w:left w:val="nil"/>
              <w:bottom w:val="double" w:color="auto" w:sz="6" w:space="0"/>
              <w:right w:val="single" w:color="auto" w:sz="4" w:space="0"/>
            </w:tcBorders>
            <w:shd w:val="clear" w:color="auto" w:fill="auto"/>
            <w:noWrap/>
            <w:vAlign w:val="bottom"/>
            <w:hideMark/>
          </w:tcPr>
          <w:p w:rsidRPr="00FE1AD7" w:rsidR="00FE1AD7" w:rsidP="00216E50" w:rsidRDefault="00FE1AD7" w14:paraId="75879138" w14:textId="6EE952EE">
            <w:pPr>
              <w:spacing w:after="0" w:line="240" w:lineRule="auto"/>
              <w:jc w:val="right"/>
              <w:rPr>
                <w:rFonts w:ascii="Calibri" w:hAnsi="Calibri" w:eastAsia="Times New Roman" w:cs="Calibri"/>
                <w:color w:val="000000"/>
              </w:rPr>
            </w:pPr>
            <w:r w:rsidRPr="00FE1AD7">
              <w:rPr>
                <w:rFonts w:ascii="Calibri" w:hAnsi="Calibri" w:eastAsia="Times New Roman" w:cs="Calibri"/>
                <w:color w:val="000000"/>
              </w:rPr>
              <w:t>$9</w:t>
            </w:r>
            <w:r w:rsidR="00216E50">
              <w:rPr>
                <w:rFonts w:ascii="Calibri" w:hAnsi="Calibri" w:eastAsia="Times New Roman" w:cs="Calibri"/>
                <w:color w:val="000000"/>
              </w:rPr>
              <w:t>6</w:t>
            </w:r>
            <w:r w:rsidRPr="00FE1AD7">
              <w:rPr>
                <w:rFonts w:ascii="Calibri" w:hAnsi="Calibri" w:eastAsia="Times New Roman" w:cs="Calibri"/>
                <w:color w:val="000000"/>
              </w:rPr>
              <w:t>,000</w:t>
            </w:r>
          </w:p>
        </w:tc>
      </w:tr>
      <w:tr w:rsidRPr="00FE1AD7" w:rsidR="00FE1AD7" w:rsidTr="00FE1AD7" w14:paraId="7325454C" w14:textId="77777777">
        <w:trPr>
          <w:trHeight w:val="720"/>
        </w:trPr>
        <w:tc>
          <w:tcPr>
            <w:tcW w:w="9400" w:type="dxa"/>
            <w:gridSpan w:val="2"/>
            <w:tcBorders>
              <w:top w:val="nil"/>
              <w:left w:val="nil"/>
              <w:bottom w:val="nil"/>
              <w:right w:val="nil"/>
            </w:tcBorders>
            <w:shd w:val="clear" w:color="auto" w:fill="auto"/>
            <w:vAlign w:val="bottom"/>
            <w:hideMark/>
          </w:tcPr>
          <w:p w:rsidRPr="00FE1AD7" w:rsidR="00FE1AD7" w:rsidP="00FE1AD7" w:rsidRDefault="00FE1AD7" w14:paraId="29D889A5" w14:textId="77777777">
            <w:pPr>
              <w:spacing w:after="0" w:line="240" w:lineRule="auto"/>
              <w:rPr>
                <w:rFonts w:ascii="Calibri" w:hAnsi="Calibri" w:eastAsia="Times New Roman" w:cs="Calibri"/>
                <w:i/>
                <w:iCs/>
                <w:color w:val="000000"/>
              </w:rPr>
            </w:pPr>
            <w:r w:rsidRPr="00FE1AD7">
              <w:rPr>
                <w:rFonts w:ascii="Calibri" w:hAnsi="Calibri" w:eastAsia="Times New Roman" w:cs="Calibri"/>
                <w:i/>
                <w:iCs/>
                <w:color w:val="000000"/>
                <w:vertAlign w:val="superscript"/>
              </w:rPr>
              <w:t>a.</w:t>
            </w:r>
            <w:r w:rsidRPr="00FE1AD7">
              <w:rPr>
                <w:rFonts w:ascii="Calibri" w:hAnsi="Calibri" w:eastAsia="Times New Roman" w:cs="Calibri"/>
                <w:i/>
                <w:iCs/>
                <w:color w:val="000000"/>
              </w:rPr>
              <w:t xml:space="preserve"> This is a conservative estimate calculated using Census' current practice of ordering 225 debit cards per month. </w:t>
            </w:r>
          </w:p>
        </w:tc>
      </w:tr>
      <w:tr w:rsidRPr="00FE1AD7" w:rsidR="00FE1AD7" w:rsidTr="00FE1AD7" w14:paraId="76675E7B" w14:textId="77777777">
        <w:trPr>
          <w:trHeight w:val="588"/>
        </w:trPr>
        <w:tc>
          <w:tcPr>
            <w:tcW w:w="9400" w:type="dxa"/>
            <w:gridSpan w:val="2"/>
            <w:tcBorders>
              <w:top w:val="nil"/>
              <w:left w:val="nil"/>
              <w:bottom w:val="nil"/>
              <w:right w:val="nil"/>
            </w:tcBorders>
            <w:shd w:val="clear" w:color="auto" w:fill="auto"/>
            <w:vAlign w:val="bottom"/>
            <w:hideMark/>
          </w:tcPr>
          <w:p w:rsidRPr="00FE1AD7" w:rsidR="00FE1AD7" w:rsidP="00FE1AD7" w:rsidRDefault="00FE1AD7" w14:paraId="77E063F3" w14:textId="77777777">
            <w:pPr>
              <w:spacing w:after="0" w:line="240" w:lineRule="auto"/>
              <w:rPr>
                <w:rFonts w:ascii="Calibri" w:hAnsi="Calibri" w:eastAsia="Times New Roman" w:cs="Calibri"/>
                <w:i/>
                <w:iCs/>
              </w:rPr>
            </w:pPr>
            <w:r w:rsidRPr="00FE1AD7">
              <w:rPr>
                <w:rFonts w:ascii="Calibri" w:hAnsi="Calibri" w:eastAsia="Times New Roman" w:cs="Calibri"/>
                <w:i/>
                <w:iCs/>
                <w:vertAlign w:val="superscript"/>
              </w:rPr>
              <w:t>b.</w:t>
            </w:r>
            <w:r w:rsidRPr="00FE1AD7">
              <w:rPr>
                <w:rFonts w:ascii="Calibri" w:hAnsi="Calibri" w:eastAsia="Times New Roman" w:cs="Calibri"/>
                <w:i/>
                <w:iCs/>
              </w:rPr>
              <w:t xml:space="preserve"> Funds for up to one year's worth of incentives can be placed in Census' safe at the National Processing Center. Delivery fees are less if ATUS shares the delivery with another survey. </w:t>
            </w:r>
          </w:p>
        </w:tc>
      </w:tr>
    </w:tbl>
    <w:p w:rsidR="00B31058" w:rsidRDefault="00B31058" w14:paraId="75DBE490" w14:textId="77777777"/>
    <w:p w:rsidR="00BB5F61" w:rsidRDefault="00BB5F61" w14:paraId="2DA19899" w14:textId="71BBDB2C">
      <w:pPr>
        <w:rPr>
          <w:b/>
        </w:rPr>
      </w:pPr>
    </w:p>
    <w:p w:rsidRPr="00DB4D89" w:rsidR="00A91D50" w:rsidP="00802492" w:rsidRDefault="000B5CB4" w14:paraId="12334DA1" w14:textId="4D7571F5">
      <w:pPr>
        <w:spacing w:line="360" w:lineRule="auto"/>
        <w:rPr>
          <w:b/>
        </w:rPr>
      </w:pPr>
      <w:r w:rsidRPr="00DB4D89">
        <w:rPr>
          <w:b/>
        </w:rPr>
        <w:t>Proposed incentive study</w:t>
      </w:r>
    </w:p>
    <w:p w:rsidR="00DB4D89" w:rsidP="0050363F" w:rsidRDefault="00DB4D89" w14:paraId="3EEEDFA5" w14:textId="58D41BD8">
      <w:pPr>
        <w:spacing w:line="360" w:lineRule="auto"/>
        <w:ind w:firstLine="720"/>
      </w:pPr>
      <w:r>
        <w:t>While changing from the use of $40 prepaid debit cards to cash incentives has potential to save</w:t>
      </w:r>
      <w:r w:rsidR="0050363F">
        <w:t xml:space="preserve"> program</w:t>
      </w:r>
      <w:r>
        <w:t xml:space="preserve"> fun</w:t>
      </w:r>
      <w:r w:rsidR="0050363F">
        <w:t>ds, it is not clear whether and how</w:t>
      </w:r>
      <w:r>
        <w:t xml:space="preserve"> </w:t>
      </w:r>
      <w:r w:rsidR="0050363F">
        <w:t>this change</w:t>
      </w:r>
      <w:r>
        <w:t xml:space="preserve"> </w:t>
      </w:r>
      <w:r w:rsidR="0050363F">
        <w:t>might</w:t>
      </w:r>
      <w:r>
        <w:t xml:space="preserve"> </w:t>
      </w:r>
      <w:r w:rsidR="0050363F">
        <w:t>affect survey response. ATUS management thus proposes an incentive study.</w:t>
      </w:r>
    </w:p>
    <w:p w:rsidR="000B5CB4" w:rsidP="0050363F" w:rsidRDefault="00DF4267" w14:paraId="6FFB4A82" w14:textId="63F14FF8">
      <w:pPr>
        <w:spacing w:line="360" w:lineRule="auto"/>
      </w:pPr>
      <w:r>
        <w:t>The proposed ATUS</w:t>
      </w:r>
      <w:r w:rsidR="000B5CB4">
        <w:t xml:space="preserve"> incentive study has two goals:  </w:t>
      </w:r>
    </w:p>
    <w:p w:rsidR="000B5CB4" w:rsidP="0050363F" w:rsidRDefault="000B5CB4" w14:paraId="2ABFE684" w14:textId="5C3D08E1">
      <w:pPr>
        <w:pStyle w:val="ListParagraph"/>
        <w:numPr>
          <w:ilvl w:val="0"/>
          <w:numId w:val="2"/>
        </w:numPr>
        <w:spacing w:line="360" w:lineRule="auto"/>
        <w:ind w:left="360"/>
      </w:pPr>
      <w:r>
        <w:t xml:space="preserve">To test </w:t>
      </w:r>
      <w:r w:rsidR="009040C9">
        <w:t>the effectiveness of using</w:t>
      </w:r>
      <w:r>
        <w:t xml:space="preserve"> </w:t>
      </w:r>
      <w:r w:rsidR="004C36CC">
        <w:t xml:space="preserve">$0, $5, and </w:t>
      </w:r>
      <w:r>
        <w:t>$</w:t>
      </w:r>
      <w:r w:rsidR="0037474E">
        <w:t>10</w:t>
      </w:r>
      <w:r>
        <w:t xml:space="preserve"> cash incentives</w:t>
      </w:r>
      <w:r w:rsidR="001B5ED8">
        <w:t>, where e</w:t>
      </w:r>
      <w:r w:rsidR="003A7FAE">
        <w:t xml:space="preserve">ffectiveness will be measured </w:t>
      </w:r>
      <w:r w:rsidR="00311C44">
        <w:t>in terms of</w:t>
      </w:r>
      <w:r w:rsidR="003A7FAE">
        <w:t xml:space="preserve"> survey response.</w:t>
      </w:r>
    </w:p>
    <w:p w:rsidR="009040C9" w:rsidP="0050363F" w:rsidRDefault="000B5CB4" w14:paraId="4CDFAD52" w14:textId="5073AC67">
      <w:pPr>
        <w:pStyle w:val="ListParagraph"/>
        <w:numPr>
          <w:ilvl w:val="0"/>
          <w:numId w:val="2"/>
        </w:numPr>
        <w:spacing w:line="360" w:lineRule="auto"/>
        <w:ind w:left="360"/>
      </w:pPr>
      <w:r>
        <w:t>To test whether</w:t>
      </w:r>
      <w:r w:rsidR="009040C9">
        <w:t xml:space="preserve"> </w:t>
      </w:r>
      <w:r w:rsidR="002D1159">
        <w:t xml:space="preserve">a </w:t>
      </w:r>
      <w:r w:rsidR="004C36CC">
        <w:t xml:space="preserve">$5 or </w:t>
      </w:r>
      <w:r w:rsidR="002D1159">
        <w:t>$</w:t>
      </w:r>
      <w:r w:rsidR="0037474E">
        <w:t>10</w:t>
      </w:r>
      <w:r w:rsidR="002D1159">
        <w:t xml:space="preserve"> cash incentive can boost </w:t>
      </w:r>
      <w:r w:rsidR="009040C9">
        <w:t>survey</w:t>
      </w:r>
      <w:r>
        <w:t xml:space="preserve"> response among certain under-represented populations.</w:t>
      </w:r>
      <w:r w:rsidR="00635C1B">
        <w:t xml:space="preserve"> In this case, the focus is on </w:t>
      </w:r>
      <w:r w:rsidR="00676C86">
        <w:t>DPs wh</w:t>
      </w:r>
      <w:r w:rsidR="0050363F">
        <w:t>o are</w:t>
      </w:r>
      <w:r w:rsidR="00676C86">
        <w:t xml:space="preserve"> </w:t>
      </w:r>
      <w:r w:rsidR="00635C1B">
        <w:t>15</w:t>
      </w:r>
      <w:r w:rsidR="004C36CC">
        <w:t>-</w:t>
      </w:r>
      <w:r w:rsidR="00635C1B">
        <w:t xml:space="preserve"> to 24</w:t>
      </w:r>
      <w:r w:rsidR="004C36CC">
        <w:t>-</w:t>
      </w:r>
      <w:r w:rsidR="00DB7E07">
        <w:t>year</w:t>
      </w:r>
      <w:r w:rsidR="004C36CC">
        <w:t>-</w:t>
      </w:r>
      <w:r w:rsidR="00DB7E07">
        <w:t>old</w:t>
      </w:r>
      <w:r w:rsidR="004C36CC">
        <w:t>s</w:t>
      </w:r>
      <w:r w:rsidR="00635C1B">
        <w:t>.</w:t>
      </w:r>
      <w:r w:rsidR="00B5513A">
        <w:t xml:space="preserve"> </w:t>
      </w:r>
    </w:p>
    <w:p w:rsidR="002D1159" w:rsidP="0050363F" w:rsidRDefault="002D1159" w14:paraId="282719C5" w14:textId="50A99F96">
      <w:pPr>
        <w:spacing w:line="360" w:lineRule="auto"/>
        <w:ind w:firstLine="720"/>
      </w:pPr>
      <w:r>
        <w:t xml:space="preserve">The reasoning behind the first goal was discussed earlier. If testing indicates cash incentives are </w:t>
      </w:r>
      <w:r w:rsidR="001822D3">
        <w:t>a cost-effective alternative to</w:t>
      </w:r>
      <w:r>
        <w:t xml:space="preserve"> $40 debit card incentives, then the ATUS program may </w:t>
      </w:r>
      <w:r w:rsidR="00DE1A00">
        <w:t>implement</w:t>
      </w:r>
      <w:r>
        <w:t xml:space="preserve"> this chan</w:t>
      </w:r>
      <w:r w:rsidR="00DE1A00">
        <w:t>ge</w:t>
      </w:r>
      <w:r w:rsidR="00386A0B">
        <w:t xml:space="preserve"> as a cost-saving measure</w:t>
      </w:r>
      <w:r w:rsidR="00DE1A00">
        <w:t>.</w:t>
      </w:r>
      <w:r w:rsidR="001A61CF">
        <w:t xml:space="preserve"> Both $5 and $10 cash incentives will be tested and compared to a $0 control group, as well as historic data on the effectiveness of using $40 debit card incentives.</w:t>
      </w:r>
      <w:r w:rsidR="00DE1A00">
        <w:t xml:space="preserve"> </w:t>
      </w:r>
      <w:r w:rsidR="00C25559">
        <w:t xml:space="preserve">Using cash incentives rather than debit card incentives </w:t>
      </w:r>
      <w:r w:rsidR="008A6847">
        <w:t>may</w:t>
      </w:r>
      <w:r w:rsidR="00C25559">
        <w:t xml:space="preserve"> </w:t>
      </w:r>
      <w:r>
        <w:t>save</w:t>
      </w:r>
      <w:r w:rsidR="00C25559">
        <w:t xml:space="preserve"> </w:t>
      </w:r>
      <w:r>
        <w:t xml:space="preserve">money that could be used </w:t>
      </w:r>
      <w:r w:rsidR="00C25559">
        <w:t>for other purposes, such as to</w:t>
      </w:r>
      <w:r>
        <w:t xml:space="preserve"> expand the ATUS </w:t>
      </w:r>
      <w:r w:rsidRPr="00354C79">
        <w:t>incentive program to include members of under-represented populations.</w:t>
      </w:r>
      <w:r w:rsidRPr="00354C79" w:rsidR="00BA3471">
        <w:t xml:space="preserve"> The literature shows that the use of incentives</w:t>
      </w:r>
      <w:r w:rsidRPr="00354C79" w:rsidR="008B7A88">
        <w:t>, especially prepaid incentives,</w:t>
      </w:r>
      <w:r w:rsidRPr="00354C79" w:rsidR="00BA3471">
        <w:t xml:space="preserve"> has been demonstrated to </w:t>
      </w:r>
      <w:r w:rsidRPr="00354C79" w:rsidR="00BA3471">
        <w:lastRenderedPageBreak/>
        <w:t>improve survey response.</w:t>
      </w:r>
      <w:r w:rsidRPr="00354C79" w:rsidR="00854EB2">
        <w:rPr>
          <w:rStyle w:val="FootnoteReference"/>
        </w:rPr>
        <w:footnoteReference w:id="4"/>
      </w:r>
      <w:r w:rsidRPr="00354C79">
        <w:t xml:space="preserve"> Thus, the second goal of the study is to learn whether sending </w:t>
      </w:r>
      <w:r w:rsidR="001A61CF">
        <w:t xml:space="preserve">$5 or </w:t>
      </w:r>
      <w:r w:rsidRPr="00354C79">
        <w:t>$</w:t>
      </w:r>
      <w:r w:rsidR="0037474E">
        <w:t>10</w:t>
      </w:r>
      <w:r w:rsidRPr="00354C79">
        <w:t xml:space="preserve"> cash incentive</w:t>
      </w:r>
      <w:r w:rsidRPr="00354C79" w:rsidR="00B634F3">
        <w:t>s</w:t>
      </w:r>
      <w:r w:rsidRPr="00354C79">
        <w:t xml:space="preserve"> to members of under-represented</w:t>
      </w:r>
      <w:r>
        <w:t xml:space="preserve"> population</w:t>
      </w:r>
      <w:r w:rsidR="004373C8">
        <w:t>s</w:t>
      </w:r>
      <w:r>
        <w:t xml:space="preserve"> increases their</w:t>
      </w:r>
      <w:r w:rsidR="004373C8">
        <w:t xml:space="preserve"> rates of</w:t>
      </w:r>
      <w:r w:rsidR="00DF4267">
        <w:t xml:space="preserve"> </w:t>
      </w:r>
      <w:r>
        <w:t xml:space="preserve">survey response. </w:t>
      </w:r>
      <w:r w:rsidR="00B634F3">
        <w:t>In all cases</w:t>
      </w:r>
      <w:r w:rsidR="00585D8D">
        <w:t xml:space="preserve">, when </w:t>
      </w:r>
      <w:r w:rsidR="00B634F3">
        <w:t>incentives are sent to DPs they</w:t>
      </w:r>
      <w:r w:rsidR="00585D8D">
        <w:t xml:space="preserve"> are </w:t>
      </w:r>
      <w:r w:rsidR="00B634F3">
        <w:t xml:space="preserve">included in the </w:t>
      </w:r>
      <w:r w:rsidR="00DC437E">
        <w:t>informational packets</w:t>
      </w:r>
      <w:r w:rsidR="00B634F3">
        <w:t xml:space="preserve"> that are mailed</w:t>
      </w:r>
      <w:r w:rsidR="00141277">
        <w:t xml:space="preserve"> to DPs</w:t>
      </w:r>
      <w:r w:rsidR="00B634F3">
        <w:t xml:space="preserve"> just prior to their first of up to eight weeks in sample. </w:t>
      </w:r>
    </w:p>
    <w:p w:rsidR="00BB5F61" w:rsidP="001A61CF" w:rsidRDefault="004373C8" w14:paraId="5C8E736B" w14:textId="3ABF417E">
      <w:pPr>
        <w:spacing w:line="360" w:lineRule="auto"/>
        <w:ind w:firstLine="720"/>
      </w:pPr>
      <w:r>
        <w:t xml:space="preserve">As shown in table </w:t>
      </w:r>
      <w:r w:rsidR="00472CEA">
        <w:t>4</w:t>
      </w:r>
      <w:r>
        <w:t xml:space="preserve">, people ages 15 to 19 and those ages 20 to 24 were the least likely to complete the ATUS in 2017. Survey response for </w:t>
      </w:r>
      <w:r w:rsidR="001D30B9">
        <w:t>20</w:t>
      </w:r>
      <w:r w:rsidR="00017C59">
        <w:t xml:space="preserve">- </w:t>
      </w:r>
      <w:r w:rsidR="001D30B9">
        <w:t>to 24</w:t>
      </w:r>
      <w:r w:rsidR="00017C59">
        <w:t>-</w:t>
      </w:r>
      <w:r>
        <w:t>year</w:t>
      </w:r>
      <w:r w:rsidR="00DC437E">
        <w:t>-</w:t>
      </w:r>
      <w:r>
        <w:t>olds was 3</w:t>
      </w:r>
      <w:r w:rsidR="001D30B9">
        <w:t>1.0</w:t>
      </w:r>
      <w:r>
        <w:t xml:space="preserve"> percent, lower than all other age groups</w:t>
      </w:r>
      <w:r w:rsidR="004A17E9">
        <w:t>, and t</w:t>
      </w:r>
      <w:r w:rsidR="001D30B9">
        <w:t>hose</w:t>
      </w:r>
      <w:r>
        <w:t xml:space="preserve"> ages </w:t>
      </w:r>
      <w:r w:rsidR="001D30B9">
        <w:t>15</w:t>
      </w:r>
      <w:r>
        <w:t xml:space="preserve"> to </w:t>
      </w:r>
      <w:r w:rsidR="001D30B9">
        <w:t>19</w:t>
      </w:r>
      <w:r>
        <w:t xml:space="preserve"> had</w:t>
      </w:r>
      <w:r w:rsidR="001D30B9">
        <w:t xml:space="preserve"> a</w:t>
      </w:r>
      <w:r>
        <w:t xml:space="preserve"> response rate of 3</w:t>
      </w:r>
      <w:r w:rsidR="001D30B9">
        <w:t>3.9</w:t>
      </w:r>
      <w:r>
        <w:t xml:space="preserve"> percent.</w:t>
      </w:r>
      <w:r w:rsidR="003342F2">
        <w:t xml:space="preserve"> Response rates for both of these age groups declined significantly from 2003 to 2017, and </w:t>
      </w:r>
      <w:r w:rsidR="001D30B9">
        <w:t>the drop was</w:t>
      </w:r>
      <w:r w:rsidR="003342F2">
        <w:t xml:space="preserve"> especially steep (</w:t>
      </w:r>
      <w:r w:rsidR="005B4B1F">
        <w:t xml:space="preserve">down </w:t>
      </w:r>
      <w:r w:rsidR="003342F2">
        <w:t xml:space="preserve">24.4 percentage points) for </w:t>
      </w:r>
      <w:r w:rsidR="000E043B">
        <w:t>15</w:t>
      </w:r>
      <w:r w:rsidR="00017C59">
        <w:t>-</w:t>
      </w:r>
      <w:r w:rsidR="000E043B">
        <w:t xml:space="preserve"> to 19</w:t>
      </w:r>
      <w:r w:rsidR="00017C59">
        <w:t>-</w:t>
      </w:r>
      <w:r w:rsidR="000E043B">
        <w:t>year</w:t>
      </w:r>
      <w:r w:rsidR="00DC437E">
        <w:t>-</w:t>
      </w:r>
      <w:r w:rsidR="000E043B">
        <w:t>olds.</w:t>
      </w:r>
      <w:r w:rsidR="008E5D3C">
        <w:t xml:space="preserve"> The second goal of the proposed study will spe</w:t>
      </w:r>
      <w:r w:rsidR="00DC437E">
        <w:t xml:space="preserve">cifically </w:t>
      </w:r>
      <w:r w:rsidR="00585D8D">
        <w:t>test whether ATUS survey response rates for</w:t>
      </w:r>
      <w:r w:rsidR="00DC437E">
        <w:t xml:space="preserve"> 15</w:t>
      </w:r>
      <w:r w:rsidR="00017C59">
        <w:t>-</w:t>
      </w:r>
      <w:r w:rsidR="00DC437E">
        <w:t xml:space="preserve"> to 24</w:t>
      </w:r>
      <w:r w:rsidR="00017C59">
        <w:t>-</w:t>
      </w:r>
      <w:r w:rsidR="00DC437E">
        <w:t>year-</w:t>
      </w:r>
      <w:r w:rsidR="008E5D3C">
        <w:t xml:space="preserve">olds </w:t>
      </w:r>
      <w:r w:rsidR="00585D8D">
        <w:t>increase when they are sent cash incentives</w:t>
      </w:r>
      <w:r w:rsidR="008E5D3C">
        <w:t>.</w:t>
      </w:r>
    </w:p>
    <w:tbl>
      <w:tblPr>
        <w:tblW w:w="6570" w:type="dxa"/>
        <w:tblLook w:val="04A0" w:firstRow="1" w:lastRow="0" w:firstColumn="1" w:lastColumn="0" w:noHBand="0" w:noVBand="1"/>
      </w:tblPr>
      <w:tblGrid>
        <w:gridCol w:w="1333"/>
        <w:gridCol w:w="1431"/>
        <w:gridCol w:w="1431"/>
        <w:gridCol w:w="2375"/>
      </w:tblGrid>
      <w:tr w:rsidRPr="00F13A01" w:rsidR="00F13A01" w:rsidTr="00F13A01" w14:paraId="4F809C61" w14:textId="77777777">
        <w:trPr>
          <w:trHeight w:val="300"/>
        </w:trPr>
        <w:tc>
          <w:tcPr>
            <w:tcW w:w="6570" w:type="dxa"/>
            <w:gridSpan w:val="4"/>
            <w:tcBorders>
              <w:top w:val="nil"/>
              <w:left w:val="nil"/>
              <w:bottom w:val="nil"/>
              <w:right w:val="nil"/>
            </w:tcBorders>
            <w:shd w:val="clear" w:color="auto" w:fill="auto"/>
            <w:noWrap/>
            <w:vAlign w:val="bottom"/>
            <w:hideMark/>
          </w:tcPr>
          <w:p w:rsidRPr="00F13A01" w:rsidR="00F13A01" w:rsidP="00472CEA" w:rsidRDefault="00F13A01" w14:paraId="72E17CE0" w14:textId="759E7F81">
            <w:pPr>
              <w:spacing w:after="0" w:line="240" w:lineRule="auto"/>
              <w:rPr>
                <w:rFonts w:ascii="Calibri" w:hAnsi="Calibri" w:eastAsia="Times New Roman" w:cs="Calibri"/>
                <w:i/>
                <w:iCs/>
                <w:color w:val="000000"/>
              </w:rPr>
            </w:pPr>
            <w:r w:rsidRPr="00F13A01">
              <w:rPr>
                <w:rFonts w:ascii="Calibri" w:hAnsi="Calibri" w:eastAsia="Times New Roman" w:cs="Calibri"/>
                <w:i/>
                <w:iCs/>
                <w:color w:val="000000"/>
              </w:rPr>
              <w:t xml:space="preserve">Table </w:t>
            </w:r>
            <w:r w:rsidR="00472CEA">
              <w:rPr>
                <w:rFonts w:ascii="Calibri" w:hAnsi="Calibri" w:eastAsia="Times New Roman" w:cs="Calibri"/>
                <w:i/>
                <w:iCs/>
                <w:color w:val="000000"/>
              </w:rPr>
              <w:t>4</w:t>
            </w:r>
            <w:r w:rsidRPr="00F13A01">
              <w:rPr>
                <w:rFonts w:ascii="Calibri" w:hAnsi="Calibri" w:eastAsia="Times New Roman" w:cs="Calibri"/>
                <w:i/>
                <w:iCs/>
                <w:color w:val="000000"/>
              </w:rPr>
              <w:t>. Response rates (percent</w:t>
            </w:r>
            <w:r>
              <w:rPr>
                <w:rFonts w:ascii="Calibri" w:hAnsi="Calibri" w:eastAsia="Times New Roman" w:cs="Calibri"/>
                <w:i/>
                <w:iCs/>
                <w:color w:val="000000"/>
              </w:rPr>
              <w:t>age</w:t>
            </w:r>
            <w:r w:rsidRPr="00F13A01">
              <w:rPr>
                <w:rFonts w:ascii="Calibri" w:hAnsi="Calibri" w:eastAsia="Times New Roman" w:cs="Calibri"/>
                <w:i/>
                <w:iCs/>
                <w:color w:val="000000"/>
              </w:rPr>
              <w:t>s) by age group, 2003 and 2017</w:t>
            </w:r>
          </w:p>
        </w:tc>
      </w:tr>
      <w:tr w:rsidRPr="00F13A01" w:rsidR="00F13A01" w:rsidTr="00FB67C2" w14:paraId="19FB2FE4" w14:textId="77777777">
        <w:trPr>
          <w:trHeight w:val="800"/>
        </w:trPr>
        <w:tc>
          <w:tcPr>
            <w:tcW w:w="1333" w:type="dxa"/>
            <w:tcBorders>
              <w:top w:val="single" w:color="auto" w:sz="4" w:space="0"/>
              <w:left w:val="single" w:color="auto" w:sz="4" w:space="0"/>
              <w:bottom w:val="single" w:color="auto" w:sz="4" w:space="0"/>
              <w:right w:val="nil"/>
            </w:tcBorders>
            <w:shd w:val="clear" w:color="000000" w:fill="F2F2F2"/>
            <w:noWrap/>
            <w:vAlign w:val="center"/>
            <w:hideMark/>
          </w:tcPr>
          <w:p w:rsidRPr="00F13A01" w:rsidR="00F13A01" w:rsidP="00F13A01" w:rsidRDefault="00F13A01" w14:paraId="13FC0A96"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Age group</w:t>
            </w:r>
          </w:p>
        </w:tc>
        <w:tc>
          <w:tcPr>
            <w:tcW w:w="1431" w:type="dxa"/>
            <w:tcBorders>
              <w:top w:val="single" w:color="auto" w:sz="4" w:space="0"/>
              <w:left w:val="nil"/>
              <w:bottom w:val="single" w:color="auto" w:sz="4" w:space="0"/>
              <w:right w:val="nil"/>
            </w:tcBorders>
            <w:shd w:val="clear" w:color="000000" w:fill="F2F2F2"/>
            <w:vAlign w:val="center"/>
            <w:hideMark/>
          </w:tcPr>
          <w:p w:rsidRPr="00F13A01" w:rsidR="00F13A01" w:rsidP="00F13A01" w:rsidRDefault="00F13A01" w14:paraId="472ECBB2"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2003</w:t>
            </w:r>
          </w:p>
        </w:tc>
        <w:tc>
          <w:tcPr>
            <w:tcW w:w="1431" w:type="dxa"/>
            <w:tcBorders>
              <w:top w:val="single" w:color="auto" w:sz="4" w:space="0"/>
              <w:left w:val="nil"/>
              <w:bottom w:val="single" w:color="auto" w:sz="4" w:space="0"/>
              <w:right w:val="nil"/>
            </w:tcBorders>
            <w:shd w:val="clear" w:color="000000" w:fill="F2F2F2"/>
            <w:vAlign w:val="center"/>
            <w:hideMark/>
          </w:tcPr>
          <w:p w:rsidRPr="00F13A01" w:rsidR="00F13A01" w:rsidP="00F13A01" w:rsidRDefault="00F13A01" w14:paraId="69495623"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2017</w:t>
            </w:r>
          </w:p>
        </w:tc>
        <w:tc>
          <w:tcPr>
            <w:tcW w:w="2375" w:type="dxa"/>
            <w:tcBorders>
              <w:top w:val="single" w:color="auto" w:sz="4" w:space="0"/>
              <w:left w:val="nil"/>
              <w:bottom w:val="single" w:color="auto" w:sz="4" w:space="0"/>
              <w:right w:val="single" w:color="auto" w:sz="4" w:space="0"/>
            </w:tcBorders>
            <w:shd w:val="clear" w:color="000000" w:fill="F2F2F2"/>
            <w:vAlign w:val="center"/>
            <w:hideMark/>
          </w:tcPr>
          <w:p w:rsidRPr="00F13A01" w:rsidR="00F13A01" w:rsidP="00F13A01" w:rsidRDefault="00F13A01" w14:paraId="3D7A5AD3" w14:textId="5DE0D75F">
            <w:pPr>
              <w:spacing w:after="0" w:line="240" w:lineRule="auto"/>
              <w:jc w:val="center"/>
              <w:rPr>
                <w:rFonts w:ascii="Calibri" w:hAnsi="Calibri" w:eastAsia="Times New Roman" w:cs="Calibri"/>
                <w:color w:val="000000"/>
              </w:rPr>
            </w:pPr>
            <w:r>
              <w:rPr>
                <w:rFonts w:ascii="Calibri" w:hAnsi="Calibri" w:eastAsia="Times New Roman" w:cs="Calibri"/>
                <w:color w:val="000000"/>
              </w:rPr>
              <w:t>Change, 2003 to 2017</w:t>
            </w:r>
            <w:r w:rsidRPr="00F13A01">
              <w:rPr>
                <w:rFonts w:ascii="Calibri" w:hAnsi="Calibri" w:eastAsia="Times New Roman" w:cs="Calibri"/>
                <w:color w:val="000000"/>
              </w:rPr>
              <w:t xml:space="preserve"> (percentage points)</w:t>
            </w:r>
          </w:p>
        </w:tc>
      </w:tr>
      <w:tr w:rsidRPr="00F13A01" w:rsidR="00F13A01" w:rsidTr="00F13A01" w14:paraId="1A7DA4FF" w14:textId="77777777">
        <w:trPr>
          <w:trHeight w:val="300"/>
        </w:trPr>
        <w:tc>
          <w:tcPr>
            <w:tcW w:w="1333" w:type="dxa"/>
            <w:tcBorders>
              <w:top w:val="nil"/>
              <w:left w:val="single" w:color="auto" w:sz="4" w:space="0"/>
              <w:bottom w:val="nil"/>
              <w:right w:val="nil"/>
            </w:tcBorders>
            <w:shd w:val="clear" w:color="auto" w:fill="auto"/>
            <w:noWrap/>
            <w:vAlign w:val="bottom"/>
            <w:hideMark/>
          </w:tcPr>
          <w:p w:rsidRPr="00F13A01" w:rsidR="00F13A01" w:rsidP="00F13A01" w:rsidRDefault="00F13A01" w14:paraId="5468EC22" w14:textId="77777777">
            <w:pPr>
              <w:spacing w:after="0" w:line="240" w:lineRule="auto"/>
              <w:rPr>
                <w:rFonts w:ascii="Calibri" w:hAnsi="Calibri" w:eastAsia="Times New Roman" w:cs="Calibri"/>
                <w:color w:val="000000"/>
              </w:rPr>
            </w:pPr>
            <w:r w:rsidRPr="00F13A01">
              <w:rPr>
                <w:rFonts w:ascii="Calibri" w:hAnsi="Calibri" w:eastAsia="Times New Roman" w:cs="Calibri"/>
                <w:color w:val="000000"/>
              </w:rPr>
              <w:t>15-19</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5837B7EE"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58.3</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6C980EA8"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33.9</w:t>
            </w:r>
          </w:p>
        </w:tc>
        <w:tc>
          <w:tcPr>
            <w:tcW w:w="2375" w:type="dxa"/>
            <w:tcBorders>
              <w:top w:val="nil"/>
              <w:left w:val="nil"/>
              <w:bottom w:val="nil"/>
              <w:right w:val="single" w:color="auto" w:sz="4" w:space="0"/>
            </w:tcBorders>
            <w:shd w:val="clear" w:color="auto" w:fill="auto"/>
            <w:noWrap/>
            <w:vAlign w:val="bottom"/>
            <w:hideMark/>
          </w:tcPr>
          <w:p w:rsidRPr="00F13A01" w:rsidR="00F13A01" w:rsidP="00F13A01" w:rsidRDefault="00F13A01" w14:paraId="20774423"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-24.4</w:t>
            </w:r>
          </w:p>
        </w:tc>
      </w:tr>
      <w:tr w:rsidRPr="00F13A01" w:rsidR="00F13A01" w:rsidTr="00F13A01" w14:paraId="09A49DDE" w14:textId="77777777">
        <w:trPr>
          <w:trHeight w:val="300"/>
        </w:trPr>
        <w:tc>
          <w:tcPr>
            <w:tcW w:w="1333" w:type="dxa"/>
            <w:tcBorders>
              <w:top w:val="nil"/>
              <w:left w:val="single" w:color="auto" w:sz="4" w:space="0"/>
              <w:bottom w:val="nil"/>
              <w:right w:val="nil"/>
            </w:tcBorders>
            <w:shd w:val="clear" w:color="auto" w:fill="auto"/>
            <w:noWrap/>
            <w:vAlign w:val="bottom"/>
            <w:hideMark/>
          </w:tcPr>
          <w:p w:rsidRPr="00F13A01" w:rsidR="00F13A01" w:rsidP="00F13A01" w:rsidRDefault="00F13A01" w14:paraId="612F798A" w14:textId="77777777">
            <w:pPr>
              <w:spacing w:after="0" w:line="240" w:lineRule="auto"/>
              <w:rPr>
                <w:rFonts w:ascii="Calibri" w:hAnsi="Calibri" w:eastAsia="Times New Roman" w:cs="Calibri"/>
                <w:color w:val="000000"/>
              </w:rPr>
            </w:pPr>
            <w:r w:rsidRPr="00F13A01">
              <w:rPr>
                <w:rFonts w:ascii="Calibri" w:hAnsi="Calibri" w:eastAsia="Times New Roman" w:cs="Calibri"/>
                <w:color w:val="000000"/>
              </w:rPr>
              <w:t>20-24</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75569818"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45.9</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1615BF51"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31.0</w:t>
            </w:r>
          </w:p>
        </w:tc>
        <w:tc>
          <w:tcPr>
            <w:tcW w:w="2375" w:type="dxa"/>
            <w:tcBorders>
              <w:top w:val="nil"/>
              <w:left w:val="nil"/>
              <w:bottom w:val="nil"/>
              <w:right w:val="single" w:color="auto" w:sz="4" w:space="0"/>
            </w:tcBorders>
            <w:shd w:val="clear" w:color="auto" w:fill="auto"/>
            <w:noWrap/>
            <w:vAlign w:val="bottom"/>
            <w:hideMark/>
          </w:tcPr>
          <w:p w:rsidRPr="00F13A01" w:rsidR="00F13A01" w:rsidP="00F13A01" w:rsidRDefault="00F13A01" w14:paraId="5B593DCC"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-14.9</w:t>
            </w:r>
          </w:p>
        </w:tc>
      </w:tr>
      <w:tr w:rsidRPr="00F13A01" w:rsidR="00F13A01" w:rsidTr="00F13A01" w14:paraId="3FCF67D6" w14:textId="77777777">
        <w:trPr>
          <w:trHeight w:val="300"/>
        </w:trPr>
        <w:tc>
          <w:tcPr>
            <w:tcW w:w="1333" w:type="dxa"/>
            <w:tcBorders>
              <w:top w:val="nil"/>
              <w:left w:val="single" w:color="auto" w:sz="4" w:space="0"/>
              <w:bottom w:val="nil"/>
              <w:right w:val="nil"/>
            </w:tcBorders>
            <w:shd w:val="clear" w:color="auto" w:fill="auto"/>
            <w:noWrap/>
            <w:vAlign w:val="bottom"/>
            <w:hideMark/>
          </w:tcPr>
          <w:p w:rsidRPr="00F13A01" w:rsidR="00F13A01" w:rsidP="00F13A01" w:rsidRDefault="00F13A01" w14:paraId="0B491090" w14:textId="77777777">
            <w:pPr>
              <w:spacing w:after="0" w:line="240" w:lineRule="auto"/>
              <w:rPr>
                <w:rFonts w:ascii="Calibri" w:hAnsi="Calibri" w:eastAsia="Times New Roman" w:cs="Calibri"/>
                <w:color w:val="000000"/>
              </w:rPr>
            </w:pPr>
            <w:r w:rsidRPr="00F13A01">
              <w:rPr>
                <w:rFonts w:ascii="Calibri" w:hAnsi="Calibri" w:eastAsia="Times New Roman" w:cs="Calibri"/>
                <w:color w:val="000000"/>
              </w:rPr>
              <w:t>25-29</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0D0D1FA9"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48.5</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4B84447A"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35.2</w:t>
            </w:r>
          </w:p>
        </w:tc>
        <w:tc>
          <w:tcPr>
            <w:tcW w:w="2375" w:type="dxa"/>
            <w:tcBorders>
              <w:top w:val="nil"/>
              <w:left w:val="nil"/>
              <w:bottom w:val="nil"/>
              <w:right w:val="single" w:color="auto" w:sz="4" w:space="0"/>
            </w:tcBorders>
            <w:shd w:val="clear" w:color="auto" w:fill="auto"/>
            <w:noWrap/>
            <w:vAlign w:val="bottom"/>
            <w:hideMark/>
          </w:tcPr>
          <w:p w:rsidRPr="00F13A01" w:rsidR="00F13A01" w:rsidP="00F13A01" w:rsidRDefault="00F13A01" w14:paraId="2C43CAFF"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-13.3</w:t>
            </w:r>
          </w:p>
        </w:tc>
      </w:tr>
      <w:tr w:rsidRPr="00F13A01" w:rsidR="00F13A01" w:rsidTr="00F13A01" w14:paraId="68AD6B3C" w14:textId="77777777">
        <w:trPr>
          <w:trHeight w:val="300"/>
        </w:trPr>
        <w:tc>
          <w:tcPr>
            <w:tcW w:w="1333" w:type="dxa"/>
            <w:tcBorders>
              <w:top w:val="nil"/>
              <w:left w:val="single" w:color="auto" w:sz="4" w:space="0"/>
              <w:bottom w:val="nil"/>
              <w:right w:val="nil"/>
            </w:tcBorders>
            <w:shd w:val="clear" w:color="auto" w:fill="auto"/>
            <w:noWrap/>
            <w:vAlign w:val="bottom"/>
            <w:hideMark/>
          </w:tcPr>
          <w:p w:rsidRPr="00F13A01" w:rsidR="00F13A01" w:rsidP="00F13A01" w:rsidRDefault="00F13A01" w14:paraId="12CF565C" w14:textId="77777777">
            <w:pPr>
              <w:spacing w:after="0" w:line="240" w:lineRule="auto"/>
              <w:rPr>
                <w:rFonts w:ascii="Calibri" w:hAnsi="Calibri" w:eastAsia="Times New Roman" w:cs="Calibri"/>
                <w:color w:val="000000"/>
              </w:rPr>
            </w:pPr>
            <w:r w:rsidRPr="00F13A01">
              <w:rPr>
                <w:rFonts w:ascii="Calibri" w:hAnsi="Calibri" w:eastAsia="Times New Roman" w:cs="Calibri"/>
                <w:color w:val="000000"/>
              </w:rPr>
              <w:t>30-34</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3730C431"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54.0</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64E34B30"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38.9</w:t>
            </w:r>
          </w:p>
        </w:tc>
        <w:tc>
          <w:tcPr>
            <w:tcW w:w="2375" w:type="dxa"/>
            <w:tcBorders>
              <w:top w:val="nil"/>
              <w:left w:val="nil"/>
              <w:bottom w:val="nil"/>
              <w:right w:val="single" w:color="auto" w:sz="4" w:space="0"/>
            </w:tcBorders>
            <w:shd w:val="clear" w:color="auto" w:fill="auto"/>
            <w:noWrap/>
            <w:vAlign w:val="bottom"/>
            <w:hideMark/>
          </w:tcPr>
          <w:p w:rsidRPr="00F13A01" w:rsidR="00F13A01" w:rsidP="00F13A01" w:rsidRDefault="00F13A01" w14:paraId="7EC863E6"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-15.1</w:t>
            </w:r>
          </w:p>
        </w:tc>
      </w:tr>
      <w:tr w:rsidRPr="00F13A01" w:rsidR="00F13A01" w:rsidTr="00F13A01" w14:paraId="6257AE00" w14:textId="77777777">
        <w:trPr>
          <w:trHeight w:val="300"/>
        </w:trPr>
        <w:tc>
          <w:tcPr>
            <w:tcW w:w="1333" w:type="dxa"/>
            <w:tcBorders>
              <w:top w:val="nil"/>
              <w:left w:val="single" w:color="auto" w:sz="4" w:space="0"/>
              <w:bottom w:val="nil"/>
              <w:right w:val="nil"/>
            </w:tcBorders>
            <w:shd w:val="clear" w:color="auto" w:fill="auto"/>
            <w:noWrap/>
            <w:vAlign w:val="bottom"/>
            <w:hideMark/>
          </w:tcPr>
          <w:p w:rsidRPr="00F13A01" w:rsidR="00F13A01" w:rsidP="00F13A01" w:rsidRDefault="00F13A01" w14:paraId="5FF7C03A" w14:textId="77777777">
            <w:pPr>
              <w:spacing w:after="0" w:line="240" w:lineRule="auto"/>
              <w:rPr>
                <w:rFonts w:ascii="Calibri" w:hAnsi="Calibri" w:eastAsia="Times New Roman" w:cs="Calibri"/>
                <w:color w:val="000000"/>
              </w:rPr>
            </w:pPr>
            <w:r w:rsidRPr="00F13A01">
              <w:rPr>
                <w:rFonts w:ascii="Calibri" w:hAnsi="Calibri" w:eastAsia="Times New Roman" w:cs="Calibri"/>
                <w:color w:val="000000"/>
              </w:rPr>
              <w:t>35-39</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3E964C55"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55.3</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26FB3BDC"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42.2</w:t>
            </w:r>
          </w:p>
        </w:tc>
        <w:tc>
          <w:tcPr>
            <w:tcW w:w="2375" w:type="dxa"/>
            <w:tcBorders>
              <w:top w:val="nil"/>
              <w:left w:val="nil"/>
              <w:bottom w:val="nil"/>
              <w:right w:val="single" w:color="auto" w:sz="4" w:space="0"/>
            </w:tcBorders>
            <w:shd w:val="clear" w:color="auto" w:fill="auto"/>
            <w:noWrap/>
            <w:vAlign w:val="bottom"/>
            <w:hideMark/>
          </w:tcPr>
          <w:p w:rsidRPr="00F13A01" w:rsidR="00F13A01" w:rsidP="00F13A01" w:rsidRDefault="00F13A01" w14:paraId="0F343EBE"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-13.1</w:t>
            </w:r>
          </w:p>
        </w:tc>
      </w:tr>
      <w:tr w:rsidRPr="00F13A01" w:rsidR="00F13A01" w:rsidTr="00F13A01" w14:paraId="2AAA871F" w14:textId="77777777">
        <w:trPr>
          <w:trHeight w:val="300"/>
        </w:trPr>
        <w:tc>
          <w:tcPr>
            <w:tcW w:w="1333" w:type="dxa"/>
            <w:tcBorders>
              <w:top w:val="nil"/>
              <w:left w:val="single" w:color="auto" w:sz="4" w:space="0"/>
              <w:bottom w:val="nil"/>
              <w:right w:val="nil"/>
            </w:tcBorders>
            <w:shd w:val="clear" w:color="auto" w:fill="auto"/>
            <w:noWrap/>
            <w:vAlign w:val="bottom"/>
            <w:hideMark/>
          </w:tcPr>
          <w:p w:rsidRPr="00F13A01" w:rsidR="00F13A01" w:rsidP="00F13A01" w:rsidRDefault="00F13A01" w14:paraId="58BB31EE" w14:textId="77777777">
            <w:pPr>
              <w:spacing w:after="0" w:line="240" w:lineRule="auto"/>
              <w:rPr>
                <w:rFonts w:ascii="Calibri" w:hAnsi="Calibri" w:eastAsia="Times New Roman" w:cs="Calibri"/>
                <w:color w:val="000000"/>
              </w:rPr>
            </w:pPr>
            <w:r w:rsidRPr="00F13A01">
              <w:rPr>
                <w:rFonts w:ascii="Calibri" w:hAnsi="Calibri" w:eastAsia="Times New Roman" w:cs="Calibri"/>
                <w:color w:val="000000"/>
              </w:rPr>
              <w:t>40-44</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207761F0"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57.5</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1EF4EBF0"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42.9</w:t>
            </w:r>
          </w:p>
        </w:tc>
        <w:tc>
          <w:tcPr>
            <w:tcW w:w="2375" w:type="dxa"/>
            <w:tcBorders>
              <w:top w:val="nil"/>
              <w:left w:val="nil"/>
              <w:bottom w:val="nil"/>
              <w:right w:val="single" w:color="auto" w:sz="4" w:space="0"/>
            </w:tcBorders>
            <w:shd w:val="clear" w:color="auto" w:fill="auto"/>
            <w:noWrap/>
            <w:vAlign w:val="bottom"/>
            <w:hideMark/>
          </w:tcPr>
          <w:p w:rsidRPr="00F13A01" w:rsidR="00F13A01" w:rsidP="00F13A01" w:rsidRDefault="00F13A01" w14:paraId="350C0F0F"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-14.5</w:t>
            </w:r>
          </w:p>
        </w:tc>
      </w:tr>
      <w:tr w:rsidRPr="00F13A01" w:rsidR="00F13A01" w:rsidTr="00F13A01" w14:paraId="3D0224F8" w14:textId="77777777">
        <w:trPr>
          <w:trHeight w:val="300"/>
        </w:trPr>
        <w:tc>
          <w:tcPr>
            <w:tcW w:w="1333" w:type="dxa"/>
            <w:tcBorders>
              <w:top w:val="nil"/>
              <w:left w:val="single" w:color="auto" w:sz="4" w:space="0"/>
              <w:bottom w:val="nil"/>
              <w:right w:val="nil"/>
            </w:tcBorders>
            <w:shd w:val="clear" w:color="auto" w:fill="auto"/>
            <w:noWrap/>
            <w:vAlign w:val="bottom"/>
            <w:hideMark/>
          </w:tcPr>
          <w:p w:rsidRPr="00F13A01" w:rsidR="00F13A01" w:rsidP="00F13A01" w:rsidRDefault="00F13A01" w14:paraId="6B0E6D7A" w14:textId="77777777">
            <w:pPr>
              <w:spacing w:after="0" w:line="240" w:lineRule="auto"/>
              <w:rPr>
                <w:rFonts w:ascii="Calibri" w:hAnsi="Calibri" w:eastAsia="Times New Roman" w:cs="Calibri"/>
                <w:color w:val="000000"/>
              </w:rPr>
            </w:pPr>
            <w:r w:rsidRPr="00F13A01">
              <w:rPr>
                <w:rFonts w:ascii="Calibri" w:hAnsi="Calibri" w:eastAsia="Times New Roman" w:cs="Calibri"/>
                <w:color w:val="000000"/>
              </w:rPr>
              <w:t>45-49</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238ACA86"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58.5</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1E882B0F"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42.1</w:t>
            </w:r>
          </w:p>
        </w:tc>
        <w:tc>
          <w:tcPr>
            <w:tcW w:w="2375" w:type="dxa"/>
            <w:tcBorders>
              <w:top w:val="nil"/>
              <w:left w:val="nil"/>
              <w:bottom w:val="nil"/>
              <w:right w:val="single" w:color="auto" w:sz="4" w:space="0"/>
            </w:tcBorders>
            <w:shd w:val="clear" w:color="auto" w:fill="auto"/>
            <w:noWrap/>
            <w:vAlign w:val="bottom"/>
            <w:hideMark/>
          </w:tcPr>
          <w:p w:rsidRPr="00F13A01" w:rsidR="00F13A01" w:rsidP="00F13A01" w:rsidRDefault="00F13A01" w14:paraId="68E890A6"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-16.4</w:t>
            </w:r>
          </w:p>
        </w:tc>
      </w:tr>
      <w:tr w:rsidRPr="00F13A01" w:rsidR="00F13A01" w:rsidTr="00F13A01" w14:paraId="60DA15C3" w14:textId="77777777">
        <w:trPr>
          <w:trHeight w:val="300"/>
        </w:trPr>
        <w:tc>
          <w:tcPr>
            <w:tcW w:w="1333" w:type="dxa"/>
            <w:tcBorders>
              <w:top w:val="nil"/>
              <w:left w:val="single" w:color="auto" w:sz="4" w:space="0"/>
              <w:bottom w:val="nil"/>
              <w:right w:val="nil"/>
            </w:tcBorders>
            <w:shd w:val="clear" w:color="auto" w:fill="auto"/>
            <w:noWrap/>
            <w:vAlign w:val="bottom"/>
            <w:hideMark/>
          </w:tcPr>
          <w:p w:rsidRPr="00F13A01" w:rsidR="00F13A01" w:rsidP="00F13A01" w:rsidRDefault="00F13A01" w14:paraId="165110D1" w14:textId="77777777">
            <w:pPr>
              <w:spacing w:after="0" w:line="240" w:lineRule="auto"/>
              <w:rPr>
                <w:rFonts w:ascii="Calibri" w:hAnsi="Calibri" w:eastAsia="Times New Roman" w:cs="Calibri"/>
                <w:color w:val="000000"/>
              </w:rPr>
            </w:pPr>
            <w:r w:rsidRPr="00F13A01">
              <w:rPr>
                <w:rFonts w:ascii="Calibri" w:hAnsi="Calibri" w:eastAsia="Times New Roman" w:cs="Calibri"/>
                <w:color w:val="000000"/>
              </w:rPr>
              <w:t>50-54</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3EFEE9C8"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59.4</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545B7EEA"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45.9</w:t>
            </w:r>
          </w:p>
        </w:tc>
        <w:tc>
          <w:tcPr>
            <w:tcW w:w="2375" w:type="dxa"/>
            <w:tcBorders>
              <w:top w:val="nil"/>
              <w:left w:val="nil"/>
              <w:bottom w:val="nil"/>
              <w:right w:val="single" w:color="auto" w:sz="4" w:space="0"/>
            </w:tcBorders>
            <w:shd w:val="clear" w:color="auto" w:fill="auto"/>
            <w:noWrap/>
            <w:vAlign w:val="bottom"/>
            <w:hideMark/>
          </w:tcPr>
          <w:p w:rsidRPr="00F13A01" w:rsidR="00F13A01" w:rsidP="00F13A01" w:rsidRDefault="00F13A01" w14:paraId="5520A801"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-13.5</w:t>
            </w:r>
          </w:p>
        </w:tc>
      </w:tr>
      <w:tr w:rsidRPr="00F13A01" w:rsidR="00F13A01" w:rsidTr="00F13A01" w14:paraId="1CE3EB16" w14:textId="77777777">
        <w:trPr>
          <w:trHeight w:val="300"/>
        </w:trPr>
        <w:tc>
          <w:tcPr>
            <w:tcW w:w="1333" w:type="dxa"/>
            <w:tcBorders>
              <w:top w:val="nil"/>
              <w:left w:val="single" w:color="auto" w:sz="4" w:space="0"/>
              <w:bottom w:val="nil"/>
              <w:right w:val="nil"/>
            </w:tcBorders>
            <w:shd w:val="clear" w:color="auto" w:fill="auto"/>
            <w:noWrap/>
            <w:vAlign w:val="bottom"/>
            <w:hideMark/>
          </w:tcPr>
          <w:p w:rsidRPr="00F13A01" w:rsidR="00F13A01" w:rsidP="00F13A01" w:rsidRDefault="00F13A01" w14:paraId="2981CD28" w14:textId="77777777">
            <w:pPr>
              <w:spacing w:after="0" w:line="240" w:lineRule="auto"/>
              <w:rPr>
                <w:rFonts w:ascii="Calibri" w:hAnsi="Calibri" w:eastAsia="Times New Roman" w:cs="Calibri"/>
                <w:color w:val="000000"/>
              </w:rPr>
            </w:pPr>
            <w:r w:rsidRPr="00F13A01">
              <w:rPr>
                <w:rFonts w:ascii="Calibri" w:hAnsi="Calibri" w:eastAsia="Times New Roman" w:cs="Calibri"/>
                <w:color w:val="000000"/>
              </w:rPr>
              <w:t>55-59</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73A83FE9"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63.8</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18A8B952"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50.9</w:t>
            </w:r>
          </w:p>
        </w:tc>
        <w:tc>
          <w:tcPr>
            <w:tcW w:w="2375" w:type="dxa"/>
            <w:tcBorders>
              <w:top w:val="nil"/>
              <w:left w:val="nil"/>
              <w:bottom w:val="nil"/>
              <w:right w:val="single" w:color="auto" w:sz="4" w:space="0"/>
            </w:tcBorders>
            <w:shd w:val="clear" w:color="auto" w:fill="auto"/>
            <w:noWrap/>
            <w:vAlign w:val="bottom"/>
            <w:hideMark/>
          </w:tcPr>
          <w:p w:rsidRPr="00F13A01" w:rsidR="00F13A01" w:rsidP="00F13A01" w:rsidRDefault="00F13A01" w14:paraId="1BDA3304"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-12.9</w:t>
            </w:r>
          </w:p>
        </w:tc>
      </w:tr>
      <w:tr w:rsidRPr="00F13A01" w:rsidR="00F13A01" w:rsidTr="00F13A01" w14:paraId="25A98637" w14:textId="77777777">
        <w:trPr>
          <w:trHeight w:val="300"/>
        </w:trPr>
        <w:tc>
          <w:tcPr>
            <w:tcW w:w="1333" w:type="dxa"/>
            <w:tcBorders>
              <w:top w:val="nil"/>
              <w:left w:val="single" w:color="auto" w:sz="4" w:space="0"/>
              <w:bottom w:val="nil"/>
              <w:right w:val="nil"/>
            </w:tcBorders>
            <w:shd w:val="clear" w:color="auto" w:fill="auto"/>
            <w:noWrap/>
            <w:vAlign w:val="bottom"/>
            <w:hideMark/>
          </w:tcPr>
          <w:p w:rsidRPr="00F13A01" w:rsidR="00F13A01" w:rsidP="00F13A01" w:rsidRDefault="00F13A01" w14:paraId="6EBE5B2B" w14:textId="77777777">
            <w:pPr>
              <w:spacing w:after="0" w:line="240" w:lineRule="auto"/>
              <w:rPr>
                <w:rFonts w:ascii="Calibri" w:hAnsi="Calibri" w:eastAsia="Times New Roman" w:cs="Calibri"/>
                <w:color w:val="000000"/>
              </w:rPr>
            </w:pPr>
            <w:r w:rsidRPr="00F13A01">
              <w:rPr>
                <w:rFonts w:ascii="Calibri" w:hAnsi="Calibri" w:eastAsia="Times New Roman" w:cs="Calibri"/>
                <w:color w:val="000000"/>
              </w:rPr>
              <w:t>60-64</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17BC78F5"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62.6</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34791E0E"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51.2</w:t>
            </w:r>
          </w:p>
        </w:tc>
        <w:tc>
          <w:tcPr>
            <w:tcW w:w="2375" w:type="dxa"/>
            <w:tcBorders>
              <w:top w:val="nil"/>
              <w:left w:val="nil"/>
              <w:bottom w:val="nil"/>
              <w:right w:val="single" w:color="auto" w:sz="4" w:space="0"/>
            </w:tcBorders>
            <w:shd w:val="clear" w:color="auto" w:fill="auto"/>
            <w:noWrap/>
            <w:vAlign w:val="bottom"/>
            <w:hideMark/>
          </w:tcPr>
          <w:p w:rsidRPr="00F13A01" w:rsidR="00F13A01" w:rsidP="00F13A01" w:rsidRDefault="00F13A01" w14:paraId="2582CAC4"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-11.5</w:t>
            </w:r>
          </w:p>
        </w:tc>
      </w:tr>
      <w:tr w:rsidRPr="00F13A01" w:rsidR="00F13A01" w:rsidTr="00F13A01" w14:paraId="44F05417" w14:textId="77777777">
        <w:trPr>
          <w:trHeight w:val="300"/>
        </w:trPr>
        <w:tc>
          <w:tcPr>
            <w:tcW w:w="1333" w:type="dxa"/>
            <w:tcBorders>
              <w:top w:val="nil"/>
              <w:left w:val="single" w:color="auto" w:sz="4" w:space="0"/>
              <w:bottom w:val="nil"/>
              <w:right w:val="nil"/>
            </w:tcBorders>
            <w:shd w:val="clear" w:color="auto" w:fill="auto"/>
            <w:noWrap/>
            <w:vAlign w:val="bottom"/>
            <w:hideMark/>
          </w:tcPr>
          <w:p w:rsidRPr="00F13A01" w:rsidR="00F13A01" w:rsidP="00F13A01" w:rsidRDefault="00F13A01" w14:paraId="738EAA9E" w14:textId="77777777">
            <w:pPr>
              <w:spacing w:after="0" w:line="240" w:lineRule="auto"/>
              <w:rPr>
                <w:rFonts w:ascii="Calibri" w:hAnsi="Calibri" w:eastAsia="Times New Roman" w:cs="Calibri"/>
                <w:color w:val="000000"/>
              </w:rPr>
            </w:pPr>
            <w:r w:rsidRPr="00F13A01">
              <w:rPr>
                <w:rFonts w:ascii="Calibri" w:hAnsi="Calibri" w:eastAsia="Times New Roman" w:cs="Calibri"/>
                <w:color w:val="000000"/>
              </w:rPr>
              <w:t>65-69</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433469E8"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62.4</w:t>
            </w:r>
          </w:p>
        </w:tc>
        <w:tc>
          <w:tcPr>
            <w:tcW w:w="1431" w:type="dxa"/>
            <w:tcBorders>
              <w:top w:val="nil"/>
              <w:left w:val="nil"/>
              <w:bottom w:val="nil"/>
              <w:right w:val="nil"/>
            </w:tcBorders>
            <w:shd w:val="clear" w:color="auto" w:fill="auto"/>
            <w:noWrap/>
            <w:vAlign w:val="bottom"/>
            <w:hideMark/>
          </w:tcPr>
          <w:p w:rsidRPr="00F13A01" w:rsidR="00F13A01" w:rsidP="00F13A01" w:rsidRDefault="00F13A01" w14:paraId="4CCFC285"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54.5</w:t>
            </w:r>
          </w:p>
        </w:tc>
        <w:tc>
          <w:tcPr>
            <w:tcW w:w="2375" w:type="dxa"/>
            <w:tcBorders>
              <w:top w:val="nil"/>
              <w:left w:val="nil"/>
              <w:bottom w:val="nil"/>
              <w:right w:val="single" w:color="auto" w:sz="4" w:space="0"/>
            </w:tcBorders>
            <w:shd w:val="clear" w:color="auto" w:fill="auto"/>
            <w:noWrap/>
            <w:vAlign w:val="bottom"/>
            <w:hideMark/>
          </w:tcPr>
          <w:p w:rsidRPr="00F13A01" w:rsidR="00F13A01" w:rsidP="00F13A01" w:rsidRDefault="00F13A01" w14:paraId="59664EF8"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-7.9</w:t>
            </w:r>
          </w:p>
        </w:tc>
      </w:tr>
      <w:tr w:rsidRPr="00F13A01" w:rsidR="00F13A01" w:rsidTr="00F13A01" w14:paraId="72345890" w14:textId="77777777">
        <w:trPr>
          <w:trHeight w:val="300"/>
        </w:trPr>
        <w:tc>
          <w:tcPr>
            <w:tcW w:w="1333" w:type="dxa"/>
            <w:tcBorders>
              <w:top w:val="nil"/>
              <w:left w:val="single" w:color="auto" w:sz="4" w:space="0"/>
              <w:bottom w:val="single" w:color="auto" w:sz="4" w:space="0"/>
              <w:right w:val="nil"/>
            </w:tcBorders>
            <w:shd w:val="clear" w:color="auto" w:fill="auto"/>
            <w:noWrap/>
            <w:vAlign w:val="bottom"/>
            <w:hideMark/>
          </w:tcPr>
          <w:p w:rsidRPr="00F13A01" w:rsidR="00F13A01" w:rsidP="0097502F" w:rsidRDefault="00F13A01" w14:paraId="52D6C195" w14:textId="617E00A0">
            <w:pPr>
              <w:spacing w:after="0" w:line="240" w:lineRule="auto"/>
              <w:rPr>
                <w:rFonts w:ascii="Calibri" w:hAnsi="Calibri" w:eastAsia="Times New Roman" w:cs="Calibri"/>
                <w:color w:val="000000"/>
              </w:rPr>
            </w:pPr>
            <w:r w:rsidRPr="00F13A01">
              <w:rPr>
                <w:rFonts w:ascii="Calibri" w:hAnsi="Calibri" w:eastAsia="Times New Roman" w:cs="Calibri"/>
                <w:color w:val="000000"/>
              </w:rPr>
              <w:t xml:space="preserve">70 and </w:t>
            </w:r>
            <w:r w:rsidR="0097502F">
              <w:rPr>
                <w:rFonts w:ascii="Calibri" w:hAnsi="Calibri" w:eastAsia="Times New Roman" w:cs="Calibri"/>
                <w:color w:val="000000"/>
              </w:rPr>
              <w:t>over</w:t>
            </w:r>
          </w:p>
        </w:tc>
        <w:tc>
          <w:tcPr>
            <w:tcW w:w="1431" w:type="dxa"/>
            <w:tcBorders>
              <w:top w:val="nil"/>
              <w:left w:val="nil"/>
              <w:bottom w:val="single" w:color="auto" w:sz="4" w:space="0"/>
              <w:right w:val="nil"/>
            </w:tcBorders>
            <w:shd w:val="clear" w:color="auto" w:fill="auto"/>
            <w:noWrap/>
            <w:vAlign w:val="bottom"/>
            <w:hideMark/>
          </w:tcPr>
          <w:p w:rsidRPr="00F13A01" w:rsidR="00F13A01" w:rsidP="00F13A01" w:rsidRDefault="00F13A01" w14:paraId="13CD590F"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53.9</w:t>
            </w:r>
          </w:p>
        </w:tc>
        <w:tc>
          <w:tcPr>
            <w:tcW w:w="1431" w:type="dxa"/>
            <w:tcBorders>
              <w:top w:val="nil"/>
              <w:left w:val="nil"/>
              <w:bottom w:val="single" w:color="auto" w:sz="4" w:space="0"/>
              <w:right w:val="nil"/>
            </w:tcBorders>
            <w:shd w:val="clear" w:color="auto" w:fill="auto"/>
            <w:noWrap/>
            <w:vAlign w:val="bottom"/>
            <w:hideMark/>
          </w:tcPr>
          <w:p w:rsidRPr="00F13A01" w:rsidR="00F13A01" w:rsidP="00F13A01" w:rsidRDefault="00F13A01" w14:paraId="47DE4574"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50.3</w:t>
            </w:r>
          </w:p>
        </w:tc>
        <w:tc>
          <w:tcPr>
            <w:tcW w:w="2375" w:type="dxa"/>
            <w:tcBorders>
              <w:top w:val="nil"/>
              <w:left w:val="nil"/>
              <w:bottom w:val="single" w:color="auto" w:sz="4" w:space="0"/>
              <w:right w:val="single" w:color="auto" w:sz="4" w:space="0"/>
            </w:tcBorders>
            <w:shd w:val="clear" w:color="auto" w:fill="auto"/>
            <w:noWrap/>
            <w:vAlign w:val="bottom"/>
            <w:hideMark/>
          </w:tcPr>
          <w:p w:rsidRPr="00F13A01" w:rsidR="00F13A01" w:rsidP="00F13A01" w:rsidRDefault="00F13A01" w14:paraId="351B450A" w14:textId="77777777">
            <w:pPr>
              <w:spacing w:after="0" w:line="240" w:lineRule="auto"/>
              <w:jc w:val="center"/>
              <w:rPr>
                <w:rFonts w:ascii="Calibri" w:hAnsi="Calibri" w:eastAsia="Times New Roman" w:cs="Calibri"/>
                <w:color w:val="000000"/>
              </w:rPr>
            </w:pPr>
            <w:r w:rsidRPr="00F13A01">
              <w:rPr>
                <w:rFonts w:ascii="Calibri" w:hAnsi="Calibri" w:eastAsia="Times New Roman" w:cs="Calibri"/>
                <w:color w:val="000000"/>
              </w:rPr>
              <w:t>-3.6</w:t>
            </w:r>
          </w:p>
        </w:tc>
      </w:tr>
    </w:tbl>
    <w:p w:rsidRPr="003342F2" w:rsidR="00F13A01" w:rsidP="00F13A01" w:rsidRDefault="003342F2" w14:paraId="6C00D37A" w14:textId="6BE01F64">
      <w:pPr>
        <w:rPr>
          <w:i/>
        </w:rPr>
      </w:pPr>
      <w:r w:rsidRPr="003342F2">
        <w:rPr>
          <w:i/>
        </w:rPr>
        <w:t>Note: These are unweighted response rates calculated using published ATUS Survey Methods files.</w:t>
      </w:r>
    </w:p>
    <w:p w:rsidR="009D1133" w:rsidP="005C4561" w:rsidRDefault="00982759" w14:paraId="329EA66C" w14:textId="23760EB0">
      <w:pPr>
        <w:spacing w:line="360" w:lineRule="auto"/>
        <w:ind w:firstLine="720"/>
      </w:pPr>
      <w:r>
        <w:t>T</w:t>
      </w:r>
      <w:r w:rsidR="004A17E9">
        <w:t>o study the effectiveness of sending cash incentives</w:t>
      </w:r>
      <w:r w:rsidR="00AD488A">
        <w:t xml:space="preserve"> instead of</w:t>
      </w:r>
      <w:r w:rsidR="000A1576">
        <w:t xml:space="preserve"> </w:t>
      </w:r>
      <w:r w:rsidR="004A17E9">
        <w:t xml:space="preserve">$40 debit cards, ATUS will divide the </w:t>
      </w:r>
      <w:r w:rsidR="009D1133">
        <w:t xml:space="preserve">regular incentive cases into </w:t>
      </w:r>
      <w:r w:rsidR="00AD488A">
        <w:t xml:space="preserve">three </w:t>
      </w:r>
      <w:r w:rsidR="009D1133">
        <w:t xml:space="preserve">groups:  a control group in which </w:t>
      </w:r>
      <w:r w:rsidR="000A1576">
        <w:t>DPs</w:t>
      </w:r>
      <w:r w:rsidR="009D1133">
        <w:t xml:space="preserve"> will </w:t>
      </w:r>
      <w:r w:rsidR="00AD488A">
        <w:t xml:space="preserve">receive no incentive, </w:t>
      </w:r>
      <w:r w:rsidR="009D1133">
        <w:t xml:space="preserve">a test group in which each DP will be sent </w:t>
      </w:r>
      <w:r w:rsidR="00AD488A">
        <w:t xml:space="preserve">$5 cash, and a second test group in which each DP will be sent </w:t>
      </w:r>
      <w:r w:rsidR="009D1133">
        <w:t>$</w:t>
      </w:r>
      <w:r w:rsidR="0037474E">
        <w:t>10</w:t>
      </w:r>
      <w:r w:rsidR="009D1133">
        <w:t xml:space="preserve"> </w:t>
      </w:r>
      <w:r w:rsidR="00AD1CBD">
        <w:t>cash</w:t>
      </w:r>
      <w:r w:rsidR="009D1133">
        <w:t xml:space="preserve">. </w:t>
      </w:r>
      <w:r w:rsidRPr="00CC52EB" w:rsidR="009D1133">
        <w:t>In 2014-16, there was an average of</w:t>
      </w:r>
      <w:r w:rsidRPr="00CC52EB" w:rsidR="002539E9">
        <w:t xml:space="preserve"> </w:t>
      </w:r>
      <w:r w:rsidRPr="00CC52EB" w:rsidR="00FA359A">
        <w:t>nearly</w:t>
      </w:r>
      <w:r w:rsidRPr="00CC52EB" w:rsidR="009D1133">
        <w:t xml:space="preserve"> 1,5</w:t>
      </w:r>
      <w:r w:rsidRPr="00CC52EB" w:rsidR="00FA359A">
        <w:t>4</w:t>
      </w:r>
      <w:r w:rsidRPr="00CC52EB" w:rsidR="002539E9">
        <w:t>0</w:t>
      </w:r>
      <w:r w:rsidRPr="00CC52EB" w:rsidR="009D1133">
        <w:t xml:space="preserve"> regular incentive cases per year. Running the </w:t>
      </w:r>
      <w:r w:rsidRPr="00CC52EB" w:rsidR="009D1133">
        <w:lastRenderedPageBreak/>
        <w:t xml:space="preserve">study for </w:t>
      </w:r>
      <w:r w:rsidRPr="00CC52EB" w:rsidR="00AD488A">
        <w:t xml:space="preserve">the full year will allow </w:t>
      </w:r>
      <w:r w:rsidRPr="00CC52EB" w:rsidR="0042419D">
        <w:t>about 513</w:t>
      </w:r>
      <w:r w:rsidRPr="00CC52EB" w:rsidR="00AD488A">
        <w:t xml:space="preserve"> cases </w:t>
      </w:r>
      <w:r w:rsidRPr="00CC52EB" w:rsidR="0042419D">
        <w:t xml:space="preserve">to be </w:t>
      </w:r>
      <w:r w:rsidRPr="00CC52EB" w:rsidR="00AD488A">
        <w:t>assigned to each of the three conditions</w:t>
      </w:r>
      <w:r w:rsidR="009D1133">
        <w:t>.</w:t>
      </w:r>
      <w:r w:rsidR="00CC3191">
        <w:t xml:space="preserve"> (See table 5.)</w:t>
      </w:r>
    </w:p>
    <w:p w:rsidR="00AC69FC" w:rsidP="005C4561" w:rsidRDefault="00936E36" w14:paraId="4376B2C7" w14:textId="4453589D">
      <w:pPr>
        <w:spacing w:line="360" w:lineRule="auto"/>
        <w:ind w:firstLine="720"/>
      </w:pPr>
      <w:r>
        <w:t>To test the second goal, the study will focus on cases that have 15</w:t>
      </w:r>
      <w:r w:rsidR="00017C59">
        <w:t>-</w:t>
      </w:r>
      <w:r w:rsidR="00A66697">
        <w:t xml:space="preserve"> to 24</w:t>
      </w:r>
      <w:r w:rsidR="00017C59">
        <w:t>-</w:t>
      </w:r>
      <w:r w:rsidR="00A66697">
        <w:t xml:space="preserve">year-old DPs </w:t>
      </w:r>
      <w:r>
        <w:t>who have not been identified as regular ince</w:t>
      </w:r>
      <w:r w:rsidR="00A66697">
        <w:t>ntive cases. The samples of 15</w:t>
      </w:r>
      <w:r w:rsidR="00017C59">
        <w:t>-</w:t>
      </w:r>
      <w:r w:rsidR="00A66697">
        <w:t xml:space="preserve"> to 19</w:t>
      </w:r>
      <w:r w:rsidR="00017C59">
        <w:t>-</w:t>
      </w:r>
      <w:r w:rsidR="00A66697">
        <w:t>year-olds and 20</w:t>
      </w:r>
      <w:r w:rsidR="00017C59">
        <w:t>-</w:t>
      </w:r>
      <w:r w:rsidR="00A66697">
        <w:t xml:space="preserve"> to 24</w:t>
      </w:r>
      <w:r w:rsidR="00017C59">
        <w:t>-</w:t>
      </w:r>
      <w:r w:rsidR="00A66697">
        <w:t xml:space="preserve">year-olds </w:t>
      </w:r>
      <w:r w:rsidR="0042419D">
        <w:t xml:space="preserve">also </w:t>
      </w:r>
      <w:r w:rsidR="00A66697">
        <w:t>will each</w:t>
      </w:r>
      <w:r>
        <w:t xml:space="preserve"> randomly </w:t>
      </w:r>
      <w:r w:rsidR="00A66697">
        <w:t xml:space="preserve">be </w:t>
      </w:r>
      <w:r>
        <w:t xml:space="preserve">divided into </w:t>
      </w:r>
      <w:r w:rsidR="0042419D">
        <w:t xml:space="preserve">three </w:t>
      </w:r>
      <w:r>
        <w:t>groups</w:t>
      </w:r>
      <w:r w:rsidR="0042419D">
        <w:t xml:space="preserve">:  a </w:t>
      </w:r>
      <w:r w:rsidRPr="00A66697">
        <w:t xml:space="preserve">control group </w:t>
      </w:r>
      <w:r w:rsidR="0042419D">
        <w:t xml:space="preserve">that </w:t>
      </w:r>
      <w:r w:rsidRPr="00A66697">
        <w:t>will not receive a</w:t>
      </w:r>
      <w:r w:rsidR="0037474E">
        <w:t>n</w:t>
      </w:r>
      <w:r w:rsidRPr="00A66697">
        <w:t xml:space="preserve"> incentive, a test group</w:t>
      </w:r>
      <w:r w:rsidR="0042419D">
        <w:t xml:space="preserve"> that</w:t>
      </w:r>
      <w:r w:rsidRPr="00A66697">
        <w:t xml:space="preserve"> will receive a</w:t>
      </w:r>
      <w:r w:rsidR="0042419D">
        <w:t xml:space="preserve"> $5 cash incentive, and a second test group that will receive a</w:t>
      </w:r>
      <w:r w:rsidRPr="00A66697">
        <w:t xml:space="preserve"> $</w:t>
      </w:r>
      <w:r w:rsidR="0037474E">
        <w:t>10</w:t>
      </w:r>
      <w:r w:rsidRPr="00A66697">
        <w:t xml:space="preserve"> cash incentive.</w:t>
      </w:r>
      <w:r w:rsidR="00A66697">
        <w:t xml:space="preserve"> Using 2014-16 averages, approximately </w:t>
      </w:r>
      <w:r w:rsidR="0042419D">
        <w:t xml:space="preserve">507 </w:t>
      </w:r>
      <w:r w:rsidR="00A66697">
        <w:t>15</w:t>
      </w:r>
      <w:r w:rsidR="00017C59">
        <w:t>-</w:t>
      </w:r>
      <w:r w:rsidR="00A66697">
        <w:t xml:space="preserve"> to 19</w:t>
      </w:r>
      <w:r w:rsidR="00017C59">
        <w:t>-</w:t>
      </w:r>
      <w:r w:rsidR="00A66697">
        <w:t>year-old</w:t>
      </w:r>
      <w:r w:rsidR="00A45736">
        <w:t xml:space="preserve"> DP</w:t>
      </w:r>
      <w:r w:rsidR="00A66697">
        <w:t xml:space="preserve">s and </w:t>
      </w:r>
      <w:r w:rsidR="0042419D">
        <w:t xml:space="preserve">460 </w:t>
      </w:r>
      <w:r w:rsidR="00A66697">
        <w:t>20</w:t>
      </w:r>
      <w:r w:rsidR="00017C59">
        <w:t xml:space="preserve">- </w:t>
      </w:r>
      <w:r w:rsidR="00A66697">
        <w:t>to 24</w:t>
      </w:r>
      <w:r w:rsidR="00017C59">
        <w:t>-</w:t>
      </w:r>
      <w:r w:rsidRPr="001B7AA3" w:rsidR="00A66697">
        <w:t>year-old</w:t>
      </w:r>
      <w:r w:rsidR="00A45736">
        <w:t xml:space="preserve"> DP</w:t>
      </w:r>
      <w:r w:rsidRPr="001B7AA3" w:rsidR="00A66697">
        <w:t xml:space="preserve">s would be assigned to each </w:t>
      </w:r>
      <w:r w:rsidR="005C4561">
        <w:t>group during</w:t>
      </w:r>
      <w:r w:rsidR="0042419D">
        <w:t xml:space="preserve"> the</w:t>
      </w:r>
      <w:r w:rsidR="005C4561">
        <w:t xml:space="preserve"> one</w:t>
      </w:r>
      <w:r w:rsidR="0042419D">
        <w:t xml:space="preserve">-year test </w:t>
      </w:r>
      <w:r w:rsidRPr="001B7AA3" w:rsidR="001B7AA3">
        <w:t xml:space="preserve">period. </w:t>
      </w:r>
      <w:r w:rsidR="005C4561">
        <w:t>Normally, about 3 percent of 15</w:t>
      </w:r>
      <w:r w:rsidR="00017C59">
        <w:t xml:space="preserve">- </w:t>
      </w:r>
      <w:r w:rsidR="005C4561">
        <w:t>to 24</w:t>
      </w:r>
      <w:r w:rsidR="00017C59">
        <w:t>-</w:t>
      </w:r>
      <w:r w:rsidR="005C4561">
        <w:t>year-old DPs are converted to expanded incentive cases after their first week in sample. However, t</w:t>
      </w:r>
      <w:r w:rsidR="001B7AA3">
        <w:t xml:space="preserve">o ensure the integrity of </w:t>
      </w:r>
      <w:r w:rsidR="005C4561">
        <w:t>this</w:t>
      </w:r>
      <w:r w:rsidR="001B7AA3">
        <w:t xml:space="preserve"> experiment, </w:t>
      </w:r>
      <w:r w:rsidR="005C4561">
        <w:t>1</w:t>
      </w:r>
      <w:r w:rsidR="00A45736">
        <w:t>5</w:t>
      </w:r>
      <w:r w:rsidR="00017C59">
        <w:t>-</w:t>
      </w:r>
      <w:r w:rsidR="005C4561">
        <w:t xml:space="preserve"> to 24</w:t>
      </w:r>
      <w:r w:rsidR="00017C59">
        <w:t>-</w:t>
      </w:r>
      <w:r w:rsidR="005C4561">
        <w:t xml:space="preserve">year-old DPs </w:t>
      </w:r>
      <w:r w:rsidR="001B7AA3">
        <w:t xml:space="preserve">would not be eligible to </w:t>
      </w:r>
      <w:r w:rsidR="00A45736">
        <w:t>be converted to</w:t>
      </w:r>
      <w:r w:rsidR="001B7AA3">
        <w:t xml:space="preserve"> expanded incentive</w:t>
      </w:r>
      <w:r w:rsidR="00A45736">
        <w:t xml:space="preserve"> case</w:t>
      </w:r>
      <w:r w:rsidR="001B7AA3">
        <w:t xml:space="preserve">s </w:t>
      </w:r>
      <w:r w:rsidR="00B568C5">
        <w:t>for</w:t>
      </w:r>
      <w:r w:rsidR="001B7AA3">
        <w:t xml:space="preserve"> the duration of the study</w:t>
      </w:r>
      <w:r w:rsidRPr="00CC52EB" w:rsidR="001B7AA3">
        <w:t>.</w:t>
      </w:r>
      <w:r w:rsidRPr="00CC52EB" w:rsidR="00FA1CA8">
        <w:t xml:space="preserve"> The costs associated with the cash incentives for each test group (but not other costs associated with the proposed study) also are shown in Table 5.</w:t>
      </w:r>
    </w:p>
    <w:tbl>
      <w:tblPr>
        <w:tblW w:w="8948" w:type="dxa"/>
        <w:tblLook w:val="04A0" w:firstRow="1" w:lastRow="0" w:firstColumn="1" w:lastColumn="0" w:noHBand="0" w:noVBand="1"/>
      </w:tblPr>
      <w:tblGrid>
        <w:gridCol w:w="2987"/>
        <w:gridCol w:w="1410"/>
        <w:gridCol w:w="1377"/>
        <w:gridCol w:w="1009"/>
        <w:gridCol w:w="1009"/>
        <w:gridCol w:w="1156"/>
      </w:tblGrid>
      <w:tr w:rsidRPr="001131BD" w:rsidR="001131BD" w:rsidTr="00F36759" w14:paraId="4AD679B6" w14:textId="77777777">
        <w:trPr>
          <w:trHeight w:val="751"/>
        </w:trPr>
        <w:tc>
          <w:tcPr>
            <w:tcW w:w="8948" w:type="dxa"/>
            <w:gridSpan w:val="6"/>
            <w:tcBorders>
              <w:top w:val="nil"/>
              <w:left w:val="nil"/>
              <w:bottom w:val="single" w:color="auto" w:sz="4" w:space="0"/>
              <w:right w:val="nil"/>
            </w:tcBorders>
            <w:shd w:val="clear" w:color="auto" w:fill="auto"/>
            <w:vAlign w:val="bottom"/>
            <w:hideMark/>
          </w:tcPr>
          <w:p w:rsidRPr="001131BD" w:rsidR="001131BD" w:rsidP="001131BD" w:rsidRDefault="001131BD" w14:paraId="21D6DC84" w14:textId="77777777">
            <w:pPr>
              <w:spacing w:after="0" w:line="240" w:lineRule="auto"/>
              <w:rPr>
                <w:rFonts w:ascii="Calibri" w:hAnsi="Calibri" w:eastAsia="Times New Roman" w:cs="Calibri"/>
                <w:i/>
                <w:iCs/>
                <w:color w:val="000000"/>
              </w:rPr>
            </w:pPr>
            <w:r w:rsidRPr="00CC52EB">
              <w:rPr>
                <w:rFonts w:ascii="Calibri" w:hAnsi="Calibri" w:eastAsia="Times New Roman" w:cs="Calibri"/>
                <w:i/>
                <w:iCs/>
                <w:color w:val="000000"/>
              </w:rPr>
              <w:t>Table 5. Approximate</w:t>
            </w:r>
            <w:r w:rsidRPr="001131BD">
              <w:rPr>
                <w:rFonts w:ascii="Calibri" w:hAnsi="Calibri" w:eastAsia="Times New Roman" w:cs="Calibri"/>
                <w:i/>
                <w:iCs/>
                <w:color w:val="000000"/>
              </w:rPr>
              <w:t xml:space="preserve"> number of cases assigned to the control and test groups in the ATUS incentive study, and estimated costs associated with each group</w:t>
            </w:r>
          </w:p>
        </w:tc>
      </w:tr>
      <w:tr w:rsidRPr="001131BD" w:rsidR="00F36759" w:rsidTr="00F36759" w14:paraId="560A4303" w14:textId="77777777">
        <w:trPr>
          <w:trHeight w:val="687"/>
        </w:trPr>
        <w:tc>
          <w:tcPr>
            <w:tcW w:w="2987" w:type="dxa"/>
            <w:vMerge w:val="restart"/>
            <w:tcBorders>
              <w:top w:val="nil"/>
              <w:left w:val="single" w:color="auto" w:sz="4" w:space="0"/>
              <w:bottom w:val="nil"/>
              <w:right w:val="single" w:color="auto" w:sz="4" w:space="0"/>
            </w:tcBorders>
            <w:shd w:val="clear" w:color="000000" w:fill="F2F2F2"/>
            <w:vAlign w:val="center"/>
            <w:hideMark/>
          </w:tcPr>
          <w:p w:rsidRPr="001131BD" w:rsidR="001131BD" w:rsidP="001131BD" w:rsidRDefault="001131BD" w14:paraId="21081914"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 </w:t>
            </w:r>
          </w:p>
        </w:tc>
        <w:tc>
          <w:tcPr>
            <w:tcW w:w="1410" w:type="dxa"/>
            <w:vMerge w:val="restart"/>
            <w:tcBorders>
              <w:top w:val="nil"/>
              <w:left w:val="single" w:color="auto" w:sz="4" w:space="0"/>
              <w:bottom w:val="single" w:color="auto" w:sz="4" w:space="0"/>
              <w:right w:val="single" w:color="auto" w:sz="4" w:space="0"/>
            </w:tcBorders>
            <w:shd w:val="clear" w:color="000000" w:fill="F2F2F2"/>
            <w:vAlign w:val="bottom"/>
            <w:hideMark/>
          </w:tcPr>
          <w:p w:rsidRPr="001131BD" w:rsidR="001131BD" w:rsidP="001131BD" w:rsidRDefault="001131BD" w14:paraId="4EB6E590"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ATUS sample cases per year</w:t>
            </w:r>
          </w:p>
        </w:tc>
        <w:tc>
          <w:tcPr>
            <w:tcW w:w="1377" w:type="dxa"/>
            <w:vMerge w:val="restart"/>
            <w:tcBorders>
              <w:top w:val="nil"/>
              <w:left w:val="single" w:color="auto" w:sz="4" w:space="0"/>
              <w:bottom w:val="nil"/>
              <w:right w:val="single" w:color="auto" w:sz="4" w:space="0"/>
            </w:tcBorders>
            <w:shd w:val="clear" w:color="000000" w:fill="F2F2F2"/>
            <w:vAlign w:val="bottom"/>
            <w:hideMark/>
          </w:tcPr>
          <w:p w:rsidRPr="001131BD" w:rsidR="001131BD" w:rsidP="001131BD" w:rsidRDefault="001131BD" w14:paraId="5991A239"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Number of cases per group</w:t>
            </w:r>
          </w:p>
        </w:tc>
        <w:tc>
          <w:tcPr>
            <w:tcW w:w="3172" w:type="dxa"/>
            <w:gridSpan w:val="3"/>
            <w:tcBorders>
              <w:top w:val="single" w:color="auto" w:sz="4" w:space="0"/>
              <w:left w:val="nil"/>
              <w:bottom w:val="single" w:color="auto" w:sz="4" w:space="0"/>
              <w:right w:val="single" w:color="auto" w:sz="4" w:space="0"/>
            </w:tcBorders>
            <w:shd w:val="clear" w:color="000000" w:fill="F2F2F2"/>
            <w:vAlign w:val="bottom"/>
            <w:hideMark/>
          </w:tcPr>
          <w:p w:rsidRPr="001131BD" w:rsidR="001131BD" w:rsidP="001131BD" w:rsidRDefault="001131BD" w14:paraId="4309478A"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Costs of incentives (per group)</w:t>
            </w:r>
          </w:p>
        </w:tc>
      </w:tr>
      <w:tr w:rsidRPr="001131BD" w:rsidR="00F36759" w:rsidTr="00F36759" w14:paraId="01D8F237" w14:textId="77777777">
        <w:trPr>
          <w:trHeight w:val="484"/>
        </w:trPr>
        <w:tc>
          <w:tcPr>
            <w:tcW w:w="2987" w:type="dxa"/>
            <w:vMerge/>
            <w:tcBorders>
              <w:top w:val="nil"/>
              <w:left w:val="single" w:color="auto" w:sz="4" w:space="0"/>
              <w:bottom w:val="nil"/>
              <w:right w:val="single" w:color="auto" w:sz="4" w:space="0"/>
            </w:tcBorders>
            <w:vAlign w:val="center"/>
            <w:hideMark/>
          </w:tcPr>
          <w:p w:rsidRPr="001131BD" w:rsidR="001131BD" w:rsidP="001131BD" w:rsidRDefault="001131BD" w14:paraId="62B9A7AC" w14:textId="77777777">
            <w:pPr>
              <w:spacing w:after="0" w:line="240" w:lineRule="auto"/>
              <w:rPr>
                <w:rFonts w:ascii="Calibri" w:hAnsi="Calibri" w:eastAsia="Times New Roman" w:cs="Calibri"/>
                <w:color w:val="000000"/>
              </w:rPr>
            </w:pPr>
          </w:p>
        </w:tc>
        <w:tc>
          <w:tcPr>
            <w:tcW w:w="1410" w:type="dxa"/>
            <w:vMerge/>
            <w:tcBorders>
              <w:top w:val="nil"/>
              <w:left w:val="single" w:color="auto" w:sz="4" w:space="0"/>
              <w:bottom w:val="single" w:color="auto" w:sz="4" w:space="0"/>
              <w:right w:val="single" w:color="auto" w:sz="4" w:space="0"/>
            </w:tcBorders>
            <w:vAlign w:val="center"/>
            <w:hideMark/>
          </w:tcPr>
          <w:p w:rsidRPr="001131BD" w:rsidR="001131BD" w:rsidP="001131BD" w:rsidRDefault="001131BD" w14:paraId="07626CAC" w14:textId="77777777">
            <w:pPr>
              <w:spacing w:after="0" w:line="240" w:lineRule="auto"/>
              <w:rPr>
                <w:rFonts w:ascii="Calibri" w:hAnsi="Calibri" w:eastAsia="Times New Roman" w:cs="Calibri"/>
                <w:color w:val="000000"/>
              </w:rPr>
            </w:pPr>
          </w:p>
        </w:tc>
        <w:tc>
          <w:tcPr>
            <w:tcW w:w="1377" w:type="dxa"/>
            <w:vMerge/>
            <w:tcBorders>
              <w:top w:val="nil"/>
              <w:left w:val="single" w:color="auto" w:sz="4" w:space="0"/>
              <w:bottom w:val="nil"/>
              <w:right w:val="single" w:color="auto" w:sz="4" w:space="0"/>
            </w:tcBorders>
            <w:vAlign w:val="center"/>
            <w:hideMark/>
          </w:tcPr>
          <w:p w:rsidRPr="001131BD" w:rsidR="001131BD" w:rsidP="001131BD" w:rsidRDefault="001131BD" w14:paraId="65EFA746" w14:textId="77777777">
            <w:pPr>
              <w:spacing w:after="0" w:line="240" w:lineRule="auto"/>
              <w:rPr>
                <w:rFonts w:ascii="Calibri" w:hAnsi="Calibri" w:eastAsia="Times New Roman" w:cs="Calibri"/>
                <w:color w:val="000000"/>
              </w:rPr>
            </w:pPr>
          </w:p>
        </w:tc>
        <w:tc>
          <w:tcPr>
            <w:tcW w:w="1009" w:type="dxa"/>
            <w:tcBorders>
              <w:top w:val="nil"/>
              <w:left w:val="nil"/>
              <w:bottom w:val="nil"/>
              <w:right w:val="single" w:color="auto" w:sz="4" w:space="0"/>
            </w:tcBorders>
            <w:shd w:val="clear" w:color="000000" w:fill="F2F2F2"/>
            <w:vAlign w:val="bottom"/>
            <w:hideMark/>
          </w:tcPr>
          <w:p w:rsidRPr="001131BD" w:rsidR="001131BD" w:rsidP="001131BD" w:rsidRDefault="001131BD" w14:paraId="35F10963"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 xml:space="preserve">$0 </w:t>
            </w:r>
          </w:p>
        </w:tc>
        <w:tc>
          <w:tcPr>
            <w:tcW w:w="1009" w:type="dxa"/>
            <w:tcBorders>
              <w:top w:val="nil"/>
              <w:left w:val="nil"/>
              <w:bottom w:val="nil"/>
              <w:right w:val="single" w:color="auto" w:sz="4" w:space="0"/>
            </w:tcBorders>
            <w:shd w:val="clear" w:color="000000" w:fill="F2F2F2"/>
            <w:vAlign w:val="bottom"/>
            <w:hideMark/>
          </w:tcPr>
          <w:p w:rsidRPr="001131BD" w:rsidR="001131BD" w:rsidP="001131BD" w:rsidRDefault="001131BD" w14:paraId="7B01F673"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 xml:space="preserve">$5 </w:t>
            </w:r>
          </w:p>
        </w:tc>
        <w:tc>
          <w:tcPr>
            <w:tcW w:w="1152" w:type="dxa"/>
            <w:tcBorders>
              <w:top w:val="nil"/>
              <w:left w:val="nil"/>
              <w:bottom w:val="nil"/>
              <w:right w:val="single" w:color="auto" w:sz="4" w:space="0"/>
            </w:tcBorders>
            <w:shd w:val="clear" w:color="000000" w:fill="F2F2F2"/>
            <w:noWrap/>
            <w:vAlign w:val="bottom"/>
            <w:hideMark/>
          </w:tcPr>
          <w:p w:rsidRPr="001131BD" w:rsidR="001131BD" w:rsidP="001131BD" w:rsidRDefault="001131BD" w14:paraId="155891AA"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 xml:space="preserve">$10 </w:t>
            </w:r>
          </w:p>
        </w:tc>
      </w:tr>
      <w:tr w:rsidRPr="001131BD" w:rsidR="00F36759" w:rsidTr="00F36759" w14:paraId="6C8D0600" w14:textId="77777777">
        <w:trPr>
          <w:trHeight w:val="467"/>
        </w:trPr>
        <w:tc>
          <w:tcPr>
            <w:tcW w:w="2987" w:type="dxa"/>
            <w:tcBorders>
              <w:top w:val="single" w:color="auto" w:sz="4" w:space="0"/>
              <w:left w:val="single" w:color="auto" w:sz="4" w:space="0"/>
              <w:bottom w:val="nil"/>
              <w:right w:val="nil"/>
            </w:tcBorders>
            <w:shd w:val="clear" w:color="auto" w:fill="auto"/>
            <w:noWrap/>
            <w:vAlign w:val="bottom"/>
            <w:hideMark/>
          </w:tcPr>
          <w:p w:rsidRPr="001131BD" w:rsidR="001131BD" w:rsidP="001131BD" w:rsidRDefault="001131BD" w14:paraId="7AD0D815" w14:textId="77777777">
            <w:pPr>
              <w:spacing w:after="0" w:line="240" w:lineRule="auto"/>
              <w:rPr>
                <w:rFonts w:ascii="Calibri" w:hAnsi="Calibri" w:eastAsia="Times New Roman" w:cs="Calibri"/>
                <w:color w:val="000000"/>
              </w:rPr>
            </w:pPr>
            <w:r w:rsidRPr="001131BD">
              <w:rPr>
                <w:rFonts w:ascii="Calibri" w:hAnsi="Calibri" w:eastAsia="Times New Roman" w:cs="Calibri"/>
                <w:color w:val="000000"/>
              </w:rPr>
              <w:t>Study goal 1.</w:t>
            </w:r>
          </w:p>
        </w:tc>
        <w:tc>
          <w:tcPr>
            <w:tcW w:w="1410" w:type="dxa"/>
            <w:tcBorders>
              <w:top w:val="single" w:color="auto" w:sz="4" w:space="0"/>
              <w:left w:val="nil"/>
              <w:bottom w:val="nil"/>
              <w:right w:val="nil"/>
            </w:tcBorders>
            <w:shd w:val="clear" w:color="auto" w:fill="auto"/>
            <w:vAlign w:val="bottom"/>
            <w:hideMark/>
          </w:tcPr>
          <w:p w:rsidRPr="001131BD" w:rsidR="001131BD" w:rsidP="001131BD" w:rsidRDefault="001131BD" w14:paraId="38FE8F00"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 </w:t>
            </w:r>
          </w:p>
        </w:tc>
        <w:tc>
          <w:tcPr>
            <w:tcW w:w="1377" w:type="dxa"/>
            <w:tcBorders>
              <w:top w:val="single" w:color="auto" w:sz="4" w:space="0"/>
              <w:left w:val="nil"/>
              <w:bottom w:val="nil"/>
              <w:right w:val="nil"/>
            </w:tcBorders>
            <w:shd w:val="clear" w:color="auto" w:fill="auto"/>
            <w:vAlign w:val="bottom"/>
            <w:hideMark/>
          </w:tcPr>
          <w:p w:rsidRPr="001131BD" w:rsidR="001131BD" w:rsidP="001131BD" w:rsidRDefault="001131BD" w14:paraId="18C0B6AA"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 </w:t>
            </w:r>
          </w:p>
        </w:tc>
        <w:tc>
          <w:tcPr>
            <w:tcW w:w="1009" w:type="dxa"/>
            <w:tcBorders>
              <w:top w:val="single" w:color="auto" w:sz="4" w:space="0"/>
              <w:left w:val="nil"/>
              <w:bottom w:val="nil"/>
              <w:right w:val="nil"/>
            </w:tcBorders>
            <w:shd w:val="clear" w:color="auto" w:fill="auto"/>
            <w:vAlign w:val="bottom"/>
            <w:hideMark/>
          </w:tcPr>
          <w:p w:rsidRPr="001131BD" w:rsidR="001131BD" w:rsidP="001131BD" w:rsidRDefault="001131BD" w14:paraId="342C4C0F"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 </w:t>
            </w:r>
          </w:p>
        </w:tc>
        <w:tc>
          <w:tcPr>
            <w:tcW w:w="1009" w:type="dxa"/>
            <w:tcBorders>
              <w:top w:val="single" w:color="auto" w:sz="4" w:space="0"/>
              <w:left w:val="nil"/>
              <w:bottom w:val="nil"/>
              <w:right w:val="nil"/>
            </w:tcBorders>
            <w:shd w:val="clear" w:color="auto" w:fill="auto"/>
            <w:noWrap/>
            <w:vAlign w:val="bottom"/>
            <w:hideMark/>
          </w:tcPr>
          <w:p w:rsidRPr="001131BD" w:rsidR="001131BD" w:rsidP="001131BD" w:rsidRDefault="001131BD" w14:paraId="226EAD0C"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 </w:t>
            </w:r>
          </w:p>
        </w:tc>
        <w:tc>
          <w:tcPr>
            <w:tcW w:w="1152" w:type="dxa"/>
            <w:tcBorders>
              <w:top w:val="single" w:color="auto" w:sz="4" w:space="0"/>
              <w:left w:val="nil"/>
              <w:bottom w:val="nil"/>
              <w:right w:val="single" w:color="auto" w:sz="4" w:space="0"/>
            </w:tcBorders>
            <w:shd w:val="clear" w:color="auto" w:fill="auto"/>
            <w:noWrap/>
            <w:vAlign w:val="bottom"/>
            <w:hideMark/>
          </w:tcPr>
          <w:p w:rsidRPr="001131BD" w:rsidR="001131BD" w:rsidP="001131BD" w:rsidRDefault="001131BD" w14:paraId="0AF177C9"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 </w:t>
            </w:r>
          </w:p>
        </w:tc>
      </w:tr>
      <w:tr w:rsidRPr="001131BD" w:rsidR="00F36759" w:rsidTr="00F36759" w14:paraId="01071E7B" w14:textId="77777777">
        <w:trPr>
          <w:trHeight w:val="467"/>
        </w:trPr>
        <w:tc>
          <w:tcPr>
            <w:tcW w:w="2987" w:type="dxa"/>
            <w:tcBorders>
              <w:top w:val="nil"/>
              <w:left w:val="single" w:color="auto" w:sz="4" w:space="0"/>
              <w:bottom w:val="nil"/>
              <w:right w:val="nil"/>
            </w:tcBorders>
            <w:shd w:val="clear" w:color="auto" w:fill="auto"/>
            <w:noWrap/>
            <w:vAlign w:val="bottom"/>
            <w:hideMark/>
          </w:tcPr>
          <w:p w:rsidRPr="001131BD" w:rsidR="001131BD" w:rsidP="001131BD" w:rsidRDefault="001131BD" w14:paraId="792C1FBD" w14:textId="77777777">
            <w:pPr>
              <w:spacing w:after="0" w:line="240" w:lineRule="auto"/>
              <w:ind w:firstLine="220" w:firstLineChars="100"/>
              <w:rPr>
                <w:rFonts w:ascii="Calibri" w:hAnsi="Calibri" w:eastAsia="Times New Roman" w:cs="Calibri"/>
                <w:color w:val="000000"/>
              </w:rPr>
            </w:pPr>
            <w:r w:rsidRPr="001131BD">
              <w:rPr>
                <w:rFonts w:ascii="Calibri" w:hAnsi="Calibri" w:eastAsia="Times New Roman" w:cs="Calibri"/>
                <w:color w:val="000000"/>
              </w:rPr>
              <w:t xml:space="preserve">Regular incentive cases </w:t>
            </w:r>
          </w:p>
        </w:tc>
        <w:tc>
          <w:tcPr>
            <w:tcW w:w="1410" w:type="dxa"/>
            <w:tcBorders>
              <w:top w:val="nil"/>
              <w:left w:val="nil"/>
              <w:bottom w:val="nil"/>
              <w:right w:val="nil"/>
            </w:tcBorders>
            <w:shd w:val="clear" w:color="auto" w:fill="auto"/>
            <w:noWrap/>
            <w:vAlign w:val="bottom"/>
            <w:hideMark/>
          </w:tcPr>
          <w:p w:rsidRPr="001131BD" w:rsidR="001131BD" w:rsidP="001131BD" w:rsidRDefault="001131BD" w14:paraId="2CCA8BAC"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1,540</w:t>
            </w:r>
          </w:p>
        </w:tc>
        <w:tc>
          <w:tcPr>
            <w:tcW w:w="1377" w:type="dxa"/>
            <w:tcBorders>
              <w:top w:val="nil"/>
              <w:left w:val="nil"/>
              <w:bottom w:val="nil"/>
              <w:right w:val="nil"/>
            </w:tcBorders>
            <w:shd w:val="clear" w:color="auto" w:fill="auto"/>
            <w:noWrap/>
            <w:vAlign w:val="bottom"/>
            <w:hideMark/>
          </w:tcPr>
          <w:p w:rsidRPr="001131BD" w:rsidR="001131BD" w:rsidP="001131BD" w:rsidRDefault="001131BD" w14:paraId="715D229E"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513</w:t>
            </w:r>
          </w:p>
        </w:tc>
        <w:tc>
          <w:tcPr>
            <w:tcW w:w="1009" w:type="dxa"/>
            <w:tcBorders>
              <w:top w:val="nil"/>
              <w:left w:val="nil"/>
              <w:bottom w:val="nil"/>
              <w:right w:val="nil"/>
            </w:tcBorders>
            <w:shd w:val="clear" w:color="auto" w:fill="auto"/>
            <w:noWrap/>
            <w:vAlign w:val="bottom"/>
            <w:hideMark/>
          </w:tcPr>
          <w:p w:rsidRPr="001131BD" w:rsidR="001131BD" w:rsidP="001131BD" w:rsidRDefault="001131BD" w14:paraId="1D05FF23"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$0</w:t>
            </w:r>
          </w:p>
        </w:tc>
        <w:tc>
          <w:tcPr>
            <w:tcW w:w="1009" w:type="dxa"/>
            <w:tcBorders>
              <w:top w:val="nil"/>
              <w:left w:val="nil"/>
              <w:bottom w:val="nil"/>
              <w:right w:val="nil"/>
            </w:tcBorders>
            <w:shd w:val="clear" w:color="auto" w:fill="auto"/>
            <w:noWrap/>
            <w:vAlign w:val="bottom"/>
            <w:hideMark/>
          </w:tcPr>
          <w:p w:rsidRPr="001131BD" w:rsidR="001131BD" w:rsidP="001131BD" w:rsidRDefault="001131BD" w14:paraId="0A199F62"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$2,567</w:t>
            </w:r>
          </w:p>
        </w:tc>
        <w:tc>
          <w:tcPr>
            <w:tcW w:w="1152" w:type="dxa"/>
            <w:tcBorders>
              <w:top w:val="nil"/>
              <w:left w:val="nil"/>
              <w:bottom w:val="nil"/>
              <w:right w:val="single" w:color="auto" w:sz="4" w:space="0"/>
            </w:tcBorders>
            <w:shd w:val="clear" w:color="auto" w:fill="auto"/>
            <w:noWrap/>
            <w:vAlign w:val="bottom"/>
            <w:hideMark/>
          </w:tcPr>
          <w:p w:rsidRPr="001131BD" w:rsidR="001131BD" w:rsidP="001131BD" w:rsidRDefault="001131BD" w14:paraId="140438E3"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$5,133</w:t>
            </w:r>
          </w:p>
        </w:tc>
      </w:tr>
      <w:tr w:rsidRPr="001131BD" w:rsidR="00F36759" w:rsidTr="00F36759" w14:paraId="41653E58" w14:textId="77777777">
        <w:trPr>
          <w:trHeight w:val="467"/>
        </w:trPr>
        <w:tc>
          <w:tcPr>
            <w:tcW w:w="2987" w:type="dxa"/>
            <w:tcBorders>
              <w:top w:val="nil"/>
              <w:left w:val="single" w:color="auto" w:sz="4" w:space="0"/>
              <w:bottom w:val="nil"/>
              <w:right w:val="nil"/>
            </w:tcBorders>
            <w:shd w:val="clear" w:color="auto" w:fill="auto"/>
            <w:noWrap/>
            <w:vAlign w:val="bottom"/>
            <w:hideMark/>
          </w:tcPr>
          <w:p w:rsidRPr="001131BD" w:rsidR="001131BD" w:rsidP="001131BD" w:rsidRDefault="001131BD" w14:paraId="09290923" w14:textId="77777777">
            <w:pPr>
              <w:spacing w:after="0" w:line="240" w:lineRule="auto"/>
              <w:rPr>
                <w:rFonts w:ascii="Calibri" w:hAnsi="Calibri" w:eastAsia="Times New Roman" w:cs="Calibri"/>
                <w:color w:val="000000"/>
              </w:rPr>
            </w:pPr>
            <w:r w:rsidRPr="001131BD">
              <w:rPr>
                <w:rFonts w:ascii="Calibri" w:hAnsi="Calibri" w:eastAsia="Times New Roman" w:cs="Calibri"/>
                <w:color w:val="000000"/>
              </w:rPr>
              <w:t>Study goal 2.</w:t>
            </w:r>
          </w:p>
        </w:tc>
        <w:tc>
          <w:tcPr>
            <w:tcW w:w="1410" w:type="dxa"/>
            <w:tcBorders>
              <w:top w:val="nil"/>
              <w:left w:val="nil"/>
              <w:bottom w:val="nil"/>
              <w:right w:val="nil"/>
            </w:tcBorders>
            <w:shd w:val="clear" w:color="auto" w:fill="auto"/>
            <w:noWrap/>
            <w:vAlign w:val="bottom"/>
            <w:hideMark/>
          </w:tcPr>
          <w:p w:rsidRPr="001131BD" w:rsidR="001131BD" w:rsidP="001131BD" w:rsidRDefault="001131BD" w14:paraId="06503CE4" w14:textId="77777777">
            <w:pPr>
              <w:spacing w:after="0" w:line="240" w:lineRule="auto"/>
              <w:rPr>
                <w:rFonts w:ascii="Calibri" w:hAnsi="Calibri" w:eastAsia="Times New Roman" w:cs="Calibri"/>
                <w:color w:val="000000"/>
              </w:rPr>
            </w:pPr>
          </w:p>
        </w:tc>
        <w:tc>
          <w:tcPr>
            <w:tcW w:w="1377" w:type="dxa"/>
            <w:tcBorders>
              <w:top w:val="nil"/>
              <w:left w:val="nil"/>
              <w:bottom w:val="nil"/>
              <w:right w:val="nil"/>
            </w:tcBorders>
            <w:shd w:val="clear" w:color="auto" w:fill="auto"/>
            <w:noWrap/>
            <w:vAlign w:val="bottom"/>
            <w:hideMark/>
          </w:tcPr>
          <w:p w:rsidRPr="001131BD" w:rsidR="001131BD" w:rsidP="001131BD" w:rsidRDefault="001131BD" w14:paraId="4F3CA625" w14:textId="77777777">
            <w:pPr>
              <w:spacing w:after="0" w:line="240" w:lineRule="auto"/>
              <w:jc w:val="center"/>
              <w:rPr>
                <w:rFonts w:ascii="Times New Roman" w:hAnsi="Times New Roman" w:eastAsia="Times New Roman" w:cs="Times New Roman"/>
                <w:sz w:val="20"/>
                <w:szCs w:val="20"/>
              </w:rPr>
            </w:pPr>
          </w:p>
        </w:tc>
        <w:tc>
          <w:tcPr>
            <w:tcW w:w="1009" w:type="dxa"/>
            <w:tcBorders>
              <w:top w:val="nil"/>
              <w:left w:val="nil"/>
              <w:bottom w:val="nil"/>
              <w:right w:val="nil"/>
            </w:tcBorders>
            <w:shd w:val="clear" w:color="auto" w:fill="auto"/>
            <w:noWrap/>
            <w:vAlign w:val="bottom"/>
            <w:hideMark/>
          </w:tcPr>
          <w:p w:rsidRPr="001131BD" w:rsidR="001131BD" w:rsidP="001131BD" w:rsidRDefault="001131BD" w14:paraId="64BEBB2F" w14:textId="77777777">
            <w:pPr>
              <w:spacing w:after="0" w:line="240" w:lineRule="auto"/>
              <w:jc w:val="center"/>
              <w:rPr>
                <w:rFonts w:ascii="Times New Roman" w:hAnsi="Times New Roman" w:eastAsia="Times New Roman" w:cs="Times New Roman"/>
                <w:sz w:val="20"/>
                <w:szCs w:val="20"/>
              </w:rPr>
            </w:pPr>
          </w:p>
        </w:tc>
        <w:tc>
          <w:tcPr>
            <w:tcW w:w="1009" w:type="dxa"/>
            <w:tcBorders>
              <w:top w:val="nil"/>
              <w:left w:val="nil"/>
              <w:bottom w:val="nil"/>
              <w:right w:val="nil"/>
            </w:tcBorders>
            <w:shd w:val="clear" w:color="auto" w:fill="auto"/>
            <w:noWrap/>
            <w:vAlign w:val="bottom"/>
            <w:hideMark/>
          </w:tcPr>
          <w:p w:rsidRPr="001131BD" w:rsidR="001131BD" w:rsidP="001131BD" w:rsidRDefault="001131BD" w14:paraId="041FE53A" w14:textId="77777777">
            <w:pPr>
              <w:spacing w:after="0" w:line="240" w:lineRule="auto"/>
              <w:jc w:val="center"/>
              <w:rPr>
                <w:rFonts w:ascii="Times New Roman" w:hAnsi="Times New Roman" w:eastAsia="Times New Roman" w:cs="Times New Roman"/>
                <w:sz w:val="20"/>
                <w:szCs w:val="20"/>
              </w:rPr>
            </w:pPr>
          </w:p>
        </w:tc>
        <w:tc>
          <w:tcPr>
            <w:tcW w:w="1152" w:type="dxa"/>
            <w:tcBorders>
              <w:top w:val="nil"/>
              <w:left w:val="nil"/>
              <w:bottom w:val="nil"/>
              <w:right w:val="single" w:color="auto" w:sz="4" w:space="0"/>
            </w:tcBorders>
            <w:shd w:val="clear" w:color="auto" w:fill="auto"/>
            <w:noWrap/>
            <w:vAlign w:val="bottom"/>
            <w:hideMark/>
          </w:tcPr>
          <w:p w:rsidRPr="001131BD" w:rsidR="001131BD" w:rsidP="001131BD" w:rsidRDefault="001131BD" w14:paraId="56A98BCE"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 </w:t>
            </w:r>
          </w:p>
        </w:tc>
      </w:tr>
      <w:tr w:rsidRPr="001131BD" w:rsidR="00F36759" w:rsidTr="00F36759" w14:paraId="175F3FC2" w14:textId="77777777">
        <w:trPr>
          <w:trHeight w:val="467"/>
        </w:trPr>
        <w:tc>
          <w:tcPr>
            <w:tcW w:w="2987" w:type="dxa"/>
            <w:tcBorders>
              <w:top w:val="nil"/>
              <w:left w:val="single" w:color="auto" w:sz="4" w:space="0"/>
              <w:bottom w:val="nil"/>
              <w:right w:val="nil"/>
            </w:tcBorders>
            <w:shd w:val="clear" w:color="auto" w:fill="auto"/>
            <w:noWrap/>
            <w:vAlign w:val="bottom"/>
            <w:hideMark/>
          </w:tcPr>
          <w:p w:rsidRPr="001131BD" w:rsidR="001131BD" w:rsidP="001131BD" w:rsidRDefault="001131BD" w14:paraId="64158E02" w14:textId="2088D595">
            <w:pPr>
              <w:spacing w:after="0" w:line="240" w:lineRule="auto"/>
              <w:ind w:firstLine="220" w:firstLineChars="100"/>
              <w:rPr>
                <w:rFonts w:ascii="Calibri" w:hAnsi="Calibri" w:eastAsia="Times New Roman" w:cs="Calibri"/>
                <w:color w:val="000000"/>
              </w:rPr>
            </w:pPr>
            <w:r w:rsidRPr="001131BD">
              <w:rPr>
                <w:rFonts w:ascii="Calibri" w:hAnsi="Calibri" w:eastAsia="Times New Roman" w:cs="Calibri"/>
                <w:color w:val="000000"/>
              </w:rPr>
              <w:t>15- to 19-year-old DPs</w:t>
            </w:r>
            <w:r w:rsidR="00AD4CEB">
              <w:rPr>
                <w:rFonts w:ascii="Calibri" w:hAnsi="Calibri" w:eastAsia="Times New Roman" w:cs="Calibri"/>
                <w:color w:val="000000"/>
              </w:rPr>
              <w:t xml:space="preserve"> </w:t>
            </w:r>
            <w:r w:rsidRPr="001131BD">
              <w:rPr>
                <w:rFonts w:ascii="Calibri" w:hAnsi="Calibri" w:eastAsia="Times New Roman" w:cs="Calibri"/>
                <w:color w:val="000000"/>
                <w:vertAlign w:val="superscript"/>
              </w:rPr>
              <w:t>a</w:t>
            </w:r>
            <w:r w:rsidRPr="001131BD">
              <w:rPr>
                <w:rFonts w:ascii="Calibri" w:hAnsi="Calibri" w:eastAsia="Times New Roman" w:cs="Calibri"/>
                <w:color w:val="000000"/>
              </w:rPr>
              <w:t xml:space="preserve"> </w:t>
            </w:r>
          </w:p>
        </w:tc>
        <w:tc>
          <w:tcPr>
            <w:tcW w:w="1410" w:type="dxa"/>
            <w:tcBorders>
              <w:top w:val="nil"/>
              <w:left w:val="nil"/>
              <w:bottom w:val="nil"/>
              <w:right w:val="nil"/>
            </w:tcBorders>
            <w:shd w:val="clear" w:color="auto" w:fill="auto"/>
            <w:noWrap/>
            <w:vAlign w:val="bottom"/>
            <w:hideMark/>
          </w:tcPr>
          <w:p w:rsidRPr="001131BD" w:rsidR="001131BD" w:rsidP="001131BD" w:rsidRDefault="001131BD" w14:paraId="29F5CCFA"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1,520</w:t>
            </w:r>
          </w:p>
        </w:tc>
        <w:tc>
          <w:tcPr>
            <w:tcW w:w="1377" w:type="dxa"/>
            <w:tcBorders>
              <w:top w:val="nil"/>
              <w:left w:val="nil"/>
              <w:bottom w:val="nil"/>
              <w:right w:val="nil"/>
            </w:tcBorders>
            <w:shd w:val="clear" w:color="auto" w:fill="auto"/>
            <w:noWrap/>
            <w:vAlign w:val="bottom"/>
            <w:hideMark/>
          </w:tcPr>
          <w:p w:rsidRPr="001131BD" w:rsidR="001131BD" w:rsidP="001131BD" w:rsidRDefault="001131BD" w14:paraId="55C55C06"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507</w:t>
            </w:r>
          </w:p>
        </w:tc>
        <w:tc>
          <w:tcPr>
            <w:tcW w:w="1009" w:type="dxa"/>
            <w:tcBorders>
              <w:top w:val="nil"/>
              <w:left w:val="nil"/>
              <w:bottom w:val="nil"/>
              <w:right w:val="nil"/>
            </w:tcBorders>
            <w:shd w:val="clear" w:color="auto" w:fill="auto"/>
            <w:noWrap/>
            <w:vAlign w:val="bottom"/>
            <w:hideMark/>
          </w:tcPr>
          <w:p w:rsidRPr="001131BD" w:rsidR="001131BD" w:rsidP="001131BD" w:rsidRDefault="001131BD" w14:paraId="0F683DC8"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$0</w:t>
            </w:r>
          </w:p>
        </w:tc>
        <w:tc>
          <w:tcPr>
            <w:tcW w:w="1009" w:type="dxa"/>
            <w:tcBorders>
              <w:top w:val="nil"/>
              <w:left w:val="nil"/>
              <w:bottom w:val="nil"/>
              <w:right w:val="nil"/>
            </w:tcBorders>
            <w:shd w:val="clear" w:color="auto" w:fill="auto"/>
            <w:noWrap/>
            <w:vAlign w:val="bottom"/>
            <w:hideMark/>
          </w:tcPr>
          <w:p w:rsidRPr="001131BD" w:rsidR="001131BD" w:rsidP="001131BD" w:rsidRDefault="001131BD" w14:paraId="2D16CED7"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$2,533</w:t>
            </w:r>
          </w:p>
        </w:tc>
        <w:tc>
          <w:tcPr>
            <w:tcW w:w="1152" w:type="dxa"/>
            <w:tcBorders>
              <w:top w:val="nil"/>
              <w:left w:val="nil"/>
              <w:bottom w:val="nil"/>
              <w:right w:val="single" w:color="auto" w:sz="4" w:space="0"/>
            </w:tcBorders>
            <w:shd w:val="clear" w:color="auto" w:fill="auto"/>
            <w:noWrap/>
            <w:vAlign w:val="bottom"/>
            <w:hideMark/>
          </w:tcPr>
          <w:p w:rsidRPr="001131BD" w:rsidR="001131BD" w:rsidP="001131BD" w:rsidRDefault="001131BD" w14:paraId="5F09D5E3"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$5,067</w:t>
            </w:r>
          </w:p>
        </w:tc>
      </w:tr>
      <w:tr w:rsidRPr="001131BD" w:rsidR="00F36759" w:rsidTr="00F36759" w14:paraId="10A77E6C" w14:textId="77777777">
        <w:trPr>
          <w:trHeight w:val="467"/>
        </w:trPr>
        <w:tc>
          <w:tcPr>
            <w:tcW w:w="2987" w:type="dxa"/>
            <w:tcBorders>
              <w:top w:val="nil"/>
              <w:left w:val="single" w:color="auto" w:sz="4" w:space="0"/>
              <w:bottom w:val="nil"/>
              <w:right w:val="nil"/>
            </w:tcBorders>
            <w:shd w:val="clear" w:color="auto" w:fill="auto"/>
            <w:noWrap/>
            <w:vAlign w:val="bottom"/>
            <w:hideMark/>
          </w:tcPr>
          <w:p w:rsidRPr="001131BD" w:rsidR="001131BD" w:rsidP="001131BD" w:rsidRDefault="001131BD" w14:paraId="3C1DA43B" w14:textId="3C767AE3">
            <w:pPr>
              <w:spacing w:after="0" w:line="240" w:lineRule="auto"/>
              <w:ind w:firstLine="220" w:firstLineChars="100"/>
              <w:rPr>
                <w:rFonts w:ascii="Calibri" w:hAnsi="Calibri" w:eastAsia="Times New Roman" w:cs="Calibri"/>
                <w:color w:val="000000"/>
              </w:rPr>
            </w:pPr>
            <w:r w:rsidRPr="001131BD">
              <w:rPr>
                <w:rFonts w:ascii="Calibri" w:hAnsi="Calibri" w:eastAsia="Times New Roman" w:cs="Calibri"/>
                <w:color w:val="000000"/>
              </w:rPr>
              <w:t>20- to 24-year-old DPs</w:t>
            </w:r>
            <w:r w:rsidR="00AD4CEB">
              <w:rPr>
                <w:rFonts w:ascii="Calibri" w:hAnsi="Calibri" w:eastAsia="Times New Roman" w:cs="Calibri"/>
                <w:color w:val="000000"/>
              </w:rPr>
              <w:t xml:space="preserve"> </w:t>
            </w:r>
            <w:r w:rsidRPr="001131BD">
              <w:rPr>
                <w:rFonts w:ascii="Calibri" w:hAnsi="Calibri" w:eastAsia="Times New Roman" w:cs="Calibri"/>
                <w:color w:val="000000"/>
                <w:vertAlign w:val="superscript"/>
              </w:rPr>
              <w:t>a</w:t>
            </w:r>
          </w:p>
        </w:tc>
        <w:tc>
          <w:tcPr>
            <w:tcW w:w="1410" w:type="dxa"/>
            <w:tcBorders>
              <w:top w:val="nil"/>
              <w:left w:val="nil"/>
              <w:bottom w:val="nil"/>
              <w:right w:val="nil"/>
            </w:tcBorders>
            <w:shd w:val="clear" w:color="auto" w:fill="auto"/>
            <w:noWrap/>
            <w:vAlign w:val="bottom"/>
            <w:hideMark/>
          </w:tcPr>
          <w:p w:rsidRPr="001131BD" w:rsidR="001131BD" w:rsidP="001131BD" w:rsidRDefault="001131BD" w14:paraId="58325275"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1,380</w:t>
            </w:r>
          </w:p>
        </w:tc>
        <w:tc>
          <w:tcPr>
            <w:tcW w:w="1377" w:type="dxa"/>
            <w:tcBorders>
              <w:top w:val="nil"/>
              <w:left w:val="nil"/>
              <w:bottom w:val="nil"/>
              <w:right w:val="nil"/>
            </w:tcBorders>
            <w:shd w:val="clear" w:color="auto" w:fill="auto"/>
            <w:noWrap/>
            <w:vAlign w:val="bottom"/>
            <w:hideMark/>
          </w:tcPr>
          <w:p w:rsidRPr="001131BD" w:rsidR="001131BD" w:rsidP="001131BD" w:rsidRDefault="001131BD" w14:paraId="1D924958"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460</w:t>
            </w:r>
          </w:p>
        </w:tc>
        <w:tc>
          <w:tcPr>
            <w:tcW w:w="1009" w:type="dxa"/>
            <w:tcBorders>
              <w:top w:val="nil"/>
              <w:left w:val="nil"/>
              <w:bottom w:val="nil"/>
              <w:right w:val="nil"/>
            </w:tcBorders>
            <w:shd w:val="clear" w:color="auto" w:fill="auto"/>
            <w:noWrap/>
            <w:vAlign w:val="bottom"/>
            <w:hideMark/>
          </w:tcPr>
          <w:p w:rsidRPr="001131BD" w:rsidR="001131BD" w:rsidP="001131BD" w:rsidRDefault="001131BD" w14:paraId="10146B98"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$0</w:t>
            </w:r>
          </w:p>
        </w:tc>
        <w:tc>
          <w:tcPr>
            <w:tcW w:w="1009" w:type="dxa"/>
            <w:tcBorders>
              <w:top w:val="nil"/>
              <w:left w:val="nil"/>
              <w:bottom w:val="nil"/>
              <w:right w:val="nil"/>
            </w:tcBorders>
            <w:shd w:val="clear" w:color="auto" w:fill="auto"/>
            <w:noWrap/>
            <w:vAlign w:val="bottom"/>
            <w:hideMark/>
          </w:tcPr>
          <w:p w:rsidRPr="001131BD" w:rsidR="001131BD" w:rsidP="001131BD" w:rsidRDefault="001131BD" w14:paraId="7A7069A7"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$2,300</w:t>
            </w:r>
          </w:p>
        </w:tc>
        <w:tc>
          <w:tcPr>
            <w:tcW w:w="1152" w:type="dxa"/>
            <w:tcBorders>
              <w:top w:val="nil"/>
              <w:left w:val="nil"/>
              <w:bottom w:val="nil"/>
              <w:right w:val="single" w:color="auto" w:sz="4" w:space="0"/>
            </w:tcBorders>
            <w:shd w:val="clear" w:color="auto" w:fill="auto"/>
            <w:noWrap/>
            <w:vAlign w:val="bottom"/>
            <w:hideMark/>
          </w:tcPr>
          <w:p w:rsidRPr="001131BD" w:rsidR="001131BD" w:rsidP="001131BD" w:rsidRDefault="001131BD" w14:paraId="459217CA"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$4,600</w:t>
            </w:r>
          </w:p>
        </w:tc>
      </w:tr>
      <w:tr w:rsidRPr="001131BD" w:rsidR="00F36759" w:rsidTr="00F36759" w14:paraId="0F529EC7" w14:textId="77777777">
        <w:trPr>
          <w:trHeight w:val="509"/>
        </w:trPr>
        <w:tc>
          <w:tcPr>
            <w:tcW w:w="2987" w:type="dxa"/>
            <w:tcBorders>
              <w:top w:val="nil"/>
              <w:left w:val="single" w:color="auto" w:sz="4" w:space="0"/>
              <w:bottom w:val="single" w:color="auto" w:sz="4" w:space="0"/>
              <w:right w:val="nil"/>
            </w:tcBorders>
            <w:shd w:val="clear" w:color="auto" w:fill="auto"/>
            <w:noWrap/>
            <w:vAlign w:val="bottom"/>
            <w:hideMark/>
          </w:tcPr>
          <w:p w:rsidRPr="001131BD" w:rsidR="001131BD" w:rsidP="001131BD" w:rsidRDefault="001131BD" w14:paraId="04A9A724" w14:textId="77777777">
            <w:pPr>
              <w:spacing w:after="0" w:line="240" w:lineRule="auto"/>
              <w:rPr>
                <w:rFonts w:ascii="Calibri" w:hAnsi="Calibri" w:eastAsia="Times New Roman" w:cs="Calibri"/>
                <w:color w:val="000000"/>
              </w:rPr>
            </w:pPr>
            <w:r w:rsidRPr="001131BD">
              <w:rPr>
                <w:rFonts w:ascii="Calibri" w:hAnsi="Calibri" w:eastAsia="Times New Roman" w:cs="Calibri"/>
                <w:color w:val="000000"/>
              </w:rPr>
              <w:t>Total cost</w:t>
            </w:r>
          </w:p>
        </w:tc>
        <w:tc>
          <w:tcPr>
            <w:tcW w:w="1410" w:type="dxa"/>
            <w:tcBorders>
              <w:top w:val="nil"/>
              <w:left w:val="nil"/>
              <w:bottom w:val="single" w:color="auto" w:sz="4" w:space="0"/>
              <w:right w:val="nil"/>
            </w:tcBorders>
            <w:shd w:val="clear" w:color="auto" w:fill="auto"/>
            <w:noWrap/>
            <w:vAlign w:val="bottom"/>
            <w:hideMark/>
          </w:tcPr>
          <w:p w:rsidRPr="001131BD" w:rsidR="001131BD" w:rsidP="001131BD" w:rsidRDefault="001131BD" w14:paraId="7B7DC280"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 </w:t>
            </w:r>
          </w:p>
        </w:tc>
        <w:tc>
          <w:tcPr>
            <w:tcW w:w="1377" w:type="dxa"/>
            <w:tcBorders>
              <w:top w:val="nil"/>
              <w:left w:val="nil"/>
              <w:bottom w:val="single" w:color="auto" w:sz="4" w:space="0"/>
              <w:right w:val="nil"/>
            </w:tcBorders>
            <w:shd w:val="clear" w:color="auto" w:fill="auto"/>
            <w:noWrap/>
            <w:vAlign w:val="bottom"/>
            <w:hideMark/>
          </w:tcPr>
          <w:p w:rsidRPr="001131BD" w:rsidR="001131BD" w:rsidP="001131BD" w:rsidRDefault="001131BD" w14:paraId="229BB212"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 </w:t>
            </w:r>
          </w:p>
        </w:tc>
        <w:tc>
          <w:tcPr>
            <w:tcW w:w="1009" w:type="dxa"/>
            <w:tcBorders>
              <w:top w:val="single" w:color="auto" w:sz="4" w:space="0"/>
              <w:left w:val="nil"/>
              <w:bottom w:val="double" w:color="auto" w:sz="6" w:space="0"/>
              <w:right w:val="nil"/>
            </w:tcBorders>
            <w:shd w:val="clear" w:color="auto" w:fill="auto"/>
            <w:noWrap/>
            <w:vAlign w:val="bottom"/>
            <w:hideMark/>
          </w:tcPr>
          <w:p w:rsidRPr="001131BD" w:rsidR="001131BD" w:rsidP="001131BD" w:rsidRDefault="001131BD" w14:paraId="4A0B22E5"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$0</w:t>
            </w:r>
          </w:p>
        </w:tc>
        <w:tc>
          <w:tcPr>
            <w:tcW w:w="1009" w:type="dxa"/>
            <w:tcBorders>
              <w:top w:val="single" w:color="auto" w:sz="4" w:space="0"/>
              <w:left w:val="nil"/>
              <w:bottom w:val="double" w:color="auto" w:sz="6" w:space="0"/>
              <w:right w:val="nil"/>
            </w:tcBorders>
            <w:shd w:val="clear" w:color="auto" w:fill="auto"/>
            <w:noWrap/>
            <w:vAlign w:val="bottom"/>
            <w:hideMark/>
          </w:tcPr>
          <w:p w:rsidRPr="001131BD" w:rsidR="001131BD" w:rsidP="001131BD" w:rsidRDefault="001131BD" w14:paraId="28469A89"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$7,400</w:t>
            </w:r>
          </w:p>
        </w:tc>
        <w:tc>
          <w:tcPr>
            <w:tcW w:w="1152" w:type="dxa"/>
            <w:tcBorders>
              <w:top w:val="single" w:color="auto" w:sz="4" w:space="0"/>
              <w:left w:val="nil"/>
              <w:bottom w:val="double" w:color="auto" w:sz="6" w:space="0"/>
              <w:right w:val="single" w:color="auto" w:sz="4" w:space="0"/>
            </w:tcBorders>
            <w:shd w:val="clear" w:color="auto" w:fill="auto"/>
            <w:noWrap/>
            <w:vAlign w:val="bottom"/>
            <w:hideMark/>
          </w:tcPr>
          <w:p w:rsidRPr="001131BD" w:rsidR="001131BD" w:rsidP="001131BD" w:rsidRDefault="001131BD" w14:paraId="37A35076" w14:textId="77777777">
            <w:pPr>
              <w:spacing w:after="0" w:line="240" w:lineRule="auto"/>
              <w:jc w:val="center"/>
              <w:rPr>
                <w:rFonts w:ascii="Calibri" w:hAnsi="Calibri" w:eastAsia="Times New Roman" w:cs="Calibri"/>
                <w:color w:val="000000"/>
              </w:rPr>
            </w:pPr>
            <w:r w:rsidRPr="001131BD">
              <w:rPr>
                <w:rFonts w:ascii="Calibri" w:hAnsi="Calibri" w:eastAsia="Times New Roman" w:cs="Calibri"/>
                <w:color w:val="000000"/>
              </w:rPr>
              <w:t>$14,800</w:t>
            </w:r>
          </w:p>
        </w:tc>
      </w:tr>
      <w:tr w:rsidRPr="001131BD" w:rsidR="001131BD" w:rsidTr="00F36759" w14:paraId="34BE9522" w14:textId="77777777">
        <w:trPr>
          <w:trHeight w:val="470"/>
        </w:trPr>
        <w:tc>
          <w:tcPr>
            <w:tcW w:w="8948" w:type="dxa"/>
            <w:gridSpan w:val="6"/>
            <w:tcBorders>
              <w:top w:val="single" w:color="auto" w:sz="4" w:space="0"/>
              <w:left w:val="nil"/>
              <w:bottom w:val="nil"/>
              <w:right w:val="nil"/>
            </w:tcBorders>
            <w:shd w:val="clear" w:color="auto" w:fill="auto"/>
            <w:vAlign w:val="bottom"/>
            <w:hideMark/>
          </w:tcPr>
          <w:p w:rsidRPr="001131BD" w:rsidR="001131BD" w:rsidP="001131BD" w:rsidRDefault="001131BD" w14:paraId="6FA1FEF3" w14:textId="20C6442B">
            <w:pPr>
              <w:spacing w:after="0" w:line="240" w:lineRule="auto"/>
              <w:rPr>
                <w:rFonts w:ascii="Calibri" w:hAnsi="Calibri" w:eastAsia="Times New Roman" w:cs="Calibri"/>
                <w:color w:val="000000"/>
              </w:rPr>
            </w:pPr>
            <w:r w:rsidRPr="001131BD">
              <w:rPr>
                <w:rFonts w:ascii="Calibri" w:hAnsi="Calibri" w:eastAsia="Times New Roman" w:cs="Calibri"/>
                <w:color w:val="000000"/>
                <w:vertAlign w:val="superscript"/>
              </w:rPr>
              <w:t>a</w:t>
            </w:r>
            <w:r>
              <w:rPr>
                <w:rFonts w:ascii="Calibri" w:hAnsi="Calibri" w:eastAsia="Times New Roman" w:cs="Calibri"/>
                <w:color w:val="000000"/>
                <w:vertAlign w:val="superscript"/>
              </w:rPr>
              <w:t xml:space="preserve"> </w:t>
            </w:r>
            <w:r w:rsidR="00AD4CEB">
              <w:rPr>
                <w:rFonts w:ascii="Calibri" w:hAnsi="Calibri" w:eastAsia="Times New Roman" w:cs="Calibri"/>
                <w:color w:val="000000"/>
                <w:vertAlign w:val="superscript"/>
              </w:rPr>
              <w:t xml:space="preserve"> </w:t>
            </w:r>
            <w:r w:rsidRPr="001131BD">
              <w:rPr>
                <w:rFonts w:ascii="Calibri" w:hAnsi="Calibri" w:eastAsia="Times New Roman" w:cs="Calibri"/>
                <w:color w:val="000000"/>
              </w:rPr>
              <w:t>Includes only cases that were not assigned regular incentives</w:t>
            </w:r>
            <w:r w:rsidR="0042419D">
              <w:rPr>
                <w:rFonts w:ascii="Calibri" w:hAnsi="Calibri" w:eastAsia="Times New Roman" w:cs="Calibri"/>
                <w:color w:val="000000"/>
              </w:rPr>
              <w:t>.</w:t>
            </w:r>
          </w:p>
        </w:tc>
      </w:tr>
    </w:tbl>
    <w:p w:rsidR="002C5F2B" w:rsidP="009702CA" w:rsidRDefault="002C5F2B" w14:paraId="5B8E3C8B" w14:textId="77777777">
      <w:pPr>
        <w:spacing w:after="0" w:line="360" w:lineRule="auto"/>
      </w:pPr>
    </w:p>
    <w:p w:rsidR="009702CA" w:rsidP="009702CA" w:rsidRDefault="009D179E" w14:paraId="4C3F17E2" w14:textId="352A7079">
      <w:pPr>
        <w:spacing w:after="0" w:line="360" w:lineRule="auto"/>
      </w:pPr>
      <w:r>
        <w:tab/>
        <w:t>During the testing period, cases that are converted to expanded incentive cases will be sent $5 cash</w:t>
      </w:r>
      <w:r w:rsidR="00FF3732">
        <w:t xml:space="preserve"> and an appeal to call and complete the ATUS</w:t>
      </w:r>
      <w:r>
        <w:t xml:space="preserve">. Expanded incentive cases will be identified consistent with </w:t>
      </w:r>
      <w:r w:rsidR="00FF3732">
        <w:t>how they have been identified in the past</w:t>
      </w:r>
      <w:r w:rsidR="00174D6C">
        <w:t>;</w:t>
      </w:r>
      <w:r w:rsidR="00FF3732">
        <w:t xml:space="preserve"> however, only cases with DPs ages 25 and older will be eligible to become expanded incentive cases.</w:t>
      </w:r>
      <w:r>
        <w:t xml:space="preserve"> </w:t>
      </w:r>
      <w:r w:rsidR="006C1641">
        <w:t xml:space="preserve">Using the 2014-16 averages shown in table 1, </w:t>
      </w:r>
      <w:r w:rsidR="00AA1723">
        <w:t xml:space="preserve">sending $5 </w:t>
      </w:r>
      <w:r w:rsidR="00AA1723">
        <w:lastRenderedPageBreak/>
        <w:t>cash to expanded incentive cases with DPs ages 25 and over</w:t>
      </w:r>
      <w:r w:rsidR="006C1641">
        <w:t xml:space="preserve"> would </w:t>
      </w:r>
      <w:r w:rsidR="00AA1723">
        <w:t>cost about $2,100 (</w:t>
      </w:r>
      <w:r w:rsidR="006C1641">
        <w:t>81.7 percent of 515 expanded incentives</w:t>
      </w:r>
      <w:r w:rsidR="00AA1723">
        <w:t xml:space="preserve"> were sent to DPs ages 25 and over)</w:t>
      </w:r>
      <w:r w:rsidR="006C1641">
        <w:t>.</w:t>
      </w:r>
      <w:r w:rsidR="009702CA">
        <w:t xml:space="preserve"> </w:t>
      </w:r>
    </w:p>
    <w:p w:rsidR="00FF5CB1" w:rsidP="009702CA" w:rsidRDefault="00FF5CB1" w14:paraId="4EF04BA2" w14:textId="77777777">
      <w:pPr>
        <w:spacing w:after="0" w:line="360" w:lineRule="auto"/>
      </w:pPr>
    </w:p>
    <w:p w:rsidR="00FA7049" w:rsidP="00EA0A5E" w:rsidRDefault="003F323C" w14:paraId="02481ED1" w14:textId="77777777">
      <w:pPr>
        <w:spacing w:after="0" w:line="360" w:lineRule="auto"/>
      </w:pPr>
      <w:r>
        <w:rPr>
          <w:b/>
        </w:rPr>
        <w:t xml:space="preserve">The </w:t>
      </w:r>
      <w:r w:rsidR="00A061FD">
        <w:rPr>
          <w:b/>
        </w:rPr>
        <w:t>u</w:t>
      </w:r>
      <w:r>
        <w:rPr>
          <w:b/>
        </w:rPr>
        <w:t xml:space="preserve">se of </w:t>
      </w:r>
      <w:r w:rsidR="00A061FD">
        <w:rPr>
          <w:b/>
        </w:rPr>
        <w:t>i</w:t>
      </w:r>
      <w:r>
        <w:rPr>
          <w:b/>
        </w:rPr>
        <w:t xml:space="preserve">ncentives to </w:t>
      </w:r>
      <w:r w:rsidR="00A061FD">
        <w:rPr>
          <w:b/>
        </w:rPr>
        <w:t>i</w:t>
      </w:r>
      <w:r>
        <w:rPr>
          <w:b/>
        </w:rPr>
        <w:t xml:space="preserve">ncrease </w:t>
      </w:r>
      <w:r w:rsidR="00A061FD">
        <w:rPr>
          <w:b/>
        </w:rPr>
        <w:t>s</w:t>
      </w:r>
      <w:r>
        <w:rPr>
          <w:b/>
        </w:rPr>
        <w:t xml:space="preserve">urvey </w:t>
      </w:r>
      <w:r w:rsidR="00A061FD">
        <w:rPr>
          <w:b/>
        </w:rPr>
        <w:t>r</w:t>
      </w:r>
      <w:r>
        <w:rPr>
          <w:b/>
        </w:rPr>
        <w:t xml:space="preserve">esponse </w:t>
      </w:r>
      <w:r w:rsidR="00FF5CB1">
        <w:tab/>
      </w:r>
    </w:p>
    <w:p w:rsidR="00F35A4D" w:rsidP="00FA7049" w:rsidRDefault="003F323C" w14:paraId="7B73F08E" w14:textId="23D2F033">
      <w:pPr>
        <w:spacing w:after="0" w:line="360" w:lineRule="auto"/>
        <w:ind w:firstLine="720"/>
      </w:pPr>
      <w:r>
        <w:t>Survey response rates are down generally, especially in the hard-to-reach populations being targeted in this research (i.e., those with lower educational levels, Black and Hispanic respondents, those with lower annual incomes, and younger respondents, as noted on page 2 above; Couper, 2013). This lowered response rate is even more pronounced in telephone surveys compared to other modes (Keeter et al., 2017). To help boost response and reduce nonresponse bias, some surveys offer</w:t>
      </w:r>
      <w:r w:rsidR="00F35A4D">
        <w:t xml:space="preserve"> prepaid, unconditional</w:t>
      </w:r>
      <w:r>
        <w:t xml:space="preserve"> incentives to respondents. </w:t>
      </w:r>
      <w:r w:rsidR="00FF5CB1">
        <w:t xml:space="preserve">There is a </w:t>
      </w:r>
      <w:r w:rsidR="0057675B">
        <w:t xml:space="preserve">wide </w:t>
      </w:r>
      <w:r w:rsidR="00FF5CB1">
        <w:t xml:space="preserve">body of research </w:t>
      </w:r>
      <w:r w:rsidR="004D0334">
        <w:t>showing that</w:t>
      </w:r>
      <w:r w:rsidR="00925653">
        <w:t xml:space="preserve"> incentives increase survey response in all modes</w:t>
      </w:r>
      <w:r w:rsidR="00223D87">
        <w:t>, u</w:t>
      </w:r>
      <w:r w:rsidR="00FF5CB1">
        <w:t>nconditional incentives perform better than promised incentives</w:t>
      </w:r>
      <w:r w:rsidR="00EC27CC">
        <w:t xml:space="preserve">, and cash </w:t>
      </w:r>
      <w:r w:rsidR="00925653">
        <w:t xml:space="preserve">incentives </w:t>
      </w:r>
      <w:r w:rsidR="00EC27CC">
        <w:t>work better than gifts,</w:t>
      </w:r>
      <w:r w:rsidR="0057675B">
        <w:t xml:space="preserve"> in motiv</w:t>
      </w:r>
      <w:r w:rsidR="00EC27CC">
        <w:t>ating survey</w:t>
      </w:r>
      <w:r w:rsidR="0057675B">
        <w:t xml:space="preserve"> response</w:t>
      </w:r>
      <w:r w:rsidR="00F35A4D">
        <w:t xml:space="preserve"> (Dillman et al., 2014)</w:t>
      </w:r>
      <w:r w:rsidR="0057675B">
        <w:t>.</w:t>
      </w:r>
      <w:r>
        <w:t xml:space="preserve"> </w:t>
      </w:r>
    </w:p>
    <w:p w:rsidR="00C13598" w:rsidP="00037926" w:rsidRDefault="00285373" w14:paraId="6C5976ED" w14:textId="4B9FD753">
      <w:pPr>
        <w:spacing w:after="0" w:line="360" w:lineRule="auto"/>
        <w:ind w:firstLine="720"/>
      </w:pPr>
      <w:r>
        <w:t xml:space="preserve">In reviewing the literature on prepaid incentives in Federal surveys, we found that in a 2011 field test of the National Household Education Survey, response rates to the survey screener </w:t>
      </w:r>
      <w:r w:rsidR="00925653">
        <w:t xml:space="preserve">were about 4 percentage points higher for households that </w:t>
      </w:r>
      <w:r w:rsidR="00C13598">
        <w:t>were mailed</w:t>
      </w:r>
      <w:r w:rsidR="00925653">
        <w:t xml:space="preserve"> $5 cash compared with those </w:t>
      </w:r>
      <w:r w:rsidR="00C13598">
        <w:t>sent</w:t>
      </w:r>
      <w:r w:rsidR="00925653">
        <w:t xml:space="preserve"> $2 cash. Those who were ethnic and racial minorities were even more responsive to the higher incentive amount:  response rates for Black and African American households </w:t>
      </w:r>
      <w:r w:rsidR="00B37DEA">
        <w:t xml:space="preserve">were </w:t>
      </w:r>
      <w:r w:rsidR="00925653">
        <w:t xml:space="preserve">8 percentage points higher, those for Hispanics were 4 percentage points higher, </w:t>
      </w:r>
      <w:r w:rsidR="00B37DEA">
        <w:t xml:space="preserve">and those for </w:t>
      </w:r>
      <w:r w:rsidR="00925653">
        <w:t>Asian and Pacific Islanders</w:t>
      </w:r>
      <w:r w:rsidR="00B37DEA">
        <w:t xml:space="preserve"> were 7 percentage points higher, compared with an increase of 3 percentage points for White households. They tested higher unconditional cash incentive amounts</w:t>
      </w:r>
      <w:r>
        <w:t xml:space="preserve"> for the full survey (i.e., those who screened into the survey and participated in it)</w:t>
      </w:r>
      <w:r w:rsidR="00B37DEA">
        <w:t xml:space="preserve"> too, determining that $5 and $10 incentives are the right amount</w:t>
      </w:r>
      <w:r w:rsidR="00C13598">
        <w:t>s</w:t>
      </w:r>
      <w:r w:rsidR="00B37DEA">
        <w:t xml:space="preserve"> to send to people who responded early to a screener questionnaire, whereas $10 to $15</w:t>
      </w:r>
      <w:r w:rsidR="00C13598">
        <w:t xml:space="preserve"> cash</w:t>
      </w:r>
      <w:r w:rsidR="00B37DEA">
        <w:t xml:space="preserve"> incentives were appropriate amount</w:t>
      </w:r>
      <w:r w:rsidR="00C13598">
        <w:t>s</w:t>
      </w:r>
      <w:r w:rsidR="00B37DEA">
        <w:t xml:space="preserve"> to send to those who were late responders to the screener questionnaire. Sending $20 cash incentives did not have much of an additional effect on survey response. (See McPhee and Hastedt, 2012.) </w:t>
      </w:r>
      <w:r w:rsidR="00037926">
        <w:t>In addition, another</w:t>
      </w:r>
      <w:r w:rsidR="00B37DEA">
        <w:t xml:space="preserve"> 2009 field test of the </w:t>
      </w:r>
      <w:r w:rsidR="00AD4D61">
        <w:t>NHES</w:t>
      </w:r>
      <w:r w:rsidR="00B37DEA">
        <w:t xml:space="preserve"> tested $0, $5, and $1</w:t>
      </w:r>
      <w:r w:rsidR="0085563F">
        <w:t>5</w:t>
      </w:r>
      <w:r w:rsidR="00C34FA5">
        <w:t xml:space="preserve"> unconditional</w:t>
      </w:r>
      <w:r w:rsidR="00D66D9F">
        <w:t>, mailed</w:t>
      </w:r>
      <w:r w:rsidR="00C34FA5">
        <w:t xml:space="preserve"> cash incentives. The $15 cash incentive yielded the highest survey response (83.2 percent), and performed substantially better than a $5 cash incentive (77.2 percent). Those that received no incentive had a response rate of 71.6 percent. (See Brick, Williams, and Montaquila, 2011.)</w:t>
      </w:r>
      <w:r w:rsidR="00C13598">
        <w:t xml:space="preserve"> </w:t>
      </w:r>
    </w:p>
    <w:p w:rsidR="00B37DEA" w:rsidP="009702CA" w:rsidRDefault="00C13598" w14:paraId="1936C7AC" w14:textId="64B83403">
      <w:pPr>
        <w:spacing w:after="0" w:line="360" w:lineRule="auto"/>
      </w:pPr>
      <w:r>
        <w:tab/>
        <w:t>A nationally-representative survey of households for Nielsen</w:t>
      </w:r>
      <w:r w:rsidR="00426F1F">
        <w:t xml:space="preserve"> Ratings</w:t>
      </w:r>
      <w:r>
        <w:t xml:space="preserve"> included an experiment that tested the use of </w:t>
      </w:r>
      <w:r w:rsidR="00D66D9F">
        <w:t xml:space="preserve">mailed </w:t>
      </w:r>
      <w:r>
        <w:t>$0, $1, $2, $3, $4, $5, $6, $7, $8, and $10 cash incentives</w:t>
      </w:r>
      <w:r w:rsidR="00AD4D61">
        <w:t xml:space="preserve"> in securing response</w:t>
      </w:r>
      <w:r>
        <w:t>.</w:t>
      </w:r>
      <w:r w:rsidR="00AD4D61">
        <w:t xml:space="preserve"> Similar to the NHES studies, they found that the higher incentive amounts were more </w:t>
      </w:r>
      <w:r w:rsidR="00AD4D61">
        <w:lastRenderedPageBreak/>
        <w:t>effective than the lower amounts. For households that had neither agreed nor refused to participate in the initial stage of the survey, $10 incentives performed much better than incentives of lesser amounts. For households that had refused to cooperate in the initial stage, but were mailed diaries anyway, the $10 incentives out-performed all conditions except $7 and $8. (See Trussell and Lavrakas, 2004.)</w:t>
      </w:r>
    </w:p>
    <w:p w:rsidR="00285373" w:rsidP="009702CA" w:rsidRDefault="00157291" w14:paraId="69D75A96" w14:textId="00BAF2AC">
      <w:pPr>
        <w:spacing w:after="0" w:line="360" w:lineRule="auto"/>
      </w:pPr>
      <w:r>
        <w:tab/>
        <w:t>In addition to the 2011 NHES study, other studies have shown the effectiveness of unconditional incentives in motivating survey response among difficult-to-reach populations. Knoll et al</w:t>
      </w:r>
      <w:r w:rsidR="00D64BAC">
        <w:t>. (2012)</w:t>
      </w:r>
      <w:r>
        <w:t xml:space="preserve"> found that unconditional incentives are effective in motivating vulnerable populations to complete telephone surveys, while Felderer et al</w:t>
      </w:r>
      <w:r w:rsidR="00D64BAC">
        <w:t>. (2018)</w:t>
      </w:r>
      <w:r>
        <w:t xml:space="preserve"> found that unconditional incentives were effective in retaining lower-income respondents in a panel survey. Singer and Ye </w:t>
      </w:r>
      <w:r w:rsidR="00D64BAC">
        <w:t xml:space="preserve">(2013) </w:t>
      </w:r>
      <w:r>
        <w:t>note the potential for incentives to increase and reduce non-response bias, especially when the incentives are targeted to sample members who would otherwise fail to respond.</w:t>
      </w:r>
    </w:p>
    <w:p w:rsidR="00223D87" w:rsidP="00197F29" w:rsidRDefault="00223D87" w14:paraId="275A1280" w14:textId="199C5ADB">
      <w:pPr>
        <w:spacing w:after="0" w:line="360" w:lineRule="auto"/>
        <w:ind w:firstLine="720"/>
      </w:pPr>
      <w:r w:rsidRPr="003F323C">
        <w:t>Although some research has shown that token prepaid incentives as low as $2 are enough to boost response to simple screeners, mail, and web surveys</w:t>
      </w:r>
      <w:r>
        <w:t xml:space="preserve"> (e.g., Singer &amp; Ye, 2013</w:t>
      </w:r>
      <w:r w:rsidR="003915FD">
        <w:t>)</w:t>
      </w:r>
      <w:r w:rsidR="00E667A6">
        <w:t>,</w:t>
      </w:r>
      <w:r w:rsidR="003915FD">
        <w:t xml:space="preserve"> </w:t>
      </w:r>
      <w:r w:rsidRPr="003F323C">
        <w:t>Dillman</w:t>
      </w:r>
      <w:r w:rsidR="003915FD">
        <w:t>,</w:t>
      </w:r>
      <w:r>
        <w:t xml:space="preserve"> et al.</w:t>
      </w:r>
      <w:r w:rsidR="003915FD">
        <w:t>,</w:t>
      </w:r>
      <w:r>
        <w:t xml:space="preserve"> 2014 argue </w:t>
      </w:r>
      <w:r w:rsidRPr="003F323C">
        <w:t xml:space="preserve">that for </w:t>
      </w:r>
      <w:r>
        <w:t>hard-to-reach subgroups,</w:t>
      </w:r>
      <w:r w:rsidRPr="003F323C">
        <w:t xml:space="preserve"> token incentives such as $2 are not enough to induce a social exchange, where respondents feel they must reciprocate the gesture and participate in the survey. Rather, these subgroups</w:t>
      </w:r>
      <w:r>
        <w:t xml:space="preserve"> are more likely to</w:t>
      </w:r>
      <w:r w:rsidRPr="003F323C">
        <w:t xml:space="preserve"> see the incentive as an economic exchange, where they assess the cost and benefit of participating. The closer the incentive matches the income they could earn </w:t>
      </w:r>
      <w:r>
        <w:t>in the time needed to complete the survey interview</w:t>
      </w:r>
      <w:r w:rsidRPr="003F323C">
        <w:t>, the more willing they ar</w:t>
      </w:r>
      <w:r>
        <w:t xml:space="preserve">e to participate in the survey, and as a result, incentive </w:t>
      </w:r>
      <w:r w:rsidRPr="003F323C">
        <w:t>amounts closer to $10 are more motivating to them.</w:t>
      </w:r>
      <w:r>
        <w:t xml:space="preserve"> </w:t>
      </w:r>
    </w:p>
    <w:p w:rsidR="00285373" w:rsidP="00285373" w:rsidRDefault="00285373" w14:paraId="76EE0E82" w14:textId="1EFC520E">
      <w:pPr>
        <w:spacing w:after="0" w:line="360" w:lineRule="auto"/>
        <w:ind w:firstLine="720"/>
      </w:pPr>
      <w:r>
        <w:t xml:space="preserve">Thus, </w:t>
      </w:r>
      <w:r w:rsidR="00037926">
        <w:t xml:space="preserve">the literature shows that while </w:t>
      </w:r>
      <w:r w:rsidR="00223D87">
        <w:t xml:space="preserve">prepaid </w:t>
      </w:r>
      <w:r>
        <w:t xml:space="preserve">incentives </w:t>
      </w:r>
      <w:r w:rsidR="00037926">
        <w:t xml:space="preserve">can help improve response rates and reduce nonresponse bias, they </w:t>
      </w:r>
      <w:r>
        <w:t xml:space="preserve">do not work equally well across all populations and subgroups of respondents. </w:t>
      </w:r>
      <w:r w:rsidR="0017461B">
        <w:t>In addition to the variability in the effectiveness of incentives for different subgroups, v</w:t>
      </w:r>
      <w:r w:rsidRPr="0017461B" w:rsidR="0017461B">
        <w:t xml:space="preserve">ery few studies have been conducted using prepaid incentives </w:t>
      </w:r>
      <w:r w:rsidR="00D65916">
        <w:t xml:space="preserve">in panel or longitudinal surveys with </w:t>
      </w:r>
      <w:r w:rsidRPr="0017461B" w:rsidR="0017461B">
        <w:t xml:space="preserve">multiple waves. </w:t>
      </w:r>
      <w:r w:rsidR="00A97E52">
        <w:t>In fact, t</w:t>
      </w:r>
      <w:r w:rsidRPr="0017461B" w:rsidR="0017461B">
        <w:t>he most recent meta-analysis</w:t>
      </w:r>
      <w:r w:rsidR="00A97E52">
        <w:t xml:space="preserve"> on the effects of survey incentives</w:t>
      </w:r>
      <w:r w:rsidRPr="0017461B" w:rsidR="0017461B">
        <w:t xml:space="preserve"> (Mercer et al. 2015) excludes panel and longitudinal surveys. Of the studies </w:t>
      </w:r>
      <w:r w:rsidR="0085563F">
        <w:t xml:space="preserve">we </w:t>
      </w:r>
      <w:r w:rsidR="0017461B">
        <w:t xml:space="preserve">identified </w:t>
      </w:r>
      <w:r w:rsidRPr="0017461B" w:rsidR="0017461B">
        <w:t xml:space="preserve">that </w:t>
      </w:r>
      <w:r w:rsidR="0017461B">
        <w:t xml:space="preserve">examine the impact of prepaid incentives on response rates and nonresponse bias in panel surveys, </w:t>
      </w:r>
      <w:r w:rsidRPr="0017461B" w:rsidR="0017461B">
        <w:t xml:space="preserve">all of them have used a minimum of $10 (or equivalent in foreign currency) as a starting point,  have shown them to be effective at retaining panel participants over time, and at specifically reducing nonresponse bias </w:t>
      </w:r>
      <w:r w:rsidR="00A97E52">
        <w:t xml:space="preserve">in </w:t>
      </w:r>
      <w:r w:rsidRPr="0017461B" w:rsidR="0017461B">
        <w:t>hard-to-reach populations (</w:t>
      </w:r>
      <w:r w:rsidR="0017461B">
        <w:t xml:space="preserve">see Felderer et al., 2018; Yu et al., 2017; Kretschumer &amp; Muller, 2017; Becker &amp; Glasuer, 2018; Becker et al., 2019). Additionally, a review by To (2015) shows a history of Federal surveys experimenting with prepaid incentives with amounts of </w:t>
      </w:r>
      <w:r w:rsidR="00D453B3">
        <w:t xml:space="preserve">up to $20 to $40. </w:t>
      </w:r>
    </w:p>
    <w:p w:rsidR="00285373" w:rsidP="0017461B" w:rsidRDefault="00223D87" w14:paraId="2F80C8CE" w14:textId="786FBB0D">
      <w:pPr>
        <w:spacing w:after="0" w:line="360" w:lineRule="auto"/>
        <w:ind w:firstLine="720"/>
      </w:pPr>
      <w:r>
        <w:lastRenderedPageBreak/>
        <w:t>In terms of respondent burden, t</w:t>
      </w:r>
      <w:r w:rsidRPr="003F323C" w:rsidR="00285373">
        <w:t>he ATUS is more demanding than a typical screener, mail, or web survey that use</w:t>
      </w:r>
      <w:r w:rsidR="00285373">
        <w:t>s token</w:t>
      </w:r>
      <w:r w:rsidRPr="003F323C" w:rsidR="00285373">
        <w:t xml:space="preserve"> $2 to $5 incentives. </w:t>
      </w:r>
      <w:r w:rsidR="00285373">
        <w:t>In the ATUS, r</w:t>
      </w:r>
      <w:r w:rsidRPr="003F323C" w:rsidR="00285373">
        <w:t>espondents are asked to</w:t>
      </w:r>
      <w:r w:rsidR="00285373">
        <w:t xml:space="preserve"> participate in a phone interview, and</w:t>
      </w:r>
      <w:r w:rsidRPr="003F323C" w:rsidR="00285373">
        <w:t xml:space="preserve"> provide </w:t>
      </w:r>
      <w:r w:rsidR="00285373">
        <w:t xml:space="preserve">interviewers with </w:t>
      </w:r>
      <w:r w:rsidRPr="003F323C" w:rsidR="00285373">
        <w:t>information about their personal lives, including all of the activities they did the past 24</w:t>
      </w:r>
      <w:r w:rsidR="003915FD">
        <w:t xml:space="preserve"> </w:t>
      </w:r>
      <w:r w:rsidRPr="003F323C" w:rsidR="00285373">
        <w:t>hours, which c</w:t>
      </w:r>
      <w:r w:rsidR="00A97E52">
        <w:t xml:space="preserve">an sometimes elicit sensitivity </w:t>
      </w:r>
      <w:r w:rsidRPr="003F323C" w:rsidR="00A97E52">
        <w:t>and</w:t>
      </w:r>
      <w:r w:rsidRPr="003F323C" w:rsidR="00285373">
        <w:t xml:space="preserve"> requires careful </w:t>
      </w:r>
      <w:r w:rsidR="00A97E52">
        <w:t>focus</w:t>
      </w:r>
      <w:r w:rsidRPr="003F323C" w:rsidR="00285373">
        <w:t xml:space="preserve"> and memory to reconstruct the previous day</w:t>
      </w:r>
      <w:r w:rsidR="003915FD">
        <w:t>.</w:t>
      </w:r>
      <w:r w:rsidR="00285373">
        <w:t xml:space="preserve"> </w:t>
      </w:r>
      <w:r w:rsidRPr="003F323C" w:rsidR="00285373">
        <w:t xml:space="preserve">In </w:t>
      </w:r>
      <w:r w:rsidR="00A97E52">
        <w:t>the case of the proposed</w:t>
      </w:r>
      <w:r w:rsidR="00285373">
        <w:t xml:space="preserve"> research</w:t>
      </w:r>
      <w:r w:rsidRPr="003F323C" w:rsidR="00285373">
        <w:t xml:space="preserve">, </w:t>
      </w:r>
      <w:r w:rsidR="00285373">
        <w:t>for an incentive to be effective, it</w:t>
      </w:r>
      <w:r w:rsidRPr="003F323C" w:rsidR="00285373">
        <w:t xml:space="preserve"> must be an amount that would motivate respondents to participate in a ninth wave of a panel (following </w:t>
      </w:r>
      <w:r>
        <w:t>8 waves of the CPS, where some waves were co</w:t>
      </w:r>
      <w:r w:rsidR="0085563F">
        <w:t>nducted</w:t>
      </w:r>
      <w:r>
        <w:t xml:space="preserve"> in-person</w:t>
      </w:r>
      <w:r w:rsidR="00A97E52">
        <w:t xml:space="preserve"> and </w:t>
      </w:r>
      <w:r>
        <w:t xml:space="preserve">by </w:t>
      </w:r>
      <w:r w:rsidR="00A97E52">
        <w:t>a different interviewer</w:t>
      </w:r>
      <w:r w:rsidRPr="003F323C" w:rsidR="00285373">
        <w:t>), and to take the initiative to call</w:t>
      </w:r>
      <w:r w:rsidR="00285373">
        <w:t>-in</w:t>
      </w:r>
      <w:r w:rsidRPr="003F323C" w:rsidR="00285373">
        <w:t xml:space="preserve"> to set up an interview</w:t>
      </w:r>
      <w:r w:rsidR="00285373">
        <w:t xml:space="preserve"> since the subgroup of interest does not have a phone number on file</w:t>
      </w:r>
      <w:r w:rsidRPr="003F323C" w:rsidR="00285373">
        <w:t xml:space="preserve">. </w:t>
      </w:r>
      <w:r w:rsidR="00285373">
        <w:t>In addition to these barriers to participate, t</w:t>
      </w:r>
      <w:r w:rsidRPr="003F323C" w:rsidR="00285373">
        <w:t>he top reason respondents refuse to participate in the ATUS is that they are tired of surveys, making it more difficult to recruit them into the interview.</w:t>
      </w:r>
    </w:p>
    <w:p w:rsidR="00157291" w:rsidP="00D453B3" w:rsidRDefault="00223D87" w14:paraId="287602A5" w14:textId="2746E7E1">
      <w:pPr>
        <w:spacing w:after="0" w:line="360" w:lineRule="auto"/>
        <w:ind w:firstLine="720"/>
      </w:pPr>
      <w:r>
        <w:t>Finally, w</w:t>
      </w:r>
      <w:r w:rsidRPr="00D453B3" w:rsidR="00D453B3">
        <w:t xml:space="preserve">ith ATUS </w:t>
      </w:r>
      <w:r w:rsidR="00A97E52">
        <w:t xml:space="preserve">researching the possibility of </w:t>
      </w:r>
      <w:r w:rsidRPr="00D453B3" w:rsidR="00D453B3">
        <w:t xml:space="preserve">moving away from the </w:t>
      </w:r>
      <w:r>
        <w:t>use of $40 debit card incentives, and with limited staff resources available to conduct and execute this research, it is critically</w:t>
      </w:r>
      <w:r w:rsidRPr="00D453B3" w:rsidR="00D453B3">
        <w:t xml:space="preserve"> important to conduct a study with a wide enough dispersion to detect differences in </w:t>
      </w:r>
      <w:r w:rsidR="00D453B3">
        <w:t xml:space="preserve">response rates and </w:t>
      </w:r>
      <w:r w:rsidRPr="00D453B3" w:rsidR="00D453B3">
        <w:t xml:space="preserve">nonresponse bias for the targeted subgroups. Using </w:t>
      </w:r>
      <w:r w:rsidR="00A97E52">
        <w:t>token</w:t>
      </w:r>
      <w:r w:rsidRPr="00D453B3" w:rsidR="00D453B3">
        <w:t xml:space="preserve"> incentives of $2 to $5 would severely limit the ability to detect the optimal incentive amount for these groups and compare the response rates back to data using the $40 debit cards.</w:t>
      </w:r>
      <w:r w:rsidR="00D453B3">
        <w:t xml:space="preserve"> Thus, </w:t>
      </w:r>
      <w:r w:rsidR="009847D7">
        <w:t>ATUS proposes to build on previous research to test $0, $5, and $10 cash incentives</w:t>
      </w:r>
      <w:r w:rsidR="00A97E52">
        <w:t>, which would save the program money while maintaining the integrity of the research</w:t>
      </w:r>
      <w:r w:rsidR="009847D7">
        <w:t>. As discussed earlier, individuals who will receive the incentives are members of difficult-to-reach populations. They are more likely to be racial and ethnic minorities, have less education and lower incomes, and to be younger than the rest of the ATUS sample. Targeting these individuals is an important strategy in minimizing the possibility of nonresponse bias. See the appendix for more information about the literature on incentives.</w:t>
      </w:r>
    </w:p>
    <w:p w:rsidR="00FF5CB1" w:rsidP="009702CA" w:rsidRDefault="00FF5CB1" w14:paraId="523CD1A9" w14:textId="756FCA43">
      <w:pPr>
        <w:spacing w:after="0" w:line="360" w:lineRule="auto"/>
      </w:pPr>
    </w:p>
    <w:p w:rsidRPr="003915FD" w:rsidR="00FF5CB1" w:rsidP="009702CA" w:rsidRDefault="00FF5CB1" w14:paraId="7FBE0B8D" w14:textId="38CE1088">
      <w:pPr>
        <w:spacing w:after="0" w:line="360" w:lineRule="auto"/>
        <w:rPr>
          <w:b/>
        </w:rPr>
      </w:pPr>
      <w:r w:rsidRPr="003915FD">
        <w:rPr>
          <w:b/>
        </w:rPr>
        <w:t>Implementing the study</w:t>
      </w:r>
    </w:p>
    <w:p w:rsidR="00904F81" w:rsidP="00BB5F61" w:rsidRDefault="00032E7F" w14:paraId="14EB33AF" w14:textId="6DD51C9C">
      <w:pPr>
        <w:spacing w:line="360" w:lineRule="auto"/>
      </w:pPr>
      <w:r>
        <w:t>Currently, t</w:t>
      </w:r>
      <w:r w:rsidR="00904F81">
        <w:t xml:space="preserve">here are </w:t>
      </w:r>
      <w:r w:rsidR="00D22FB2">
        <w:t>six</w:t>
      </w:r>
      <w:r w:rsidR="00904F81">
        <w:t xml:space="preserve"> steps in the ATUS sampling process:</w:t>
      </w:r>
    </w:p>
    <w:p w:rsidR="00904F81" w:rsidP="00BB5F61" w:rsidRDefault="00D22FB2" w14:paraId="272A5C37" w14:textId="717ED1C4">
      <w:pPr>
        <w:pStyle w:val="ListParagraph"/>
        <w:numPr>
          <w:ilvl w:val="0"/>
          <w:numId w:val="4"/>
        </w:numPr>
        <w:spacing w:line="360" w:lineRule="auto"/>
      </w:pPr>
      <w:r>
        <w:t>A</w:t>
      </w:r>
      <w:r w:rsidR="00904F81">
        <w:t xml:space="preserve"> stratified sample of household</w:t>
      </w:r>
      <w:r w:rsidR="00032E7F">
        <w:t xml:space="preserve">s </w:t>
      </w:r>
      <w:r w:rsidR="00B36233">
        <w:t>is</w:t>
      </w:r>
      <w:r>
        <w:t xml:space="preserve"> selected from those that completed the eighth month of the CPS</w:t>
      </w:r>
      <w:r w:rsidR="00904F81">
        <w:t xml:space="preserve">.  </w:t>
      </w:r>
    </w:p>
    <w:p w:rsidR="00904F81" w:rsidP="00BB5F61" w:rsidRDefault="00904F81" w14:paraId="1F2071FD" w14:textId="79EDCE4D">
      <w:pPr>
        <w:pStyle w:val="ListParagraph"/>
        <w:numPr>
          <w:ilvl w:val="0"/>
          <w:numId w:val="4"/>
        </w:numPr>
        <w:spacing w:line="360" w:lineRule="auto"/>
      </w:pPr>
      <w:r>
        <w:t xml:space="preserve">A DP, age 15 or older, is randomly selected from each household.   </w:t>
      </w:r>
    </w:p>
    <w:p w:rsidR="00904F81" w:rsidP="00BB5F61" w:rsidRDefault="00904F81" w14:paraId="3AC1BFBE" w14:textId="6C1B9F46">
      <w:pPr>
        <w:pStyle w:val="ListParagraph"/>
        <w:numPr>
          <w:ilvl w:val="0"/>
          <w:numId w:val="4"/>
        </w:numPr>
        <w:spacing w:line="360" w:lineRule="auto"/>
      </w:pPr>
      <w:r>
        <w:t>The D</w:t>
      </w:r>
      <w:r w:rsidR="003B516D">
        <w:t>P is assigned a panel month</w:t>
      </w:r>
      <w:r w:rsidR="00D22FB2">
        <w:t>.</w:t>
      </w:r>
      <w:r>
        <w:t xml:space="preserve">  </w:t>
      </w:r>
    </w:p>
    <w:p w:rsidR="00904F81" w:rsidP="00BB5F61" w:rsidRDefault="003B6A79" w14:paraId="35E5A4C8" w14:textId="640537CC">
      <w:pPr>
        <w:pStyle w:val="ListParagraph"/>
        <w:numPr>
          <w:ilvl w:val="0"/>
          <w:numId w:val="4"/>
        </w:numPr>
        <w:spacing w:line="360" w:lineRule="auto"/>
      </w:pPr>
      <w:r>
        <w:t>Regular incentive cases are identified</w:t>
      </w:r>
      <w:r w:rsidR="00040F53">
        <w:t xml:space="preserve"> using the variable INCNTFLG</w:t>
      </w:r>
      <w:r>
        <w:t>.</w:t>
      </w:r>
      <w:r w:rsidR="00904F81">
        <w:t xml:space="preserve"> </w:t>
      </w:r>
      <w:r w:rsidR="005628C5">
        <w:t>This</w:t>
      </w:r>
      <w:r w:rsidR="00032E7F">
        <w:t xml:space="preserve"> variable is assigned a value of “1” if there is no phone number available from CPS and a value of “0” otherwise.</w:t>
      </w:r>
    </w:p>
    <w:p w:rsidR="000E0DA3" w:rsidP="00BB5F61" w:rsidRDefault="003B6A79" w14:paraId="6A2E336E" w14:textId="77777777">
      <w:pPr>
        <w:pStyle w:val="ListParagraph"/>
        <w:numPr>
          <w:ilvl w:val="0"/>
          <w:numId w:val="4"/>
        </w:numPr>
        <w:spacing w:line="360" w:lineRule="auto"/>
      </w:pPr>
      <w:r>
        <w:lastRenderedPageBreak/>
        <w:t>A reference day is</w:t>
      </w:r>
      <w:r w:rsidR="005C5FE5">
        <w:t xml:space="preserve"> randomly</w:t>
      </w:r>
      <w:r>
        <w:t xml:space="preserve"> assigned to the case</w:t>
      </w:r>
      <w:r w:rsidR="005C5FE5">
        <w:t xml:space="preserve"> such that </w:t>
      </w:r>
      <w:r w:rsidR="00904F81">
        <w:t>10</w:t>
      </w:r>
      <w:r>
        <w:t xml:space="preserve"> percent are assigned a</w:t>
      </w:r>
      <w:r w:rsidR="00904F81">
        <w:t xml:space="preserve"> weekda</w:t>
      </w:r>
      <w:r w:rsidR="005C5FE5">
        <w:t xml:space="preserve">y and </w:t>
      </w:r>
      <w:r w:rsidR="00904F81">
        <w:t>25</w:t>
      </w:r>
      <w:r>
        <w:t xml:space="preserve"> percent are assigned to each weekend day</w:t>
      </w:r>
      <w:r w:rsidR="000E0DA3">
        <w:t>.</w:t>
      </w:r>
    </w:p>
    <w:p w:rsidR="00904F81" w:rsidP="00BB5F61" w:rsidRDefault="00B3625E" w14:paraId="2AEE02B0" w14:textId="1DD94393">
      <w:pPr>
        <w:pStyle w:val="ListParagraph"/>
        <w:numPr>
          <w:ilvl w:val="0"/>
          <w:numId w:val="4"/>
        </w:numPr>
        <w:spacing w:line="360" w:lineRule="auto"/>
      </w:pPr>
      <w:r>
        <w:t>Cases are</w:t>
      </w:r>
      <w:r w:rsidR="005C5FE5">
        <w:t xml:space="preserve"> randomly</w:t>
      </w:r>
      <w:r>
        <w:t xml:space="preserve"> assigned</w:t>
      </w:r>
      <w:r w:rsidR="00040F53">
        <w:t xml:space="preserve"> to a panel </w:t>
      </w:r>
      <w:r w:rsidR="00D22FB2">
        <w:t xml:space="preserve">week that indicates </w:t>
      </w:r>
      <w:r w:rsidR="005628C5">
        <w:t>when interviewers will</w:t>
      </w:r>
      <w:r w:rsidR="00040F53">
        <w:t xml:space="preserve"> first</w:t>
      </w:r>
      <w:r w:rsidR="005628C5">
        <w:t xml:space="preserve"> contact the DP</w:t>
      </w:r>
      <w:r w:rsidR="00D22FB2">
        <w:t xml:space="preserve"> for an interview</w:t>
      </w:r>
      <w:r>
        <w:t>.</w:t>
      </w:r>
    </w:p>
    <w:p w:rsidR="00753080" w:rsidP="00BB5F61" w:rsidRDefault="00F93247" w14:paraId="0ABC368F" w14:textId="4EE204AA">
      <w:pPr>
        <w:spacing w:line="360" w:lineRule="auto"/>
        <w:ind w:firstLine="720"/>
      </w:pPr>
      <w:r>
        <w:t>For study goal #1</w:t>
      </w:r>
      <w:r w:rsidR="00032E7F">
        <w:t>, c</w:t>
      </w:r>
      <w:r w:rsidR="00904F81">
        <w:t>ases will be assigned to the control and test groups</w:t>
      </w:r>
      <w:r w:rsidR="00753080">
        <w:t xml:space="preserve"> in step 4, </w:t>
      </w:r>
      <w:r w:rsidR="00032E7F">
        <w:t>at the time</w:t>
      </w:r>
      <w:r w:rsidR="00753080">
        <w:t xml:space="preserve"> regular incentive cases are identified.</w:t>
      </w:r>
      <w:r w:rsidR="005C5FE5">
        <w:t xml:space="preserve"> Assigning the test and control groups at this stage will ensure they are randomly assigned across reference days and panel weeks.</w:t>
      </w:r>
      <w:r w:rsidR="00032E7F">
        <w:t xml:space="preserve"> Under the test design, no-telephone-number households</w:t>
      </w:r>
      <w:r w:rsidR="00B36233">
        <w:t xml:space="preserve"> (identified by INCNTFLG=1)</w:t>
      </w:r>
      <w:r w:rsidR="00032E7F">
        <w:t xml:space="preserve"> will</w:t>
      </w:r>
      <w:r w:rsidR="00BF012E">
        <w:t xml:space="preserve"> be divided into </w:t>
      </w:r>
      <w:r w:rsidR="004040F5">
        <w:t>three</w:t>
      </w:r>
      <w:r w:rsidR="00BF012E">
        <w:t xml:space="preserve"> groups, and each group will</w:t>
      </w:r>
      <w:r w:rsidR="00032E7F">
        <w:t xml:space="preserve"> be </w:t>
      </w:r>
      <w:r w:rsidR="001D3E64">
        <w:t>re-</w:t>
      </w:r>
      <w:r w:rsidR="00032E7F">
        <w:t xml:space="preserve">assigned one of </w:t>
      </w:r>
      <w:r w:rsidR="004040F5">
        <w:t xml:space="preserve">three </w:t>
      </w:r>
      <w:r w:rsidR="001D3E64">
        <w:t xml:space="preserve">new </w:t>
      </w:r>
      <w:r w:rsidR="00032E7F">
        <w:t>values</w:t>
      </w:r>
      <w:r w:rsidR="001D3E64">
        <w:t xml:space="preserve">:  a “2” will be assigned to cases that will receive no incentive, a “3” will be assigned to cases that will receive a $5 cash incentive, and a “4” will be assigned to cases that will receive a $10 incentive. To accomplish this, cases with INCNTFLG=1 will be sorted </w:t>
      </w:r>
      <w:r w:rsidR="00032E7F">
        <w:t xml:space="preserve">by </w:t>
      </w:r>
      <w:r w:rsidR="00D26626">
        <w:t xml:space="preserve">the variable STRATUM, which accounts for </w:t>
      </w:r>
      <w:r w:rsidR="001154C0">
        <w:t xml:space="preserve">factors </w:t>
      </w:r>
      <w:r w:rsidR="00F800AC">
        <w:t>used to select the stratified sample</w:t>
      </w:r>
      <w:r w:rsidR="001154C0">
        <w:t xml:space="preserve"> (the presence of children in the household, race, and ethnicity)</w:t>
      </w:r>
      <w:r w:rsidR="001D3E64">
        <w:t>. V</w:t>
      </w:r>
      <w:r w:rsidR="00040F53">
        <w:t xml:space="preserve">alues of </w:t>
      </w:r>
      <w:r w:rsidR="001D3E64">
        <w:t xml:space="preserve">INCNTFLG= 2, 3, and 4 </w:t>
      </w:r>
      <w:r w:rsidR="00040F53">
        <w:t xml:space="preserve">will </w:t>
      </w:r>
      <w:r w:rsidR="001D3E64">
        <w:t xml:space="preserve">then </w:t>
      </w:r>
      <w:r w:rsidR="00040F53">
        <w:t xml:space="preserve">be </w:t>
      </w:r>
      <w:r w:rsidR="004040F5">
        <w:t xml:space="preserve">sequentially assigned </w:t>
      </w:r>
      <w:r w:rsidR="00AE4285">
        <w:t>(</w:t>
      </w:r>
      <w:r w:rsidR="001D3E64">
        <w:t xml:space="preserve">2, 3, 4, 2, 3, 4, 2, </w:t>
      </w:r>
      <w:r w:rsidR="004040F5">
        <w:t>etc.</w:t>
      </w:r>
      <w:r w:rsidR="00AE4285">
        <w:t>) to each record</w:t>
      </w:r>
      <w:r w:rsidR="004040F5">
        <w:t xml:space="preserve"> until all </w:t>
      </w:r>
      <w:r w:rsidR="009B4EBE">
        <w:t>eligible no-telephone-number DPs</w:t>
      </w:r>
      <w:r w:rsidR="004040F5">
        <w:t xml:space="preserve"> have</w:t>
      </w:r>
      <w:r w:rsidR="001D3E64">
        <w:t xml:space="preserve"> had their INCNTFLG=1 value re-assigned to INCNTFL</w:t>
      </w:r>
      <w:r w:rsidR="00AE4285">
        <w:t>G</w:t>
      </w:r>
      <w:r w:rsidR="001D3E64">
        <w:t>= 2, 3, or 4.</w:t>
      </w:r>
      <w:r w:rsidR="00032E7F">
        <w:t xml:space="preserve"> </w:t>
      </w:r>
    </w:p>
    <w:p w:rsidR="006000D7" w:rsidP="00A00DEA" w:rsidRDefault="00F93247" w14:paraId="324C7282" w14:textId="0E6981DC">
      <w:pPr>
        <w:spacing w:after="0" w:line="360" w:lineRule="auto"/>
      </w:pPr>
      <w:r>
        <w:tab/>
        <w:t>For study goal #2, 15</w:t>
      </w:r>
      <w:r w:rsidR="0070711B">
        <w:t>-</w:t>
      </w:r>
      <w:r>
        <w:t xml:space="preserve"> to 24</w:t>
      </w:r>
      <w:r w:rsidR="0070711B">
        <w:t>-</w:t>
      </w:r>
      <w:r>
        <w:t>year</w:t>
      </w:r>
      <w:r w:rsidR="0070711B">
        <w:t>-</w:t>
      </w:r>
      <w:r>
        <w:t>old</w:t>
      </w:r>
      <w:r w:rsidR="00516E43">
        <w:t xml:space="preserve"> DP</w:t>
      </w:r>
      <w:r>
        <w:t>s</w:t>
      </w:r>
      <w:r w:rsidR="00B1585D">
        <w:t xml:space="preserve"> with a phone number on file will be sent no, $5, or $10 incentives. </w:t>
      </w:r>
      <w:r w:rsidR="00516E43">
        <w:t>Two groups of 15- to 24-year-olds will be excluded from the test:  DPs with INCNTFLG= 2, 3, or 4, and DPs with allocated values of age identify</w:t>
      </w:r>
      <w:r w:rsidR="00597F60">
        <w:t>ing</w:t>
      </w:r>
      <w:r w:rsidR="00516E43">
        <w:t xml:space="preserve"> them as age 25 or more.</w:t>
      </w:r>
      <w:r w:rsidR="00597F60">
        <w:rPr>
          <w:rStyle w:val="FootnoteReference"/>
        </w:rPr>
        <w:footnoteReference w:id="5"/>
      </w:r>
      <w:r w:rsidR="00516E43">
        <w:t xml:space="preserve"> </w:t>
      </w:r>
      <w:r w:rsidR="00D07F2A">
        <w:t xml:space="preserve"> </w:t>
      </w:r>
      <w:r w:rsidR="009A1181">
        <w:t xml:space="preserve">Eligible cases will first </w:t>
      </w:r>
      <w:r w:rsidR="000875BE">
        <w:t>be sorted by</w:t>
      </w:r>
      <w:r w:rsidR="00497604">
        <w:t xml:space="preserve"> </w:t>
      </w:r>
      <w:r w:rsidR="001154C0">
        <w:t xml:space="preserve">factors used </w:t>
      </w:r>
      <w:r w:rsidR="00F800AC">
        <w:t>to select the stratified sample</w:t>
      </w:r>
      <w:r w:rsidR="00497604">
        <w:t xml:space="preserve"> and </w:t>
      </w:r>
      <w:r w:rsidR="001154C0">
        <w:t xml:space="preserve">by </w:t>
      </w:r>
      <w:r w:rsidR="00497604">
        <w:t>age</w:t>
      </w:r>
      <w:r w:rsidR="00B126AC">
        <w:t>,</w:t>
      </w:r>
      <w:r w:rsidR="00D26626">
        <w:t xml:space="preserve"> using the variable</w:t>
      </w:r>
      <w:r w:rsidR="009A1181">
        <w:t>s</w:t>
      </w:r>
      <w:r w:rsidR="00D26626">
        <w:t xml:space="preserve"> STRATUM</w:t>
      </w:r>
      <w:r w:rsidR="009A1181">
        <w:t xml:space="preserve"> and PUAGE</w:t>
      </w:r>
      <w:r w:rsidR="001154C0">
        <w:t xml:space="preserve">. </w:t>
      </w:r>
      <w:r w:rsidR="009C7D75">
        <w:t>Values of INCNTFLG= 5, 6, and 7 will then be sequentially assigned (5, 6, 7, 5, 6, 7, 5, etc.) to each record until all eligible DPs have had their INCNTFLG=0 value re-assigned to INCNTFLG= 5, 6, 7.</w:t>
      </w:r>
      <w:r w:rsidR="0052370D">
        <w:t xml:space="preserve"> </w:t>
      </w:r>
      <w:r w:rsidR="002E5CDC">
        <w:t>To ensure the integrity of this incentive test, 15</w:t>
      </w:r>
      <w:r w:rsidR="0070711B">
        <w:t>-</w:t>
      </w:r>
      <w:r w:rsidR="002E5CDC">
        <w:t xml:space="preserve"> to 24</w:t>
      </w:r>
      <w:r w:rsidR="0070711B">
        <w:t>-</w:t>
      </w:r>
      <w:r w:rsidR="002E5CDC">
        <w:t>year</w:t>
      </w:r>
      <w:r w:rsidR="0070711B">
        <w:t>-</w:t>
      </w:r>
      <w:r w:rsidRPr="002E5CDC" w:rsidR="002E5CDC">
        <w:t>olds will not be eligible to become expanded incentive cases</w:t>
      </w:r>
      <w:r w:rsidR="001154C0">
        <w:t xml:space="preserve"> for the duration of the study</w:t>
      </w:r>
      <w:r w:rsidRPr="002E5CDC" w:rsidR="002E5CDC">
        <w:t>.</w:t>
      </w:r>
      <w:r w:rsidR="0084464F">
        <w:t xml:space="preserve"> Table 6, below, summarizes the different meanings for values of INCNTFLG.</w:t>
      </w:r>
      <w:r w:rsidR="002767F0">
        <w:tab/>
      </w:r>
    </w:p>
    <w:p w:rsidR="006000D7" w:rsidRDefault="006000D7" w14:paraId="00A788A0" w14:textId="77777777">
      <w:r>
        <w:br w:type="page"/>
      </w:r>
    </w:p>
    <w:tbl>
      <w:tblPr>
        <w:tblW w:w="9572" w:type="dxa"/>
        <w:tblLook w:val="04A0" w:firstRow="1" w:lastRow="0" w:firstColumn="1" w:lastColumn="0" w:noHBand="0" w:noVBand="1"/>
      </w:tblPr>
      <w:tblGrid>
        <w:gridCol w:w="4082"/>
        <w:gridCol w:w="1154"/>
        <w:gridCol w:w="4336"/>
      </w:tblGrid>
      <w:tr w:rsidRPr="00A00DEA" w:rsidR="00A00DEA" w:rsidTr="00A00DEA" w14:paraId="17BE6CCC" w14:textId="77777777">
        <w:trPr>
          <w:trHeight w:val="495"/>
        </w:trPr>
        <w:tc>
          <w:tcPr>
            <w:tcW w:w="5236" w:type="dxa"/>
            <w:gridSpan w:val="2"/>
            <w:tcBorders>
              <w:top w:val="nil"/>
              <w:left w:val="nil"/>
              <w:bottom w:val="nil"/>
              <w:right w:val="nil"/>
            </w:tcBorders>
            <w:shd w:val="clear" w:color="auto" w:fill="auto"/>
            <w:noWrap/>
            <w:vAlign w:val="bottom"/>
            <w:hideMark/>
          </w:tcPr>
          <w:p w:rsidRPr="00A00DEA" w:rsidR="00A00DEA" w:rsidP="002F7A0B" w:rsidRDefault="00A00DEA" w14:paraId="18C5A2CA" w14:textId="1CFF992D">
            <w:pPr>
              <w:spacing w:after="0" w:line="240" w:lineRule="auto"/>
              <w:rPr>
                <w:rFonts w:ascii="Calibri" w:hAnsi="Calibri" w:eastAsia="Times New Roman" w:cs="Calibri"/>
                <w:i/>
                <w:iCs/>
                <w:color w:val="000000"/>
              </w:rPr>
            </w:pPr>
            <w:r w:rsidRPr="00A00DEA">
              <w:rPr>
                <w:rFonts w:ascii="Calibri" w:hAnsi="Calibri" w:eastAsia="Times New Roman" w:cs="Calibri"/>
                <w:i/>
                <w:iCs/>
                <w:color w:val="000000"/>
              </w:rPr>
              <w:lastRenderedPageBreak/>
              <w:t>Table 6. Values for INCNTFLG:  What do they mean?</w:t>
            </w:r>
          </w:p>
        </w:tc>
        <w:tc>
          <w:tcPr>
            <w:tcW w:w="4336" w:type="dxa"/>
            <w:tcBorders>
              <w:top w:val="nil"/>
              <w:left w:val="nil"/>
              <w:bottom w:val="nil"/>
              <w:right w:val="nil"/>
            </w:tcBorders>
            <w:shd w:val="clear" w:color="auto" w:fill="auto"/>
            <w:noWrap/>
            <w:vAlign w:val="bottom"/>
            <w:hideMark/>
          </w:tcPr>
          <w:p w:rsidRPr="00A00DEA" w:rsidR="00A00DEA" w:rsidP="00A00DEA" w:rsidRDefault="00A00DEA" w14:paraId="7102E956" w14:textId="77777777">
            <w:pPr>
              <w:spacing w:after="0" w:line="240" w:lineRule="auto"/>
              <w:rPr>
                <w:rFonts w:ascii="Calibri" w:hAnsi="Calibri" w:eastAsia="Times New Roman" w:cs="Calibri"/>
                <w:i/>
                <w:iCs/>
                <w:color w:val="000000"/>
              </w:rPr>
            </w:pPr>
          </w:p>
        </w:tc>
      </w:tr>
      <w:tr w:rsidRPr="00A00DEA" w:rsidR="00A00DEA" w:rsidTr="00A00DEA" w14:paraId="1BCF82C2" w14:textId="77777777">
        <w:trPr>
          <w:trHeight w:val="765"/>
        </w:trPr>
        <w:tc>
          <w:tcPr>
            <w:tcW w:w="4082" w:type="dxa"/>
            <w:tcBorders>
              <w:top w:val="single" w:color="auto" w:sz="4" w:space="0"/>
              <w:left w:val="single" w:color="auto" w:sz="4" w:space="0"/>
              <w:bottom w:val="single" w:color="auto" w:sz="4" w:space="0"/>
              <w:right w:val="nil"/>
            </w:tcBorders>
            <w:shd w:val="clear" w:color="000000" w:fill="F2F2F2"/>
            <w:vAlign w:val="bottom"/>
            <w:hideMark/>
          </w:tcPr>
          <w:p w:rsidRPr="00A00DEA" w:rsidR="00A00DEA" w:rsidP="00A00DEA" w:rsidRDefault="00A00DEA" w14:paraId="7F609EF4" w14:textId="77777777">
            <w:pPr>
              <w:spacing w:after="0" w:line="240" w:lineRule="auto"/>
              <w:jc w:val="center"/>
              <w:rPr>
                <w:rFonts w:ascii="Calibri" w:hAnsi="Calibri" w:eastAsia="Times New Roman" w:cs="Calibri"/>
                <w:color w:val="000000"/>
              </w:rPr>
            </w:pPr>
            <w:r w:rsidRPr="00A00DEA">
              <w:rPr>
                <w:rFonts w:ascii="Calibri" w:hAnsi="Calibri" w:eastAsia="Times New Roman" w:cs="Calibri"/>
                <w:color w:val="000000"/>
              </w:rPr>
              <w:t>Timing</w:t>
            </w:r>
          </w:p>
        </w:tc>
        <w:tc>
          <w:tcPr>
            <w:tcW w:w="1154" w:type="dxa"/>
            <w:tcBorders>
              <w:top w:val="single" w:color="auto" w:sz="4" w:space="0"/>
              <w:left w:val="nil"/>
              <w:bottom w:val="single" w:color="auto" w:sz="4" w:space="0"/>
              <w:right w:val="nil"/>
            </w:tcBorders>
            <w:shd w:val="clear" w:color="000000" w:fill="F2F2F2"/>
            <w:vAlign w:val="bottom"/>
            <w:hideMark/>
          </w:tcPr>
          <w:p w:rsidRPr="00A00DEA" w:rsidR="00A00DEA" w:rsidP="00A00DEA" w:rsidRDefault="00A00DEA" w14:paraId="38BEF678" w14:textId="77777777">
            <w:pPr>
              <w:spacing w:after="0" w:line="240" w:lineRule="auto"/>
              <w:jc w:val="center"/>
              <w:rPr>
                <w:rFonts w:ascii="Calibri" w:hAnsi="Calibri" w:eastAsia="Times New Roman" w:cs="Calibri"/>
                <w:color w:val="000000"/>
              </w:rPr>
            </w:pPr>
            <w:r w:rsidRPr="00A00DEA">
              <w:rPr>
                <w:rFonts w:ascii="Calibri" w:hAnsi="Calibri" w:eastAsia="Times New Roman" w:cs="Calibri"/>
                <w:color w:val="000000"/>
              </w:rPr>
              <w:t>INCNTFLG value</w:t>
            </w:r>
          </w:p>
        </w:tc>
        <w:tc>
          <w:tcPr>
            <w:tcW w:w="4336" w:type="dxa"/>
            <w:tcBorders>
              <w:top w:val="single" w:color="auto" w:sz="4" w:space="0"/>
              <w:left w:val="nil"/>
              <w:bottom w:val="single" w:color="auto" w:sz="4" w:space="0"/>
              <w:right w:val="single" w:color="auto" w:sz="4" w:space="0"/>
            </w:tcBorders>
            <w:shd w:val="clear" w:color="000000" w:fill="F2F2F2"/>
            <w:vAlign w:val="bottom"/>
            <w:hideMark/>
          </w:tcPr>
          <w:p w:rsidRPr="00A00DEA" w:rsidR="00A00DEA" w:rsidP="00A00DEA" w:rsidRDefault="00A00DEA" w14:paraId="11022EF1" w14:textId="77777777">
            <w:pPr>
              <w:spacing w:after="0" w:line="240" w:lineRule="auto"/>
              <w:jc w:val="center"/>
              <w:rPr>
                <w:rFonts w:ascii="Calibri" w:hAnsi="Calibri" w:eastAsia="Times New Roman" w:cs="Calibri"/>
                <w:color w:val="000000"/>
              </w:rPr>
            </w:pPr>
            <w:r w:rsidRPr="00A00DEA">
              <w:rPr>
                <w:rFonts w:ascii="Calibri" w:hAnsi="Calibri" w:eastAsia="Times New Roman" w:cs="Calibri"/>
                <w:color w:val="000000"/>
              </w:rPr>
              <w:t>Meaning</w:t>
            </w:r>
          </w:p>
        </w:tc>
      </w:tr>
      <w:tr w:rsidRPr="00A00DEA" w:rsidR="00A00DEA" w:rsidTr="00A00DEA" w14:paraId="66A57F61" w14:textId="77777777">
        <w:trPr>
          <w:trHeight w:val="435"/>
        </w:trPr>
        <w:tc>
          <w:tcPr>
            <w:tcW w:w="4082" w:type="dxa"/>
            <w:tcBorders>
              <w:top w:val="nil"/>
              <w:left w:val="single" w:color="auto" w:sz="4" w:space="0"/>
              <w:bottom w:val="nil"/>
              <w:right w:val="nil"/>
            </w:tcBorders>
            <w:shd w:val="clear" w:color="auto" w:fill="auto"/>
            <w:noWrap/>
            <w:vAlign w:val="bottom"/>
            <w:hideMark/>
          </w:tcPr>
          <w:p w:rsidRPr="00A00DEA" w:rsidR="00A00DEA" w:rsidP="00A00DEA" w:rsidRDefault="00A00DEA" w14:paraId="02D81097" w14:textId="77777777">
            <w:pPr>
              <w:spacing w:after="0" w:line="240" w:lineRule="auto"/>
              <w:rPr>
                <w:rFonts w:ascii="Calibri" w:hAnsi="Calibri" w:eastAsia="Times New Roman" w:cs="Calibri"/>
                <w:b/>
                <w:bCs/>
                <w:color w:val="000000"/>
              </w:rPr>
            </w:pPr>
            <w:r w:rsidRPr="00A00DEA">
              <w:rPr>
                <w:rFonts w:ascii="Calibri" w:hAnsi="Calibri" w:eastAsia="Times New Roman" w:cs="Calibri"/>
                <w:b/>
                <w:bCs/>
                <w:color w:val="000000"/>
              </w:rPr>
              <w:t>Initial value assigned in sampling, step 4</w:t>
            </w:r>
          </w:p>
        </w:tc>
        <w:tc>
          <w:tcPr>
            <w:tcW w:w="1154" w:type="dxa"/>
            <w:tcBorders>
              <w:top w:val="nil"/>
              <w:left w:val="nil"/>
              <w:bottom w:val="nil"/>
              <w:right w:val="nil"/>
            </w:tcBorders>
            <w:shd w:val="clear" w:color="auto" w:fill="auto"/>
            <w:noWrap/>
            <w:vAlign w:val="bottom"/>
            <w:hideMark/>
          </w:tcPr>
          <w:p w:rsidRPr="00A00DEA" w:rsidR="00A00DEA" w:rsidP="00A00DEA" w:rsidRDefault="00A00DEA" w14:paraId="3601289A" w14:textId="77777777">
            <w:pPr>
              <w:spacing w:after="0" w:line="240" w:lineRule="auto"/>
              <w:jc w:val="center"/>
              <w:rPr>
                <w:rFonts w:ascii="Calibri" w:hAnsi="Calibri" w:eastAsia="Times New Roman" w:cs="Calibri"/>
                <w:color w:val="000000"/>
              </w:rPr>
            </w:pPr>
            <w:r w:rsidRPr="00A00DEA">
              <w:rPr>
                <w:rFonts w:ascii="Calibri" w:hAnsi="Calibri" w:eastAsia="Times New Roman" w:cs="Calibri"/>
                <w:color w:val="000000"/>
              </w:rPr>
              <w:t>0</w:t>
            </w:r>
          </w:p>
        </w:tc>
        <w:tc>
          <w:tcPr>
            <w:tcW w:w="4336" w:type="dxa"/>
            <w:tcBorders>
              <w:top w:val="nil"/>
              <w:left w:val="nil"/>
              <w:bottom w:val="nil"/>
              <w:right w:val="single" w:color="auto" w:sz="4" w:space="0"/>
            </w:tcBorders>
            <w:shd w:val="clear" w:color="auto" w:fill="auto"/>
            <w:noWrap/>
            <w:vAlign w:val="bottom"/>
            <w:hideMark/>
          </w:tcPr>
          <w:p w:rsidRPr="00A00DEA" w:rsidR="00A00DEA" w:rsidP="00A00DEA" w:rsidRDefault="00A00DEA" w14:paraId="657F7B2E"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Telephone number available from CPS</w:t>
            </w:r>
          </w:p>
        </w:tc>
      </w:tr>
      <w:tr w:rsidRPr="00A00DEA" w:rsidR="00A00DEA" w:rsidTr="00A00DEA" w14:paraId="56219380" w14:textId="77777777">
        <w:trPr>
          <w:trHeight w:val="435"/>
        </w:trPr>
        <w:tc>
          <w:tcPr>
            <w:tcW w:w="4082" w:type="dxa"/>
            <w:tcBorders>
              <w:top w:val="nil"/>
              <w:left w:val="single" w:color="auto" w:sz="4" w:space="0"/>
              <w:bottom w:val="single" w:color="auto" w:sz="4" w:space="0"/>
              <w:right w:val="nil"/>
            </w:tcBorders>
            <w:shd w:val="clear" w:color="auto" w:fill="auto"/>
            <w:noWrap/>
            <w:vAlign w:val="bottom"/>
            <w:hideMark/>
          </w:tcPr>
          <w:p w:rsidRPr="00A00DEA" w:rsidR="00A00DEA" w:rsidP="00A00DEA" w:rsidRDefault="00A00DEA" w14:paraId="7614AD1D"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 </w:t>
            </w:r>
          </w:p>
        </w:tc>
        <w:tc>
          <w:tcPr>
            <w:tcW w:w="1154" w:type="dxa"/>
            <w:tcBorders>
              <w:top w:val="nil"/>
              <w:left w:val="nil"/>
              <w:bottom w:val="single" w:color="auto" w:sz="4" w:space="0"/>
              <w:right w:val="nil"/>
            </w:tcBorders>
            <w:shd w:val="clear" w:color="auto" w:fill="auto"/>
            <w:noWrap/>
            <w:vAlign w:val="bottom"/>
            <w:hideMark/>
          </w:tcPr>
          <w:p w:rsidRPr="00A00DEA" w:rsidR="00A00DEA" w:rsidP="00A00DEA" w:rsidRDefault="00A00DEA" w14:paraId="12421B90" w14:textId="77777777">
            <w:pPr>
              <w:spacing w:after="0" w:line="240" w:lineRule="auto"/>
              <w:jc w:val="center"/>
              <w:rPr>
                <w:rFonts w:ascii="Calibri" w:hAnsi="Calibri" w:eastAsia="Times New Roman" w:cs="Calibri"/>
                <w:color w:val="000000"/>
              </w:rPr>
            </w:pPr>
            <w:r w:rsidRPr="00A00DEA">
              <w:rPr>
                <w:rFonts w:ascii="Calibri" w:hAnsi="Calibri" w:eastAsia="Times New Roman" w:cs="Calibri"/>
                <w:color w:val="000000"/>
              </w:rPr>
              <w:t>1</w:t>
            </w:r>
          </w:p>
        </w:tc>
        <w:tc>
          <w:tcPr>
            <w:tcW w:w="4336" w:type="dxa"/>
            <w:tcBorders>
              <w:top w:val="nil"/>
              <w:left w:val="nil"/>
              <w:bottom w:val="single" w:color="auto" w:sz="4" w:space="0"/>
              <w:right w:val="single" w:color="auto" w:sz="4" w:space="0"/>
            </w:tcBorders>
            <w:shd w:val="clear" w:color="auto" w:fill="auto"/>
            <w:noWrap/>
            <w:vAlign w:val="bottom"/>
            <w:hideMark/>
          </w:tcPr>
          <w:p w:rsidRPr="00A00DEA" w:rsidR="00A00DEA" w:rsidP="00A00DEA" w:rsidRDefault="00A00DEA" w14:paraId="0D2817B1"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No telephone number available from CPS</w:t>
            </w:r>
          </w:p>
        </w:tc>
      </w:tr>
      <w:tr w:rsidRPr="00A00DEA" w:rsidR="00A00DEA" w:rsidTr="00A00DEA" w14:paraId="284C88E4" w14:textId="77777777">
        <w:trPr>
          <w:trHeight w:val="435"/>
        </w:trPr>
        <w:tc>
          <w:tcPr>
            <w:tcW w:w="4082" w:type="dxa"/>
            <w:tcBorders>
              <w:top w:val="nil"/>
              <w:left w:val="single" w:color="auto" w:sz="4" w:space="0"/>
              <w:bottom w:val="nil"/>
              <w:right w:val="nil"/>
            </w:tcBorders>
            <w:shd w:val="clear" w:color="auto" w:fill="auto"/>
            <w:noWrap/>
            <w:vAlign w:val="bottom"/>
            <w:hideMark/>
          </w:tcPr>
          <w:p w:rsidRPr="00A00DEA" w:rsidR="00A00DEA" w:rsidP="00A00DEA" w:rsidRDefault="00A00DEA" w14:paraId="61248A29" w14:textId="77777777">
            <w:pPr>
              <w:spacing w:after="0" w:line="240" w:lineRule="auto"/>
              <w:rPr>
                <w:rFonts w:ascii="Calibri" w:hAnsi="Calibri" w:eastAsia="Times New Roman" w:cs="Calibri"/>
                <w:b/>
                <w:bCs/>
                <w:color w:val="000000"/>
              </w:rPr>
            </w:pPr>
            <w:r w:rsidRPr="00A00DEA">
              <w:rPr>
                <w:rFonts w:ascii="Calibri" w:hAnsi="Calibri" w:eastAsia="Times New Roman" w:cs="Calibri"/>
                <w:b/>
                <w:bCs/>
                <w:color w:val="000000"/>
              </w:rPr>
              <w:t>Pre-incentive study</w:t>
            </w:r>
          </w:p>
        </w:tc>
        <w:tc>
          <w:tcPr>
            <w:tcW w:w="1154" w:type="dxa"/>
            <w:tcBorders>
              <w:top w:val="nil"/>
              <w:left w:val="nil"/>
              <w:bottom w:val="nil"/>
              <w:right w:val="nil"/>
            </w:tcBorders>
            <w:shd w:val="clear" w:color="auto" w:fill="auto"/>
            <w:noWrap/>
            <w:vAlign w:val="bottom"/>
            <w:hideMark/>
          </w:tcPr>
          <w:p w:rsidRPr="00A00DEA" w:rsidR="00A00DEA" w:rsidP="00A00DEA" w:rsidRDefault="00A00DEA" w14:paraId="51D53FFA" w14:textId="77777777">
            <w:pPr>
              <w:spacing w:after="0" w:line="240" w:lineRule="auto"/>
              <w:jc w:val="center"/>
              <w:rPr>
                <w:rFonts w:ascii="Calibri" w:hAnsi="Calibri" w:eastAsia="Times New Roman" w:cs="Calibri"/>
                <w:color w:val="000000"/>
              </w:rPr>
            </w:pPr>
            <w:r w:rsidRPr="00A00DEA">
              <w:rPr>
                <w:rFonts w:ascii="Calibri" w:hAnsi="Calibri" w:eastAsia="Times New Roman" w:cs="Calibri"/>
                <w:color w:val="000000"/>
              </w:rPr>
              <w:t>0</w:t>
            </w:r>
          </w:p>
        </w:tc>
        <w:tc>
          <w:tcPr>
            <w:tcW w:w="4336" w:type="dxa"/>
            <w:tcBorders>
              <w:top w:val="nil"/>
              <w:left w:val="nil"/>
              <w:bottom w:val="nil"/>
              <w:right w:val="single" w:color="auto" w:sz="4" w:space="0"/>
            </w:tcBorders>
            <w:shd w:val="clear" w:color="auto" w:fill="auto"/>
            <w:noWrap/>
            <w:vAlign w:val="bottom"/>
            <w:hideMark/>
          </w:tcPr>
          <w:p w:rsidRPr="00A00DEA" w:rsidR="00A00DEA" w:rsidP="00A00DEA" w:rsidRDefault="00A00DEA" w14:paraId="7D044809"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Not a regular incentive case</w:t>
            </w:r>
          </w:p>
        </w:tc>
      </w:tr>
      <w:tr w:rsidRPr="00A00DEA" w:rsidR="00A00DEA" w:rsidTr="00A00DEA" w14:paraId="294D9B6C" w14:textId="77777777">
        <w:trPr>
          <w:trHeight w:val="435"/>
        </w:trPr>
        <w:tc>
          <w:tcPr>
            <w:tcW w:w="4082" w:type="dxa"/>
            <w:tcBorders>
              <w:top w:val="nil"/>
              <w:left w:val="single" w:color="auto" w:sz="4" w:space="0"/>
              <w:bottom w:val="single" w:color="auto" w:sz="4" w:space="0"/>
              <w:right w:val="nil"/>
            </w:tcBorders>
            <w:shd w:val="clear" w:color="auto" w:fill="auto"/>
            <w:noWrap/>
            <w:vAlign w:val="bottom"/>
            <w:hideMark/>
          </w:tcPr>
          <w:p w:rsidRPr="00A00DEA" w:rsidR="00A00DEA" w:rsidP="00A00DEA" w:rsidRDefault="00A00DEA" w14:paraId="1B2C63FA"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 </w:t>
            </w:r>
          </w:p>
        </w:tc>
        <w:tc>
          <w:tcPr>
            <w:tcW w:w="1154" w:type="dxa"/>
            <w:tcBorders>
              <w:top w:val="nil"/>
              <w:left w:val="nil"/>
              <w:bottom w:val="single" w:color="auto" w:sz="4" w:space="0"/>
              <w:right w:val="nil"/>
            </w:tcBorders>
            <w:shd w:val="clear" w:color="auto" w:fill="auto"/>
            <w:noWrap/>
            <w:vAlign w:val="bottom"/>
            <w:hideMark/>
          </w:tcPr>
          <w:p w:rsidRPr="00A00DEA" w:rsidR="00A00DEA" w:rsidP="00A00DEA" w:rsidRDefault="00A00DEA" w14:paraId="11043CCC" w14:textId="77777777">
            <w:pPr>
              <w:spacing w:after="0" w:line="240" w:lineRule="auto"/>
              <w:jc w:val="center"/>
              <w:rPr>
                <w:rFonts w:ascii="Calibri" w:hAnsi="Calibri" w:eastAsia="Times New Roman" w:cs="Calibri"/>
                <w:color w:val="000000"/>
              </w:rPr>
            </w:pPr>
            <w:r w:rsidRPr="00A00DEA">
              <w:rPr>
                <w:rFonts w:ascii="Calibri" w:hAnsi="Calibri" w:eastAsia="Times New Roman" w:cs="Calibri"/>
                <w:color w:val="000000"/>
              </w:rPr>
              <w:t>1</w:t>
            </w:r>
          </w:p>
        </w:tc>
        <w:tc>
          <w:tcPr>
            <w:tcW w:w="4336" w:type="dxa"/>
            <w:tcBorders>
              <w:top w:val="nil"/>
              <w:left w:val="nil"/>
              <w:bottom w:val="single" w:color="auto" w:sz="4" w:space="0"/>
              <w:right w:val="single" w:color="auto" w:sz="4" w:space="0"/>
            </w:tcBorders>
            <w:shd w:val="clear" w:color="auto" w:fill="auto"/>
            <w:noWrap/>
            <w:vAlign w:val="bottom"/>
            <w:hideMark/>
          </w:tcPr>
          <w:p w:rsidRPr="00A00DEA" w:rsidR="00A00DEA" w:rsidP="00A00DEA" w:rsidRDefault="00A00DEA" w14:paraId="6A9D22D1"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Regular incentive case, debit card mailed</w:t>
            </w:r>
          </w:p>
        </w:tc>
      </w:tr>
      <w:tr w:rsidRPr="00A00DEA" w:rsidR="00A00DEA" w:rsidTr="00A00DEA" w14:paraId="7F83815A" w14:textId="77777777">
        <w:trPr>
          <w:trHeight w:val="435"/>
        </w:trPr>
        <w:tc>
          <w:tcPr>
            <w:tcW w:w="4082" w:type="dxa"/>
            <w:tcBorders>
              <w:top w:val="nil"/>
              <w:left w:val="single" w:color="auto" w:sz="4" w:space="0"/>
              <w:bottom w:val="nil"/>
              <w:right w:val="nil"/>
            </w:tcBorders>
            <w:shd w:val="clear" w:color="auto" w:fill="auto"/>
            <w:noWrap/>
            <w:vAlign w:val="bottom"/>
            <w:hideMark/>
          </w:tcPr>
          <w:p w:rsidRPr="00A00DEA" w:rsidR="00A00DEA" w:rsidP="00A00DEA" w:rsidRDefault="00A00DEA" w14:paraId="21503C81" w14:textId="7C25AC3A">
            <w:pPr>
              <w:spacing w:after="0" w:line="240" w:lineRule="auto"/>
              <w:rPr>
                <w:rFonts w:ascii="Calibri" w:hAnsi="Calibri" w:eastAsia="Times New Roman" w:cs="Calibri"/>
                <w:b/>
                <w:bCs/>
                <w:color w:val="000000"/>
              </w:rPr>
            </w:pPr>
            <w:r w:rsidRPr="00A00DEA">
              <w:rPr>
                <w:rFonts w:ascii="Calibri" w:hAnsi="Calibri" w:eastAsia="Times New Roman" w:cs="Calibri"/>
                <w:b/>
                <w:bCs/>
                <w:color w:val="000000"/>
              </w:rPr>
              <w:t xml:space="preserve">Incentive Study </w:t>
            </w:r>
            <w:r w:rsidR="00517652">
              <w:rPr>
                <w:rFonts w:ascii="Calibri" w:hAnsi="Calibri" w:eastAsia="Times New Roman" w:cs="Calibri"/>
                <w:b/>
                <w:bCs/>
                <w:color w:val="000000"/>
              </w:rPr>
              <w:t>Goal #</w:t>
            </w:r>
            <w:r w:rsidRPr="00A00DEA">
              <w:rPr>
                <w:rFonts w:ascii="Calibri" w:hAnsi="Calibri" w:eastAsia="Times New Roman" w:cs="Calibri"/>
                <w:b/>
                <w:bCs/>
                <w:color w:val="000000"/>
              </w:rPr>
              <w:t>1</w:t>
            </w:r>
          </w:p>
        </w:tc>
        <w:tc>
          <w:tcPr>
            <w:tcW w:w="1154" w:type="dxa"/>
            <w:tcBorders>
              <w:top w:val="nil"/>
              <w:left w:val="nil"/>
              <w:bottom w:val="nil"/>
              <w:right w:val="nil"/>
            </w:tcBorders>
            <w:shd w:val="clear" w:color="auto" w:fill="auto"/>
            <w:noWrap/>
            <w:vAlign w:val="bottom"/>
            <w:hideMark/>
          </w:tcPr>
          <w:p w:rsidRPr="00A00DEA" w:rsidR="00A00DEA" w:rsidP="00A00DEA" w:rsidRDefault="00A00DEA" w14:paraId="1E2DD22B" w14:textId="77777777">
            <w:pPr>
              <w:spacing w:after="0" w:line="240" w:lineRule="auto"/>
              <w:jc w:val="center"/>
              <w:rPr>
                <w:rFonts w:ascii="Calibri" w:hAnsi="Calibri" w:eastAsia="Times New Roman" w:cs="Calibri"/>
                <w:color w:val="000000"/>
              </w:rPr>
            </w:pPr>
            <w:r w:rsidRPr="00A00DEA">
              <w:rPr>
                <w:rFonts w:ascii="Calibri" w:hAnsi="Calibri" w:eastAsia="Times New Roman" w:cs="Calibri"/>
                <w:color w:val="000000"/>
              </w:rPr>
              <w:t>2</w:t>
            </w:r>
          </w:p>
        </w:tc>
        <w:tc>
          <w:tcPr>
            <w:tcW w:w="4336" w:type="dxa"/>
            <w:tcBorders>
              <w:top w:val="nil"/>
              <w:left w:val="nil"/>
              <w:bottom w:val="nil"/>
              <w:right w:val="single" w:color="auto" w:sz="4" w:space="0"/>
            </w:tcBorders>
            <w:shd w:val="clear" w:color="auto" w:fill="auto"/>
            <w:noWrap/>
            <w:vAlign w:val="bottom"/>
            <w:hideMark/>
          </w:tcPr>
          <w:p w:rsidRPr="00A00DEA" w:rsidR="00A00DEA" w:rsidP="00A00DEA" w:rsidRDefault="00A00DEA" w14:paraId="5EE48307"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No incentive group</w:t>
            </w:r>
          </w:p>
        </w:tc>
      </w:tr>
      <w:tr w:rsidRPr="00A00DEA" w:rsidR="00A00DEA" w:rsidTr="00A00DEA" w14:paraId="7CF5FA05" w14:textId="77777777">
        <w:trPr>
          <w:trHeight w:val="435"/>
        </w:trPr>
        <w:tc>
          <w:tcPr>
            <w:tcW w:w="4082" w:type="dxa"/>
            <w:tcBorders>
              <w:top w:val="nil"/>
              <w:left w:val="single" w:color="auto" w:sz="4" w:space="0"/>
              <w:bottom w:val="nil"/>
              <w:right w:val="nil"/>
            </w:tcBorders>
            <w:shd w:val="clear" w:color="auto" w:fill="auto"/>
            <w:noWrap/>
            <w:vAlign w:val="bottom"/>
            <w:hideMark/>
          </w:tcPr>
          <w:p w:rsidRPr="00A00DEA" w:rsidR="00A00DEA" w:rsidP="00A00DEA" w:rsidRDefault="00A00DEA" w14:paraId="7306436B"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 </w:t>
            </w:r>
          </w:p>
        </w:tc>
        <w:tc>
          <w:tcPr>
            <w:tcW w:w="1154" w:type="dxa"/>
            <w:tcBorders>
              <w:top w:val="nil"/>
              <w:left w:val="nil"/>
              <w:bottom w:val="nil"/>
              <w:right w:val="nil"/>
            </w:tcBorders>
            <w:shd w:val="clear" w:color="auto" w:fill="auto"/>
            <w:noWrap/>
            <w:vAlign w:val="bottom"/>
            <w:hideMark/>
          </w:tcPr>
          <w:p w:rsidRPr="00A00DEA" w:rsidR="00A00DEA" w:rsidP="00A00DEA" w:rsidRDefault="00A00DEA" w14:paraId="52554519" w14:textId="77777777">
            <w:pPr>
              <w:spacing w:after="0" w:line="240" w:lineRule="auto"/>
              <w:jc w:val="center"/>
              <w:rPr>
                <w:rFonts w:ascii="Calibri" w:hAnsi="Calibri" w:eastAsia="Times New Roman" w:cs="Calibri"/>
                <w:color w:val="000000"/>
              </w:rPr>
            </w:pPr>
            <w:r w:rsidRPr="00A00DEA">
              <w:rPr>
                <w:rFonts w:ascii="Calibri" w:hAnsi="Calibri" w:eastAsia="Times New Roman" w:cs="Calibri"/>
                <w:color w:val="000000"/>
              </w:rPr>
              <w:t>3</w:t>
            </w:r>
          </w:p>
        </w:tc>
        <w:tc>
          <w:tcPr>
            <w:tcW w:w="4336" w:type="dxa"/>
            <w:tcBorders>
              <w:top w:val="nil"/>
              <w:left w:val="nil"/>
              <w:bottom w:val="nil"/>
              <w:right w:val="single" w:color="auto" w:sz="4" w:space="0"/>
            </w:tcBorders>
            <w:shd w:val="clear" w:color="auto" w:fill="auto"/>
            <w:noWrap/>
            <w:vAlign w:val="bottom"/>
            <w:hideMark/>
          </w:tcPr>
          <w:p w:rsidRPr="00A00DEA" w:rsidR="00A00DEA" w:rsidP="00A00DEA" w:rsidRDefault="00A00DEA" w14:paraId="2C48B935"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$5 incentive group</w:t>
            </w:r>
          </w:p>
        </w:tc>
      </w:tr>
      <w:tr w:rsidRPr="00A00DEA" w:rsidR="00A00DEA" w:rsidTr="00A00DEA" w14:paraId="43964F4B" w14:textId="77777777">
        <w:trPr>
          <w:trHeight w:val="435"/>
        </w:trPr>
        <w:tc>
          <w:tcPr>
            <w:tcW w:w="4082" w:type="dxa"/>
            <w:tcBorders>
              <w:top w:val="nil"/>
              <w:left w:val="single" w:color="auto" w:sz="4" w:space="0"/>
              <w:bottom w:val="single" w:color="auto" w:sz="4" w:space="0"/>
              <w:right w:val="nil"/>
            </w:tcBorders>
            <w:shd w:val="clear" w:color="auto" w:fill="auto"/>
            <w:noWrap/>
            <w:vAlign w:val="bottom"/>
            <w:hideMark/>
          </w:tcPr>
          <w:p w:rsidRPr="00A00DEA" w:rsidR="00A00DEA" w:rsidP="00A00DEA" w:rsidRDefault="00A00DEA" w14:paraId="038594DF"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 </w:t>
            </w:r>
          </w:p>
        </w:tc>
        <w:tc>
          <w:tcPr>
            <w:tcW w:w="1154" w:type="dxa"/>
            <w:tcBorders>
              <w:top w:val="nil"/>
              <w:left w:val="nil"/>
              <w:bottom w:val="single" w:color="auto" w:sz="4" w:space="0"/>
              <w:right w:val="nil"/>
            </w:tcBorders>
            <w:shd w:val="clear" w:color="auto" w:fill="auto"/>
            <w:noWrap/>
            <w:vAlign w:val="bottom"/>
            <w:hideMark/>
          </w:tcPr>
          <w:p w:rsidRPr="00A00DEA" w:rsidR="00A00DEA" w:rsidP="00A00DEA" w:rsidRDefault="00A00DEA" w14:paraId="36ACD6A6" w14:textId="77777777">
            <w:pPr>
              <w:spacing w:after="0" w:line="240" w:lineRule="auto"/>
              <w:jc w:val="center"/>
              <w:rPr>
                <w:rFonts w:ascii="Calibri" w:hAnsi="Calibri" w:eastAsia="Times New Roman" w:cs="Calibri"/>
                <w:color w:val="000000"/>
              </w:rPr>
            </w:pPr>
            <w:r w:rsidRPr="00A00DEA">
              <w:rPr>
                <w:rFonts w:ascii="Calibri" w:hAnsi="Calibri" w:eastAsia="Times New Roman" w:cs="Calibri"/>
                <w:color w:val="000000"/>
              </w:rPr>
              <w:t>4</w:t>
            </w:r>
          </w:p>
        </w:tc>
        <w:tc>
          <w:tcPr>
            <w:tcW w:w="4336" w:type="dxa"/>
            <w:tcBorders>
              <w:top w:val="nil"/>
              <w:left w:val="nil"/>
              <w:bottom w:val="single" w:color="auto" w:sz="4" w:space="0"/>
              <w:right w:val="single" w:color="auto" w:sz="4" w:space="0"/>
            </w:tcBorders>
            <w:shd w:val="clear" w:color="auto" w:fill="auto"/>
            <w:noWrap/>
            <w:vAlign w:val="bottom"/>
            <w:hideMark/>
          </w:tcPr>
          <w:p w:rsidRPr="00A00DEA" w:rsidR="00A00DEA" w:rsidP="00A00DEA" w:rsidRDefault="00A00DEA" w14:paraId="1FB37B85"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$10 incentive group</w:t>
            </w:r>
          </w:p>
        </w:tc>
      </w:tr>
      <w:tr w:rsidRPr="00A00DEA" w:rsidR="00A00DEA" w:rsidTr="00A00DEA" w14:paraId="4ADFFDEB" w14:textId="77777777">
        <w:trPr>
          <w:trHeight w:val="435"/>
        </w:trPr>
        <w:tc>
          <w:tcPr>
            <w:tcW w:w="4082" w:type="dxa"/>
            <w:tcBorders>
              <w:top w:val="nil"/>
              <w:left w:val="single" w:color="auto" w:sz="4" w:space="0"/>
              <w:bottom w:val="nil"/>
              <w:right w:val="nil"/>
            </w:tcBorders>
            <w:shd w:val="clear" w:color="auto" w:fill="auto"/>
            <w:noWrap/>
            <w:vAlign w:val="bottom"/>
            <w:hideMark/>
          </w:tcPr>
          <w:p w:rsidRPr="00A00DEA" w:rsidR="00A00DEA" w:rsidP="00A00DEA" w:rsidRDefault="00A00DEA" w14:paraId="786CD000" w14:textId="4C4D39DC">
            <w:pPr>
              <w:spacing w:after="0" w:line="240" w:lineRule="auto"/>
              <w:rPr>
                <w:rFonts w:ascii="Calibri" w:hAnsi="Calibri" w:eastAsia="Times New Roman" w:cs="Calibri"/>
                <w:b/>
                <w:bCs/>
                <w:color w:val="000000"/>
              </w:rPr>
            </w:pPr>
            <w:r w:rsidRPr="00A00DEA">
              <w:rPr>
                <w:rFonts w:ascii="Calibri" w:hAnsi="Calibri" w:eastAsia="Times New Roman" w:cs="Calibri"/>
                <w:b/>
                <w:bCs/>
                <w:color w:val="000000"/>
              </w:rPr>
              <w:t xml:space="preserve">Incentive Study </w:t>
            </w:r>
            <w:r w:rsidR="00517652">
              <w:rPr>
                <w:rFonts w:ascii="Calibri" w:hAnsi="Calibri" w:eastAsia="Times New Roman" w:cs="Calibri"/>
                <w:b/>
                <w:bCs/>
                <w:color w:val="000000"/>
              </w:rPr>
              <w:t>Goal #</w:t>
            </w:r>
            <w:r w:rsidRPr="00A00DEA">
              <w:rPr>
                <w:rFonts w:ascii="Calibri" w:hAnsi="Calibri" w:eastAsia="Times New Roman" w:cs="Calibri"/>
                <w:b/>
                <w:bCs/>
                <w:color w:val="000000"/>
              </w:rPr>
              <w:t>2</w:t>
            </w:r>
          </w:p>
        </w:tc>
        <w:tc>
          <w:tcPr>
            <w:tcW w:w="1154" w:type="dxa"/>
            <w:tcBorders>
              <w:top w:val="nil"/>
              <w:left w:val="nil"/>
              <w:bottom w:val="nil"/>
              <w:right w:val="nil"/>
            </w:tcBorders>
            <w:shd w:val="clear" w:color="auto" w:fill="auto"/>
            <w:noWrap/>
            <w:vAlign w:val="bottom"/>
            <w:hideMark/>
          </w:tcPr>
          <w:p w:rsidRPr="00A00DEA" w:rsidR="00A00DEA" w:rsidP="00A00DEA" w:rsidRDefault="00A00DEA" w14:paraId="01749574" w14:textId="77777777">
            <w:pPr>
              <w:spacing w:after="0" w:line="240" w:lineRule="auto"/>
              <w:jc w:val="center"/>
              <w:rPr>
                <w:rFonts w:ascii="Calibri" w:hAnsi="Calibri" w:eastAsia="Times New Roman" w:cs="Calibri"/>
                <w:color w:val="000000"/>
              </w:rPr>
            </w:pPr>
            <w:r w:rsidRPr="00A00DEA">
              <w:rPr>
                <w:rFonts w:ascii="Calibri" w:hAnsi="Calibri" w:eastAsia="Times New Roman" w:cs="Calibri"/>
                <w:color w:val="000000"/>
              </w:rPr>
              <w:t>5</w:t>
            </w:r>
          </w:p>
        </w:tc>
        <w:tc>
          <w:tcPr>
            <w:tcW w:w="4336" w:type="dxa"/>
            <w:tcBorders>
              <w:top w:val="nil"/>
              <w:left w:val="nil"/>
              <w:bottom w:val="nil"/>
              <w:right w:val="single" w:color="auto" w:sz="4" w:space="0"/>
            </w:tcBorders>
            <w:shd w:val="clear" w:color="auto" w:fill="auto"/>
            <w:noWrap/>
            <w:vAlign w:val="bottom"/>
            <w:hideMark/>
          </w:tcPr>
          <w:p w:rsidRPr="00A00DEA" w:rsidR="00A00DEA" w:rsidP="00A00DEA" w:rsidRDefault="00A00DEA" w14:paraId="70962395"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No incentive group</w:t>
            </w:r>
          </w:p>
        </w:tc>
      </w:tr>
      <w:tr w:rsidRPr="00A00DEA" w:rsidR="00A00DEA" w:rsidTr="00A00DEA" w14:paraId="4C5E6A45" w14:textId="77777777">
        <w:trPr>
          <w:trHeight w:val="435"/>
        </w:trPr>
        <w:tc>
          <w:tcPr>
            <w:tcW w:w="4082" w:type="dxa"/>
            <w:tcBorders>
              <w:top w:val="nil"/>
              <w:left w:val="single" w:color="auto" w:sz="4" w:space="0"/>
              <w:bottom w:val="nil"/>
              <w:right w:val="nil"/>
            </w:tcBorders>
            <w:shd w:val="clear" w:color="auto" w:fill="auto"/>
            <w:noWrap/>
            <w:vAlign w:val="bottom"/>
            <w:hideMark/>
          </w:tcPr>
          <w:p w:rsidRPr="00A00DEA" w:rsidR="00A00DEA" w:rsidP="00A00DEA" w:rsidRDefault="00A00DEA" w14:paraId="0E1D103E"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 </w:t>
            </w:r>
          </w:p>
        </w:tc>
        <w:tc>
          <w:tcPr>
            <w:tcW w:w="1154" w:type="dxa"/>
            <w:tcBorders>
              <w:top w:val="nil"/>
              <w:left w:val="nil"/>
              <w:bottom w:val="nil"/>
              <w:right w:val="nil"/>
            </w:tcBorders>
            <w:shd w:val="clear" w:color="auto" w:fill="auto"/>
            <w:noWrap/>
            <w:vAlign w:val="bottom"/>
            <w:hideMark/>
          </w:tcPr>
          <w:p w:rsidRPr="00A00DEA" w:rsidR="00A00DEA" w:rsidP="00A00DEA" w:rsidRDefault="00A00DEA" w14:paraId="0C04D545" w14:textId="77777777">
            <w:pPr>
              <w:spacing w:after="0" w:line="240" w:lineRule="auto"/>
              <w:jc w:val="center"/>
              <w:rPr>
                <w:rFonts w:ascii="Calibri" w:hAnsi="Calibri" w:eastAsia="Times New Roman" w:cs="Calibri"/>
                <w:color w:val="000000"/>
              </w:rPr>
            </w:pPr>
            <w:r w:rsidRPr="00A00DEA">
              <w:rPr>
                <w:rFonts w:ascii="Calibri" w:hAnsi="Calibri" w:eastAsia="Times New Roman" w:cs="Calibri"/>
                <w:color w:val="000000"/>
              </w:rPr>
              <w:t>6</w:t>
            </w:r>
          </w:p>
        </w:tc>
        <w:tc>
          <w:tcPr>
            <w:tcW w:w="4336" w:type="dxa"/>
            <w:tcBorders>
              <w:top w:val="nil"/>
              <w:left w:val="nil"/>
              <w:bottom w:val="nil"/>
              <w:right w:val="single" w:color="auto" w:sz="4" w:space="0"/>
            </w:tcBorders>
            <w:shd w:val="clear" w:color="auto" w:fill="auto"/>
            <w:noWrap/>
            <w:vAlign w:val="bottom"/>
            <w:hideMark/>
          </w:tcPr>
          <w:p w:rsidRPr="00A00DEA" w:rsidR="00A00DEA" w:rsidP="00A00DEA" w:rsidRDefault="00A00DEA" w14:paraId="30767B21"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$5 incentive group</w:t>
            </w:r>
          </w:p>
        </w:tc>
      </w:tr>
      <w:tr w:rsidRPr="00A00DEA" w:rsidR="00A00DEA" w:rsidTr="00A00DEA" w14:paraId="6887F53A" w14:textId="77777777">
        <w:trPr>
          <w:trHeight w:val="435"/>
        </w:trPr>
        <w:tc>
          <w:tcPr>
            <w:tcW w:w="4082" w:type="dxa"/>
            <w:tcBorders>
              <w:top w:val="nil"/>
              <w:left w:val="single" w:color="auto" w:sz="4" w:space="0"/>
              <w:bottom w:val="single" w:color="auto" w:sz="4" w:space="0"/>
              <w:right w:val="nil"/>
            </w:tcBorders>
            <w:shd w:val="clear" w:color="auto" w:fill="auto"/>
            <w:noWrap/>
            <w:vAlign w:val="bottom"/>
            <w:hideMark/>
          </w:tcPr>
          <w:p w:rsidRPr="00A00DEA" w:rsidR="00A00DEA" w:rsidP="00A00DEA" w:rsidRDefault="00A00DEA" w14:paraId="5D1FA544"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 </w:t>
            </w:r>
          </w:p>
        </w:tc>
        <w:tc>
          <w:tcPr>
            <w:tcW w:w="1154" w:type="dxa"/>
            <w:tcBorders>
              <w:top w:val="nil"/>
              <w:left w:val="nil"/>
              <w:bottom w:val="single" w:color="auto" w:sz="4" w:space="0"/>
              <w:right w:val="nil"/>
            </w:tcBorders>
            <w:shd w:val="clear" w:color="auto" w:fill="auto"/>
            <w:noWrap/>
            <w:vAlign w:val="bottom"/>
            <w:hideMark/>
          </w:tcPr>
          <w:p w:rsidRPr="00A00DEA" w:rsidR="00A00DEA" w:rsidP="00A00DEA" w:rsidRDefault="00A00DEA" w14:paraId="2214177E" w14:textId="77777777">
            <w:pPr>
              <w:spacing w:after="0" w:line="240" w:lineRule="auto"/>
              <w:jc w:val="center"/>
              <w:rPr>
                <w:rFonts w:ascii="Calibri" w:hAnsi="Calibri" w:eastAsia="Times New Roman" w:cs="Calibri"/>
                <w:color w:val="000000"/>
              </w:rPr>
            </w:pPr>
            <w:r w:rsidRPr="00A00DEA">
              <w:rPr>
                <w:rFonts w:ascii="Calibri" w:hAnsi="Calibri" w:eastAsia="Times New Roman" w:cs="Calibri"/>
                <w:color w:val="000000"/>
              </w:rPr>
              <w:t>7</w:t>
            </w:r>
          </w:p>
        </w:tc>
        <w:tc>
          <w:tcPr>
            <w:tcW w:w="4336" w:type="dxa"/>
            <w:tcBorders>
              <w:top w:val="nil"/>
              <w:left w:val="nil"/>
              <w:bottom w:val="single" w:color="auto" w:sz="4" w:space="0"/>
              <w:right w:val="single" w:color="auto" w:sz="4" w:space="0"/>
            </w:tcBorders>
            <w:shd w:val="clear" w:color="auto" w:fill="auto"/>
            <w:noWrap/>
            <w:vAlign w:val="bottom"/>
            <w:hideMark/>
          </w:tcPr>
          <w:p w:rsidRPr="00A00DEA" w:rsidR="00A00DEA" w:rsidP="00A00DEA" w:rsidRDefault="00A00DEA" w14:paraId="77D604ED" w14:textId="77777777">
            <w:pPr>
              <w:spacing w:after="0" w:line="240" w:lineRule="auto"/>
              <w:rPr>
                <w:rFonts w:ascii="Calibri" w:hAnsi="Calibri" w:eastAsia="Times New Roman" w:cs="Calibri"/>
                <w:color w:val="000000"/>
              </w:rPr>
            </w:pPr>
            <w:r w:rsidRPr="00A00DEA">
              <w:rPr>
                <w:rFonts w:ascii="Calibri" w:hAnsi="Calibri" w:eastAsia="Times New Roman" w:cs="Calibri"/>
                <w:color w:val="000000"/>
              </w:rPr>
              <w:t>$10 incentive group</w:t>
            </w:r>
          </w:p>
        </w:tc>
      </w:tr>
    </w:tbl>
    <w:p w:rsidR="00FD5A7C" w:rsidP="00FA6EA8" w:rsidRDefault="00FD5A7C" w14:paraId="44A7FECA" w14:textId="77777777">
      <w:pPr>
        <w:spacing w:after="0" w:line="360" w:lineRule="auto"/>
      </w:pPr>
    </w:p>
    <w:p w:rsidR="0016313F" w:rsidP="0016313F" w:rsidRDefault="0016313F" w14:paraId="6C3C0A91" w14:textId="2306B606">
      <w:pPr>
        <w:spacing w:line="360" w:lineRule="auto"/>
        <w:ind w:firstLine="720"/>
      </w:pPr>
      <w:r>
        <w:t>Staff at NPC will implement new procedures to process and track incentive cases chosen to receive $5 and $10 cash incentives. Cases with incentive flag</w:t>
      </w:r>
      <w:r w:rsidR="001A3126">
        <w:t xml:space="preserve"> value</w:t>
      </w:r>
      <w:r>
        <w:t>s indicating they should be sent $5 incentives (INCNTFLG=</w:t>
      </w:r>
      <w:r w:rsidR="001F13F5">
        <w:t>3 or 6</w:t>
      </w:r>
      <w:r>
        <w:t xml:space="preserve">) will have their incentive </w:t>
      </w:r>
      <w:r w:rsidR="00E7020A">
        <w:t xml:space="preserve">flag </w:t>
      </w:r>
      <w:r>
        <w:t xml:space="preserve">values and </w:t>
      </w:r>
      <w:r w:rsidR="00FE2E31">
        <w:t xml:space="preserve">a code </w:t>
      </w:r>
      <w:r>
        <w:t>word</w:t>
      </w:r>
      <w:r w:rsidR="00FE2E31">
        <w:t xml:space="preserve"> identifying them as $5 cash incentive cases</w:t>
      </w:r>
      <w:r>
        <w:t xml:space="preserve"> printed on their label files. Similarly, cases with incentive flag</w:t>
      </w:r>
      <w:r w:rsidR="001A3126">
        <w:t xml:space="preserve"> value</w:t>
      </w:r>
      <w:r>
        <w:t>s indicating they should be sent $10 (INCNTFLG=</w:t>
      </w:r>
      <w:r w:rsidR="001F13F5">
        <w:t>4 or 7</w:t>
      </w:r>
      <w:r>
        <w:t xml:space="preserve">) will have their incentive </w:t>
      </w:r>
      <w:r w:rsidR="00E7020A">
        <w:t xml:space="preserve">flag </w:t>
      </w:r>
      <w:r>
        <w:t xml:space="preserve">values and </w:t>
      </w:r>
      <w:r w:rsidR="00FE2E31">
        <w:t>a code</w:t>
      </w:r>
      <w:r>
        <w:t xml:space="preserve"> word</w:t>
      </w:r>
      <w:r w:rsidR="00FE2E31">
        <w:t xml:space="preserve"> identifying them as $10 cash incentive cases</w:t>
      </w:r>
      <w:r>
        <w:t xml:space="preserve"> printed on their label files. Census also will implement a way to track instances in which the advance materials associated with cash incentive cases are returned to NPC because they were undeliverable. </w:t>
      </w:r>
    </w:p>
    <w:p w:rsidR="0012537E" w:rsidP="00425595" w:rsidRDefault="0012537E" w14:paraId="3DE26A5B" w14:textId="77707A42">
      <w:pPr>
        <w:spacing w:line="360" w:lineRule="auto"/>
        <w:ind w:firstLine="720"/>
      </w:pPr>
      <w:r>
        <w:t xml:space="preserve">Before the study begins, </w:t>
      </w:r>
      <w:r w:rsidR="009D3D02">
        <w:t>the materials mailed to DPs in advance of the survey will</w:t>
      </w:r>
      <w:r>
        <w:t xml:space="preserve"> be modified. Regular incentive cases </w:t>
      </w:r>
      <w:r w:rsidR="00425595">
        <w:t>will</w:t>
      </w:r>
      <w:r>
        <w:t xml:space="preserve"> no longer be sent a debit card and instructions on how to use the debit card. </w:t>
      </w:r>
      <w:r w:rsidR="00425595">
        <w:t>Additionally, t</w:t>
      </w:r>
      <w:r w:rsidRPr="00D243BF">
        <w:t>he</w:t>
      </w:r>
      <w:r w:rsidR="009D3D02">
        <w:t xml:space="preserve"> letter that is mailed to incentive cases will be modified to remove the reference to a</w:t>
      </w:r>
      <w:r w:rsidR="00D243BF">
        <w:t xml:space="preserve"> $40 debit card. The advance letters </w:t>
      </w:r>
      <w:r>
        <w:t>sent to 15- to 24-year-old</w:t>
      </w:r>
      <w:r w:rsidR="00174D6C">
        <w:t>s</w:t>
      </w:r>
      <w:r>
        <w:t xml:space="preserve"> </w:t>
      </w:r>
      <w:r w:rsidR="00D243BF">
        <w:t>who are included in part 2 of the study will be modified to ask them to call in and set up an appointment.</w:t>
      </w:r>
    </w:p>
    <w:p w:rsidR="001A3126" w:rsidP="00425595" w:rsidRDefault="00BB3B68" w14:paraId="2D087E82" w14:textId="7495880A">
      <w:pPr>
        <w:spacing w:line="360" w:lineRule="auto"/>
        <w:ind w:firstLine="720"/>
      </w:pPr>
      <w:r>
        <w:t>During the ATUS interview, r</w:t>
      </w:r>
      <w:r w:rsidR="00F566E8">
        <w:t xml:space="preserve">espondents are asked </w:t>
      </w:r>
      <w:r>
        <w:t>whether they received the advance materials that were mailed to them</w:t>
      </w:r>
      <w:r w:rsidR="003804EA">
        <w:t xml:space="preserve"> just prior to the first call attempt</w:t>
      </w:r>
      <w:r>
        <w:t>. Their</w:t>
      </w:r>
      <w:r w:rsidR="00F566E8">
        <w:t xml:space="preserve"> response</w:t>
      </w:r>
      <w:r>
        <w:t>s to this question are</w:t>
      </w:r>
      <w:r w:rsidR="00F566E8">
        <w:t xml:space="preserve"> not recorded and output on the </w:t>
      </w:r>
      <w:r>
        <w:t>data</w:t>
      </w:r>
      <w:r w:rsidR="00F566E8">
        <w:t xml:space="preserve"> files</w:t>
      </w:r>
      <w:r w:rsidR="00174D6C">
        <w:t>;</w:t>
      </w:r>
      <w:r>
        <w:t xml:space="preserve"> however,</w:t>
      </w:r>
      <w:r w:rsidR="00F566E8">
        <w:t xml:space="preserve"> </w:t>
      </w:r>
      <w:r>
        <w:t xml:space="preserve">Census can obtain this information by reviewing the </w:t>
      </w:r>
      <w:r>
        <w:lastRenderedPageBreak/>
        <w:t xml:space="preserve">ATUS audit trails. Census will implement procedures to review the audit trails and create a variable conveying whether respondents received the packet containing the cash incentive, letter, and other information about the ATUS. This information </w:t>
      </w:r>
      <w:r w:rsidR="001A3126">
        <w:t>will be helpful in evaluating the effectiveness of the cash incentives.</w:t>
      </w:r>
    </w:p>
    <w:p w:rsidR="00F90292" w:rsidP="00F81BD5" w:rsidRDefault="00904F81" w14:paraId="4629BFB0" w14:textId="77777777">
      <w:pPr>
        <w:spacing w:line="360" w:lineRule="auto"/>
      </w:pPr>
      <w:r>
        <w:tab/>
      </w:r>
      <w:r w:rsidR="00F66B51">
        <w:t xml:space="preserve">Data for the proposed incentive study will be collected for </w:t>
      </w:r>
      <w:r w:rsidR="00C334A4">
        <w:t>12 consecutive months</w:t>
      </w:r>
      <w:r w:rsidR="00F66B51">
        <w:t xml:space="preserve">, </w:t>
      </w:r>
      <w:r w:rsidR="00FA6EA8">
        <w:t xml:space="preserve">for the entire fiscal year 2020, </w:t>
      </w:r>
      <w:r w:rsidR="00F66B51">
        <w:t>after which they w</w:t>
      </w:r>
      <w:r w:rsidR="00536834">
        <w:t xml:space="preserve">ill be examined to determine answers </w:t>
      </w:r>
      <w:r w:rsidR="00BC3CA8">
        <w:t>for</w:t>
      </w:r>
      <w:r w:rsidR="00536834">
        <w:t xml:space="preserve"> the study’s two goals</w:t>
      </w:r>
      <w:r w:rsidR="00C334A4">
        <w:t xml:space="preserve"> and </w:t>
      </w:r>
      <w:r w:rsidR="00E629B9">
        <w:t xml:space="preserve">to conduct </w:t>
      </w:r>
      <w:r w:rsidR="00C334A4">
        <w:t>additional analysis</w:t>
      </w:r>
      <w:r w:rsidR="00536834">
        <w:t>. Are cash incentives effective in obtaining interviews from DPs</w:t>
      </w:r>
      <w:r w:rsidR="00E629B9">
        <w:t xml:space="preserve"> for whom ATUS does not have a phone number from CPS (</w:t>
      </w:r>
      <w:r w:rsidR="00536834">
        <w:t>regular incentive cases</w:t>
      </w:r>
      <w:r w:rsidR="00E629B9">
        <w:t>)</w:t>
      </w:r>
      <w:r w:rsidR="00536834">
        <w:t>?</w:t>
      </w:r>
      <w:r w:rsidR="00C334A4">
        <w:t xml:space="preserve"> If so, how do</w:t>
      </w:r>
      <w:r w:rsidR="00E629B9">
        <w:t>es</w:t>
      </w:r>
      <w:r w:rsidR="00C334A4">
        <w:t xml:space="preserve"> </w:t>
      </w:r>
      <w:r w:rsidR="00E629B9">
        <w:t xml:space="preserve">the use of cash incentives </w:t>
      </w:r>
      <w:r w:rsidR="00C334A4">
        <w:t xml:space="preserve">compare to past use of $40 debit card incentives? </w:t>
      </w:r>
      <w:r w:rsidR="00E629B9">
        <w:t>Also, do</w:t>
      </w:r>
      <w:r w:rsidR="00536834">
        <w:t xml:space="preserve"> cash incentives boost response among 15</w:t>
      </w:r>
      <w:r w:rsidR="0070711B">
        <w:t>-</w:t>
      </w:r>
      <w:r w:rsidR="00536834">
        <w:t xml:space="preserve"> to 24</w:t>
      </w:r>
      <w:r w:rsidR="0070711B">
        <w:t>-</w:t>
      </w:r>
      <w:r w:rsidR="00536834">
        <w:t>year</w:t>
      </w:r>
      <w:r w:rsidR="0070711B">
        <w:t>-</w:t>
      </w:r>
      <w:r w:rsidR="00536834">
        <w:t>old DPs?</w:t>
      </w:r>
      <w:r w:rsidR="00C334A4">
        <w:t xml:space="preserve"> If cash incentives perform well, which amount is optimum, and does this vary by </w:t>
      </w:r>
      <w:r w:rsidR="00061399">
        <w:t xml:space="preserve">the DP’s </w:t>
      </w:r>
      <w:r w:rsidR="00C334A4">
        <w:t xml:space="preserve">demographic or </w:t>
      </w:r>
      <w:r w:rsidR="00061399">
        <w:t>household</w:t>
      </w:r>
      <w:r w:rsidR="00C334A4">
        <w:t xml:space="preserve"> characteristics?</w:t>
      </w:r>
      <w:r w:rsidR="00061399">
        <w:t xml:space="preserve"> </w:t>
      </w:r>
      <w:r w:rsidR="00536834">
        <w:t xml:space="preserve">Depending on the study’s results, </w:t>
      </w:r>
      <w:r w:rsidR="00BC3CA8">
        <w:t>ATUS survey methods may be changed.</w:t>
      </w:r>
      <w:r w:rsidR="00F81BD5">
        <w:t xml:space="preserve"> </w:t>
      </w:r>
    </w:p>
    <w:p w:rsidR="00061399" w:rsidP="00FE7569" w:rsidRDefault="00F90292" w14:paraId="0E33920D" w14:textId="081F5679">
      <w:pPr>
        <w:spacing w:line="360" w:lineRule="auto"/>
        <w:ind w:firstLine="720"/>
      </w:pPr>
      <w:r>
        <w:t>I</w:t>
      </w:r>
      <w:r w:rsidR="00061399">
        <w:t>t will take some time to</w:t>
      </w:r>
      <w:r>
        <w:t xml:space="preserve"> process and</w:t>
      </w:r>
      <w:r w:rsidR="00061399">
        <w:t xml:space="preserve"> analyze the data collected during the proposed study, </w:t>
      </w:r>
      <w:r>
        <w:t xml:space="preserve">and so </w:t>
      </w:r>
      <w:r w:rsidR="00061399">
        <w:t xml:space="preserve">ATUS </w:t>
      </w:r>
      <w:r w:rsidR="00E629B9">
        <w:t>proposes the use of</w:t>
      </w:r>
      <w:r w:rsidR="00061399">
        <w:t xml:space="preserve"> $5 cash incentives for regular and expanded incentive cases after the study’s collection period has ended, and until an analysis of the </w:t>
      </w:r>
      <w:r w:rsidR="00DC1CCF">
        <w:t>results</w:t>
      </w:r>
      <w:r w:rsidR="00061399">
        <w:t xml:space="preserve"> can provide insight on the best way to proceed.</w:t>
      </w:r>
      <w:r>
        <w:t xml:space="preserve"> Study data will be delivered with the fourth quarter 2019 to fourth quarter 2020 ATUS data files, and will be ready for analysis in May 2021. Results of the study </w:t>
      </w:r>
      <w:r w:rsidR="001517D1">
        <w:t>will</w:t>
      </w:r>
      <w:r>
        <w:t xml:space="preserve"> be available to inform the use of incentives in the ATUS in fiscal year 2022 and beyond. Thus, $5 cash incentives would be used for all regular and expanded incentive cases in fiscal year 2021.</w:t>
      </w:r>
    </w:p>
    <w:p w:rsidR="00C86C95" w:rsidP="00F81BD5" w:rsidRDefault="00C86C95" w14:paraId="6734F9DC" w14:textId="77777777">
      <w:pPr>
        <w:spacing w:line="360" w:lineRule="auto"/>
        <w:rPr>
          <w:b/>
        </w:rPr>
      </w:pPr>
    </w:p>
    <w:p w:rsidR="00FA6EA8" w:rsidP="00F81BD5" w:rsidRDefault="00C86C95" w14:paraId="4346920D" w14:textId="7EAEA2DD">
      <w:pPr>
        <w:spacing w:line="360" w:lineRule="auto"/>
      </w:pPr>
      <w:r w:rsidRPr="00FE7569">
        <w:rPr>
          <w:b/>
        </w:rPr>
        <w:t>Cost</w:t>
      </w:r>
      <w:r>
        <w:rPr>
          <w:b/>
        </w:rPr>
        <w:t>s associated with</w:t>
      </w:r>
      <w:r w:rsidRPr="00FE7569">
        <w:rPr>
          <w:b/>
        </w:rPr>
        <w:t xml:space="preserve"> the</w:t>
      </w:r>
      <w:r>
        <w:rPr>
          <w:b/>
        </w:rPr>
        <w:t xml:space="preserve"> proposed</w:t>
      </w:r>
      <w:r w:rsidRPr="00FE7569">
        <w:rPr>
          <w:b/>
        </w:rPr>
        <w:t xml:space="preserve"> </w:t>
      </w:r>
      <w:r>
        <w:rPr>
          <w:b/>
        </w:rPr>
        <w:t xml:space="preserve">cash </w:t>
      </w:r>
      <w:r w:rsidRPr="00FE7569">
        <w:rPr>
          <w:b/>
        </w:rPr>
        <w:t>incentive study</w:t>
      </w:r>
    </w:p>
    <w:p w:rsidR="00C86C95" w:rsidP="00F81BD5" w:rsidRDefault="00C86C95" w14:paraId="25BA3B68" w14:textId="77777777">
      <w:pPr>
        <w:spacing w:line="360" w:lineRule="auto"/>
      </w:pPr>
      <w:r>
        <w:tab/>
        <w:t>To implement the proposed cash incentive study at the beginning of fiscal year 2020 requires the following preparations in fiscal year 2019:</w:t>
      </w:r>
    </w:p>
    <w:p w:rsidR="001E4BF4" w:rsidP="00FE7569" w:rsidRDefault="001E4BF4" w14:paraId="30D12A46" w14:textId="0B2A2FA8">
      <w:pPr>
        <w:pStyle w:val="ListParagraph"/>
        <w:numPr>
          <w:ilvl w:val="0"/>
          <w:numId w:val="8"/>
        </w:numPr>
        <w:spacing w:line="360" w:lineRule="auto"/>
      </w:pPr>
      <w:r>
        <w:t xml:space="preserve">Census will need to arrange and pay for a cash delivery that will cover the cost of the study’s $5 and $10 cash incentives. To </w:t>
      </w:r>
      <w:r w:rsidR="00A300A2">
        <w:t>ensure continuity in ATUS’s ability to mail incentives as we cross from fi</w:t>
      </w:r>
      <w:r>
        <w:t>scal year 2020 to fiscal year 2021, the delivery will cover the cost of incentives for</w:t>
      </w:r>
      <w:r w:rsidR="006466C5">
        <w:t xml:space="preserve"> 13 months, from</w:t>
      </w:r>
      <w:r>
        <w:t xml:space="preserve"> October 2020 through October 2021.</w:t>
      </w:r>
    </w:p>
    <w:p w:rsidR="00A300A2" w:rsidP="00FE7569" w:rsidRDefault="00A300A2" w14:paraId="14BA03E0" w14:textId="2344DB86">
      <w:pPr>
        <w:pStyle w:val="ListParagraph"/>
        <w:numPr>
          <w:ilvl w:val="0"/>
          <w:numId w:val="8"/>
        </w:numPr>
        <w:spacing w:line="360" w:lineRule="auto"/>
      </w:pPr>
      <w:r>
        <w:t>Sampling programs will need to be modified to identify and assign cases to the incentive test groups.</w:t>
      </w:r>
    </w:p>
    <w:p w:rsidR="00C86C95" w:rsidP="00FE7569" w:rsidRDefault="001E4BF4" w14:paraId="334156BB" w14:textId="2F58E62F">
      <w:pPr>
        <w:pStyle w:val="ListParagraph"/>
        <w:numPr>
          <w:ilvl w:val="0"/>
          <w:numId w:val="8"/>
        </w:numPr>
        <w:spacing w:line="360" w:lineRule="auto"/>
      </w:pPr>
      <w:r>
        <w:lastRenderedPageBreak/>
        <w:t>Letters sent to incentive cases will need to be modified. A new letter will need to be drafted for 15- to 24-year-old DPs who are selected to receive cash incentives.</w:t>
      </w:r>
    </w:p>
    <w:p w:rsidR="001321A6" w:rsidP="001321A6" w:rsidRDefault="001321A6" w14:paraId="31E70E66" w14:textId="296F18BB">
      <w:pPr>
        <w:spacing w:line="360" w:lineRule="auto"/>
      </w:pPr>
      <w:r>
        <w:t>The costs associated with this work appear in table 7, below.</w:t>
      </w:r>
    </w:p>
    <w:tbl>
      <w:tblPr>
        <w:tblW w:w="10072" w:type="dxa"/>
        <w:tblLook w:val="04A0" w:firstRow="1" w:lastRow="0" w:firstColumn="1" w:lastColumn="0" w:noHBand="0" w:noVBand="1"/>
      </w:tblPr>
      <w:tblGrid>
        <w:gridCol w:w="8576"/>
        <w:gridCol w:w="1496"/>
      </w:tblGrid>
      <w:tr w:rsidRPr="003C23C9" w:rsidR="003C23C9" w:rsidTr="003C23C9" w14:paraId="11AB113C" w14:textId="77777777">
        <w:trPr>
          <w:trHeight w:val="300"/>
        </w:trPr>
        <w:tc>
          <w:tcPr>
            <w:tcW w:w="8576" w:type="dxa"/>
            <w:tcBorders>
              <w:top w:val="nil"/>
              <w:left w:val="nil"/>
              <w:bottom w:val="nil"/>
              <w:right w:val="nil"/>
            </w:tcBorders>
            <w:shd w:val="clear" w:color="auto" w:fill="auto"/>
            <w:noWrap/>
            <w:vAlign w:val="bottom"/>
            <w:hideMark/>
          </w:tcPr>
          <w:p w:rsidRPr="003C23C9" w:rsidR="003C23C9" w:rsidP="003C23C9" w:rsidRDefault="003C23C9" w14:paraId="054FCC15" w14:textId="77777777">
            <w:pPr>
              <w:spacing w:after="0" w:line="240" w:lineRule="auto"/>
              <w:rPr>
                <w:rFonts w:ascii="Calibri" w:hAnsi="Calibri" w:eastAsia="Times New Roman" w:cs="Calibri"/>
                <w:i/>
                <w:iCs/>
                <w:color w:val="000000"/>
              </w:rPr>
            </w:pPr>
            <w:r w:rsidRPr="003C23C9">
              <w:rPr>
                <w:rFonts w:ascii="Calibri" w:hAnsi="Calibri" w:eastAsia="Times New Roman" w:cs="Calibri"/>
                <w:i/>
                <w:iCs/>
                <w:color w:val="000000"/>
              </w:rPr>
              <w:t xml:space="preserve">Table 7. Fiscal year 2019 costs associated with the cash incentive study </w:t>
            </w:r>
          </w:p>
        </w:tc>
        <w:tc>
          <w:tcPr>
            <w:tcW w:w="1496" w:type="dxa"/>
            <w:tcBorders>
              <w:top w:val="nil"/>
              <w:left w:val="nil"/>
              <w:bottom w:val="nil"/>
              <w:right w:val="nil"/>
            </w:tcBorders>
            <w:shd w:val="clear" w:color="auto" w:fill="auto"/>
            <w:noWrap/>
            <w:vAlign w:val="bottom"/>
            <w:hideMark/>
          </w:tcPr>
          <w:p w:rsidRPr="003C23C9" w:rsidR="003C23C9" w:rsidP="003C23C9" w:rsidRDefault="003C23C9" w14:paraId="6154EA3D" w14:textId="77777777">
            <w:pPr>
              <w:spacing w:after="0" w:line="240" w:lineRule="auto"/>
              <w:rPr>
                <w:rFonts w:ascii="Calibri" w:hAnsi="Calibri" w:eastAsia="Times New Roman" w:cs="Calibri"/>
                <w:i/>
                <w:iCs/>
                <w:color w:val="000000"/>
              </w:rPr>
            </w:pPr>
          </w:p>
        </w:tc>
      </w:tr>
      <w:tr w:rsidRPr="003C23C9" w:rsidR="003C23C9" w:rsidTr="003C23C9" w14:paraId="3D144A3D" w14:textId="77777777">
        <w:trPr>
          <w:trHeight w:val="390"/>
        </w:trPr>
        <w:tc>
          <w:tcPr>
            <w:tcW w:w="8576" w:type="dxa"/>
            <w:tcBorders>
              <w:top w:val="single" w:color="auto" w:sz="4" w:space="0"/>
              <w:left w:val="single" w:color="auto" w:sz="4" w:space="0"/>
              <w:bottom w:val="single" w:color="auto" w:sz="4" w:space="0"/>
              <w:right w:val="nil"/>
            </w:tcBorders>
            <w:shd w:val="clear" w:color="000000" w:fill="F2F2F2"/>
            <w:noWrap/>
            <w:vAlign w:val="bottom"/>
            <w:hideMark/>
          </w:tcPr>
          <w:p w:rsidRPr="003C23C9" w:rsidR="003C23C9" w:rsidP="003C23C9" w:rsidRDefault="003C23C9" w14:paraId="6AC0F3ED" w14:textId="77777777">
            <w:pPr>
              <w:spacing w:after="0" w:line="240" w:lineRule="auto"/>
              <w:rPr>
                <w:rFonts w:ascii="Calibri" w:hAnsi="Calibri" w:eastAsia="Times New Roman" w:cs="Calibri"/>
                <w:i/>
                <w:iCs/>
                <w:color w:val="000000"/>
              </w:rPr>
            </w:pPr>
            <w:r w:rsidRPr="003C23C9">
              <w:rPr>
                <w:rFonts w:ascii="Calibri" w:hAnsi="Calibri" w:eastAsia="Times New Roman" w:cs="Calibri"/>
                <w:i/>
                <w:iCs/>
                <w:color w:val="000000"/>
              </w:rPr>
              <w:t> </w:t>
            </w:r>
          </w:p>
        </w:tc>
        <w:tc>
          <w:tcPr>
            <w:tcW w:w="1496" w:type="dxa"/>
            <w:tcBorders>
              <w:top w:val="single" w:color="auto" w:sz="4" w:space="0"/>
              <w:left w:val="nil"/>
              <w:bottom w:val="single" w:color="auto" w:sz="4" w:space="0"/>
              <w:right w:val="single" w:color="auto" w:sz="4" w:space="0"/>
            </w:tcBorders>
            <w:shd w:val="clear" w:color="000000" w:fill="F2F2F2"/>
            <w:noWrap/>
            <w:vAlign w:val="bottom"/>
            <w:hideMark/>
          </w:tcPr>
          <w:p w:rsidRPr="003C23C9" w:rsidR="003C23C9" w:rsidP="003C23C9" w:rsidRDefault="003C23C9" w14:paraId="075AAFBB" w14:textId="77777777">
            <w:pPr>
              <w:spacing w:after="0" w:line="240" w:lineRule="auto"/>
              <w:jc w:val="center"/>
              <w:rPr>
                <w:rFonts w:ascii="Calibri" w:hAnsi="Calibri" w:eastAsia="Times New Roman" w:cs="Calibri"/>
                <w:color w:val="000000"/>
              </w:rPr>
            </w:pPr>
            <w:r w:rsidRPr="003C23C9">
              <w:rPr>
                <w:rFonts w:ascii="Calibri" w:hAnsi="Calibri" w:eastAsia="Times New Roman" w:cs="Calibri"/>
                <w:color w:val="000000"/>
              </w:rPr>
              <w:t>Cost</w:t>
            </w:r>
          </w:p>
        </w:tc>
      </w:tr>
      <w:tr w:rsidRPr="003C23C9" w:rsidR="003C23C9" w:rsidTr="003C23C9" w14:paraId="6A2AABC5" w14:textId="77777777">
        <w:trPr>
          <w:trHeight w:val="390"/>
        </w:trPr>
        <w:tc>
          <w:tcPr>
            <w:tcW w:w="8576" w:type="dxa"/>
            <w:tcBorders>
              <w:top w:val="nil"/>
              <w:left w:val="single" w:color="auto" w:sz="4" w:space="0"/>
              <w:bottom w:val="nil"/>
              <w:right w:val="nil"/>
            </w:tcBorders>
            <w:shd w:val="clear" w:color="auto" w:fill="auto"/>
            <w:noWrap/>
            <w:vAlign w:val="bottom"/>
            <w:hideMark/>
          </w:tcPr>
          <w:p w:rsidRPr="003C23C9" w:rsidR="003C23C9" w:rsidP="003C23C9" w:rsidRDefault="003C23C9" w14:paraId="4E70CD91" w14:textId="77777777">
            <w:pPr>
              <w:spacing w:after="0" w:line="240" w:lineRule="auto"/>
              <w:rPr>
                <w:rFonts w:ascii="Calibri" w:hAnsi="Calibri" w:eastAsia="Times New Roman" w:cs="Calibri"/>
                <w:color w:val="000000"/>
              </w:rPr>
            </w:pPr>
            <w:r w:rsidRPr="003C23C9">
              <w:rPr>
                <w:rFonts w:ascii="Calibri" w:hAnsi="Calibri" w:eastAsia="Times New Roman" w:cs="Calibri"/>
                <w:color w:val="000000"/>
              </w:rPr>
              <w:t>Total cost of cash incentives for Oct. 2019 through Oct. 2020</w:t>
            </w:r>
          </w:p>
        </w:tc>
        <w:tc>
          <w:tcPr>
            <w:tcW w:w="1496" w:type="dxa"/>
            <w:tcBorders>
              <w:top w:val="nil"/>
              <w:left w:val="nil"/>
              <w:bottom w:val="nil"/>
              <w:right w:val="single" w:color="auto" w:sz="4" w:space="0"/>
            </w:tcBorders>
            <w:shd w:val="clear" w:color="auto" w:fill="auto"/>
            <w:noWrap/>
            <w:vAlign w:val="bottom"/>
            <w:hideMark/>
          </w:tcPr>
          <w:p w:rsidRPr="003C23C9" w:rsidR="003C23C9" w:rsidP="003C23C9" w:rsidRDefault="003C23C9" w14:paraId="588B117C" w14:textId="77777777">
            <w:pPr>
              <w:spacing w:after="0" w:line="240" w:lineRule="auto"/>
              <w:jc w:val="right"/>
              <w:rPr>
                <w:rFonts w:ascii="Calibri" w:hAnsi="Calibri" w:eastAsia="Times New Roman" w:cs="Calibri"/>
                <w:b/>
                <w:bCs/>
                <w:color w:val="000000"/>
              </w:rPr>
            </w:pPr>
            <w:r w:rsidRPr="003C23C9">
              <w:rPr>
                <w:rFonts w:ascii="Calibri" w:hAnsi="Calibri" w:eastAsia="Times New Roman" w:cs="Calibri"/>
                <w:b/>
                <w:bCs/>
                <w:color w:val="000000"/>
              </w:rPr>
              <w:t>$27,000</w:t>
            </w:r>
          </w:p>
        </w:tc>
      </w:tr>
      <w:tr w:rsidRPr="003C23C9" w:rsidR="003C23C9" w:rsidTr="003C23C9" w14:paraId="0E170A07" w14:textId="77777777">
        <w:trPr>
          <w:trHeight w:val="300"/>
        </w:trPr>
        <w:tc>
          <w:tcPr>
            <w:tcW w:w="8576" w:type="dxa"/>
            <w:tcBorders>
              <w:top w:val="nil"/>
              <w:left w:val="single" w:color="auto" w:sz="4" w:space="0"/>
              <w:bottom w:val="nil"/>
              <w:right w:val="nil"/>
            </w:tcBorders>
            <w:shd w:val="clear" w:color="auto" w:fill="auto"/>
            <w:noWrap/>
            <w:vAlign w:val="bottom"/>
            <w:hideMark/>
          </w:tcPr>
          <w:p w:rsidRPr="003C23C9" w:rsidR="003C23C9" w:rsidP="003C23C9" w:rsidRDefault="003C23C9" w14:paraId="020C89B9" w14:textId="77777777">
            <w:pPr>
              <w:spacing w:after="0" w:line="240" w:lineRule="auto"/>
              <w:ind w:firstLine="440" w:firstLineChars="200"/>
              <w:rPr>
                <w:rFonts w:ascii="Calibri" w:hAnsi="Calibri" w:eastAsia="Times New Roman" w:cs="Calibri"/>
                <w:color w:val="000000"/>
              </w:rPr>
            </w:pPr>
            <w:r w:rsidRPr="003C23C9">
              <w:rPr>
                <w:rFonts w:ascii="Calibri" w:hAnsi="Calibri" w:eastAsia="Times New Roman" w:cs="Calibri"/>
                <w:color w:val="000000"/>
              </w:rPr>
              <w:t>Cash incentives for study groups 1 and 2</w:t>
            </w:r>
          </w:p>
        </w:tc>
        <w:tc>
          <w:tcPr>
            <w:tcW w:w="1496" w:type="dxa"/>
            <w:tcBorders>
              <w:top w:val="nil"/>
              <w:left w:val="nil"/>
              <w:bottom w:val="nil"/>
              <w:right w:val="single" w:color="auto" w:sz="4" w:space="0"/>
            </w:tcBorders>
            <w:shd w:val="clear" w:color="auto" w:fill="auto"/>
            <w:noWrap/>
            <w:vAlign w:val="bottom"/>
            <w:hideMark/>
          </w:tcPr>
          <w:p w:rsidRPr="003C23C9" w:rsidR="003C23C9" w:rsidP="003C23C9" w:rsidRDefault="003C23C9" w14:paraId="360C39ED" w14:textId="77777777">
            <w:pPr>
              <w:spacing w:after="0" w:line="240" w:lineRule="auto"/>
              <w:jc w:val="right"/>
              <w:rPr>
                <w:rFonts w:ascii="Calibri" w:hAnsi="Calibri" w:eastAsia="Times New Roman" w:cs="Calibri"/>
                <w:color w:val="000000"/>
              </w:rPr>
            </w:pPr>
            <w:r w:rsidRPr="003C23C9">
              <w:rPr>
                <w:rFonts w:ascii="Calibri" w:hAnsi="Calibri" w:eastAsia="Times New Roman" w:cs="Calibri"/>
                <w:color w:val="000000"/>
              </w:rPr>
              <w:t>$22,200</w:t>
            </w:r>
          </w:p>
        </w:tc>
      </w:tr>
      <w:tr w:rsidRPr="003C23C9" w:rsidR="003C23C9" w:rsidTr="003C23C9" w14:paraId="3533CE98" w14:textId="77777777">
        <w:trPr>
          <w:trHeight w:val="300"/>
        </w:trPr>
        <w:tc>
          <w:tcPr>
            <w:tcW w:w="8576" w:type="dxa"/>
            <w:tcBorders>
              <w:top w:val="nil"/>
              <w:left w:val="single" w:color="auto" w:sz="4" w:space="0"/>
              <w:bottom w:val="nil"/>
              <w:right w:val="nil"/>
            </w:tcBorders>
            <w:shd w:val="clear" w:color="auto" w:fill="auto"/>
            <w:noWrap/>
            <w:vAlign w:val="bottom"/>
            <w:hideMark/>
          </w:tcPr>
          <w:p w:rsidRPr="003C23C9" w:rsidR="003C23C9" w:rsidP="003C23C9" w:rsidRDefault="003C23C9" w14:paraId="24E85941" w14:textId="77777777">
            <w:pPr>
              <w:spacing w:after="0" w:line="240" w:lineRule="auto"/>
              <w:ind w:firstLine="440" w:firstLineChars="200"/>
              <w:rPr>
                <w:rFonts w:ascii="Calibri" w:hAnsi="Calibri" w:eastAsia="Times New Roman" w:cs="Calibri"/>
                <w:color w:val="000000"/>
              </w:rPr>
            </w:pPr>
            <w:r w:rsidRPr="003C23C9">
              <w:rPr>
                <w:rFonts w:ascii="Calibri" w:hAnsi="Calibri" w:eastAsia="Times New Roman" w:cs="Calibri"/>
                <w:color w:val="000000"/>
              </w:rPr>
              <w:t>$5 cash expanded incentives for DPs ages 25 and over</w:t>
            </w:r>
          </w:p>
        </w:tc>
        <w:tc>
          <w:tcPr>
            <w:tcW w:w="1496" w:type="dxa"/>
            <w:tcBorders>
              <w:top w:val="nil"/>
              <w:left w:val="nil"/>
              <w:bottom w:val="nil"/>
              <w:right w:val="single" w:color="auto" w:sz="4" w:space="0"/>
            </w:tcBorders>
            <w:shd w:val="clear" w:color="auto" w:fill="auto"/>
            <w:noWrap/>
            <w:vAlign w:val="bottom"/>
            <w:hideMark/>
          </w:tcPr>
          <w:p w:rsidRPr="003C23C9" w:rsidR="003C23C9" w:rsidP="003C23C9" w:rsidRDefault="003C23C9" w14:paraId="00B4DAA0" w14:textId="77777777">
            <w:pPr>
              <w:spacing w:after="0" w:line="240" w:lineRule="auto"/>
              <w:jc w:val="right"/>
              <w:rPr>
                <w:rFonts w:ascii="Calibri" w:hAnsi="Calibri" w:eastAsia="Times New Roman" w:cs="Calibri"/>
                <w:color w:val="000000"/>
              </w:rPr>
            </w:pPr>
            <w:r w:rsidRPr="003C23C9">
              <w:rPr>
                <w:rFonts w:ascii="Calibri" w:hAnsi="Calibri" w:eastAsia="Times New Roman" w:cs="Calibri"/>
                <w:color w:val="000000"/>
              </w:rPr>
              <w:t>$2,100</w:t>
            </w:r>
          </w:p>
        </w:tc>
      </w:tr>
      <w:tr w:rsidRPr="003C23C9" w:rsidR="003C23C9" w:rsidTr="003C23C9" w14:paraId="7FDD07BA" w14:textId="77777777">
        <w:trPr>
          <w:trHeight w:val="300"/>
        </w:trPr>
        <w:tc>
          <w:tcPr>
            <w:tcW w:w="8576" w:type="dxa"/>
            <w:tcBorders>
              <w:top w:val="nil"/>
              <w:left w:val="single" w:color="auto" w:sz="4" w:space="0"/>
              <w:bottom w:val="nil"/>
              <w:right w:val="nil"/>
            </w:tcBorders>
            <w:shd w:val="clear" w:color="auto" w:fill="auto"/>
            <w:noWrap/>
            <w:vAlign w:val="bottom"/>
            <w:hideMark/>
          </w:tcPr>
          <w:p w:rsidRPr="003C23C9" w:rsidR="003C23C9" w:rsidP="003C23C9" w:rsidRDefault="003C23C9" w14:paraId="1F8965FA" w14:textId="77777777">
            <w:pPr>
              <w:spacing w:after="0" w:line="240" w:lineRule="auto"/>
              <w:ind w:firstLine="440" w:firstLineChars="200"/>
              <w:rPr>
                <w:rFonts w:ascii="Calibri" w:hAnsi="Calibri" w:eastAsia="Times New Roman" w:cs="Calibri"/>
                <w:color w:val="000000"/>
              </w:rPr>
            </w:pPr>
            <w:r w:rsidRPr="003C23C9">
              <w:rPr>
                <w:rFonts w:ascii="Calibri" w:hAnsi="Calibri" w:eastAsia="Times New Roman" w:cs="Calibri"/>
                <w:color w:val="000000"/>
              </w:rPr>
              <w:t>Cash incentives for regular and expanded cases in Oct. 2020</w:t>
            </w:r>
          </w:p>
        </w:tc>
        <w:tc>
          <w:tcPr>
            <w:tcW w:w="1496" w:type="dxa"/>
            <w:tcBorders>
              <w:top w:val="nil"/>
              <w:left w:val="nil"/>
              <w:bottom w:val="nil"/>
              <w:right w:val="single" w:color="auto" w:sz="4" w:space="0"/>
            </w:tcBorders>
            <w:shd w:val="clear" w:color="auto" w:fill="auto"/>
            <w:noWrap/>
            <w:vAlign w:val="bottom"/>
            <w:hideMark/>
          </w:tcPr>
          <w:p w:rsidRPr="003C23C9" w:rsidR="003C23C9" w:rsidP="003C23C9" w:rsidRDefault="003C23C9" w14:paraId="7519F51B" w14:textId="77777777">
            <w:pPr>
              <w:spacing w:after="0" w:line="240" w:lineRule="auto"/>
              <w:jc w:val="right"/>
              <w:rPr>
                <w:rFonts w:ascii="Calibri" w:hAnsi="Calibri" w:eastAsia="Times New Roman" w:cs="Calibri"/>
                <w:color w:val="000000"/>
              </w:rPr>
            </w:pPr>
            <w:r w:rsidRPr="003C23C9">
              <w:rPr>
                <w:rFonts w:ascii="Calibri" w:hAnsi="Calibri" w:eastAsia="Times New Roman" w:cs="Calibri"/>
                <w:color w:val="000000"/>
              </w:rPr>
              <w:t>$900</w:t>
            </w:r>
          </w:p>
        </w:tc>
      </w:tr>
      <w:tr w:rsidRPr="003C23C9" w:rsidR="003C23C9" w:rsidTr="003C23C9" w14:paraId="620A3D12" w14:textId="77777777">
        <w:trPr>
          <w:trHeight w:val="300"/>
        </w:trPr>
        <w:tc>
          <w:tcPr>
            <w:tcW w:w="8576" w:type="dxa"/>
            <w:tcBorders>
              <w:top w:val="nil"/>
              <w:left w:val="single" w:color="auto" w:sz="4" w:space="0"/>
              <w:bottom w:val="nil"/>
              <w:right w:val="nil"/>
            </w:tcBorders>
            <w:shd w:val="clear" w:color="auto" w:fill="auto"/>
            <w:noWrap/>
            <w:vAlign w:val="bottom"/>
            <w:hideMark/>
          </w:tcPr>
          <w:p w:rsidRPr="003C23C9" w:rsidR="003C23C9" w:rsidP="003C23C9" w:rsidRDefault="003C23C9" w14:paraId="5D7E56FD" w14:textId="77777777">
            <w:pPr>
              <w:spacing w:after="0" w:line="240" w:lineRule="auto"/>
              <w:ind w:firstLine="440" w:firstLineChars="200"/>
              <w:rPr>
                <w:rFonts w:ascii="Calibri" w:hAnsi="Calibri" w:eastAsia="Times New Roman" w:cs="Calibri"/>
                <w:color w:val="000000"/>
              </w:rPr>
            </w:pPr>
            <w:r w:rsidRPr="003C23C9">
              <w:rPr>
                <w:rFonts w:ascii="Calibri" w:hAnsi="Calibri" w:eastAsia="Times New Roman" w:cs="Calibri"/>
                <w:color w:val="000000"/>
              </w:rPr>
              <w:t xml:space="preserve">Additional funds </w:t>
            </w:r>
            <w:r w:rsidRPr="003C23C9">
              <w:rPr>
                <w:rFonts w:ascii="Calibri" w:hAnsi="Calibri" w:eastAsia="Times New Roman" w:cs="Calibri"/>
                <w:color w:val="000000"/>
                <w:vertAlign w:val="superscript"/>
              </w:rPr>
              <w:t>a</w:t>
            </w:r>
          </w:p>
        </w:tc>
        <w:tc>
          <w:tcPr>
            <w:tcW w:w="1496" w:type="dxa"/>
            <w:tcBorders>
              <w:top w:val="nil"/>
              <w:left w:val="nil"/>
              <w:bottom w:val="nil"/>
              <w:right w:val="single" w:color="auto" w:sz="4" w:space="0"/>
            </w:tcBorders>
            <w:shd w:val="clear" w:color="auto" w:fill="auto"/>
            <w:noWrap/>
            <w:vAlign w:val="bottom"/>
            <w:hideMark/>
          </w:tcPr>
          <w:p w:rsidRPr="003C23C9" w:rsidR="003C23C9" w:rsidP="003C23C9" w:rsidRDefault="003C23C9" w14:paraId="52DC21D1" w14:textId="77777777">
            <w:pPr>
              <w:spacing w:after="0" w:line="240" w:lineRule="auto"/>
              <w:jc w:val="right"/>
              <w:rPr>
                <w:rFonts w:ascii="Calibri" w:hAnsi="Calibri" w:eastAsia="Times New Roman" w:cs="Calibri"/>
                <w:color w:val="000000"/>
              </w:rPr>
            </w:pPr>
            <w:r w:rsidRPr="003C23C9">
              <w:rPr>
                <w:rFonts w:ascii="Calibri" w:hAnsi="Calibri" w:eastAsia="Times New Roman" w:cs="Calibri"/>
                <w:color w:val="000000"/>
              </w:rPr>
              <w:t>$1,800</w:t>
            </w:r>
          </w:p>
        </w:tc>
      </w:tr>
      <w:tr w:rsidRPr="003C23C9" w:rsidR="003C23C9" w:rsidTr="003C23C9" w14:paraId="778E0E60" w14:textId="77777777">
        <w:trPr>
          <w:trHeight w:val="390"/>
        </w:trPr>
        <w:tc>
          <w:tcPr>
            <w:tcW w:w="8576" w:type="dxa"/>
            <w:tcBorders>
              <w:top w:val="nil"/>
              <w:left w:val="single" w:color="auto" w:sz="4" w:space="0"/>
              <w:bottom w:val="nil"/>
              <w:right w:val="nil"/>
            </w:tcBorders>
            <w:shd w:val="clear" w:color="auto" w:fill="auto"/>
            <w:noWrap/>
            <w:vAlign w:val="bottom"/>
            <w:hideMark/>
          </w:tcPr>
          <w:p w:rsidRPr="003C23C9" w:rsidR="003C23C9" w:rsidP="003C23C9" w:rsidRDefault="003C23C9" w14:paraId="3DD5B5D4" w14:textId="77777777">
            <w:pPr>
              <w:spacing w:after="0" w:line="240" w:lineRule="auto"/>
              <w:rPr>
                <w:rFonts w:ascii="Calibri" w:hAnsi="Calibri" w:eastAsia="Times New Roman" w:cs="Calibri"/>
              </w:rPr>
            </w:pPr>
            <w:r w:rsidRPr="003C23C9">
              <w:rPr>
                <w:rFonts w:ascii="Calibri" w:hAnsi="Calibri" w:eastAsia="Times New Roman" w:cs="Calibri"/>
              </w:rPr>
              <w:t>Bank fees associated with one cash delivery to Census</w:t>
            </w:r>
          </w:p>
        </w:tc>
        <w:tc>
          <w:tcPr>
            <w:tcW w:w="1496" w:type="dxa"/>
            <w:tcBorders>
              <w:top w:val="nil"/>
              <w:left w:val="nil"/>
              <w:bottom w:val="nil"/>
              <w:right w:val="single" w:color="auto" w:sz="4" w:space="0"/>
            </w:tcBorders>
            <w:shd w:val="clear" w:color="auto" w:fill="auto"/>
            <w:noWrap/>
            <w:vAlign w:val="bottom"/>
            <w:hideMark/>
          </w:tcPr>
          <w:p w:rsidRPr="003C23C9" w:rsidR="003C23C9" w:rsidP="003C23C9" w:rsidRDefault="003C23C9" w14:paraId="4AAD5B22" w14:textId="77777777">
            <w:pPr>
              <w:spacing w:after="0" w:line="240" w:lineRule="auto"/>
              <w:jc w:val="right"/>
              <w:rPr>
                <w:rFonts w:ascii="Calibri" w:hAnsi="Calibri" w:eastAsia="Times New Roman" w:cs="Calibri"/>
                <w:b/>
                <w:bCs/>
                <w:color w:val="000000"/>
              </w:rPr>
            </w:pPr>
            <w:r w:rsidRPr="003C23C9">
              <w:rPr>
                <w:rFonts w:ascii="Calibri" w:hAnsi="Calibri" w:eastAsia="Times New Roman" w:cs="Calibri"/>
                <w:b/>
                <w:bCs/>
                <w:color w:val="000000"/>
              </w:rPr>
              <w:t>$12,000</w:t>
            </w:r>
          </w:p>
        </w:tc>
      </w:tr>
      <w:tr w:rsidRPr="003C23C9" w:rsidR="003C23C9" w:rsidTr="003C23C9" w14:paraId="28C16CFD" w14:textId="77777777">
        <w:trPr>
          <w:trHeight w:val="390"/>
        </w:trPr>
        <w:tc>
          <w:tcPr>
            <w:tcW w:w="8576" w:type="dxa"/>
            <w:tcBorders>
              <w:top w:val="nil"/>
              <w:left w:val="single" w:color="auto" w:sz="4" w:space="0"/>
              <w:bottom w:val="nil"/>
              <w:right w:val="nil"/>
            </w:tcBorders>
            <w:shd w:val="clear" w:color="auto" w:fill="auto"/>
            <w:noWrap/>
            <w:vAlign w:val="bottom"/>
            <w:hideMark/>
          </w:tcPr>
          <w:p w:rsidRPr="003C23C9" w:rsidR="003C23C9" w:rsidP="003C23C9" w:rsidRDefault="003C23C9" w14:paraId="1FCA6FB7" w14:textId="77777777">
            <w:pPr>
              <w:spacing w:after="0" w:line="240" w:lineRule="auto"/>
              <w:rPr>
                <w:rFonts w:ascii="Calibri" w:hAnsi="Calibri" w:eastAsia="Times New Roman" w:cs="Calibri"/>
                <w:color w:val="000000"/>
              </w:rPr>
            </w:pPr>
            <w:r w:rsidRPr="003C23C9">
              <w:rPr>
                <w:rFonts w:ascii="Calibri" w:hAnsi="Calibri" w:eastAsia="Times New Roman" w:cs="Calibri"/>
                <w:color w:val="000000"/>
              </w:rPr>
              <w:t>Programming to set up and assign indicators to test groups</w:t>
            </w:r>
          </w:p>
        </w:tc>
        <w:tc>
          <w:tcPr>
            <w:tcW w:w="1496" w:type="dxa"/>
            <w:tcBorders>
              <w:top w:val="nil"/>
              <w:left w:val="nil"/>
              <w:bottom w:val="nil"/>
              <w:right w:val="single" w:color="auto" w:sz="4" w:space="0"/>
            </w:tcBorders>
            <w:shd w:val="clear" w:color="auto" w:fill="auto"/>
            <w:noWrap/>
            <w:vAlign w:val="bottom"/>
            <w:hideMark/>
          </w:tcPr>
          <w:p w:rsidRPr="003C23C9" w:rsidR="003C23C9" w:rsidP="003C23C9" w:rsidRDefault="003C23C9" w14:paraId="342C7641" w14:textId="77777777">
            <w:pPr>
              <w:spacing w:after="0" w:line="240" w:lineRule="auto"/>
              <w:jc w:val="right"/>
              <w:rPr>
                <w:rFonts w:ascii="Calibri" w:hAnsi="Calibri" w:eastAsia="Times New Roman" w:cs="Calibri"/>
                <w:b/>
                <w:bCs/>
                <w:color w:val="000000"/>
              </w:rPr>
            </w:pPr>
            <w:r w:rsidRPr="003C23C9">
              <w:rPr>
                <w:rFonts w:ascii="Calibri" w:hAnsi="Calibri" w:eastAsia="Times New Roman" w:cs="Calibri"/>
                <w:b/>
                <w:bCs/>
                <w:color w:val="000000"/>
              </w:rPr>
              <w:t>$5,000</w:t>
            </w:r>
          </w:p>
        </w:tc>
      </w:tr>
      <w:tr w:rsidRPr="003C23C9" w:rsidR="003C23C9" w:rsidTr="003C23C9" w14:paraId="0FA3BFF5" w14:textId="77777777">
        <w:trPr>
          <w:trHeight w:val="390"/>
        </w:trPr>
        <w:tc>
          <w:tcPr>
            <w:tcW w:w="8576" w:type="dxa"/>
            <w:tcBorders>
              <w:top w:val="nil"/>
              <w:left w:val="single" w:color="auto" w:sz="4" w:space="0"/>
              <w:bottom w:val="nil"/>
              <w:right w:val="nil"/>
            </w:tcBorders>
            <w:shd w:val="clear" w:color="auto" w:fill="auto"/>
            <w:noWrap/>
            <w:vAlign w:val="bottom"/>
            <w:hideMark/>
          </w:tcPr>
          <w:p w:rsidRPr="003C23C9" w:rsidR="003C23C9" w:rsidP="003C23C9" w:rsidRDefault="003C23C9" w14:paraId="1F7EE36E" w14:textId="77777777">
            <w:pPr>
              <w:spacing w:after="0" w:line="240" w:lineRule="auto"/>
              <w:rPr>
                <w:rFonts w:ascii="Calibri" w:hAnsi="Calibri" w:eastAsia="Times New Roman" w:cs="Calibri"/>
                <w:color w:val="000000"/>
              </w:rPr>
            </w:pPr>
            <w:r w:rsidRPr="003C23C9">
              <w:rPr>
                <w:rFonts w:ascii="Calibri" w:hAnsi="Calibri" w:eastAsia="Times New Roman" w:cs="Calibri"/>
                <w:color w:val="000000"/>
              </w:rPr>
              <w:t>Modifying letters</w:t>
            </w:r>
          </w:p>
        </w:tc>
        <w:tc>
          <w:tcPr>
            <w:tcW w:w="1496" w:type="dxa"/>
            <w:tcBorders>
              <w:top w:val="nil"/>
              <w:left w:val="nil"/>
              <w:bottom w:val="single" w:color="auto" w:sz="4" w:space="0"/>
              <w:right w:val="single" w:color="auto" w:sz="4" w:space="0"/>
            </w:tcBorders>
            <w:shd w:val="clear" w:color="auto" w:fill="auto"/>
            <w:noWrap/>
            <w:vAlign w:val="bottom"/>
            <w:hideMark/>
          </w:tcPr>
          <w:p w:rsidRPr="003C23C9" w:rsidR="003C23C9" w:rsidP="00063364" w:rsidRDefault="003C23C9" w14:paraId="61E7AB4E" w14:textId="01F2DD58">
            <w:pPr>
              <w:spacing w:after="0" w:line="240" w:lineRule="auto"/>
              <w:jc w:val="right"/>
              <w:rPr>
                <w:rFonts w:ascii="Calibri" w:hAnsi="Calibri" w:eastAsia="Times New Roman" w:cs="Calibri"/>
                <w:b/>
                <w:bCs/>
                <w:color w:val="000000"/>
              </w:rPr>
            </w:pPr>
            <w:r w:rsidRPr="003C23C9">
              <w:rPr>
                <w:rFonts w:ascii="Calibri" w:hAnsi="Calibri" w:eastAsia="Times New Roman" w:cs="Calibri"/>
                <w:b/>
                <w:bCs/>
                <w:color w:val="000000"/>
              </w:rPr>
              <w:t>$</w:t>
            </w:r>
            <w:r w:rsidR="00063364">
              <w:rPr>
                <w:rFonts w:ascii="Calibri" w:hAnsi="Calibri" w:eastAsia="Times New Roman" w:cs="Calibri"/>
                <w:b/>
                <w:bCs/>
                <w:color w:val="000000"/>
              </w:rPr>
              <w:t>3</w:t>
            </w:r>
            <w:r w:rsidRPr="003C23C9">
              <w:rPr>
                <w:rFonts w:ascii="Calibri" w:hAnsi="Calibri" w:eastAsia="Times New Roman" w:cs="Calibri"/>
                <w:b/>
                <w:bCs/>
                <w:color w:val="000000"/>
              </w:rPr>
              <w:t>,000</w:t>
            </w:r>
          </w:p>
        </w:tc>
      </w:tr>
      <w:tr w:rsidRPr="003C23C9" w:rsidR="003C23C9" w:rsidTr="003C23C9" w14:paraId="7740EF1E" w14:textId="77777777">
        <w:trPr>
          <w:trHeight w:val="390"/>
        </w:trPr>
        <w:tc>
          <w:tcPr>
            <w:tcW w:w="8576" w:type="dxa"/>
            <w:tcBorders>
              <w:top w:val="nil"/>
              <w:left w:val="single" w:color="auto" w:sz="4" w:space="0"/>
              <w:bottom w:val="single" w:color="auto" w:sz="4" w:space="0"/>
              <w:right w:val="nil"/>
            </w:tcBorders>
            <w:shd w:val="clear" w:color="auto" w:fill="auto"/>
            <w:noWrap/>
            <w:vAlign w:val="bottom"/>
            <w:hideMark/>
          </w:tcPr>
          <w:p w:rsidRPr="003C23C9" w:rsidR="003C23C9" w:rsidP="003C23C9" w:rsidRDefault="003C23C9" w14:paraId="1807CDB5" w14:textId="77777777">
            <w:pPr>
              <w:spacing w:after="0" w:line="240" w:lineRule="auto"/>
              <w:rPr>
                <w:rFonts w:ascii="Calibri" w:hAnsi="Calibri" w:eastAsia="Times New Roman" w:cs="Calibri"/>
                <w:color w:val="000000"/>
              </w:rPr>
            </w:pPr>
            <w:r w:rsidRPr="003C23C9">
              <w:rPr>
                <w:rFonts w:ascii="Calibri" w:hAnsi="Calibri" w:eastAsia="Times New Roman" w:cs="Calibri"/>
                <w:color w:val="000000"/>
              </w:rPr>
              <w:t>Total</w:t>
            </w:r>
          </w:p>
        </w:tc>
        <w:tc>
          <w:tcPr>
            <w:tcW w:w="1496" w:type="dxa"/>
            <w:tcBorders>
              <w:top w:val="nil"/>
              <w:left w:val="nil"/>
              <w:bottom w:val="double" w:color="auto" w:sz="6" w:space="0"/>
              <w:right w:val="single" w:color="auto" w:sz="4" w:space="0"/>
            </w:tcBorders>
            <w:shd w:val="clear" w:color="auto" w:fill="auto"/>
            <w:noWrap/>
            <w:vAlign w:val="bottom"/>
            <w:hideMark/>
          </w:tcPr>
          <w:p w:rsidRPr="003C23C9" w:rsidR="003C23C9" w:rsidP="00063364" w:rsidRDefault="003C23C9" w14:paraId="7E6B58F7" w14:textId="03C7DAD1">
            <w:pPr>
              <w:spacing w:after="0" w:line="240" w:lineRule="auto"/>
              <w:jc w:val="right"/>
              <w:rPr>
                <w:rFonts w:ascii="Calibri" w:hAnsi="Calibri" w:eastAsia="Times New Roman" w:cs="Calibri"/>
                <w:b/>
                <w:bCs/>
                <w:color w:val="000000"/>
              </w:rPr>
            </w:pPr>
            <w:r w:rsidRPr="003C23C9">
              <w:rPr>
                <w:rFonts w:ascii="Calibri" w:hAnsi="Calibri" w:eastAsia="Times New Roman" w:cs="Calibri"/>
                <w:b/>
                <w:bCs/>
                <w:color w:val="000000"/>
              </w:rPr>
              <w:t>$4</w:t>
            </w:r>
            <w:r w:rsidR="00063364">
              <w:rPr>
                <w:rFonts w:ascii="Calibri" w:hAnsi="Calibri" w:eastAsia="Times New Roman" w:cs="Calibri"/>
                <w:b/>
                <w:bCs/>
                <w:color w:val="000000"/>
              </w:rPr>
              <w:t>7</w:t>
            </w:r>
            <w:r w:rsidRPr="003C23C9">
              <w:rPr>
                <w:rFonts w:ascii="Calibri" w:hAnsi="Calibri" w:eastAsia="Times New Roman" w:cs="Calibri"/>
                <w:b/>
                <w:bCs/>
                <w:color w:val="000000"/>
              </w:rPr>
              <w:t>,000</w:t>
            </w:r>
          </w:p>
        </w:tc>
      </w:tr>
      <w:tr w:rsidRPr="003C23C9" w:rsidR="003C23C9" w:rsidTr="003C23C9" w14:paraId="6B22134C" w14:textId="77777777">
        <w:trPr>
          <w:trHeight w:val="360"/>
        </w:trPr>
        <w:tc>
          <w:tcPr>
            <w:tcW w:w="10072" w:type="dxa"/>
            <w:gridSpan w:val="2"/>
            <w:tcBorders>
              <w:top w:val="nil"/>
              <w:left w:val="nil"/>
              <w:bottom w:val="nil"/>
              <w:right w:val="nil"/>
            </w:tcBorders>
            <w:shd w:val="clear" w:color="auto" w:fill="auto"/>
            <w:noWrap/>
            <w:vAlign w:val="bottom"/>
            <w:hideMark/>
          </w:tcPr>
          <w:p w:rsidRPr="003C23C9" w:rsidR="003C23C9" w:rsidP="009D4BD7" w:rsidRDefault="003C23C9" w14:paraId="1122479D" w14:textId="30B629CB">
            <w:pPr>
              <w:spacing w:after="0" w:line="240" w:lineRule="auto"/>
              <w:rPr>
                <w:rFonts w:ascii="Calibri" w:hAnsi="Calibri" w:eastAsia="Times New Roman" w:cs="Calibri"/>
                <w:color w:val="000000"/>
              </w:rPr>
            </w:pPr>
            <w:r w:rsidRPr="003C23C9">
              <w:rPr>
                <w:rFonts w:ascii="Calibri" w:hAnsi="Calibri" w:eastAsia="Times New Roman" w:cs="Calibri"/>
                <w:color w:val="000000"/>
                <w:vertAlign w:val="superscript"/>
              </w:rPr>
              <w:t>a.</w:t>
            </w:r>
            <w:r w:rsidRPr="003C23C9">
              <w:rPr>
                <w:rFonts w:ascii="Calibri" w:hAnsi="Calibri" w:eastAsia="Times New Roman" w:cs="Calibri"/>
                <w:color w:val="000000"/>
              </w:rPr>
              <w:t xml:space="preserve"> </w:t>
            </w:r>
            <w:r w:rsidR="009D4BD7">
              <w:rPr>
                <w:rFonts w:ascii="Calibri" w:hAnsi="Calibri" w:eastAsia="Times New Roman" w:cs="Calibri"/>
                <w:color w:val="000000"/>
              </w:rPr>
              <w:t xml:space="preserve">Calculations were based on 2014-16 averages. </w:t>
            </w:r>
            <w:r w:rsidRPr="003C23C9">
              <w:rPr>
                <w:rFonts w:ascii="Calibri" w:hAnsi="Calibri" w:eastAsia="Times New Roman" w:cs="Calibri"/>
                <w:color w:val="000000"/>
              </w:rPr>
              <w:t xml:space="preserve">These funds provide a cushion in case the number of incentive cases </w:t>
            </w:r>
            <w:r w:rsidR="009D4BD7">
              <w:rPr>
                <w:rFonts w:ascii="Calibri" w:hAnsi="Calibri" w:eastAsia="Times New Roman" w:cs="Calibri"/>
                <w:color w:val="000000"/>
              </w:rPr>
              <w:t>in FY 2020 exceeds these</w:t>
            </w:r>
            <w:r w:rsidRPr="003C23C9">
              <w:rPr>
                <w:rFonts w:ascii="Calibri" w:hAnsi="Calibri" w:eastAsia="Times New Roman" w:cs="Calibri"/>
                <w:color w:val="000000"/>
              </w:rPr>
              <w:t xml:space="preserve"> average</w:t>
            </w:r>
            <w:r w:rsidR="009D4BD7">
              <w:rPr>
                <w:rFonts w:ascii="Calibri" w:hAnsi="Calibri" w:eastAsia="Times New Roman" w:cs="Calibri"/>
                <w:color w:val="000000"/>
              </w:rPr>
              <w:t>s</w:t>
            </w:r>
            <w:r w:rsidRPr="003C23C9">
              <w:rPr>
                <w:rFonts w:ascii="Calibri" w:hAnsi="Calibri" w:eastAsia="Times New Roman" w:cs="Calibri"/>
                <w:color w:val="000000"/>
              </w:rPr>
              <w:t>.</w:t>
            </w:r>
          </w:p>
        </w:tc>
      </w:tr>
    </w:tbl>
    <w:p w:rsidR="001321A6" w:rsidP="00FE7569" w:rsidRDefault="001321A6" w14:paraId="261477A1" w14:textId="77777777">
      <w:pPr>
        <w:spacing w:line="360" w:lineRule="auto"/>
        <w:ind w:left="360"/>
      </w:pPr>
    </w:p>
    <w:p w:rsidR="004D291A" w:rsidP="00FE7569" w:rsidRDefault="004D291A" w14:paraId="48B6FF36" w14:textId="1A422884">
      <w:pPr>
        <w:spacing w:line="360" w:lineRule="auto"/>
        <w:ind w:firstLine="360"/>
      </w:pPr>
      <w:r>
        <w:t>Completion of this work will ensure</w:t>
      </w:r>
      <w:r w:rsidR="001321A6">
        <w:t xml:space="preserve"> </w:t>
      </w:r>
      <w:r>
        <w:t>ATUS is prep</w:t>
      </w:r>
      <w:r w:rsidR="001321A6">
        <w:t>ared to study the use of</w:t>
      </w:r>
      <w:r>
        <w:t xml:space="preserve"> cash incentives, as outlined in this proposal, for </w:t>
      </w:r>
      <w:r w:rsidR="001321A6">
        <w:t xml:space="preserve">the duration of </w:t>
      </w:r>
      <w:r>
        <w:t>fiscal year 2020.</w:t>
      </w:r>
      <w:r w:rsidR="00CC52EB">
        <w:t xml:space="preserve"> These costs will be offset by a reduction in FY 2020 funds needed for debit card incentives.</w:t>
      </w:r>
      <w:r w:rsidR="001321A6">
        <w:t xml:space="preserve"> </w:t>
      </w:r>
      <w:r w:rsidR="00624199">
        <w:t xml:space="preserve">The costs of managing the incentive study and compiling and processing the study’s data will be covered </w:t>
      </w:r>
      <w:r w:rsidR="005E2C6C">
        <w:t>with</w:t>
      </w:r>
      <w:r w:rsidR="00624199">
        <w:t xml:space="preserve"> annual</w:t>
      </w:r>
      <w:r w:rsidR="005E2C6C">
        <w:t xml:space="preserve"> ATUS funding </w:t>
      </w:r>
      <w:r w:rsidR="00D90606">
        <w:t>set aside for</w:t>
      </w:r>
      <w:r w:rsidR="00624199">
        <w:t xml:space="preserve"> </w:t>
      </w:r>
      <w:r w:rsidR="005E2C6C">
        <w:t>the management of</w:t>
      </w:r>
      <w:r w:rsidR="00624199">
        <w:t xml:space="preserve"> incentives.</w:t>
      </w:r>
      <w:r w:rsidR="005E2C6C">
        <w:t xml:space="preserve"> Incentive study variables will be added to ATUS survey methods files and delivered to BLS for analysis and publication.</w:t>
      </w:r>
    </w:p>
    <w:p w:rsidR="006000D7" w:rsidRDefault="006000D7" w14:paraId="712DD0EA" w14:textId="11C432F8">
      <w:r>
        <w:br w:type="page"/>
      </w:r>
    </w:p>
    <w:p w:rsidRPr="007C1099" w:rsidR="006000D7" w:rsidP="006000D7" w:rsidRDefault="006000D7" w14:paraId="00D1B1E0" w14:textId="3947935D">
      <w:pPr>
        <w:spacing w:after="0"/>
        <w:jc w:val="center"/>
        <w:rPr>
          <w:b/>
        </w:rPr>
      </w:pPr>
      <w:r>
        <w:rPr>
          <w:b/>
        </w:rPr>
        <w:lastRenderedPageBreak/>
        <w:t xml:space="preserve">Appendix: </w:t>
      </w:r>
      <w:r w:rsidR="00D1368F">
        <w:rPr>
          <w:b/>
        </w:rPr>
        <w:t>R</w:t>
      </w:r>
      <w:r>
        <w:rPr>
          <w:b/>
        </w:rPr>
        <w:t>elevant l</w:t>
      </w:r>
      <w:r w:rsidRPr="007C1099">
        <w:rPr>
          <w:b/>
        </w:rPr>
        <w:t>iterature on unconditional incentives</w:t>
      </w:r>
    </w:p>
    <w:p w:rsidR="006000D7" w:rsidP="006000D7" w:rsidRDefault="006000D7" w14:paraId="07A18172" w14:textId="77777777">
      <w:pPr>
        <w:spacing w:after="0"/>
      </w:pPr>
    </w:p>
    <w:p w:rsidRPr="00F747B4" w:rsidR="006000D7" w:rsidP="006000D7" w:rsidRDefault="006000D7" w14:paraId="59EFA630" w14:textId="77777777">
      <w:pPr>
        <w:spacing w:after="0"/>
        <w:rPr>
          <w:b/>
        </w:rPr>
      </w:pPr>
      <w:r w:rsidRPr="00F747B4">
        <w:rPr>
          <w:b/>
        </w:rPr>
        <w:t>More Money? The Impact of Larger Incentives on Response Rates in a Two-Phase Mail Survey</w:t>
      </w:r>
    </w:p>
    <w:p w:rsidR="006000D7" w:rsidP="006000D7" w:rsidRDefault="006000D7" w14:paraId="59C7787C" w14:textId="77777777">
      <w:pPr>
        <w:spacing w:after="0"/>
      </w:pPr>
      <w:r>
        <w:t>Cameron McPhee and Sarah Hastedt, 2012 FCSM.</w:t>
      </w:r>
    </w:p>
    <w:p w:rsidR="006000D7" w:rsidP="006000D7" w:rsidRDefault="00AE4562" w14:paraId="54660490" w14:textId="77777777">
      <w:pPr>
        <w:spacing w:after="0"/>
      </w:pPr>
      <w:hyperlink w:history="1" r:id="rId8">
        <w:r w:rsidRPr="00701B16" w:rsidR="006000D7">
          <w:rPr>
            <w:rStyle w:val="Hyperlink"/>
          </w:rPr>
          <w:t>https://s3.amazonaws.com/sitesusa/wp-content/uploads/sites/242/2014/05/Hastedt_2012FCSM_I-A.pdf</w:t>
        </w:r>
      </w:hyperlink>
    </w:p>
    <w:p w:rsidRPr="00AF01CA" w:rsidR="006000D7" w:rsidP="006000D7" w:rsidRDefault="006000D7" w14:paraId="68C9E825" w14:textId="77777777">
      <w:pPr>
        <w:pStyle w:val="ListParagraph"/>
        <w:numPr>
          <w:ilvl w:val="0"/>
          <w:numId w:val="10"/>
        </w:numPr>
        <w:spacing w:after="0"/>
        <w:rPr>
          <w:rFonts w:cstheme="minorHAnsi"/>
        </w:rPr>
      </w:pPr>
      <w:r w:rsidRPr="00AF01CA">
        <w:rPr>
          <w:rFonts w:cstheme="minorHAnsi"/>
        </w:rPr>
        <w:t>Discusses National Household Education Survey, 2011 field test</w:t>
      </w:r>
    </w:p>
    <w:p w:rsidRPr="00AF01CA" w:rsidR="006000D7" w:rsidP="006000D7" w:rsidRDefault="006000D7" w14:paraId="24DBB97F" w14:textId="77777777">
      <w:pPr>
        <w:pStyle w:val="ListParagraph"/>
        <w:numPr>
          <w:ilvl w:val="0"/>
          <w:numId w:val="10"/>
        </w:numPr>
        <w:spacing w:after="0"/>
        <w:rPr>
          <w:rFonts w:cstheme="minorHAnsi"/>
        </w:rPr>
      </w:pPr>
      <w:r w:rsidRPr="00AF01CA">
        <w:rPr>
          <w:rFonts w:cstheme="minorHAnsi"/>
        </w:rPr>
        <w:t>Two-phase mail survey (phase 1 is a screener, phase 2 is the main survey)</w:t>
      </w:r>
    </w:p>
    <w:p w:rsidRPr="00AF01CA" w:rsidR="006000D7" w:rsidP="006000D7" w:rsidRDefault="006000D7" w14:paraId="1C67FFC0" w14:textId="1C875757">
      <w:pPr>
        <w:pStyle w:val="ListParagraph"/>
        <w:numPr>
          <w:ilvl w:val="0"/>
          <w:numId w:val="10"/>
        </w:numPr>
        <w:spacing w:after="0"/>
        <w:rPr>
          <w:rFonts w:cstheme="minorHAnsi"/>
        </w:rPr>
      </w:pPr>
      <w:r w:rsidRPr="00AF01CA">
        <w:rPr>
          <w:rFonts w:cstheme="minorHAnsi"/>
        </w:rPr>
        <w:t>Odds of response were 1.2 times higher with $5 incentive compared with $2 incentive</w:t>
      </w:r>
      <w:r w:rsidR="00A03997">
        <w:rPr>
          <w:rFonts w:cstheme="minorHAnsi"/>
        </w:rPr>
        <w:t xml:space="preserve"> for screener</w:t>
      </w:r>
    </w:p>
    <w:p w:rsidRPr="00AF01CA" w:rsidR="006000D7" w:rsidP="006000D7" w:rsidRDefault="006000D7" w14:paraId="5CCB2E95" w14:textId="77777777">
      <w:pPr>
        <w:pStyle w:val="ListParagraph"/>
        <w:numPr>
          <w:ilvl w:val="0"/>
          <w:numId w:val="10"/>
        </w:numPr>
        <w:spacing w:after="0"/>
        <w:rPr>
          <w:rFonts w:cstheme="minorHAnsi"/>
        </w:rPr>
      </w:pPr>
      <w:r w:rsidRPr="00AF01CA">
        <w:rPr>
          <w:rFonts w:cstheme="minorHAnsi"/>
        </w:rPr>
        <w:t>Final screener response rate was about 4 percentage points higher for the households that received $5 compared with the households that received $2</w:t>
      </w:r>
    </w:p>
    <w:p w:rsidRPr="00AF01CA" w:rsidR="006000D7" w:rsidP="006000D7" w:rsidRDefault="006000D7" w14:paraId="79C6EF0E" w14:textId="77777777">
      <w:pPr>
        <w:pStyle w:val="ListParagraph"/>
        <w:numPr>
          <w:ilvl w:val="0"/>
          <w:numId w:val="10"/>
        </w:numPr>
        <w:spacing w:after="0"/>
        <w:rPr>
          <w:rFonts w:cstheme="minorHAnsi"/>
        </w:rPr>
      </w:pPr>
      <w:r w:rsidRPr="00AF01CA">
        <w:rPr>
          <w:rFonts w:cstheme="minorHAnsi"/>
        </w:rPr>
        <w:t xml:space="preserve">For minority households, $5 incentive performed better than the $2 incentive; in terms of survey response:  </w:t>
      </w:r>
    </w:p>
    <w:p w:rsidRPr="00AF01CA" w:rsidR="006000D7" w:rsidP="006000D7" w:rsidRDefault="006000D7" w14:paraId="5FCDDFA0" w14:textId="77777777">
      <w:pPr>
        <w:pStyle w:val="ListParagraph"/>
        <w:numPr>
          <w:ilvl w:val="1"/>
          <w:numId w:val="10"/>
        </w:numPr>
        <w:spacing w:after="0"/>
        <w:rPr>
          <w:rFonts w:cstheme="minorHAnsi"/>
        </w:rPr>
      </w:pPr>
      <w:r w:rsidRPr="00AF01CA">
        <w:rPr>
          <w:rFonts w:cstheme="minorHAnsi"/>
        </w:rPr>
        <w:t>+8 percentage points for Black/African American households</w:t>
      </w:r>
    </w:p>
    <w:p w:rsidRPr="00AF01CA" w:rsidR="006000D7" w:rsidP="006000D7" w:rsidRDefault="006000D7" w14:paraId="7808DA8F" w14:textId="77777777">
      <w:pPr>
        <w:pStyle w:val="ListParagraph"/>
        <w:numPr>
          <w:ilvl w:val="1"/>
          <w:numId w:val="10"/>
        </w:numPr>
        <w:spacing w:after="0"/>
        <w:rPr>
          <w:rFonts w:cstheme="minorHAnsi"/>
        </w:rPr>
      </w:pPr>
      <w:r w:rsidRPr="00AF01CA">
        <w:rPr>
          <w:rFonts w:cstheme="minorHAnsi"/>
        </w:rPr>
        <w:t>+4.3 percentage points for Hispanics</w:t>
      </w:r>
    </w:p>
    <w:p w:rsidRPr="00AF01CA" w:rsidR="006000D7" w:rsidP="006000D7" w:rsidRDefault="006000D7" w14:paraId="06B58D33" w14:textId="77777777">
      <w:pPr>
        <w:pStyle w:val="ListParagraph"/>
        <w:numPr>
          <w:ilvl w:val="1"/>
          <w:numId w:val="10"/>
        </w:numPr>
        <w:spacing w:after="0"/>
        <w:rPr>
          <w:rFonts w:cstheme="minorHAnsi"/>
        </w:rPr>
      </w:pPr>
      <w:r w:rsidRPr="00AF01CA">
        <w:rPr>
          <w:rFonts w:cstheme="minorHAnsi"/>
        </w:rPr>
        <w:t>+7.3 percentage points for Asian/Pacific Islanders</w:t>
      </w:r>
    </w:p>
    <w:p w:rsidRPr="00AF01CA" w:rsidR="006000D7" w:rsidP="006000D7" w:rsidRDefault="006000D7" w14:paraId="7DF68AB5" w14:textId="77777777">
      <w:pPr>
        <w:pStyle w:val="ListParagraph"/>
        <w:numPr>
          <w:ilvl w:val="1"/>
          <w:numId w:val="10"/>
        </w:numPr>
        <w:spacing w:after="0"/>
        <w:rPr>
          <w:rFonts w:cstheme="minorHAnsi"/>
        </w:rPr>
      </w:pPr>
      <w:r w:rsidRPr="00AF01CA">
        <w:rPr>
          <w:rFonts w:cstheme="minorHAnsi"/>
        </w:rPr>
        <w:t>For comparison, +3.3 percentage points for White households</w:t>
      </w:r>
    </w:p>
    <w:p w:rsidRPr="00AF01CA" w:rsidR="006000D7" w:rsidP="006000D7" w:rsidRDefault="006000D7" w14:paraId="76342FE5" w14:textId="77777777">
      <w:pPr>
        <w:pStyle w:val="ListParagraph"/>
        <w:numPr>
          <w:ilvl w:val="0"/>
          <w:numId w:val="10"/>
        </w:numPr>
        <w:spacing w:after="0"/>
        <w:rPr>
          <w:rFonts w:cstheme="minorHAnsi"/>
        </w:rPr>
      </w:pPr>
      <w:r w:rsidRPr="00AF01CA">
        <w:rPr>
          <w:rFonts w:cstheme="minorHAnsi"/>
        </w:rPr>
        <w:t>$5 and $10 is an appropriate amount to send with the phase two survey for those who responded early in phase one</w:t>
      </w:r>
    </w:p>
    <w:p w:rsidRPr="00AF01CA" w:rsidR="006000D7" w:rsidP="006000D7" w:rsidRDefault="006000D7" w14:paraId="4B1E64FE" w14:textId="6924D62D">
      <w:pPr>
        <w:pStyle w:val="ListParagraph"/>
        <w:numPr>
          <w:ilvl w:val="0"/>
          <w:numId w:val="10"/>
        </w:numPr>
        <w:spacing w:after="0"/>
        <w:rPr>
          <w:rFonts w:cstheme="minorHAnsi"/>
        </w:rPr>
      </w:pPr>
      <w:r w:rsidRPr="00AF01CA">
        <w:rPr>
          <w:rFonts w:cstheme="minorHAnsi"/>
        </w:rPr>
        <w:t xml:space="preserve">$10 to $15 is an appropriate amount to send with the </w:t>
      </w:r>
      <w:r w:rsidR="00A03997">
        <w:rPr>
          <w:rFonts w:cstheme="minorHAnsi"/>
        </w:rPr>
        <w:t>main</w:t>
      </w:r>
      <w:r w:rsidRPr="00AF01CA">
        <w:rPr>
          <w:rFonts w:cstheme="minorHAnsi"/>
        </w:rPr>
        <w:t xml:space="preserve"> survey for those who were late respondents </w:t>
      </w:r>
      <w:r w:rsidR="00A03997">
        <w:rPr>
          <w:rFonts w:cstheme="minorHAnsi"/>
        </w:rPr>
        <w:t>to the screener</w:t>
      </w:r>
    </w:p>
    <w:p w:rsidRPr="00AF01CA" w:rsidR="006000D7" w:rsidP="006000D7" w:rsidRDefault="006000D7" w14:paraId="68154767" w14:textId="60B314D2">
      <w:pPr>
        <w:pStyle w:val="ListParagraph"/>
        <w:numPr>
          <w:ilvl w:val="0"/>
          <w:numId w:val="10"/>
        </w:numPr>
        <w:spacing w:after="0"/>
        <w:rPr>
          <w:rFonts w:cstheme="minorHAnsi"/>
        </w:rPr>
      </w:pPr>
      <w:r w:rsidRPr="00AF01CA">
        <w:rPr>
          <w:rFonts w:cstheme="minorHAnsi"/>
        </w:rPr>
        <w:t xml:space="preserve"> Increasing the incentive to $20 </w:t>
      </w:r>
      <w:r w:rsidR="00A03997">
        <w:rPr>
          <w:rFonts w:cstheme="minorHAnsi"/>
        </w:rPr>
        <w:t xml:space="preserve">for the main survey </w:t>
      </w:r>
      <w:r w:rsidRPr="00AF01CA">
        <w:rPr>
          <w:rFonts w:cstheme="minorHAnsi"/>
        </w:rPr>
        <w:t>had little additional effect on the response rate</w:t>
      </w:r>
    </w:p>
    <w:p w:rsidRPr="00AF01CA" w:rsidR="006000D7" w:rsidP="006000D7" w:rsidRDefault="006000D7" w14:paraId="1361202C" w14:textId="77777777">
      <w:pPr>
        <w:spacing w:after="0"/>
        <w:rPr>
          <w:rFonts w:cstheme="minorHAnsi"/>
        </w:rPr>
      </w:pPr>
    </w:p>
    <w:p w:rsidRPr="00AF01CA" w:rsidR="006000D7" w:rsidP="006000D7" w:rsidRDefault="006000D7" w14:paraId="101C0517" w14:textId="77777777">
      <w:pPr>
        <w:spacing w:after="0"/>
        <w:rPr>
          <w:rFonts w:cstheme="minorHAnsi"/>
          <w:b/>
        </w:rPr>
      </w:pPr>
      <w:r w:rsidRPr="00AF01CA">
        <w:rPr>
          <w:rFonts w:cstheme="minorHAnsi"/>
          <w:b/>
        </w:rPr>
        <w:t>Address-Based Sampling for Subpopulation Surveys</w:t>
      </w:r>
    </w:p>
    <w:p w:rsidRPr="00AF01CA" w:rsidR="006000D7" w:rsidP="006000D7" w:rsidRDefault="006000D7" w14:paraId="1DFBF350" w14:textId="77777777">
      <w:pPr>
        <w:spacing w:after="0"/>
        <w:rPr>
          <w:rFonts w:cstheme="minorHAnsi"/>
        </w:rPr>
      </w:pPr>
      <w:r w:rsidRPr="00AF01CA">
        <w:rPr>
          <w:rFonts w:cstheme="minorHAnsi"/>
        </w:rPr>
        <w:t>J. Michael Brick, Douglas Williams, Jill Montaquila</w:t>
      </w:r>
    </w:p>
    <w:p w:rsidRPr="00AF01CA" w:rsidR="006000D7" w:rsidP="006000D7" w:rsidRDefault="006000D7" w14:paraId="65B20121" w14:textId="77777777">
      <w:pPr>
        <w:spacing w:after="0"/>
        <w:rPr>
          <w:rFonts w:cstheme="minorHAnsi"/>
        </w:rPr>
      </w:pPr>
      <w:r w:rsidRPr="00AF01CA">
        <w:rPr>
          <w:rFonts w:cstheme="minorHAnsi"/>
        </w:rPr>
        <w:t xml:space="preserve">Public Opinion Quarterly, Vol. 75, Issue 3, Fall 2011, pages 409-428 </w:t>
      </w:r>
    </w:p>
    <w:p w:rsidRPr="00AF01CA" w:rsidR="006000D7" w:rsidP="006000D7" w:rsidRDefault="00AE4562" w14:paraId="78E22A3F" w14:textId="77777777">
      <w:pPr>
        <w:spacing w:after="0"/>
        <w:rPr>
          <w:rFonts w:cstheme="minorHAnsi"/>
        </w:rPr>
      </w:pPr>
      <w:hyperlink w:history="1" r:id="rId9">
        <w:r w:rsidRPr="00AF01CA" w:rsidR="006000D7">
          <w:rPr>
            <w:rStyle w:val="Hyperlink"/>
            <w:rFonts w:cstheme="minorHAnsi"/>
            <w:color w:val="006FB7"/>
            <w:bdr w:val="none" w:color="auto" w:sz="0" w:space="0" w:frame="1"/>
          </w:rPr>
          <w:t>https://doi.org/10.1093/poq/nfr023</w:t>
        </w:r>
      </w:hyperlink>
    </w:p>
    <w:p w:rsidRPr="00AF01CA" w:rsidR="006000D7" w:rsidP="006000D7" w:rsidRDefault="006000D7" w14:paraId="177BBC3C" w14:textId="77777777">
      <w:pPr>
        <w:pStyle w:val="ListParagraph"/>
        <w:numPr>
          <w:ilvl w:val="0"/>
          <w:numId w:val="10"/>
        </w:numPr>
        <w:spacing w:after="0"/>
        <w:rPr>
          <w:rFonts w:cstheme="minorHAnsi"/>
        </w:rPr>
      </w:pPr>
      <w:r w:rsidRPr="00AF01CA">
        <w:rPr>
          <w:rFonts w:cstheme="minorHAnsi"/>
        </w:rPr>
        <w:t>Discusses National Household Education Survey, 2009 field test</w:t>
      </w:r>
    </w:p>
    <w:p w:rsidRPr="00AF01CA" w:rsidR="006000D7" w:rsidP="006000D7" w:rsidRDefault="006000D7" w14:paraId="00F0FB54" w14:textId="77777777">
      <w:pPr>
        <w:pStyle w:val="ListParagraph"/>
        <w:numPr>
          <w:ilvl w:val="0"/>
          <w:numId w:val="10"/>
        </w:numPr>
        <w:spacing w:after="0"/>
        <w:rPr>
          <w:rFonts w:cstheme="minorHAnsi"/>
        </w:rPr>
      </w:pPr>
      <w:r w:rsidRPr="00AF01CA">
        <w:rPr>
          <w:rFonts w:cstheme="minorHAnsi"/>
        </w:rPr>
        <w:t>Two-phase mail survey (phase 1 is a screener, phase 2 is the main survey)</w:t>
      </w:r>
    </w:p>
    <w:p w:rsidRPr="00AF01CA" w:rsidR="006000D7" w:rsidP="006000D7" w:rsidRDefault="006000D7" w14:paraId="37E67B77" w14:textId="5132966D">
      <w:pPr>
        <w:pStyle w:val="ListParagraph"/>
        <w:numPr>
          <w:ilvl w:val="0"/>
          <w:numId w:val="10"/>
        </w:numPr>
        <w:spacing w:after="0"/>
        <w:rPr>
          <w:rFonts w:cstheme="minorHAnsi"/>
        </w:rPr>
      </w:pPr>
      <w:r w:rsidRPr="00AF01CA">
        <w:rPr>
          <w:rFonts w:eastAsia="Times New Roman" w:cstheme="minorHAnsi"/>
          <w:bCs/>
          <w:color w:val="2A2A2A"/>
          <w:kern w:val="36"/>
        </w:rPr>
        <w:t xml:space="preserve">Cases were randomly assigned to the $0, $5, or $15 incentive groups; incentive was included with the initial mailing of the </w:t>
      </w:r>
      <w:r w:rsidR="00A03997">
        <w:rPr>
          <w:rFonts w:eastAsia="Times New Roman" w:cstheme="minorHAnsi"/>
          <w:bCs/>
          <w:color w:val="2A2A2A"/>
          <w:kern w:val="36"/>
        </w:rPr>
        <w:t xml:space="preserve">main </w:t>
      </w:r>
      <w:r w:rsidRPr="00AF01CA">
        <w:rPr>
          <w:rFonts w:eastAsia="Times New Roman" w:cstheme="minorHAnsi"/>
          <w:bCs/>
          <w:color w:val="2A2A2A"/>
          <w:kern w:val="36"/>
        </w:rPr>
        <w:t>topical questionnaire</w:t>
      </w:r>
    </w:p>
    <w:p w:rsidRPr="00AF01CA" w:rsidR="006000D7" w:rsidP="006000D7" w:rsidRDefault="006000D7" w14:paraId="201B55AE" w14:textId="77777777">
      <w:pPr>
        <w:pStyle w:val="ListParagraph"/>
        <w:numPr>
          <w:ilvl w:val="0"/>
          <w:numId w:val="10"/>
        </w:numPr>
        <w:spacing w:after="0"/>
        <w:rPr>
          <w:rFonts w:cstheme="minorHAnsi"/>
        </w:rPr>
      </w:pPr>
      <w:r w:rsidRPr="00AF01CA">
        <w:rPr>
          <w:rFonts w:cstheme="minorHAnsi"/>
        </w:rPr>
        <w:t>The $15 cash incentive helped the study achieve an 83.2 percent response rate; this was substantially better than the $5 cash incentive response rate of 77.2 percent; and it was a statistically higher (p&lt; 0.05) response rate than the $0 case which had a response rate of 71.6 percent</w:t>
      </w:r>
    </w:p>
    <w:p w:rsidRPr="00AF01CA" w:rsidR="006000D7" w:rsidP="006000D7" w:rsidRDefault="006000D7" w14:paraId="53B2C429" w14:textId="77777777">
      <w:pPr>
        <w:pStyle w:val="ListParagraph"/>
        <w:numPr>
          <w:ilvl w:val="0"/>
          <w:numId w:val="10"/>
        </w:numPr>
        <w:spacing w:after="0"/>
        <w:rPr>
          <w:rFonts w:cstheme="minorHAnsi"/>
        </w:rPr>
      </w:pPr>
      <w:r w:rsidRPr="00AF01CA">
        <w:rPr>
          <w:rFonts w:cstheme="minorHAnsi"/>
        </w:rPr>
        <w:t xml:space="preserve"> Response rates increased with the amount of the incentive, but at a diminishing rate </w:t>
      </w:r>
    </w:p>
    <w:p w:rsidRPr="00AF01CA" w:rsidR="006000D7" w:rsidP="006000D7" w:rsidRDefault="006000D7" w14:paraId="0C1C2B78" w14:textId="77777777">
      <w:pPr>
        <w:spacing w:after="0"/>
        <w:rPr>
          <w:rFonts w:cstheme="minorHAnsi"/>
        </w:rPr>
      </w:pPr>
    </w:p>
    <w:p w:rsidRPr="00AF01CA" w:rsidR="006000D7" w:rsidP="006000D7" w:rsidRDefault="006000D7" w14:paraId="2FBC5484" w14:textId="77777777">
      <w:pPr>
        <w:spacing w:after="0"/>
        <w:rPr>
          <w:rFonts w:cstheme="minorHAnsi"/>
          <w:b/>
        </w:rPr>
      </w:pPr>
      <w:r w:rsidRPr="00AF01CA">
        <w:rPr>
          <w:rFonts w:cstheme="minorHAnsi"/>
          <w:b/>
        </w:rPr>
        <w:t>The Influence of Incremental Increases in Token Cash Incentives on Mail Survey Response:  Is There an Optimal Amount?</w:t>
      </w:r>
    </w:p>
    <w:p w:rsidRPr="00AF01CA" w:rsidR="006000D7" w:rsidP="006000D7" w:rsidRDefault="006000D7" w14:paraId="67030F16" w14:textId="77777777">
      <w:pPr>
        <w:spacing w:after="0"/>
        <w:rPr>
          <w:rFonts w:cstheme="minorHAnsi"/>
        </w:rPr>
      </w:pPr>
      <w:r w:rsidRPr="00AF01CA">
        <w:rPr>
          <w:rFonts w:cstheme="minorHAnsi"/>
        </w:rPr>
        <w:t>Norm Trussell and Paul Lavrakas</w:t>
      </w:r>
    </w:p>
    <w:p w:rsidRPr="00AF01CA" w:rsidR="006000D7" w:rsidP="006000D7" w:rsidRDefault="006000D7" w14:paraId="7B66B59A" w14:textId="77777777">
      <w:pPr>
        <w:spacing w:after="0"/>
        <w:rPr>
          <w:rFonts w:cstheme="minorHAnsi"/>
        </w:rPr>
      </w:pPr>
      <w:r w:rsidRPr="00AF01CA">
        <w:rPr>
          <w:rFonts w:cstheme="minorHAnsi"/>
        </w:rPr>
        <w:t>The Public Opinion Quarterly, Vol. 68, No. 3 (Autumn, 2004), pp. 349-367</w:t>
      </w:r>
    </w:p>
    <w:p w:rsidRPr="00AF01CA" w:rsidR="006000D7" w:rsidP="006000D7" w:rsidRDefault="006000D7" w14:paraId="2E51C364" w14:textId="77777777">
      <w:pPr>
        <w:spacing w:after="0"/>
        <w:rPr>
          <w:rFonts w:cstheme="minorHAnsi"/>
        </w:rPr>
      </w:pPr>
      <w:r w:rsidRPr="00AF01CA">
        <w:rPr>
          <w:rFonts w:cstheme="minorHAnsi"/>
        </w:rPr>
        <w:t>Published by: Oxford University Press on behalf of the American Association for Public Opinion Research</w:t>
      </w:r>
    </w:p>
    <w:p w:rsidRPr="00AF01CA" w:rsidR="006000D7" w:rsidP="006000D7" w:rsidRDefault="006000D7" w14:paraId="11C1A348" w14:textId="77777777">
      <w:pPr>
        <w:spacing w:after="0"/>
        <w:rPr>
          <w:sz w:val="23"/>
          <w:szCs w:val="23"/>
        </w:rPr>
      </w:pPr>
      <w:r w:rsidRPr="00AF01CA">
        <w:rPr>
          <w:sz w:val="23"/>
          <w:szCs w:val="23"/>
        </w:rPr>
        <w:lastRenderedPageBreak/>
        <w:t xml:space="preserve">Stable URL: </w:t>
      </w:r>
      <w:hyperlink w:history="1" r:id="rId10">
        <w:r w:rsidRPr="00AF01CA">
          <w:rPr>
            <w:rStyle w:val="Hyperlink"/>
            <w:sz w:val="23"/>
            <w:szCs w:val="23"/>
          </w:rPr>
          <w:t>https://www.jstor.org/stable/3521675</w:t>
        </w:r>
      </w:hyperlink>
      <w:r w:rsidRPr="00AF01CA">
        <w:rPr>
          <w:sz w:val="23"/>
          <w:szCs w:val="23"/>
        </w:rPr>
        <w:t xml:space="preserve"> </w:t>
      </w:r>
    </w:p>
    <w:p w:rsidRPr="00AF01CA" w:rsidR="006000D7" w:rsidP="006000D7" w:rsidRDefault="006000D7" w14:paraId="4CA1AD5D" w14:textId="77777777">
      <w:pPr>
        <w:pStyle w:val="ListParagraph"/>
        <w:numPr>
          <w:ilvl w:val="0"/>
          <w:numId w:val="10"/>
        </w:numPr>
        <w:spacing w:after="0"/>
        <w:rPr>
          <w:rFonts w:cstheme="minorHAnsi"/>
        </w:rPr>
      </w:pPr>
      <w:r w:rsidRPr="00AF01CA">
        <w:rPr>
          <w:rFonts w:cstheme="minorHAnsi"/>
        </w:rPr>
        <w:t>Many studies confirm the positive impact of cash incentives on response rates, but few study the optimum amount for maximizing response at an affordable level</w:t>
      </w:r>
    </w:p>
    <w:p w:rsidRPr="00AF01CA" w:rsidR="006000D7" w:rsidP="006000D7" w:rsidRDefault="006000D7" w14:paraId="7184A911" w14:textId="77777777">
      <w:pPr>
        <w:pStyle w:val="ListParagraph"/>
        <w:numPr>
          <w:ilvl w:val="0"/>
          <w:numId w:val="10"/>
        </w:numPr>
        <w:spacing w:after="0"/>
        <w:rPr>
          <w:rFonts w:cstheme="minorHAnsi"/>
        </w:rPr>
      </w:pPr>
      <w:r w:rsidRPr="00AF01CA">
        <w:rPr>
          <w:rFonts w:cstheme="minorHAnsi"/>
        </w:rPr>
        <w:t>Study is a large-scale experiment that is a nationally-representative sample of households (for Nielsen ratings)</w:t>
      </w:r>
    </w:p>
    <w:p w:rsidRPr="00AF01CA" w:rsidR="006000D7" w:rsidP="006000D7" w:rsidRDefault="006000D7" w14:paraId="0956DAAE" w14:textId="7AA21182">
      <w:pPr>
        <w:pStyle w:val="ListParagraph"/>
        <w:numPr>
          <w:ilvl w:val="0"/>
          <w:numId w:val="10"/>
        </w:numPr>
        <w:spacing w:after="0"/>
        <w:rPr>
          <w:rFonts w:cstheme="minorHAnsi"/>
        </w:rPr>
      </w:pPr>
      <w:r w:rsidRPr="00AF01CA">
        <w:rPr>
          <w:rFonts w:cstheme="minorHAnsi"/>
        </w:rPr>
        <w:t>Tests the effects of varying amounts of prepaid, noncontingent cash incentives on the quantity and quality of mail responses</w:t>
      </w:r>
    </w:p>
    <w:p w:rsidRPr="00AF01CA" w:rsidR="006000D7" w:rsidP="006000D7" w:rsidRDefault="006000D7" w14:paraId="640FEF18" w14:textId="77777777">
      <w:pPr>
        <w:pStyle w:val="ListParagraph"/>
        <w:numPr>
          <w:ilvl w:val="0"/>
          <w:numId w:val="10"/>
        </w:numPr>
        <w:spacing w:after="0"/>
        <w:rPr>
          <w:rFonts w:cstheme="minorHAnsi"/>
        </w:rPr>
      </w:pPr>
      <w:r w:rsidRPr="00AF01CA">
        <w:rPr>
          <w:rFonts w:cstheme="minorHAnsi"/>
        </w:rPr>
        <w:t>Tested cash incentives of $0, $1, $2, $3, $4, $5, $6, $7, $8, $10</w:t>
      </w:r>
    </w:p>
    <w:p w:rsidRPr="00AF01CA" w:rsidR="006000D7" w:rsidP="006000D7" w:rsidRDefault="006000D7" w14:paraId="52545A2A" w14:textId="3686B22C">
      <w:pPr>
        <w:pStyle w:val="ListParagraph"/>
        <w:numPr>
          <w:ilvl w:val="0"/>
          <w:numId w:val="10"/>
        </w:numPr>
        <w:spacing w:after="0"/>
      </w:pPr>
      <w:r w:rsidRPr="00AF01CA">
        <w:rPr>
          <w:rFonts w:cstheme="minorHAnsi"/>
        </w:rPr>
        <w:t>H</w:t>
      </w:r>
      <w:r w:rsidRPr="00AF01CA">
        <w:t xml:space="preserve">ouseholds had neither agreed nor refused to participate in the mail </w:t>
      </w:r>
      <w:r w:rsidR="00B17C20">
        <w:t xml:space="preserve">(second) </w:t>
      </w:r>
      <w:r w:rsidRPr="00AF01CA">
        <w:t xml:space="preserve">stage of the survey:  </w:t>
      </w:r>
    </w:p>
    <w:p w:rsidRPr="00AF01CA" w:rsidR="006000D7" w:rsidP="006000D7" w:rsidRDefault="006000D7" w14:paraId="0913CD0F" w14:textId="77777777">
      <w:pPr>
        <w:pStyle w:val="ListParagraph"/>
        <w:numPr>
          <w:ilvl w:val="1"/>
          <w:numId w:val="10"/>
        </w:numPr>
        <w:spacing w:after="0"/>
        <w:rPr>
          <w:rFonts w:cstheme="minorHAnsi"/>
        </w:rPr>
      </w:pPr>
      <w:r w:rsidRPr="00AF01CA">
        <w:rPr>
          <w:rFonts w:cstheme="minorHAnsi"/>
        </w:rPr>
        <w:t>No significant difference in response between $0 condition and any of the $1 to $4 conditions</w:t>
      </w:r>
    </w:p>
    <w:p w:rsidRPr="00AF01CA" w:rsidR="006000D7" w:rsidP="006000D7" w:rsidRDefault="006000D7" w14:paraId="57AE7D15" w14:textId="77777777">
      <w:pPr>
        <w:pStyle w:val="ListParagraph"/>
        <w:numPr>
          <w:ilvl w:val="1"/>
          <w:numId w:val="10"/>
        </w:numPr>
        <w:spacing w:after="0"/>
        <w:rPr>
          <w:rFonts w:cstheme="minorHAnsi"/>
        </w:rPr>
      </w:pPr>
      <w:r w:rsidRPr="00AF01CA">
        <w:rPr>
          <w:rFonts w:cstheme="minorHAnsi"/>
        </w:rPr>
        <w:t>$5 to $8 conditions were not different from each other in terms of response; h</w:t>
      </w:r>
      <w:r w:rsidRPr="00AF01CA">
        <w:t>owever, with the exception of the $7 condition, all showed a higher response than the $0, $2, and $4 conditions.</w:t>
      </w:r>
    </w:p>
    <w:p w:rsidRPr="00AF01CA" w:rsidR="006000D7" w:rsidP="006000D7" w:rsidRDefault="006000D7" w14:paraId="5C017727" w14:textId="77777777">
      <w:pPr>
        <w:pStyle w:val="ListParagraph"/>
        <w:numPr>
          <w:ilvl w:val="1"/>
          <w:numId w:val="10"/>
        </w:numPr>
        <w:spacing w:after="0"/>
        <w:rPr>
          <w:rFonts w:cstheme="minorHAnsi"/>
        </w:rPr>
      </w:pPr>
      <w:r w:rsidRPr="00AF01CA">
        <w:t>$10 condition was significantly more likely than any of the incentives below $8 to yield completed surveys</w:t>
      </w:r>
    </w:p>
    <w:p w:rsidRPr="00AF01CA" w:rsidR="006000D7" w:rsidP="006000D7" w:rsidRDefault="006000D7" w14:paraId="3F44FBEB" w14:textId="77777777">
      <w:pPr>
        <w:pStyle w:val="ListParagraph"/>
        <w:numPr>
          <w:ilvl w:val="1"/>
          <w:numId w:val="10"/>
        </w:numPr>
        <w:spacing w:after="0"/>
        <w:rPr>
          <w:rFonts w:cstheme="minorHAnsi"/>
        </w:rPr>
      </w:pPr>
      <w:r w:rsidRPr="00AF01CA">
        <w:t>$10 condition performed much better than $8</w:t>
      </w:r>
    </w:p>
    <w:p w:rsidRPr="00AF01CA" w:rsidR="006000D7" w:rsidP="006000D7" w:rsidRDefault="006000D7" w14:paraId="54813DA9" w14:textId="686E04E5">
      <w:pPr>
        <w:pStyle w:val="ListParagraph"/>
        <w:numPr>
          <w:ilvl w:val="0"/>
          <w:numId w:val="10"/>
        </w:numPr>
        <w:spacing w:after="0"/>
      </w:pPr>
      <w:r w:rsidRPr="00AF01CA">
        <w:t xml:space="preserve">Households that were mailed diaries even though they refused to cooperate during the RDD </w:t>
      </w:r>
      <w:r w:rsidR="00B17C20">
        <w:t xml:space="preserve">(first) </w:t>
      </w:r>
      <w:r w:rsidRPr="00AF01CA">
        <w:t>stage:</w:t>
      </w:r>
    </w:p>
    <w:p w:rsidRPr="00AF01CA" w:rsidR="006000D7" w:rsidP="006000D7" w:rsidRDefault="006000D7" w14:paraId="7D276DAF" w14:textId="77777777">
      <w:pPr>
        <w:pStyle w:val="ListParagraph"/>
        <w:numPr>
          <w:ilvl w:val="1"/>
          <w:numId w:val="10"/>
        </w:numPr>
        <w:spacing w:after="0"/>
      </w:pPr>
      <w:r w:rsidRPr="00AF01CA">
        <w:t>No difference between the $0 and $1 conditions in returning completed surveys</w:t>
      </w:r>
    </w:p>
    <w:p w:rsidRPr="00AF01CA" w:rsidR="006000D7" w:rsidP="006000D7" w:rsidRDefault="006000D7" w14:paraId="6CA7C4FD" w14:textId="77777777">
      <w:pPr>
        <w:pStyle w:val="ListParagraph"/>
        <w:numPr>
          <w:ilvl w:val="1"/>
          <w:numId w:val="10"/>
        </w:numPr>
        <w:spacing w:after="0"/>
      </w:pPr>
      <w:r w:rsidRPr="00AF01CA">
        <w:t>$2 and $3 conditions were more likely than the $0 condition to return completed diaries</w:t>
      </w:r>
    </w:p>
    <w:p w:rsidRPr="00AF01CA" w:rsidR="006000D7" w:rsidP="006000D7" w:rsidRDefault="006000D7" w14:paraId="7B3D05D5" w14:textId="77777777">
      <w:pPr>
        <w:pStyle w:val="ListParagraph"/>
        <w:numPr>
          <w:ilvl w:val="1"/>
          <w:numId w:val="10"/>
        </w:numPr>
        <w:spacing w:after="0"/>
      </w:pPr>
      <w:r w:rsidRPr="00AF01CA">
        <w:t>$4 to $10 conditions were statistically more likely to return completed diaries than the conditions with lesser amounts of cash</w:t>
      </w:r>
    </w:p>
    <w:p w:rsidRPr="00AF01CA" w:rsidR="006000D7" w:rsidP="006000D7" w:rsidRDefault="006000D7" w14:paraId="6F15BA2E" w14:textId="77777777">
      <w:pPr>
        <w:pStyle w:val="ListParagraph"/>
        <w:numPr>
          <w:ilvl w:val="1"/>
          <w:numId w:val="10"/>
        </w:numPr>
        <w:spacing w:after="0"/>
      </w:pPr>
      <w:r w:rsidRPr="00AF01CA">
        <w:t>$7 to $10 conditions were more likely to return completed diaries than conditions with incentives less than $7</w:t>
      </w:r>
    </w:p>
    <w:p w:rsidRPr="00AF01CA" w:rsidR="006000D7" w:rsidP="006000D7" w:rsidRDefault="006000D7" w14:paraId="2F947604" w14:textId="77777777">
      <w:pPr>
        <w:pStyle w:val="ListParagraph"/>
        <w:numPr>
          <w:ilvl w:val="1"/>
          <w:numId w:val="10"/>
        </w:numPr>
        <w:spacing w:after="0"/>
      </w:pPr>
      <w:r w:rsidRPr="00AF01CA">
        <w:t>Households in the $10 condition outperformed all conditions except $7 and $8</w:t>
      </w:r>
    </w:p>
    <w:p w:rsidRPr="00AF01CA" w:rsidR="006000D7" w:rsidP="006000D7" w:rsidRDefault="006000D7" w14:paraId="6D80424E" w14:textId="77777777">
      <w:pPr>
        <w:rPr>
          <w:rFonts w:cstheme="minorHAnsi"/>
          <w:b/>
        </w:rPr>
      </w:pPr>
    </w:p>
    <w:p w:rsidRPr="00AF01CA" w:rsidR="006000D7" w:rsidP="006000D7" w:rsidRDefault="006000D7" w14:paraId="6C7C95C8" w14:textId="77777777">
      <w:pPr>
        <w:spacing w:after="0"/>
        <w:rPr>
          <w:rFonts w:cstheme="minorHAnsi"/>
          <w:b/>
        </w:rPr>
      </w:pPr>
      <w:r w:rsidRPr="00AF01CA">
        <w:rPr>
          <w:rFonts w:cstheme="minorHAnsi"/>
          <w:b/>
        </w:rPr>
        <w:t>The Use and Effects of Incentives in Surveys</w:t>
      </w:r>
    </w:p>
    <w:p w:rsidRPr="00AF01CA" w:rsidR="006000D7" w:rsidP="006000D7" w:rsidRDefault="006000D7" w14:paraId="028B05C8" w14:textId="77777777">
      <w:pPr>
        <w:spacing w:after="0"/>
        <w:rPr>
          <w:rFonts w:cstheme="minorHAnsi"/>
        </w:rPr>
      </w:pPr>
      <w:r w:rsidRPr="00AF01CA">
        <w:rPr>
          <w:rFonts w:cstheme="minorHAnsi"/>
        </w:rPr>
        <w:t>Eleanor Singer and Cong Ye</w:t>
      </w:r>
    </w:p>
    <w:p w:rsidRPr="00AF01CA" w:rsidR="006000D7" w:rsidP="006000D7" w:rsidRDefault="006000D7" w14:paraId="2A698154" w14:textId="77777777">
      <w:pPr>
        <w:spacing w:after="0"/>
        <w:rPr>
          <w:rFonts w:cstheme="minorHAnsi"/>
        </w:rPr>
      </w:pPr>
      <w:r w:rsidRPr="00AF01CA">
        <w:rPr>
          <w:rFonts w:cstheme="minorHAnsi"/>
        </w:rPr>
        <w:t>The Annals of the American Academy of Political and Social Science, Vol. 645, The Nonresponse Challenge to Surveys and Statistics (Jan. 2013), pp. 112-141</w:t>
      </w:r>
    </w:p>
    <w:p w:rsidRPr="00AF01CA" w:rsidR="006000D7" w:rsidP="006000D7" w:rsidRDefault="006000D7" w14:paraId="2C934BC9" w14:textId="77777777">
      <w:pPr>
        <w:spacing w:after="0"/>
        <w:rPr>
          <w:rFonts w:cstheme="minorHAnsi"/>
        </w:rPr>
      </w:pPr>
      <w:r w:rsidRPr="00AF01CA">
        <w:rPr>
          <w:rFonts w:cstheme="minorHAnsi"/>
        </w:rPr>
        <w:t>Published by Sage Publications, Inc.</w:t>
      </w:r>
    </w:p>
    <w:p w:rsidRPr="00AF01CA" w:rsidR="006000D7" w:rsidP="006000D7" w:rsidRDefault="006000D7" w14:paraId="29CF2773" w14:textId="77777777">
      <w:pPr>
        <w:spacing w:after="0"/>
        <w:rPr>
          <w:rFonts w:cstheme="minorHAnsi"/>
        </w:rPr>
      </w:pPr>
      <w:r w:rsidRPr="00AF01CA">
        <w:rPr>
          <w:rFonts w:cstheme="minorHAnsi"/>
          <w:color w:val="000000"/>
        </w:rPr>
        <w:t xml:space="preserve">Stable URL: </w:t>
      </w:r>
      <w:hyperlink w:history="1" r:id="rId11">
        <w:r w:rsidRPr="00AF01CA">
          <w:rPr>
            <w:rStyle w:val="Hyperlink"/>
            <w:rFonts w:cstheme="minorHAnsi"/>
          </w:rPr>
          <w:t>https://www.jstor.org/stable/23479084</w:t>
        </w:r>
      </w:hyperlink>
      <w:r w:rsidRPr="00AF01CA">
        <w:rPr>
          <w:rFonts w:cstheme="minorHAnsi"/>
          <w:color w:val="000000"/>
        </w:rPr>
        <w:t xml:space="preserve"> </w:t>
      </w:r>
    </w:p>
    <w:p w:rsidRPr="00AF01CA" w:rsidR="006000D7" w:rsidP="006000D7" w:rsidRDefault="006000D7" w14:paraId="0B2940EB" w14:textId="77777777">
      <w:pPr>
        <w:pStyle w:val="ListParagraph"/>
        <w:numPr>
          <w:ilvl w:val="0"/>
          <w:numId w:val="10"/>
        </w:numPr>
        <w:spacing w:after="0"/>
        <w:rPr>
          <w:rFonts w:cstheme="minorHAnsi"/>
        </w:rPr>
      </w:pPr>
      <w:r w:rsidRPr="00AF01CA">
        <w:rPr>
          <w:rFonts w:cstheme="minorHAnsi"/>
        </w:rPr>
        <w:t>Article is a systematic review of literature on survey incentives appearing since 2002</w:t>
      </w:r>
    </w:p>
    <w:p w:rsidRPr="00AF01CA" w:rsidR="006000D7" w:rsidP="006000D7" w:rsidRDefault="006000D7" w14:paraId="48AC3E8E" w14:textId="77777777">
      <w:pPr>
        <w:pStyle w:val="ListParagraph"/>
        <w:numPr>
          <w:ilvl w:val="0"/>
          <w:numId w:val="10"/>
        </w:numPr>
        <w:spacing w:after="0"/>
        <w:rPr>
          <w:rFonts w:cstheme="minorHAnsi"/>
        </w:rPr>
      </w:pPr>
      <w:r w:rsidRPr="00AF01CA">
        <w:rPr>
          <w:rFonts w:cstheme="minorHAnsi"/>
        </w:rPr>
        <w:t>Cantor, O’Hare, and O’Connor (2008) report: (1) prepaid incentives between $1 and $5 increase response rates from 2 to 12 percentage points compared to no incentives; (2) larger prepaid incentives lead to higher response rates, but at a decreasing rate; (3) although the effects of incentives have not declined over time, the baseline response rate without incentives has dropped substantially</w:t>
      </w:r>
    </w:p>
    <w:p w:rsidRPr="00AF01CA" w:rsidR="006000D7" w:rsidP="006000D7" w:rsidRDefault="006000D7" w14:paraId="12E8967F" w14:textId="77777777">
      <w:pPr>
        <w:pStyle w:val="ListParagraph"/>
        <w:numPr>
          <w:ilvl w:val="0"/>
          <w:numId w:val="10"/>
        </w:numPr>
        <w:spacing w:after="0"/>
        <w:rPr>
          <w:rFonts w:cstheme="minorHAnsi"/>
        </w:rPr>
      </w:pPr>
      <w:r w:rsidRPr="00AF01CA">
        <w:rPr>
          <w:rFonts w:cstheme="minorHAnsi"/>
        </w:rPr>
        <w:t>Findings reported in Cantor, et al, are consistent with findings from other interviewer-mediated surveys</w:t>
      </w:r>
    </w:p>
    <w:p w:rsidRPr="00AF01CA" w:rsidR="006000D7" w:rsidP="006000D7" w:rsidRDefault="006000D7" w14:paraId="7FE22F7E" w14:textId="77777777">
      <w:pPr>
        <w:pStyle w:val="ListParagraph"/>
        <w:numPr>
          <w:ilvl w:val="0"/>
          <w:numId w:val="10"/>
        </w:numPr>
        <w:spacing w:after="0"/>
        <w:rPr>
          <w:rFonts w:cstheme="minorHAnsi"/>
        </w:rPr>
      </w:pPr>
      <w:r w:rsidRPr="00AF01CA">
        <w:rPr>
          <w:rFonts w:cstheme="minorHAnsi"/>
        </w:rPr>
        <w:t>Relevant conclusions on the influence of incentives on survey response:</w:t>
      </w:r>
    </w:p>
    <w:p w:rsidRPr="00AF01CA" w:rsidR="006000D7" w:rsidP="006000D7" w:rsidRDefault="006000D7" w14:paraId="2344FF2B" w14:textId="77777777">
      <w:pPr>
        <w:pStyle w:val="ListParagraph"/>
        <w:numPr>
          <w:ilvl w:val="0"/>
          <w:numId w:val="9"/>
        </w:numPr>
        <w:spacing w:after="0"/>
      </w:pPr>
      <w:r w:rsidRPr="00AF01CA">
        <w:lastRenderedPageBreak/>
        <w:t>Incentives increase response rates to surveys in all modes, and in cross-sectional and panel studies</w:t>
      </w:r>
    </w:p>
    <w:p w:rsidRPr="00AF01CA" w:rsidR="006000D7" w:rsidP="006000D7" w:rsidRDefault="006000D7" w14:paraId="28FDDAFB" w14:textId="77777777">
      <w:pPr>
        <w:pStyle w:val="ListParagraph"/>
        <w:numPr>
          <w:ilvl w:val="0"/>
          <w:numId w:val="9"/>
        </w:numPr>
        <w:spacing w:after="0"/>
      </w:pPr>
      <w:r w:rsidRPr="00AF01CA">
        <w:t>Monetary incentives increase response rates more than gifts, and prepaid incentives increase them more than promised incentives or lotteries</w:t>
      </w:r>
    </w:p>
    <w:p w:rsidRPr="00AF01CA" w:rsidR="006000D7" w:rsidP="006000D7" w:rsidRDefault="006000D7" w14:paraId="2DC6982A" w14:textId="77777777">
      <w:pPr>
        <w:pStyle w:val="ListParagraph"/>
        <w:numPr>
          <w:ilvl w:val="0"/>
          <w:numId w:val="9"/>
        </w:numPr>
        <w:spacing w:after="0"/>
      </w:pPr>
      <w:r w:rsidRPr="00AF01CA">
        <w:t>There is no good evidence for how large an incentive should be; generally, response rates increase as the size of the incentive increases, but at a declining rate</w:t>
      </w:r>
    </w:p>
    <w:p w:rsidRPr="00AF01CA" w:rsidR="006000D7" w:rsidP="006000D7" w:rsidRDefault="006000D7" w14:paraId="36C859F3" w14:textId="77777777">
      <w:pPr>
        <w:pStyle w:val="ListParagraph"/>
        <w:numPr>
          <w:ilvl w:val="0"/>
          <w:numId w:val="9"/>
        </w:numPr>
        <w:spacing w:after="0"/>
      </w:pPr>
      <w:r w:rsidRPr="00AF01CA">
        <w:t>Incentives have clear potential for both increasing and reducing non-response bias, especially if targeted to sample members who would otherwise fail to respond</w:t>
      </w:r>
    </w:p>
    <w:p w:rsidRPr="00AF01CA" w:rsidR="006000D7" w:rsidP="006000D7" w:rsidRDefault="006000D7" w14:paraId="3F2F9F30" w14:textId="77777777">
      <w:pPr>
        <w:spacing w:after="0"/>
      </w:pPr>
    </w:p>
    <w:p w:rsidRPr="00AF01CA" w:rsidR="006000D7" w:rsidP="006000D7" w:rsidRDefault="006000D7" w14:paraId="20FABB19" w14:textId="77777777">
      <w:pPr>
        <w:spacing w:after="0"/>
        <w:rPr>
          <w:b/>
        </w:rPr>
      </w:pPr>
      <w:r w:rsidRPr="00AF01CA">
        <w:rPr>
          <w:b/>
        </w:rPr>
        <w:t>How much gets you how much? Monetary Incentives and Response Rates in Household Surveys</w:t>
      </w:r>
    </w:p>
    <w:p w:rsidRPr="00AF01CA" w:rsidR="006000D7" w:rsidP="006000D7" w:rsidRDefault="006000D7" w14:paraId="4DE86C92" w14:textId="77777777">
      <w:pPr>
        <w:spacing w:after="0"/>
      </w:pPr>
      <w:r w:rsidRPr="00AF01CA">
        <w:t>Andrew Mercer, Andrew Caporaso, David Cantor, Reanne Townsend</w:t>
      </w:r>
    </w:p>
    <w:p w:rsidRPr="00AF01CA" w:rsidR="006000D7" w:rsidP="006000D7" w:rsidRDefault="006000D7" w14:paraId="689A099C" w14:textId="77777777">
      <w:pPr>
        <w:spacing w:after="0"/>
      </w:pPr>
      <w:r w:rsidRPr="00AF01CA">
        <w:t>Public Opinion Quarterly, Vol. 79, No 1, Spring 2015, pp. 105-129</w:t>
      </w:r>
    </w:p>
    <w:p w:rsidRPr="00AF01CA" w:rsidR="006000D7" w:rsidP="006000D7" w:rsidRDefault="006000D7" w14:paraId="786F8713" w14:textId="77777777">
      <w:pPr>
        <w:pStyle w:val="ListParagraph"/>
        <w:numPr>
          <w:ilvl w:val="0"/>
          <w:numId w:val="10"/>
        </w:numPr>
        <w:spacing w:after="0"/>
        <w:rPr>
          <w:rFonts w:cstheme="minorHAnsi"/>
        </w:rPr>
      </w:pPr>
      <w:r w:rsidRPr="00AF01CA">
        <w:rPr>
          <w:rFonts w:cstheme="minorHAnsi"/>
        </w:rPr>
        <w:t>Meta-analysis of research on the use of survey incentives, for studies conducted since 1987</w:t>
      </w:r>
    </w:p>
    <w:p w:rsidRPr="00AF01CA" w:rsidR="006000D7" w:rsidP="006000D7" w:rsidRDefault="006000D7" w14:paraId="699DE933" w14:textId="77777777">
      <w:pPr>
        <w:pStyle w:val="ListParagraph"/>
        <w:numPr>
          <w:ilvl w:val="0"/>
          <w:numId w:val="10"/>
        </w:numPr>
        <w:spacing w:after="0"/>
        <w:rPr>
          <w:rFonts w:cstheme="minorHAnsi"/>
        </w:rPr>
      </w:pPr>
      <w:r w:rsidRPr="00AF01CA">
        <w:rPr>
          <w:rFonts w:cstheme="minorHAnsi"/>
        </w:rPr>
        <w:t>Seek to quantify a dose-response relationship between the value of a monetary incentive offered to respondents and response rates in general-population household surveys</w:t>
      </w:r>
    </w:p>
    <w:p w:rsidRPr="00AF01CA" w:rsidR="006000D7" w:rsidP="006000D7" w:rsidRDefault="006000D7" w14:paraId="6A0828C2" w14:textId="77777777">
      <w:pPr>
        <w:pStyle w:val="ListParagraph"/>
        <w:numPr>
          <w:ilvl w:val="0"/>
          <w:numId w:val="10"/>
        </w:numPr>
        <w:spacing w:after="0"/>
        <w:rPr>
          <w:rFonts w:cstheme="minorHAnsi"/>
        </w:rPr>
      </w:pPr>
      <w:r w:rsidRPr="00AF01CA">
        <w:rPr>
          <w:rFonts w:cstheme="minorHAnsi"/>
        </w:rPr>
        <w:t>Estimate the effect of mode and other survey incentive characteristics on the dose-response relationship</w:t>
      </w:r>
    </w:p>
    <w:p w:rsidRPr="00AF01CA" w:rsidR="006000D7" w:rsidP="006000D7" w:rsidRDefault="006000D7" w14:paraId="56109582" w14:textId="77777777">
      <w:pPr>
        <w:pStyle w:val="ListParagraph"/>
        <w:numPr>
          <w:ilvl w:val="0"/>
          <w:numId w:val="10"/>
        </w:numPr>
        <w:spacing w:after="0"/>
        <w:rPr>
          <w:rFonts w:cstheme="minorHAnsi"/>
        </w:rPr>
      </w:pPr>
      <w:r w:rsidRPr="00AF01CA">
        <w:rPr>
          <w:rFonts w:cstheme="minorHAnsi"/>
        </w:rPr>
        <w:t>Shows a strong, nonlinear effect of incentives across all three modes of data collection (phone, mail, in-person) included in the analysis</w:t>
      </w:r>
    </w:p>
    <w:p w:rsidRPr="00AF01CA" w:rsidR="006000D7" w:rsidP="006000D7" w:rsidRDefault="006000D7" w14:paraId="55447FCE" w14:textId="77777777">
      <w:pPr>
        <w:pStyle w:val="ListParagraph"/>
        <w:numPr>
          <w:ilvl w:val="0"/>
          <w:numId w:val="10"/>
        </w:numPr>
        <w:spacing w:after="0"/>
        <w:rPr>
          <w:rFonts w:cstheme="minorHAnsi"/>
        </w:rPr>
      </w:pPr>
      <w:r w:rsidRPr="00AF01CA">
        <w:rPr>
          <w:rFonts w:cstheme="minorHAnsi"/>
        </w:rPr>
        <w:t>Prepaid incentives for mail surveys exhibited the largest increase in response rates on a per-dollar basis; prepaid incentives in telephone surveys exhibited the second largest per-dollar increase</w:t>
      </w:r>
      <w:r w:rsidRPr="00AF01CA">
        <w:rPr>
          <w:noProof/>
        </w:rPr>
        <w:t xml:space="preserve"> </w:t>
      </w:r>
    </w:p>
    <w:p w:rsidRPr="00AF01CA" w:rsidR="006000D7" w:rsidP="006000D7" w:rsidRDefault="006000D7" w14:paraId="3FE7EB09" w14:textId="77777777">
      <w:pPr>
        <w:spacing w:after="0"/>
        <w:rPr>
          <w:rFonts w:cstheme="minorHAnsi"/>
        </w:rPr>
      </w:pPr>
    </w:p>
    <w:p w:rsidRPr="00AF01CA" w:rsidR="006000D7" w:rsidP="006000D7" w:rsidRDefault="006000D7" w14:paraId="3F309302" w14:textId="77777777">
      <w:pPr>
        <w:spacing w:after="0"/>
        <w:rPr>
          <w:rFonts w:cstheme="minorHAnsi"/>
          <w:b/>
        </w:rPr>
      </w:pPr>
      <w:r w:rsidRPr="00AF01CA">
        <w:rPr>
          <w:rFonts w:cstheme="minorHAnsi"/>
          <w:b/>
        </w:rPr>
        <w:t>The use of incentives in vulnerable populations for a telephone survey: a randomized controlled trial</w:t>
      </w:r>
    </w:p>
    <w:p w:rsidRPr="00AF01CA" w:rsidR="006000D7" w:rsidP="006000D7" w:rsidRDefault="006000D7" w14:paraId="45848C4B" w14:textId="77777777">
      <w:pPr>
        <w:spacing w:after="0"/>
        <w:rPr>
          <w:rFonts w:cstheme="minorHAnsi"/>
        </w:rPr>
      </w:pPr>
      <w:r w:rsidRPr="00AF01CA">
        <w:rPr>
          <w:rFonts w:cstheme="minorHAnsi"/>
        </w:rPr>
        <w:t>Megan Knoll, Lianne Soller, Moshe Ben-Shoshan, et al.</w:t>
      </w:r>
    </w:p>
    <w:p w:rsidRPr="00AF01CA" w:rsidR="006000D7" w:rsidP="006000D7" w:rsidRDefault="006000D7" w14:paraId="0906E78D" w14:textId="77777777">
      <w:pPr>
        <w:spacing w:after="0"/>
        <w:rPr>
          <w:rFonts w:cstheme="minorHAnsi"/>
        </w:rPr>
      </w:pPr>
      <w:r w:rsidRPr="00AF01CA">
        <w:rPr>
          <w:rFonts w:cstheme="minorHAnsi"/>
        </w:rPr>
        <w:t>BMC Research Notes. 2012; 5: 572.</w:t>
      </w:r>
    </w:p>
    <w:p w:rsidRPr="00AF01CA" w:rsidR="006000D7" w:rsidP="006000D7" w:rsidRDefault="00AE4562" w14:paraId="68EDB894" w14:textId="77777777">
      <w:pPr>
        <w:spacing w:after="0"/>
        <w:rPr>
          <w:rFonts w:cstheme="minorHAnsi"/>
        </w:rPr>
      </w:pPr>
      <w:hyperlink w:history="1" r:id="rId12">
        <w:r w:rsidRPr="00AF01CA" w:rsidR="006000D7">
          <w:rPr>
            <w:rStyle w:val="Hyperlink"/>
          </w:rPr>
          <w:t>https://www.ncbi.nlm.nih.gov/pmc/articles/PMC3503563/</w:t>
        </w:r>
      </w:hyperlink>
    </w:p>
    <w:p w:rsidRPr="00AF01CA" w:rsidR="006000D7" w:rsidP="006000D7" w:rsidRDefault="006000D7" w14:paraId="02CEF3FD" w14:textId="77777777">
      <w:pPr>
        <w:pStyle w:val="ListParagraph"/>
        <w:numPr>
          <w:ilvl w:val="0"/>
          <w:numId w:val="12"/>
        </w:numPr>
        <w:spacing w:after="0"/>
        <w:rPr>
          <w:rFonts w:cstheme="minorHAnsi"/>
        </w:rPr>
      </w:pPr>
      <w:r w:rsidRPr="00AF01CA">
        <w:rPr>
          <w:rFonts w:cstheme="minorHAnsi"/>
        </w:rPr>
        <w:t>2008-09 Telephone survey, Surveying Canadians to Assess the Prevalence of Common Food Allergies and Attitudes towards Food Labeling and Risk</w:t>
      </w:r>
    </w:p>
    <w:p w:rsidRPr="00AF01CA" w:rsidR="006000D7" w:rsidP="006000D7" w:rsidRDefault="006000D7" w14:paraId="5872EBCD" w14:textId="77777777">
      <w:pPr>
        <w:pStyle w:val="ListParagraph"/>
        <w:numPr>
          <w:ilvl w:val="0"/>
          <w:numId w:val="12"/>
        </w:numPr>
        <w:spacing w:after="0"/>
        <w:rPr>
          <w:rFonts w:cstheme="minorHAnsi"/>
        </w:rPr>
      </w:pPr>
      <w:r w:rsidRPr="00AF01CA">
        <w:rPr>
          <w:rFonts w:cstheme="minorHAnsi"/>
        </w:rPr>
        <w:t>Publically-funded survey conducted by McGill University researchers</w:t>
      </w:r>
    </w:p>
    <w:p w:rsidRPr="00AF01CA" w:rsidR="006000D7" w:rsidP="006000D7" w:rsidRDefault="006000D7" w14:paraId="4BCD0ED6" w14:textId="77777777">
      <w:pPr>
        <w:pStyle w:val="ListParagraph"/>
        <w:numPr>
          <w:ilvl w:val="0"/>
          <w:numId w:val="12"/>
        </w:numPr>
        <w:spacing w:after="0"/>
        <w:rPr>
          <w:rFonts w:cstheme="minorHAnsi"/>
        </w:rPr>
      </w:pPr>
      <w:r w:rsidRPr="00AF01CA">
        <w:rPr>
          <w:rFonts w:cstheme="minorHAnsi"/>
        </w:rPr>
        <w:t xml:space="preserve">Tested the use of unconditional incentives to target vulnerable populations (lower education, lower socioeconomic status) </w:t>
      </w:r>
    </w:p>
    <w:p w:rsidRPr="00AF01CA" w:rsidR="006000D7" w:rsidP="006000D7" w:rsidRDefault="006000D7" w14:paraId="14BEFFC9" w14:textId="77777777">
      <w:pPr>
        <w:pStyle w:val="ListParagraph"/>
        <w:numPr>
          <w:ilvl w:val="0"/>
          <w:numId w:val="12"/>
        </w:numPr>
        <w:spacing w:after="0"/>
        <w:rPr>
          <w:rFonts w:cstheme="minorHAnsi"/>
        </w:rPr>
      </w:pPr>
      <w:r w:rsidRPr="00AF01CA">
        <w:rPr>
          <w:rFonts w:cstheme="minorHAnsi"/>
        </w:rPr>
        <w:t>Tested $0 versus $5 unconditional incentives (used $5 coupons for coffee or food); response rates were 36.1 percent for the incentive group and 28.7 percent for the no incentive group</w:t>
      </w:r>
    </w:p>
    <w:p w:rsidRPr="00AF01CA" w:rsidR="006000D7" w:rsidP="006000D7" w:rsidRDefault="006000D7" w14:paraId="7E6785E7" w14:textId="77777777">
      <w:pPr>
        <w:pStyle w:val="ListParagraph"/>
        <w:numPr>
          <w:ilvl w:val="0"/>
          <w:numId w:val="12"/>
        </w:numPr>
        <w:spacing w:after="0"/>
        <w:rPr>
          <w:rFonts w:cstheme="minorHAnsi"/>
        </w:rPr>
      </w:pPr>
      <w:r w:rsidRPr="00AF01CA">
        <w:rPr>
          <w:rFonts w:cstheme="minorHAnsi"/>
        </w:rPr>
        <w:t>Unconditional incentives are effective in motivating vulnerable populations to complete telephone surveys</w:t>
      </w:r>
    </w:p>
    <w:p w:rsidRPr="00AF01CA" w:rsidR="006000D7" w:rsidP="006000D7" w:rsidRDefault="006000D7" w14:paraId="6488DE7C" w14:textId="77777777">
      <w:pPr>
        <w:spacing w:after="0"/>
        <w:rPr>
          <w:rFonts w:cstheme="minorHAnsi"/>
        </w:rPr>
      </w:pPr>
    </w:p>
    <w:p w:rsidRPr="00AF01CA" w:rsidR="006000D7" w:rsidP="006000D7" w:rsidRDefault="006000D7" w14:paraId="71CC26B7" w14:textId="77777777">
      <w:pPr>
        <w:spacing w:after="0"/>
        <w:rPr>
          <w:rFonts w:cstheme="minorHAnsi"/>
          <w:b/>
        </w:rPr>
      </w:pPr>
      <w:r w:rsidRPr="00AF01CA">
        <w:rPr>
          <w:rFonts w:cstheme="minorHAnsi"/>
          <w:b/>
        </w:rPr>
        <w:t>The Effect of Differential Incentives on Attrition Bias: Evidence from the PASS Wave 3 Incentive Experiment</w:t>
      </w:r>
    </w:p>
    <w:p w:rsidRPr="00AF01CA" w:rsidR="006000D7" w:rsidP="006000D7" w:rsidRDefault="006000D7" w14:paraId="3FF63B5C" w14:textId="77777777">
      <w:pPr>
        <w:spacing w:after="0"/>
        <w:rPr>
          <w:rFonts w:cstheme="minorHAnsi"/>
        </w:rPr>
      </w:pPr>
      <w:r w:rsidRPr="00AF01CA">
        <w:rPr>
          <w:rFonts w:cstheme="minorHAnsi"/>
        </w:rPr>
        <w:t>Barbara Felderer, Gerrit Muller, Frauke Kreuter, and Joachim Winter</w:t>
      </w:r>
    </w:p>
    <w:p w:rsidRPr="00AF01CA" w:rsidR="006000D7" w:rsidP="006000D7" w:rsidRDefault="006000D7" w14:paraId="644FFC15" w14:textId="77777777">
      <w:pPr>
        <w:spacing w:after="0"/>
        <w:rPr>
          <w:rFonts w:cstheme="minorHAnsi"/>
        </w:rPr>
      </w:pPr>
      <w:r w:rsidRPr="00AF01CA">
        <w:rPr>
          <w:rFonts w:cstheme="minorHAnsi"/>
        </w:rPr>
        <w:t>Field Methods, 2018, Vol. 30(1) 56-69</w:t>
      </w:r>
    </w:p>
    <w:p w:rsidRPr="00AF01CA" w:rsidR="006000D7" w:rsidP="006000D7" w:rsidRDefault="00AE4562" w14:paraId="6B868C4A" w14:textId="77777777">
      <w:pPr>
        <w:spacing w:after="0"/>
        <w:rPr>
          <w:rFonts w:cstheme="minorHAnsi"/>
        </w:rPr>
      </w:pPr>
      <w:hyperlink w:history="1" r:id="rId13">
        <w:r w:rsidRPr="00AF01CA" w:rsidR="006000D7">
          <w:rPr>
            <w:rStyle w:val="Hyperlink"/>
            <w:rFonts w:cstheme="minorHAnsi"/>
          </w:rPr>
          <w:t>https://journals.sagepub.com/doi/pdf/10.1177/1525822X17726206</w:t>
        </w:r>
      </w:hyperlink>
      <w:r w:rsidRPr="00AF01CA" w:rsidR="006000D7">
        <w:rPr>
          <w:rFonts w:cstheme="minorHAnsi"/>
        </w:rPr>
        <w:t xml:space="preserve"> </w:t>
      </w:r>
    </w:p>
    <w:p w:rsidRPr="00AF01CA" w:rsidR="006000D7" w:rsidP="006000D7" w:rsidRDefault="006000D7" w14:paraId="23C0EAD8" w14:textId="77777777">
      <w:pPr>
        <w:pStyle w:val="ListParagraph"/>
        <w:numPr>
          <w:ilvl w:val="0"/>
          <w:numId w:val="11"/>
        </w:numPr>
        <w:spacing w:after="0" w:line="240" w:lineRule="auto"/>
        <w:contextualSpacing w:val="0"/>
      </w:pPr>
      <w:r w:rsidRPr="00AF01CA">
        <w:t xml:space="preserve">An unconditional </w:t>
      </w:r>
      <w:r w:rsidRPr="00AF01CA">
        <w:rPr>
          <w:bCs/>
        </w:rPr>
        <w:t>~$10</w:t>
      </w:r>
      <w:r w:rsidRPr="00AF01CA">
        <w:t xml:space="preserve"> prepaid incentive was effective at reducing attrition bias and increased retention in a Wave 3 of a panel survey in Germany</w:t>
      </w:r>
    </w:p>
    <w:p w:rsidRPr="00920A58" w:rsidR="00A300A2" w:rsidP="00920A58" w:rsidRDefault="006000D7" w14:paraId="2EE420F9" w14:textId="76821FA2">
      <w:pPr>
        <w:pStyle w:val="ListParagraph"/>
        <w:numPr>
          <w:ilvl w:val="0"/>
          <w:numId w:val="11"/>
        </w:numPr>
        <w:spacing w:after="0" w:line="240" w:lineRule="auto"/>
        <w:contextualSpacing w:val="0"/>
        <w:rPr>
          <w:rFonts w:cstheme="minorHAnsi"/>
        </w:rPr>
      </w:pPr>
      <w:r w:rsidRPr="00AF01CA">
        <w:lastRenderedPageBreak/>
        <w:t>The unconditional cash incentive was especially effective at retaining those with a lower propensity to participate in surveys (e.g., lower income respondents)</w:t>
      </w:r>
    </w:p>
    <w:p w:rsidR="00920A58" w:rsidP="00920A58" w:rsidRDefault="00920A58" w14:paraId="7CD58D6C" w14:textId="77777777">
      <w:pPr>
        <w:spacing w:after="0" w:line="240" w:lineRule="auto"/>
        <w:rPr>
          <w:rFonts w:cstheme="minorHAnsi"/>
        </w:rPr>
      </w:pPr>
    </w:p>
    <w:p w:rsidRPr="00D1368F" w:rsidR="00920A58" w:rsidP="00920A58" w:rsidRDefault="00920A58" w14:paraId="447CCCEA" w14:textId="5DA983F3">
      <w:pPr>
        <w:spacing w:after="0" w:line="240" w:lineRule="auto"/>
        <w:rPr>
          <w:rFonts w:cstheme="minorHAnsi"/>
        </w:rPr>
      </w:pPr>
      <w:r w:rsidRPr="00D1368F">
        <w:rPr>
          <w:rFonts w:cstheme="minorHAnsi"/>
        </w:rPr>
        <w:t>Other research cited:</w:t>
      </w:r>
    </w:p>
    <w:p w:rsidRPr="00A061FD" w:rsidR="00920A58" w:rsidP="00920A58" w:rsidRDefault="00920A58" w14:paraId="3733EA1F" w14:textId="77777777">
      <w:pPr>
        <w:spacing w:after="0" w:line="240" w:lineRule="auto"/>
        <w:rPr>
          <w:rFonts w:cstheme="minorHAnsi"/>
        </w:rPr>
      </w:pPr>
    </w:p>
    <w:p w:rsidRPr="00FA7049" w:rsidR="00920A58" w:rsidP="00920A58" w:rsidRDefault="00920A58" w14:paraId="4B37E635" w14:textId="4CE4E509">
      <w:pPr>
        <w:spacing w:after="0" w:line="240" w:lineRule="auto"/>
        <w:rPr>
          <w:rFonts w:cstheme="minorHAnsi"/>
          <w:shd w:val="clear" w:color="auto" w:fill="FFFFFF"/>
        </w:rPr>
      </w:pPr>
      <w:r w:rsidRPr="003915FD">
        <w:rPr>
          <w:rFonts w:cstheme="minorHAnsi"/>
          <w:color w:val="222222"/>
          <w:shd w:val="clear" w:color="auto" w:fill="FFFFFF"/>
        </w:rPr>
        <w:t>Becker, R., Möser, S., &amp; Glauser, D. (2019). Cash vs. vouchers vs. gifts in web surveys of a mature panel study––</w:t>
      </w:r>
      <w:r w:rsidRPr="00FA7049">
        <w:rPr>
          <w:rFonts w:cstheme="minorHAnsi"/>
          <w:shd w:val="clear" w:color="auto" w:fill="FFFFFF"/>
        </w:rPr>
        <w:t>Main effects in a long-term incentives experiment across three panel waves. </w:t>
      </w:r>
      <w:r w:rsidRPr="00FA7049">
        <w:rPr>
          <w:rFonts w:cstheme="minorHAnsi"/>
          <w:i/>
          <w:iCs/>
          <w:shd w:val="clear" w:color="auto" w:fill="FFFFFF"/>
        </w:rPr>
        <w:t>Social science research</w:t>
      </w:r>
      <w:r w:rsidRPr="00FA7049">
        <w:rPr>
          <w:rFonts w:cstheme="minorHAnsi"/>
          <w:shd w:val="clear" w:color="auto" w:fill="FFFFFF"/>
        </w:rPr>
        <w:t>, </w:t>
      </w:r>
      <w:r w:rsidRPr="00FA7049">
        <w:rPr>
          <w:rFonts w:cstheme="minorHAnsi"/>
          <w:i/>
          <w:iCs/>
          <w:shd w:val="clear" w:color="auto" w:fill="FFFFFF"/>
        </w:rPr>
        <w:t>81</w:t>
      </w:r>
      <w:r w:rsidRPr="00FA7049">
        <w:rPr>
          <w:rFonts w:cstheme="minorHAnsi"/>
          <w:shd w:val="clear" w:color="auto" w:fill="FFFFFF"/>
        </w:rPr>
        <w:t>, 221-234.</w:t>
      </w:r>
    </w:p>
    <w:p w:rsidRPr="00A061FD" w:rsidR="00823355" w:rsidP="00823355" w:rsidRDefault="00823355" w14:paraId="2CFE2EA0" w14:textId="77777777">
      <w:pPr>
        <w:pStyle w:val="ListParagraph"/>
        <w:numPr>
          <w:ilvl w:val="0"/>
          <w:numId w:val="16"/>
        </w:numPr>
        <w:spacing w:after="0" w:line="240" w:lineRule="auto"/>
        <w:contextualSpacing w:val="0"/>
        <w:rPr>
          <w:rFonts w:cstheme="minorHAnsi"/>
          <w:color w:val="1F497D"/>
        </w:rPr>
      </w:pPr>
      <w:r w:rsidRPr="00FA7049">
        <w:rPr>
          <w:rFonts w:cstheme="minorHAnsi"/>
        </w:rPr>
        <w:t xml:space="preserve">Compared a </w:t>
      </w:r>
      <w:r w:rsidRPr="00FA7049">
        <w:rPr>
          <w:rFonts w:cstheme="minorHAnsi"/>
          <w:b/>
          <w:bCs/>
        </w:rPr>
        <w:t>~$10</w:t>
      </w:r>
      <w:r w:rsidRPr="00FA7049">
        <w:rPr>
          <w:rFonts w:cstheme="minorHAnsi"/>
        </w:rPr>
        <w:t xml:space="preserve"> prepaid incentive to a ~$20 conditional incentive at Wave 6 of panel survey. Found </w:t>
      </w:r>
      <w:r w:rsidRPr="00D1368F">
        <w:rPr>
          <w:rFonts w:cstheme="minorHAnsi"/>
        </w:rPr>
        <w:t xml:space="preserve">that prepaid incentives led to higher response rates, especially those with lower education </w:t>
      </w:r>
    </w:p>
    <w:p w:rsidRPr="003915FD" w:rsidR="00920A58" w:rsidP="00920A58" w:rsidRDefault="00920A58" w14:paraId="04336191" w14:textId="2762996C">
      <w:pPr>
        <w:spacing w:after="0" w:line="240" w:lineRule="auto"/>
        <w:rPr>
          <w:rFonts w:cstheme="minorHAnsi"/>
          <w:color w:val="222222"/>
          <w:shd w:val="clear" w:color="auto" w:fill="FFFFFF"/>
        </w:rPr>
      </w:pPr>
    </w:p>
    <w:p w:rsidRPr="003915FD" w:rsidR="00920A58" w:rsidP="00920A58" w:rsidRDefault="00920A58" w14:paraId="42329C3E" w14:textId="6786251C">
      <w:pPr>
        <w:spacing w:after="0" w:line="240" w:lineRule="auto"/>
        <w:rPr>
          <w:rFonts w:cstheme="minorHAnsi"/>
          <w:color w:val="222222"/>
          <w:shd w:val="clear" w:color="auto" w:fill="FFFFFF"/>
        </w:rPr>
      </w:pPr>
      <w:r w:rsidRPr="003915FD">
        <w:rPr>
          <w:rFonts w:cstheme="minorHAnsi"/>
          <w:color w:val="222222"/>
          <w:shd w:val="clear" w:color="auto" w:fill="FFFFFF"/>
        </w:rPr>
        <w:t>Couper, M. P. (2013, December). Is the sky falling? New technology, changing media, and the future of surveys. In </w:t>
      </w:r>
      <w:r w:rsidRPr="003915FD">
        <w:rPr>
          <w:rFonts w:cstheme="minorHAnsi"/>
          <w:i/>
          <w:iCs/>
          <w:color w:val="222222"/>
          <w:shd w:val="clear" w:color="auto" w:fill="FFFFFF"/>
        </w:rPr>
        <w:t>Survey Research Methods</w:t>
      </w:r>
      <w:r w:rsidRPr="003915FD">
        <w:rPr>
          <w:rFonts w:cstheme="minorHAnsi"/>
          <w:color w:val="222222"/>
          <w:shd w:val="clear" w:color="auto" w:fill="FFFFFF"/>
        </w:rPr>
        <w:t> (Vol. 7, No. 3, pp. 145-156).</w:t>
      </w:r>
    </w:p>
    <w:p w:rsidRPr="003915FD" w:rsidR="00920A58" w:rsidP="00920A58" w:rsidRDefault="00920A58" w14:paraId="66D7A9AA" w14:textId="77777777">
      <w:pPr>
        <w:spacing w:after="0" w:line="240" w:lineRule="auto"/>
        <w:rPr>
          <w:rFonts w:cstheme="minorHAnsi"/>
          <w:color w:val="222222"/>
          <w:shd w:val="clear" w:color="auto" w:fill="FFFFFF"/>
        </w:rPr>
      </w:pPr>
    </w:p>
    <w:p w:rsidRPr="003915FD" w:rsidR="00920A58" w:rsidP="00920A58" w:rsidRDefault="00920A58" w14:paraId="588E8437" w14:textId="0120EAAD">
      <w:pPr>
        <w:spacing w:after="0" w:line="240" w:lineRule="auto"/>
        <w:rPr>
          <w:rFonts w:cstheme="minorHAnsi"/>
          <w:color w:val="222222"/>
          <w:shd w:val="clear" w:color="auto" w:fill="FFFFFF"/>
        </w:rPr>
      </w:pPr>
      <w:r w:rsidRPr="003915FD">
        <w:rPr>
          <w:rFonts w:cstheme="minorHAnsi"/>
          <w:color w:val="222222"/>
          <w:shd w:val="clear" w:color="auto" w:fill="FFFFFF"/>
        </w:rPr>
        <w:t>Dillman, D. A., Smyth, J. D., &amp; Christian, L. M. (2014). </w:t>
      </w:r>
      <w:r w:rsidRPr="003915FD">
        <w:rPr>
          <w:rFonts w:cstheme="minorHAnsi"/>
          <w:i/>
          <w:iCs/>
          <w:color w:val="222222"/>
          <w:shd w:val="clear" w:color="auto" w:fill="FFFFFF"/>
        </w:rPr>
        <w:t>Internet, phone, mail, and mixed-mode surveys: the tailored design method</w:t>
      </w:r>
      <w:r w:rsidRPr="003915FD">
        <w:rPr>
          <w:rFonts w:cstheme="minorHAnsi"/>
          <w:color w:val="222222"/>
          <w:shd w:val="clear" w:color="auto" w:fill="FFFFFF"/>
        </w:rPr>
        <w:t>. John Wiley &amp; Sons.</w:t>
      </w:r>
    </w:p>
    <w:p w:rsidRPr="003915FD" w:rsidR="00920A58" w:rsidP="00920A58" w:rsidRDefault="00920A58" w14:paraId="204A858E" w14:textId="77777777">
      <w:pPr>
        <w:spacing w:after="0" w:line="240" w:lineRule="auto"/>
        <w:rPr>
          <w:rFonts w:cstheme="minorHAnsi"/>
          <w:color w:val="222222"/>
          <w:shd w:val="clear" w:color="auto" w:fill="FFFFFF"/>
        </w:rPr>
      </w:pPr>
    </w:p>
    <w:p w:rsidRPr="003915FD" w:rsidR="00920A58" w:rsidP="00920A58" w:rsidRDefault="00920A58" w14:paraId="65F25F04" w14:textId="42CA2036">
      <w:pPr>
        <w:spacing w:after="0" w:line="240" w:lineRule="auto"/>
        <w:rPr>
          <w:rFonts w:cstheme="minorHAnsi"/>
          <w:color w:val="222222"/>
          <w:shd w:val="clear" w:color="auto" w:fill="FFFFFF"/>
        </w:rPr>
      </w:pPr>
      <w:r w:rsidRPr="003915FD">
        <w:rPr>
          <w:rFonts w:cstheme="minorHAnsi"/>
          <w:color w:val="222222"/>
          <w:shd w:val="clear" w:color="auto" w:fill="FFFFFF"/>
        </w:rPr>
        <w:t>Keeter, S., Hatley, N., Kennedy, C., &amp; Lau, A. (2017). What low response rates mean for telephone surveys. </w:t>
      </w:r>
      <w:r w:rsidRPr="003915FD">
        <w:rPr>
          <w:rFonts w:cstheme="minorHAnsi"/>
          <w:i/>
          <w:iCs/>
          <w:color w:val="222222"/>
          <w:shd w:val="clear" w:color="auto" w:fill="FFFFFF"/>
        </w:rPr>
        <w:t>Pew Research Center</w:t>
      </w:r>
      <w:r w:rsidRPr="003915FD">
        <w:rPr>
          <w:rFonts w:cstheme="minorHAnsi"/>
          <w:color w:val="222222"/>
          <w:shd w:val="clear" w:color="auto" w:fill="FFFFFF"/>
        </w:rPr>
        <w:t>, </w:t>
      </w:r>
      <w:r w:rsidRPr="003915FD">
        <w:rPr>
          <w:rFonts w:cstheme="minorHAnsi"/>
          <w:i/>
          <w:iCs/>
          <w:color w:val="222222"/>
          <w:shd w:val="clear" w:color="auto" w:fill="FFFFFF"/>
        </w:rPr>
        <w:t>15</w:t>
      </w:r>
      <w:r w:rsidRPr="003915FD">
        <w:rPr>
          <w:rFonts w:cstheme="minorHAnsi"/>
          <w:color w:val="222222"/>
          <w:shd w:val="clear" w:color="auto" w:fill="FFFFFF"/>
        </w:rPr>
        <w:t>, 1-39.</w:t>
      </w:r>
    </w:p>
    <w:p w:rsidRPr="003915FD" w:rsidR="00920A58" w:rsidP="00920A58" w:rsidRDefault="00920A58" w14:paraId="5F40EB44" w14:textId="77777777">
      <w:pPr>
        <w:spacing w:after="0" w:line="240" w:lineRule="auto"/>
        <w:rPr>
          <w:rFonts w:cstheme="minorHAnsi"/>
          <w:color w:val="222222"/>
          <w:shd w:val="clear" w:color="auto" w:fill="FFFFFF"/>
        </w:rPr>
      </w:pPr>
    </w:p>
    <w:p w:rsidRPr="003915FD" w:rsidR="00920A58" w:rsidP="00920A58" w:rsidRDefault="00920A58" w14:paraId="634885B5" w14:textId="79878687">
      <w:pPr>
        <w:spacing w:after="0" w:line="240" w:lineRule="auto"/>
        <w:rPr>
          <w:rFonts w:cstheme="minorHAnsi"/>
          <w:color w:val="222222"/>
          <w:shd w:val="clear" w:color="auto" w:fill="FFFFFF"/>
        </w:rPr>
      </w:pPr>
      <w:r w:rsidRPr="003915FD">
        <w:rPr>
          <w:rFonts w:cstheme="minorHAnsi"/>
          <w:color w:val="222222"/>
          <w:shd w:val="clear" w:color="auto" w:fill="FFFFFF"/>
        </w:rPr>
        <w:t>Kretschmer, S., &amp; Müller, G. (2017). The wave 6 NEPS adult study incentive experiment. </w:t>
      </w:r>
      <w:r w:rsidRPr="003915FD">
        <w:rPr>
          <w:rFonts w:cstheme="minorHAnsi"/>
          <w:i/>
          <w:iCs/>
          <w:color w:val="222222"/>
          <w:shd w:val="clear" w:color="auto" w:fill="FFFFFF"/>
        </w:rPr>
        <w:t>Methods, data, analyses: a journal for quantitative methods and survey methodology (mda)</w:t>
      </w:r>
      <w:r w:rsidRPr="003915FD">
        <w:rPr>
          <w:rFonts w:cstheme="minorHAnsi"/>
          <w:color w:val="222222"/>
          <w:shd w:val="clear" w:color="auto" w:fill="FFFFFF"/>
        </w:rPr>
        <w:t>, </w:t>
      </w:r>
      <w:r w:rsidRPr="003915FD">
        <w:rPr>
          <w:rFonts w:cstheme="minorHAnsi"/>
          <w:i/>
          <w:iCs/>
          <w:color w:val="222222"/>
          <w:shd w:val="clear" w:color="auto" w:fill="FFFFFF"/>
        </w:rPr>
        <w:t>11</w:t>
      </w:r>
      <w:r w:rsidRPr="003915FD">
        <w:rPr>
          <w:rFonts w:cstheme="minorHAnsi"/>
          <w:color w:val="222222"/>
          <w:shd w:val="clear" w:color="auto" w:fill="FFFFFF"/>
        </w:rPr>
        <w:t>(1), 7-28.</w:t>
      </w:r>
    </w:p>
    <w:p w:rsidRPr="0061763A" w:rsidR="00823355" w:rsidP="00823355" w:rsidRDefault="00823355" w14:paraId="1AE8051A" w14:textId="77777777">
      <w:pPr>
        <w:pStyle w:val="ListParagraph"/>
        <w:numPr>
          <w:ilvl w:val="0"/>
          <w:numId w:val="16"/>
        </w:numPr>
        <w:spacing w:after="0" w:line="240" w:lineRule="auto"/>
        <w:contextualSpacing w:val="0"/>
        <w:rPr>
          <w:rFonts w:cstheme="minorHAnsi"/>
        </w:rPr>
      </w:pPr>
      <w:r w:rsidRPr="00FA7049">
        <w:rPr>
          <w:rFonts w:cstheme="minorHAnsi"/>
        </w:rPr>
        <w:t xml:space="preserve">Compared a </w:t>
      </w:r>
      <w:r w:rsidRPr="00FA7049">
        <w:rPr>
          <w:rFonts w:cstheme="minorHAnsi"/>
          <w:b/>
          <w:bCs/>
        </w:rPr>
        <w:t>~$10</w:t>
      </w:r>
      <w:r w:rsidRPr="00FA7049">
        <w:rPr>
          <w:rFonts w:cstheme="minorHAnsi"/>
        </w:rPr>
        <w:t xml:space="preserve"> prepaid incentive to a ~$20 conditional incentive at Wave 6 of panel survey. Found that prepaid </w:t>
      </w:r>
      <w:r w:rsidRPr="0061763A">
        <w:rPr>
          <w:rFonts w:cstheme="minorHAnsi"/>
        </w:rPr>
        <w:t xml:space="preserve">incentives led to higher response rates, especially those with lower education </w:t>
      </w:r>
    </w:p>
    <w:p w:rsidRPr="0061763A" w:rsidR="00AE4562" w:rsidP="00AE4562" w:rsidRDefault="00AE4562" w14:paraId="60D056F4" w14:textId="77777777">
      <w:pPr>
        <w:spacing w:after="0" w:line="240" w:lineRule="auto"/>
        <w:rPr>
          <w:rFonts w:cstheme="minorHAnsi"/>
        </w:rPr>
      </w:pPr>
    </w:p>
    <w:p w:rsidRPr="0061763A" w:rsidR="00AE4562" w:rsidP="00AE4562" w:rsidRDefault="00AE4562" w14:paraId="13C1CDB0" w14:textId="20F74EF1">
      <w:pPr>
        <w:spacing w:after="0" w:line="240" w:lineRule="auto"/>
        <w:rPr>
          <w:rFonts w:cstheme="minorHAnsi"/>
        </w:rPr>
      </w:pPr>
      <w:r w:rsidRPr="0061763A">
        <w:rPr>
          <w:rFonts w:cstheme="minorHAnsi"/>
        </w:rPr>
        <w:t>To, Nhien (2015). Review of Federal Survey Program Experiences with Incentives (unpublished report).</w:t>
      </w:r>
    </w:p>
    <w:p w:rsidRPr="0061763A" w:rsidR="00823355" w:rsidP="00823355" w:rsidRDefault="00823355" w14:paraId="6463371E" w14:textId="77777777">
      <w:pPr>
        <w:pStyle w:val="ListParagraph"/>
        <w:spacing w:after="0" w:line="240" w:lineRule="auto"/>
        <w:contextualSpacing w:val="0"/>
        <w:rPr>
          <w:rFonts w:cstheme="minorHAnsi"/>
        </w:rPr>
      </w:pPr>
    </w:p>
    <w:p w:rsidRPr="0061763A" w:rsidR="00920A58" w:rsidP="00920A58" w:rsidRDefault="00920A58" w14:paraId="6B83B935" w14:textId="2C235A36">
      <w:pPr>
        <w:spacing w:after="0" w:line="240" w:lineRule="auto"/>
        <w:rPr>
          <w:rFonts w:cstheme="minorHAnsi"/>
          <w:shd w:val="clear" w:color="auto" w:fill="FFFFFF"/>
        </w:rPr>
      </w:pPr>
      <w:r w:rsidRPr="0061763A">
        <w:rPr>
          <w:rFonts w:cstheme="minorHAnsi"/>
          <w:shd w:val="clear" w:color="auto" w:fill="FFFFFF"/>
        </w:rPr>
        <w:t>Yu, S., Alper, H. E., Nguyen, A. M., Brackbill, R. M., Turner, L., Walker, D. J., ... &amp; Zweig, K. C. (2017). The effectiveness of a monetary incentive offer on survey response rates and response completeness in a longitudinal study. </w:t>
      </w:r>
      <w:r w:rsidRPr="0061763A">
        <w:rPr>
          <w:rFonts w:cstheme="minorHAnsi"/>
          <w:i/>
          <w:iCs/>
          <w:shd w:val="clear" w:color="auto" w:fill="FFFFFF"/>
        </w:rPr>
        <w:t>BMC medical research methodology</w:t>
      </w:r>
      <w:r w:rsidRPr="0061763A">
        <w:rPr>
          <w:rFonts w:cstheme="minorHAnsi"/>
          <w:shd w:val="clear" w:color="auto" w:fill="FFFFFF"/>
        </w:rPr>
        <w:t>, </w:t>
      </w:r>
      <w:r w:rsidRPr="0061763A">
        <w:rPr>
          <w:rFonts w:cstheme="minorHAnsi"/>
          <w:i/>
          <w:iCs/>
          <w:shd w:val="clear" w:color="auto" w:fill="FFFFFF"/>
        </w:rPr>
        <w:t>17</w:t>
      </w:r>
      <w:r w:rsidRPr="0061763A">
        <w:rPr>
          <w:rFonts w:cstheme="minorHAnsi"/>
          <w:shd w:val="clear" w:color="auto" w:fill="FFFFFF"/>
        </w:rPr>
        <w:t>(1), 77.</w:t>
      </w:r>
    </w:p>
    <w:p w:rsidRPr="0061763A" w:rsidR="00823355" w:rsidP="00823355" w:rsidRDefault="00823355" w14:paraId="60CD0F53" w14:textId="77777777">
      <w:pPr>
        <w:pStyle w:val="ListParagraph"/>
        <w:numPr>
          <w:ilvl w:val="0"/>
          <w:numId w:val="15"/>
        </w:numPr>
        <w:spacing w:after="0" w:line="240" w:lineRule="auto"/>
        <w:contextualSpacing w:val="0"/>
        <w:rPr>
          <w:rFonts w:cstheme="minorHAnsi"/>
        </w:rPr>
      </w:pPr>
      <w:r w:rsidRPr="0061763A">
        <w:rPr>
          <w:rFonts w:cstheme="minorHAnsi"/>
          <w:b/>
          <w:bCs/>
        </w:rPr>
        <w:t>$10</w:t>
      </w:r>
      <w:r w:rsidRPr="0061763A">
        <w:rPr>
          <w:rFonts w:cstheme="minorHAnsi"/>
        </w:rPr>
        <w:t xml:space="preserve"> incentive was effective at increasing Wave 4 response rates, especially in encouraging initially reluctant respondents </w:t>
      </w:r>
    </w:p>
    <w:p w:rsidRPr="00FA7049" w:rsidR="00920A58" w:rsidP="00823355" w:rsidRDefault="00920A58" w14:paraId="1512C6DD" w14:textId="77777777">
      <w:pPr>
        <w:pStyle w:val="ListParagraph"/>
        <w:spacing w:after="0" w:line="240" w:lineRule="auto"/>
        <w:rPr>
          <w:rFonts w:cstheme="minorHAnsi"/>
        </w:rPr>
      </w:pPr>
      <w:bookmarkStart w:name="_GoBack" w:id="0"/>
      <w:bookmarkEnd w:id="0"/>
    </w:p>
    <w:sectPr w:rsidRPr="00FA7049" w:rsidR="00920A5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DCBF5" w14:textId="77777777" w:rsidR="00AE4562" w:rsidRDefault="00AE4562" w:rsidP="003200A0">
      <w:pPr>
        <w:spacing w:after="0" w:line="240" w:lineRule="auto"/>
      </w:pPr>
      <w:r>
        <w:separator/>
      </w:r>
    </w:p>
  </w:endnote>
  <w:endnote w:type="continuationSeparator" w:id="0">
    <w:p w14:paraId="09856F28" w14:textId="77777777" w:rsidR="00AE4562" w:rsidRDefault="00AE4562" w:rsidP="0032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202871"/>
      <w:docPartObj>
        <w:docPartGallery w:val="Page Numbers (Bottom of Page)"/>
        <w:docPartUnique/>
      </w:docPartObj>
    </w:sdtPr>
    <w:sdtEndPr>
      <w:rPr>
        <w:noProof/>
      </w:rPr>
    </w:sdtEndPr>
    <w:sdtContent>
      <w:p w14:paraId="0077D3EF" w14:textId="72260F64" w:rsidR="00AE4562" w:rsidRDefault="00AE4562">
        <w:pPr>
          <w:pStyle w:val="Footer"/>
          <w:jc w:val="right"/>
        </w:pPr>
        <w:r>
          <w:fldChar w:fldCharType="begin"/>
        </w:r>
        <w:r>
          <w:instrText xml:space="preserve"> PAGE   \* MERGEFORMAT </w:instrText>
        </w:r>
        <w:r>
          <w:fldChar w:fldCharType="separate"/>
        </w:r>
        <w:r w:rsidR="0061763A">
          <w:rPr>
            <w:noProof/>
          </w:rPr>
          <w:t>1</w:t>
        </w:r>
        <w:r>
          <w:rPr>
            <w:noProof/>
          </w:rPr>
          <w:fldChar w:fldCharType="end"/>
        </w:r>
      </w:p>
    </w:sdtContent>
  </w:sdt>
  <w:p w14:paraId="4F494034" w14:textId="77777777" w:rsidR="00AE4562" w:rsidRDefault="00AE4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22937" w14:textId="77777777" w:rsidR="00AE4562" w:rsidRDefault="00AE4562" w:rsidP="003200A0">
      <w:pPr>
        <w:spacing w:after="0" w:line="240" w:lineRule="auto"/>
      </w:pPr>
      <w:r>
        <w:separator/>
      </w:r>
    </w:p>
  </w:footnote>
  <w:footnote w:type="continuationSeparator" w:id="0">
    <w:p w14:paraId="09B2F72F" w14:textId="77777777" w:rsidR="00AE4562" w:rsidRDefault="00AE4562" w:rsidP="003200A0">
      <w:pPr>
        <w:spacing w:after="0" w:line="240" w:lineRule="auto"/>
      </w:pPr>
      <w:r>
        <w:continuationSeparator/>
      </w:r>
    </w:p>
  </w:footnote>
  <w:footnote w:id="1">
    <w:p w14:paraId="1868FD87" w14:textId="5C6465E4" w:rsidR="00AE4562" w:rsidRDefault="00AE4562">
      <w:pPr>
        <w:pStyle w:val="FootnoteText"/>
      </w:pPr>
      <w:r>
        <w:rPr>
          <w:rStyle w:val="FootnoteReference"/>
        </w:rPr>
        <w:footnoteRef/>
      </w:r>
      <w:r>
        <w:t xml:space="preserve"> That is, cases that provided phone numbers in CPS and were not converted to incentive cases.</w:t>
      </w:r>
    </w:p>
  </w:footnote>
  <w:footnote w:id="2">
    <w:p w14:paraId="09015EA8" w14:textId="3B0F3B57" w:rsidR="00AE4562" w:rsidRDefault="00AE4562">
      <w:pPr>
        <w:pStyle w:val="FootnoteText"/>
      </w:pPr>
      <w:r>
        <w:rPr>
          <w:rStyle w:val="FootnoteReference"/>
        </w:rPr>
        <w:footnoteRef/>
      </w:r>
      <w:r>
        <w:t xml:space="preserve"> Approximately one-third of ATUS debit cards are cashed.</w:t>
      </w:r>
    </w:p>
  </w:footnote>
  <w:footnote w:id="3">
    <w:p w14:paraId="776CD22E" w14:textId="67026987" w:rsidR="00AE4562" w:rsidRDefault="00AE4562">
      <w:pPr>
        <w:pStyle w:val="FootnoteText"/>
      </w:pPr>
      <w:r>
        <w:rPr>
          <w:rStyle w:val="FootnoteReference"/>
        </w:rPr>
        <w:footnoteRef/>
      </w:r>
      <w:r>
        <w:t xml:space="preserve"> These funds were returned to the U.S. Treasury, as required by law.</w:t>
      </w:r>
    </w:p>
  </w:footnote>
  <w:footnote w:id="4">
    <w:p w14:paraId="6127621E" w14:textId="13335930" w:rsidR="00AE4562" w:rsidRDefault="00AE4562">
      <w:pPr>
        <w:pStyle w:val="FootnoteText"/>
      </w:pPr>
      <w:r>
        <w:rPr>
          <w:rStyle w:val="FootnoteReference"/>
        </w:rPr>
        <w:footnoteRef/>
      </w:r>
      <w:r>
        <w:t xml:space="preserve"> For example, see Andrew Mercer, et al. “</w:t>
      </w:r>
      <w:r w:rsidRPr="00854EB2">
        <w:t>How much gets you how much? Monetary incentives and response rates in household surveys</w:t>
      </w:r>
      <w:r>
        <w:t xml:space="preserve">,” </w:t>
      </w:r>
      <w:r w:rsidRPr="00854EB2">
        <w:rPr>
          <w:i/>
        </w:rPr>
        <w:t>Public Opinion Quarterly</w:t>
      </w:r>
      <w:r>
        <w:t>, Spring 2015, pp. 105-129. This study is a meta-analysis of literature on the topic of incentives and household surveys.</w:t>
      </w:r>
    </w:p>
  </w:footnote>
  <w:footnote w:id="5">
    <w:p w14:paraId="57146B59" w14:textId="216883D9" w:rsidR="00AE4562" w:rsidRDefault="00AE4562">
      <w:pPr>
        <w:pStyle w:val="FootnoteText"/>
      </w:pPr>
      <w:r>
        <w:rPr>
          <w:rStyle w:val="FootnoteReference"/>
        </w:rPr>
        <w:footnoteRef/>
      </w:r>
      <w:r>
        <w:t xml:space="preserve"> Eligible cases will be identified by INCNTFLG=0, PUAGE values of 15 to 24, and PRTAGE values of 15 to 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17BF"/>
    <w:multiLevelType w:val="hybridMultilevel"/>
    <w:tmpl w:val="D82C8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A2A4A"/>
    <w:multiLevelType w:val="hybridMultilevel"/>
    <w:tmpl w:val="480C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C3819"/>
    <w:multiLevelType w:val="hybridMultilevel"/>
    <w:tmpl w:val="A638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9104C"/>
    <w:multiLevelType w:val="hybridMultilevel"/>
    <w:tmpl w:val="F7E46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574C9"/>
    <w:multiLevelType w:val="hybridMultilevel"/>
    <w:tmpl w:val="BC163A0C"/>
    <w:lvl w:ilvl="0" w:tplc="FD7AB5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77889"/>
    <w:multiLevelType w:val="hybridMultilevel"/>
    <w:tmpl w:val="DC24E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747BF"/>
    <w:multiLevelType w:val="hybridMultilevel"/>
    <w:tmpl w:val="5DE22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941D4B"/>
    <w:multiLevelType w:val="hybridMultilevel"/>
    <w:tmpl w:val="03AA0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2536D"/>
    <w:multiLevelType w:val="hybridMultilevel"/>
    <w:tmpl w:val="DCA8C95A"/>
    <w:lvl w:ilvl="0" w:tplc="033ED68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92888"/>
    <w:multiLevelType w:val="hybridMultilevel"/>
    <w:tmpl w:val="5CAC8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961C5"/>
    <w:multiLevelType w:val="hybridMultilevel"/>
    <w:tmpl w:val="41AA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24116"/>
    <w:multiLevelType w:val="hybridMultilevel"/>
    <w:tmpl w:val="F3B4E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46B1982"/>
    <w:multiLevelType w:val="hybridMultilevel"/>
    <w:tmpl w:val="E078F50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A82F9C"/>
    <w:multiLevelType w:val="hybridMultilevel"/>
    <w:tmpl w:val="734A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E07B5"/>
    <w:multiLevelType w:val="hybridMultilevel"/>
    <w:tmpl w:val="8B7CB5BE"/>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71AF2858"/>
    <w:multiLevelType w:val="hybridMultilevel"/>
    <w:tmpl w:val="DA04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63C3F"/>
    <w:multiLevelType w:val="hybridMultilevel"/>
    <w:tmpl w:val="2DF46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6"/>
  </w:num>
  <w:num w:numId="4">
    <w:abstractNumId w:val="9"/>
  </w:num>
  <w:num w:numId="5">
    <w:abstractNumId w:val="4"/>
  </w:num>
  <w:num w:numId="6">
    <w:abstractNumId w:val="0"/>
  </w:num>
  <w:num w:numId="7">
    <w:abstractNumId w:val="3"/>
  </w:num>
  <w:num w:numId="8">
    <w:abstractNumId w:val="13"/>
  </w:num>
  <w:num w:numId="9">
    <w:abstractNumId w:val="12"/>
  </w:num>
  <w:num w:numId="10">
    <w:abstractNumId w:val="16"/>
  </w:num>
  <w:num w:numId="11">
    <w:abstractNumId w:val="7"/>
  </w:num>
  <w:num w:numId="12">
    <w:abstractNumId w:val="1"/>
  </w:num>
  <w:num w:numId="13">
    <w:abstractNumId w:val="10"/>
  </w:num>
  <w:num w:numId="14">
    <w:abstractNumId w:val="15"/>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50"/>
    <w:rsid w:val="00017C59"/>
    <w:rsid w:val="000201B1"/>
    <w:rsid w:val="00032E7F"/>
    <w:rsid w:val="00033471"/>
    <w:rsid w:val="00037926"/>
    <w:rsid w:val="00040F53"/>
    <w:rsid w:val="00052C1D"/>
    <w:rsid w:val="000534F5"/>
    <w:rsid w:val="0005438E"/>
    <w:rsid w:val="00061399"/>
    <w:rsid w:val="00063364"/>
    <w:rsid w:val="000875BE"/>
    <w:rsid w:val="00087F25"/>
    <w:rsid w:val="000933B0"/>
    <w:rsid w:val="00095162"/>
    <w:rsid w:val="000A02EC"/>
    <w:rsid w:val="000A1576"/>
    <w:rsid w:val="000B5CB4"/>
    <w:rsid w:val="000D107B"/>
    <w:rsid w:val="000D12DA"/>
    <w:rsid w:val="000D30A8"/>
    <w:rsid w:val="000E043B"/>
    <w:rsid w:val="000E0DA3"/>
    <w:rsid w:val="000F2221"/>
    <w:rsid w:val="00102E4C"/>
    <w:rsid w:val="001042C0"/>
    <w:rsid w:val="00106209"/>
    <w:rsid w:val="00110E84"/>
    <w:rsid w:val="001131BD"/>
    <w:rsid w:val="001135A5"/>
    <w:rsid w:val="001154C0"/>
    <w:rsid w:val="0012537E"/>
    <w:rsid w:val="001321A6"/>
    <w:rsid w:val="00141277"/>
    <w:rsid w:val="00141B8E"/>
    <w:rsid w:val="001517D1"/>
    <w:rsid w:val="00152E9F"/>
    <w:rsid w:val="00157291"/>
    <w:rsid w:val="00157C0C"/>
    <w:rsid w:val="0016313F"/>
    <w:rsid w:val="0017443B"/>
    <w:rsid w:val="0017461B"/>
    <w:rsid w:val="00174D6C"/>
    <w:rsid w:val="001822D3"/>
    <w:rsid w:val="00183669"/>
    <w:rsid w:val="001967C4"/>
    <w:rsid w:val="00197F29"/>
    <w:rsid w:val="001A3126"/>
    <w:rsid w:val="001A61CF"/>
    <w:rsid w:val="001A635A"/>
    <w:rsid w:val="001B0C06"/>
    <w:rsid w:val="001B5ED8"/>
    <w:rsid w:val="001B7AA3"/>
    <w:rsid w:val="001C3552"/>
    <w:rsid w:val="001C6156"/>
    <w:rsid w:val="001D30B9"/>
    <w:rsid w:val="001D3B5C"/>
    <w:rsid w:val="001D3E64"/>
    <w:rsid w:val="001E4BF4"/>
    <w:rsid w:val="001F13F5"/>
    <w:rsid w:val="00205805"/>
    <w:rsid w:val="00215040"/>
    <w:rsid w:val="00216E50"/>
    <w:rsid w:val="00220DD8"/>
    <w:rsid w:val="00223D87"/>
    <w:rsid w:val="00246095"/>
    <w:rsid w:val="002539E9"/>
    <w:rsid w:val="00272416"/>
    <w:rsid w:val="002767F0"/>
    <w:rsid w:val="00285276"/>
    <w:rsid w:val="00285373"/>
    <w:rsid w:val="0028693A"/>
    <w:rsid w:val="00292641"/>
    <w:rsid w:val="00293214"/>
    <w:rsid w:val="002A14C2"/>
    <w:rsid w:val="002A553D"/>
    <w:rsid w:val="002B1C20"/>
    <w:rsid w:val="002C3499"/>
    <w:rsid w:val="002C4960"/>
    <w:rsid w:val="002C5F2B"/>
    <w:rsid w:val="002D1159"/>
    <w:rsid w:val="002E5CDC"/>
    <w:rsid w:val="002F605B"/>
    <w:rsid w:val="002F7A0B"/>
    <w:rsid w:val="00302741"/>
    <w:rsid w:val="003058BA"/>
    <w:rsid w:val="00311C44"/>
    <w:rsid w:val="003200A0"/>
    <w:rsid w:val="003251BD"/>
    <w:rsid w:val="003342F2"/>
    <w:rsid w:val="00346869"/>
    <w:rsid w:val="00354C79"/>
    <w:rsid w:val="00354FF1"/>
    <w:rsid w:val="0037474E"/>
    <w:rsid w:val="003804EA"/>
    <w:rsid w:val="00386A0B"/>
    <w:rsid w:val="003915FD"/>
    <w:rsid w:val="003A55AF"/>
    <w:rsid w:val="003A6404"/>
    <w:rsid w:val="003A7FAE"/>
    <w:rsid w:val="003B253F"/>
    <w:rsid w:val="003B50C7"/>
    <w:rsid w:val="003B516D"/>
    <w:rsid w:val="003B6A79"/>
    <w:rsid w:val="003C10DD"/>
    <w:rsid w:val="003C23C9"/>
    <w:rsid w:val="003F1B52"/>
    <w:rsid w:val="003F323C"/>
    <w:rsid w:val="00401980"/>
    <w:rsid w:val="0040361C"/>
    <w:rsid w:val="004040F5"/>
    <w:rsid w:val="00416EDD"/>
    <w:rsid w:val="00417880"/>
    <w:rsid w:val="0042419D"/>
    <w:rsid w:val="00425595"/>
    <w:rsid w:val="00426F1F"/>
    <w:rsid w:val="004373C8"/>
    <w:rsid w:val="00457680"/>
    <w:rsid w:val="00457890"/>
    <w:rsid w:val="00460DCE"/>
    <w:rsid w:val="00472CEA"/>
    <w:rsid w:val="00475503"/>
    <w:rsid w:val="00497604"/>
    <w:rsid w:val="004A17E9"/>
    <w:rsid w:val="004A420E"/>
    <w:rsid w:val="004A4A09"/>
    <w:rsid w:val="004B46A8"/>
    <w:rsid w:val="004C36CC"/>
    <w:rsid w:val="004D0334"/>
    <w:rsid w:val="004D291A"/>
    <w:rsid w:val="004E1FE6"/>
    <w:rsid w:val="0050363F"/>
    <w:rsid w:val="00505CDA"/>
    <w:rsid w:val="0051482A"/>
    <w:rsid w:val="00516E43"/>
    <w:rsid w:val="00517652"/>
    <w:rsid w:val="005205B7"/>
    <w:rsid w:val="005231D9"/>
    <w:rsid w:val="0052370D"/>
    <w:rsid w:val="00524DBC"/>
    <w:rsid w:val="00526ABD"/>
    <w:rsid w:val="00536834"/>
    <w:rsid w:val="005511DC"/>
    <w:rsid w:val="005628C5"/>
    <w:rsid w:val="00575578"/>
    <w:rsid w:val="0057675B"/>
    <w:rsid w:val="00585D8D"/>
    <w:rsid w:val="00597F60"/>
    <w:rsid w:val="005A088E"/>
    <w:rsid w:val="005A3CB1"/>
    <w:rsid w:val="005B43A0"/>
    <w:rsid w:val="005B4B1F"/>
    <w:rsid w:val="005C2F00"/>
    <w:rsid w:val="005C4561"/>
    <w:rsid w:val="005C5FE5"/>
    <w:rsid w:val="005E0D65"/>
    <w:rsid w:val="005E2C6C"/>
    <w:rsid w:val="005E429A"/>
    <w:rsid w:val="005F74BE"/>
    <w:rsid w:val="006000D7"/>
    <w:rsid w:val="00604ADE"/>
    <w:rsid w:val="0061763A"/>
    <w:rsid w:val="00624199"/>
    <w:rsid w:val="0062713A"/>
    <w:rsid w:val="00627615"/>
    <w:rsid w:val="00635C1B"/>
    <w:rsid w:val="00643115"/>
    <w:rsid w:val="0064570F"/>
    <w:rsid w:val="006466C5"/>
    <w:rsid w:val="00663057"/>
    <w:rsid w:val="00667649"/>
    <w:rsid w:val="00667D91"/>
    <w:rsid w:val="00676C86"/>
    <w:rsid w:val="0069078B"/>
    <w:rsid w:val="006A3823"/>
    <w:rsid w:val="006B1457"/>
    <w:rsid w:val="006C1641"/>
    <w:rsid w:val="006F68CB"/>
    <w:rsid w:val="00700A41"/>
    <w:rsid w:val="00701C38"/>
    <w:rsid w:val="0070270D"/>
    <w:rsid w:val="0070711B"/>
    <w:rsid w:val="00723607"/>
    <w:rsid w:val="00731736"/>
    <w:rsid w:val="0073295C"/>
    <w:rsid w:val="0074690B"/>
    <w:rsid w:val="00753080"/>
    <w:rsid w:val="00784CBA"/>
    <w:rsid w:val="00787F47"/>
    <w:rsid w:val="0079796C"/>
    <w:rsid w:val="007D3B63"/>
    <w:rsid w:val="007E5E01"/>
    <w:rsid w:val="00802492"/>
    <w:rsid w:val="0081352A"/>
    <w:rsid w:val="00823355"/>
    <w:rsid w:val="00833D57"/>
    <w:rsid w:val="0084464F"/>
    <w:rsid w:val="008532B0"/>
    <w:rsid w:val="00854EB2"/>
    <w:rsid w:val="0085563F"/>
    <w:rsid w:val="008649DA"/>
    <w:rsid w:val="0087186C"/>
    <w:rsid w:val="00872BF4"/>
    <w:rsid w:val="0088164B"/>
    <w:rsid w:val="0088768F"/>
    <w:rsid w:val="00894413"/>
    <w:rsid w:val="008A5221"/>
    <w:rsid w:val="008A6847"/>
    <w:rsid w:val="008B05FD"/>
    <w:rsid w:val="008B7A88"/>
    <w:rsid w:val="008C709E"/>
    <w:rsid w:val="008D0662"/>
    <w:rsid w:val="008D1EF9"/>
    <w:rsid w:val="008D7F2C"/>
    <w:rsid w:val="008E5D3C"/>
    <w:rsid w:val="008F1D62"/>
    <w:rsid w:val="00900943"/>
    <w:rsid w:val="00901DAC"/>
    <w:rsid w:val="00901EA6"/>
    <w:rsid w:val="009040C9"/>
    <w:rsid w:val="00904F81"/>
    <w:rsid w:val="009140A9"/>
    <w:rsid w:val="009179FE"/>
    <w:rsid w:val="00920A58"/>
    <w:rsid w:val="00920F0E"/>
    <w:rsid w:val="009210FA"/>
    <w:rsid w:val="0092431E"/>
    <w:rsid w:val="00925653"/>
    <w:rsid w:val="00926F95"/>
    <w:rsid w:val="00936E36"/>
    <w:rsid w:val="00946BD9"/>
    <w:rsid w:val="009702CA"/>
    <w:rsid w:val="0097279F"/>
    <w:rsid w:val="0097502F"/>
    <w:rsid w:val="00982759"/>
    <w:rsid w:val="009847D7"/>
    <w:rsid w:val="00985EC5"/>
    <w:rsid w:val="00986965"/>
    <w:rsid w:val="009A1181"/>
    <w:rsid w:val="009B392A"/>
    <w:rsid w:val="009B4EBE"/>
    <w:rsid w:val="009B6726"/>
    <w:rsid w:val="009C7D75"/>
    <w:rsid w:val="009D1133"/>
    <w:rsid w:val="009D179E"/>
    <w:rsid w:val="009D3D02"/>
    <w:rsid w:val="009D4BD7"/>
    <w:rsid w:val="009D7EA5"/>
    <w:rsid w:val="009F2811"/>
    <w:rsid w:val="009F5503"/>
    <w:rsid w:val="00A00DEA"/>
    <w:rsid w:val="00A03997"/>
    <w:rsid w:val="00A061FD"/>
    <w:rsid w:val="00A11AC3"/>
    <w:rsid w:val="00A127E8"/>
    <w:rsid w:val="00A300A2"/>
    <w:rsid w:val="00A32FB5"/>
    <w:rsid w:val="00A347D4"/>
    <w:rsid w:val="00A45736"/>
    <w:rsid w:val="00A66697"/>
    <w:rsid w:val="00A83700"/>
    <w:rsid w:val="00A91D50"/>
    <w:rsid w:val="00A97E52"/>
    <w:rsid w:val="00AA1723"/>
    <w:rsid w:val="00AB2D90"/>
    <w:rsid w:val="00AB48EC"/>
    <w:rsid w:val="00AC1E33"/>
    <w:rsid w:val="00AC579A"/>
    <w:rsid w:val="00AC5E58"/>
    <w:rsid w:val="00AC69FC"/>
    <w:rsid w:val="00AD0F7E"/>
    <w:rsid w:val="00AD1CBD"/>
    <w:rsid w:val="00AD488A"/>
    <w:rsid w:val="00AD4A0D"/>
    <w:rsid w:val="00AD4CEB"/>
    <w:rsid w:val="00AD4D61"/>
    <w:rsid w:val="00AE4285"/>
    <w:rsid w:val="00AE4562"/>
    <w:rsid w:val="00AF586F"/>
    <w:rsid w:val="00B046CE"/>
    <w:rsid w:val="00B126AC"/>
    <w:rsid w:val="00B150C8"/>
    <w:rsid w:val="00B1585D"/>
    <w:rsid w:val="00B17C20"/>
    <w:rsid w:val="00B31058"/>
    <w:rsid w:val="00B36233"/>
    <w:rsid w:val="00B3625E"/>
    <w:rsid w:val="00B37DEA"/>
    <w:rsid w:val="00B41C75"/>
    <w:rsid w:val="00B4473F"/>
    <w:rsid w:val="00B47420"/>
    <w:rsid w:val="00B5513A"/>
    <w:rsid w:val="00B568C5"/>
    <w:rsid w:val="00B634F3"/>
    <w:rsid w:val="00B73969"/>
    <w:rsid w:val="00B7586D"/>
    <w:rsid w:val="00B87B31"/>
    <w:rsid w:val="00B93528"/>
    <w:rsid w:val="00BA2C10"/>
    <w:rsid w:val="00BA3471"/>
    <w:rsid w:val="00BB3B68"/>
    <w:rsid w:val="00BB5F61"/>
    <w:rsid w:val="00BC3CA8"/>
    <w:rsid w:val="00BE5BAD"/>
    <w:rsid w:val="00BF012E"/>
    <w:rsid w:val="00BF16D4"/>
    <w:rsid w:val="00BF3505"/>
    <w:rsid w:val="00C102B2"/>
    <w:rsid w:val="00C13598"/>
    <w:rsid w:val="00C136EC"/>
    <w:rsid w:val="00C21658"/>
    <w:rsid w:val="00C2357B"/>
    <w:rsid w:val="00C25559"/>
    <w:rsid w:val="00C30F7F"/>
    <w:rsid w:val="00C31B49"/>
    <w:rsid w:val="00C334A4"/>
    <w:rsid w:val="00C34FA5"/>
    <w:rsid w:val="00C51F3A"/>
    <w:rsid w:val="00C51FC9"/>
    <w:rsid w:val="00C54F93"/>
    <w:rsid w:val="00C6383D"/>
    <w:rsid w:val="00C83057"/>
    <w:rsid w:val="00C86C95"/>
    <w:rsid w:val="00C94628"/>
    <w:rsid w:val="00CA548F"/>
    <w:rsid w:val="00CC3191"/>
    <w:rsid w:val="00CC52EB"/>
    <w:rsid w:val="00CD07BF"/>
    <w:rsid w:val="00D06B27"/>
    <w:rsid w:val="00D07F2A"/>
    <w:rsid w:val="00D10A25"/>
    <w:rsid w:val="00D1368F"/>
    <w:rsid w:val="00D21462"/>
    <w:rsid w:val="00D22FB2"/>
    <w:rsid w:val="00D243BF"/>
    <w:rsid w:val="00D26626"/>
    <w:rsid w:val="00D328FC"/>
    <w:rsid w:val="00D453B3"/>
    <w:rsid w:val="00D5238B"/>
    <w:rsid w:val="00D5651A"/>
    <w:rsid w:val="00D64BAC"/>
    <w:rsid w:val="00D65916"/>
    <w:rsid w:val="00D66D9F"/>
    <w:rsid w:val="00D716DC"/>
    <w:rsid w:val="00D80511"/>
    <w:rsid w:val="00D90606"/>
    <w:rsid w:val="00D93E6B"/>
    <w:rsid w:val="00DA27C7"/>
    <w:rsid w:val="00DB18E7"/>
    <w:rsid w:val="00DB4D89"/>
    <w:rsid w:val="00DB6753"/>
    <w:rsid w:val="00DB7E07"/>
    <w:rsid w:val="00DC1CCF"/>
    <w:rsid w:val="00DC437E"/>
    <w:rsid w:val="00DC7525"/>
    <w:rsid w:val="00DE1A00"/>
    <w:rsid w:val="00DE30AB"/>
    <w:rsid w:val="00DE31AA"/>
    <w:rsid w:val="00DF1D4A"/>
    <w:rsid w:val="00DF4267"/>
    <w:rsid w:val="00E117ED"/>
    <w:rsid w:val="00E3778B"/>
    <w:rsid w:val="00E40271"/>
    <w:rsid w:val="00E53744"/>
    <w:rsid w:val="00E53C7D"/>
    <w:rsid w:val="00E629B9"/>
    <w:rsid w:val="00E667A6"/>
    <w:rsid w:val="00E7020A"/>
    <w:rsid w:val="00E85E57"/>
    <w:rsid w:val="00EA0A5E"/>
    <w:rsid w:val="00EA25CB"/>
    <w:rsid w:val="00EC27CC"/>
    <w:rsid w:val="00EC59E1"/>
    <w:rsid w:val="00EC72F3"/>
    <w:rsid w:val="00ED35E9"/>
    <w:rsid w:val="00EF6369"/>
    <w:rsid w:val="00F12CFF"/>
    <w:rsid w:val="00F13A01"/>
    <w:rsid w:val="00F146AD"/>
    <w:rsid w:val="00F35A4D"/>
    <w:rsid w:val="00F36759"/>
    <w:rsid w:val="00F4307B"/>
    <w:rsid w:val="00F436FC"/>
    <w:rsid w:val="00F566E8"/>
    <w:rsid w:val="00F604A7"/>
    <w:rsid w:val="00F619FB"/>
    <w:rsid w:val="00F66B51"/>
    <w:rsid w:val="00F800AC"/>
    <w:rsid w:val="00F81BD5"/>
    <w:rsid w:val="00F83DED"/>
    <w:rsid w:val="00F90292"/>
    <w:rsid w:val="00F93247"/>
    <w:rsid w:val="00F94C30"/>
    <w:rsid w:val="00FA1CA8"/>
    <w:rsid w:val="00FA359A"/>
    <w:rsid w:val="00FA6EA8"/>
    <w:rsid w:val="00FA7049"/>
    <w:rsid w:val="00FB1CF6"/>
    <w:rsid w:val="00FB67C2"/>
    <w:rsid w:val="00FD5A7C"/>
    <w:rsid w:val="00FE1AD7"/>
    <w:rsid w:val="00FE2E31"/>
    <w:rsid w:val="00FE7569"/>
    <w:rsid w:val="00FF3732"/>
    <w:rsid w:val="00FF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17E6"/>
  <w15:chartTrackingRefBased/>
  <w15:docId w15:val="{D082CE43-4F1A-45EE-8430-97BE8A73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3057"/>
    <w:rPr>
      <w:sz w:val="16"/>
      <w:szCs w:val="16"/>
    </w:rPr>
  </w:style>
  <w:style w:type="paragraph" w:styleId="CommentText">
    <w:name w:val="annotation text"/>
    <w:basedOn w:val="Normal"/>
    <w:link w:val="CommentTextChar"/>
    <w:uiPriority w:val="99"/>
    <w:semiHidden/>
    <w:unhideWhenUsed/>
    <w:rsid w:val="00C83057"/>
    <w:pPr>
      <w:spacing w:line="240" w:lineRule="auto"/>
    </w:pPr>
    <w:rPr>
      <w:sz w:val="20"/>
      <w:szCs w:val="20"/>
    </w:rPr>
  </w:style>
  <w:style w:type="character" w:customStyle="1" w:styleId="CommentTextChar">
    <w:name w:val="Comment Text Char"/>
    <w:basedOn w:val="DefaultParagraphFont"/>
    <w:link w:val="CommentText"/>
    <w:uiPriority w:val="99"/>
    <w:semiHidden/>
    <w:rsid w:val="00C83057"/>
    <w:rPr>
      <w:sz w:val="20"/>
      <w:szCs w:val="20"/>
    </w:rPr>
  </w:style>
  <w:style w:type="paragraph" w:styleId="CommentSubject">
    <w:name w:val="annotation subject"/>
    <w:basedOn w:val="CommentText"/>
    <w:next w:val="CommentText"/>
    <w:link w:val="CommentSubjectChar"/>
    <w:uiPriority w:val="99"/>
    <w:semiHidden/>
    <w:unhideWhenUsed/>
    <w:rsid w:val="00C83057"/>
    <w:rPr>
      <w:b/>
      <w:bCs/>
    </w:rPr>
  </w:style>
  <w:style w:type="character" w:customStyle="1" w:styleId="CommentSubjectChar">
    <w:name w:val="Comment Subject Char"/>
    <w:basedOn w:val="CommentTextChar"/>
    <w:link w:val="CommentSubject"/>
    <w:uiPriority w:val="99"/>
    <w:semiHidden/>
    <w:rsid w:val="00C83057"/>
    <w:rPr>
      <w:b/>
      <w:bCs/>
      <w:sz w:val="20"/>
      <w:szCs w:val="20"/>
    </w:rPr>
  </w:style>
  <w:style w:type="paragraph" w:styleId="BalloonText">
    <w:name w:val="Balloon Text"/>
    <w:basedOn w:val="Normal"/>
    <w:link w:val="BalloonTextChar"/>
    <w:uiPriority w:val="99"/>
    <w:semiHidden/>
    <w:unhideWhenUsed/>
    <w:rsid w:val="00C83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057"/>
    <w:rPr>
      <w:rFonts w:ascii="Segoe UI" w:hAnsi="Segoe UI" w:cs="Segoe UI"/>
      <w:sz w:val="18"/>
      <w:szCs w:val="18"/>
    </w:rPr>
  </w:style>
  <w:style w:type="paragraph" w:styleId="ListParagraph">
    <w:name w:val="List Paragraph"/>
    <w:basedOn w:val="Normal"/>
    <w:uiPriority w:val="34"/>
    <w:qFormat/>
    <w:rsid w:val="005511DC"/>
    <w:pPr>
      <w:ind w:left="720"/>
      <w:contextualSpacing/>
    </w:pPr>
  </w:style>
  <w:style w:type="paragraph" w:styleId="Header">
    <w:name w:val="header"/>
    <w:basedOn w:val="Normal"/>
    <w:link w:val="HeaderChar"/>
    <w:uiPriority w:val="99"/>
    <w:unhideWhenUsed/>
    <w:rsid w:val="0032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0A0"/>
  </w:style>
  <w:style w:type="paragraph" w:styleId="Footer">
    <w:name w:val="footer"/>
    <w:basedOn w:val="Normal"/>
    <w:link w:val="FooterChar"/>
    <w:uiPriority w:val="99"/>
    <w:unhideWhenUsed/>
    <w:rsid w:val="0032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0A0"/>
  </w:style>
  <w:style w:type="paragraph" w:styleId="FootnoteText">
    <w:name w:val="footnote text"/>
    <w:basedOn w:val="Normal"/>
    <w:link w:val="FootnoteTextChar"/>
    <w:uiPriority w:val="99"/>
    <w:semiHidden/>
    <w:unhideWhenUsed/>
    <w:rsid w:val="00320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00A0"/>
    <w:rPr>
      <w:sz w:val="20"/>
      <w:szCs w:val="20"/>
    </w:rPr>
  </w:style>
  <w:style w:type="character" w:styleId="FootnoteReference">
    <w:name w:val="footnote reference"/>
    <w:basedOn w:val="DefaultParagraphFont"/>
    <w:uiPriority w:val="99"/>
    <w:semiHidden/>
    <w:unhideWhenUsed/>
    <w:rsid w:val="003200A0"/>
    <w:rPr>
      <w:vertAlign w:val="superscript"/>
    </w:rPr>
  </w:style>
  <w:style w:type="paragraph" w:styleId="Revision">
    <w:name w:val="Revision"/>
    <w:hidden/>
    <w:uiPriority w:val="99"/>
    <w:semiHidden/>
    <w:rsid w:val="00BF3505"/>
    <w:pPr>
      <w:spacing w:after="0" w:line="240" w:lineRule="auto"/>
    </w:pPr>
  </w:style>
  <w:style w:type="character" w:styleId="Hyperlink">
    <w:name w:val="Hyperlink"/>
    <w:basedOn w:val="DefaultParagraphFont"/>
    <w:uiPriority w:val="99"/>
    <w:unhideWhenUsed/>
    <w:rsid w:val="006000D7"/>
    <w:rPr>
      <w:color w:val="0563C1" w:themeColor="hyperlink"/>
      <w:u w:val="single"/>
    </w:rPr>
  </w:style>
  <w:style w:type="character" w:styleId="FollowedHyperlink">
    <w:name w:val="FollowedHyperlink"/>
    <w:basedOn w:val="DefaultParagraphFont"/>
    <w:uiPriority w:val="99"/>
    <w:semiHidden/>
    <w:unhideWhenUsed/>
    <w:rsid w:val="00B17C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7494">
      <w:bodyDiv w:val="1"/>
      <w:marLeft w:val="0"/>
      <w:marRight w:val="0"/>
      <w:marTop w:val="0"/>
      <w:marBottom w:val="0"/>
      <w:divBdr>
        <w:top w:val="none" w:sz="0" w:space="0" w:color="auto"/>
        <w:left w:val="none" w:sz="0" w:space="0" w:color="auto"/>
        <w:bottom w:val="none" w:sz="0" w:space="0" w:color="auto"/>
        <w:right w:val="none" w:sz="0" w:space="0" w:color="auto"/>
      </w:divBdr>
    </w:div>
    <w:div w:id="116527658">
      <w:bodyDiv w:val="1"/>
      <w:marLeft w:val="0"/>
      <w:marRight w:val="0"/>
      <w:marTop w:val="0"/>
      <w:marBottom w:val="0"/>
      <w:divBdr>
        <w:top w:val="none" w:sz="0" w:space="0" w:color="auto"/>
        <w:left w:val="none" w:sz="0" w:space="0" w:color="auto"/>
        <w:bottom w:val="none" w:sz="0" w:space="0" w:color="auto"/>
        <w:right w:val="none" w:sz="0" w:space="0" w:color="auto"/>
      </w:divBdr>
    </w:div>
    <w:div w:id="188572833">
      <w:bodyDiv w:val="1"/>
      <w:marLeft w:val="0"/>
      <w:marRight w:val="0"/>
      <w:marTop w:val="0"/>
      <w:marBottom w:val="0"/>
      <w:divBdr>
        <w:top w:val="none" w:sz="0" w:space="0" w:color="auto"/>
        <w:left w:val="none" w:sz="0" w:space="0" w:color="auto"/>
        <w:bottom w:val="none" w:sz="0" w:space="0" w:color="auto"/>
        <w:right w:val="none" w:sz="0" w:space="0" w:color="auto"/>
      </w:divBdr>
    </w:div>
    <w:div w:id="270626258">
      <w:bodyDiv w:val="1"/>
      <w:marLeft w:val="0"/>
      <w:marRight w:val="0"/>
      <w:marTop w:val="0"/>
      <w:marBottom w:val="0"/>
      <w:divBdr>
        <w:top w:val="none" w:sz="0" w:space="0" w:color="auto"/>
        <w:left w:val="none" w:sz="0" w:space="0" w:color="auto"/>
        <w:bottom w:val="none" w:sz="0" w:space="0" w:color="auto"/>
        <w:right w:val="none" w:sz="0" w:space="0" w:color="auto"/>
      </w:divBdr>
    </w:div>
    <w:div w:id="314649979">
      <w:bodyDiv w:val="1"/>
      <w:marLeft w:val="0"/>
      <w:marRight w:val="0"/>
      <w:marTop w:val="0"/>
      <w:marBottom w:val="0"/>
      <w:divBdr>
        <w:top w:val="none" w:sz="0" w:space="0" w:color="auto"/>
        <w:left w:val="none" w:sz="0" w:space="0" w:color="auto"/>
        <w:bottom w:val="none" w:sz="0" w:space="0" w:color="auto"/>
        <w:right w:val="none" w:sz="0" w:space="0" w:color="auto"/>
      </w:divBdr>
    </w:div>
    <w:div w:id="368798450">
      <w:bodyDiv w:val="1"/>
      <w:marLeft w:val="0"/>
      <w:marRight w:val="0"/>
      <w:marTop w:val="0"/>
      <w:marBottom w:val="0"/>
      <w:divBdr>
        <w:top w:val="none" w:sz="0" w:space="0" w:color="auto"/>
        <w:left w:val="none" w:sz="0" w:space="0" w:color="auto"/>
        <w:bottom w:val="none" w:sz="0" w:space="0" w:color="auto"/>
        <w:right w:val="none" w:sz="0" w:space="0" w:color="auto"/>
      </w:divBdr>
    </w:div>
    <w:div w:id="383218242">
      <w:bodyDiv w:val="1"/>
      <w:marLeft w:val="0"/>
      <w:marRight w:val="0"/>
      <w:marTop w:val="0"/>
      <w:marBottom w:val="0"/>
      <w:divBdr>
        <w:top w:val="none" w:sz="0" w:space="0" w:color="auto"/>
        <w:left w:val="none" w:sz="0" w:space="0" w:color="auto"/>
        <w:bottom w:val="none" w:sz="0" w:space="0" w:color="auto"/>
        <w:right w:val="none" w:sz="0" w:space="0" w:color="auto"/>
      </w:divBdr>
    </w:div>
    <w:div w:id="520438733">
      <w:bodyDiv w:val="1"/>
      <w:marLeft w:val="0"/>
      <w:marRight w:val="0"/>
      <w:marTop w:val="0"/>
      <w:marBottom w:val="0"/>
      <w:divBdr>
        <w:top w:val="none" w:sz="0" w:space="0" w:color="auto"/>
        <w:left w:val="none" w:sz="0" w:space="0" w:color="auto"/>
        <w:bottom w:val="none" w:sz="0" w:space="0" w:color="auto"/>
        <w:right w:val="none" w:sz="0" w:space="0" w:color="auto"/>
      </w:divBdr>
    </w:div>
    <w:div w:id="587884020">
      <w:bodyDiv w:val="1"/>
      <w:marLeft w:val="0"/>
      <w:marRight w:val="0"/>
      <w:marTop w:val="0"/>
      <w:marBottom w:val="0"/>
      <w:divBdr>
        <w:top w:val="none" w:sz="0" w:space="0" w:color="auto"/>
        <w:left w:val="none" w:sz="0" w:space="0" w:color="auto"/>
        <w:bottom w:val="none" w:sz="0" w:space="0" w:color="auto"/>
        <w:right w:val="none" w:sz="0" w:space="0" w:color="auto"/>
      </w:divBdr>
    </w:div>
    <w:div w:id="592056310">
      <w:bodyDiv w:val="1"/>
      <w:marLeft w:val="0"/>
      <w:marRight w:val="0"/>
      <w:marTop w:val="0"/>
      <w:marBottom w:val="0"/>
      <w:divBdr>
        <w:top w:val="none" w:sz="0" w:space="0" w:color="auto"/>
        <w:left w:val="none" w:sz="0" w:space="0" w:color="auto"/>
        <w:bottom w:val="none" w:sz="0" w:space="0" w:color="auto"/>
        <w:right w:val="none" w:sz="0" w:space="0" w:color="auto"/>
      </w:divBdr>
    </w:div>
    <w:div w:id="649602137">
      <w:bodyDiv w:val="1"/>
      <w:marLeft w:val="0"/>
      <w:marRight w:val="0"/>
      <w:marTop w:val="0"/>
      <w:marBottom w:val="0"/>
      <w:divBdr>
        <w:top w:val="none" w:sz="0" w:space="0" w:color="auto"/>
        <w:left w:val="none" w:sz="0" w:space="0" w:color="auto"/>
        <w:bottom w:val="none" w:sz="0" w:space="0" w:color="auto"/>
        <w:right w:val="none" w:sz="0" w:space="0" w:color="auto"/>
      </w:divBdr>
    </w:div>
    <w:div w:id="836917724">
      <w:bodyDiv w:val="1"/>
      <w:marLeft w:val="0"/>
      <w:marRight w:val="0"/>
      <w:marTop w:val="0"/>
      <w:marBottom w:val="0"/>
      <w:divBdr>
        <w:top w:val="none" w:sz="0" w:space="0" w:color="auto"/>
        <w:left w:val="none" w:sz="0" w:space="0" w:color="auto"/>
        <w:bottom w:val="none" w:sz="0" w:space="0" w:color="auto"/>
        <w:right w:val="none" w:sz="0" w:space="0" w:color="auto"/>
      </w:divBdr>
    </w:div>
    <w:div w:id="868108090">
      <w:bodyDiv w:val="1"/>
      <w:marLeft w:val="0"/>
      <w:marRight w:val="0"/>
      <w:marTop w:val="0"/>
      <w:marBottom w:val="0"/>
      <w:divBdr>
        <w:top w:val="none" w:sz="0" w:space="0" w:color="auto"/>
        <w:left w:val="none" w:sz="0" w:space="0" w:color="auto"/>
        <w:bottom w:val="none" w:sz="0" w:space="0" w:color="auto"/>
        <w:right w:val="none" w:sz="0" w:space="0" w:color="auto"/>
      </w:divBdr>
    </w:div>
    <w:div w:id="916861889">
      <w:bodyDiv w:val="1"/>
      <w:marLeft w:val="0"/>
      <w:marRight w:val="0"/>
      <w:marTop w:val="0"/>
      <w:marBottom w:val="0"/>
      <w:divBdr>
        <w:top w:val="none" w:sz="0" w:space="0" w:color="auto"/>
        <w:left w:val="none" w:sz="0" w:space="0" w:color="auto"/>
        <w:bottom w:val="none" w:sz="0" w:space="0" w:color="auto"/>
        <w:right w:val="none" w:sz="0" w:space="0" w:color="auto"/>
      </w:divBdr>
    </w:div>
    <w:div w:id="1022055582">
      <w:bodyDiv w:val="1"/>
      <w:marLeft w:val="0"/>
      <w:marRight w:val="0"/>
      <w:marTop w:val="0"/>
      <w:marBottom w:val="0"/>
      <w:divBdr>
        <w:top w:val="none" w:sz="0" w:space="0" w:color="auto"/>
        <w:left w:val="none" w:sz="0" w:space="0" w:color="auto"/>
        <w:bottom w:val="none" w:sz="0" w:space="0" w:color="auto"/>
        <w:right w:val="none" w:sz="0" w:space="0" w:color="auto"/>
      </w:divBdr>
    </w:div>
    <w:div w:id="1027104906">
      <w:bodyDiv w:val="1"/>
      <w:marLeft w:val="0"/>
      <w:marRight w:val="0"/>
      <w:marTop w:val="0"/>
      <w:marBottom w:val="0"/>
      <w:divBdr>
        <w:top w:val="none" w:sz="0" w:space="0" w:color="auto"/>
        <w:left w:val="none" w:sz="0" w:space="0" w:color="auto"/>
        <w:bottom w:val="none" w:sz="0" w:space="0" w:color="auto"/>
        <w:right w:val="none" w:sz="0" w:space="0" w:color="auto"/>
      </w:divBdr>
    </w:div>
    <w:div w:id="1054767972">
      <w:bodyDiv w:val="1"/>
      <w:marLeft w:val="0"/>
      <w:marRight w:val="0"/>
      <w:marTop w:val="0"/>
      <w:marBottom w:val="0"/>
      <w:divBdr>
        <w:top w:val="none" w:sz="0" w:space="0" w:color="auto"/>
        <w:left w:val="none" w:sz="0" w:space="0" w:color="auto"/>
        <w:bottom w:val="none" w:sz="0" w:space="0" w:color="auto"/>
        <w:right w:val="none" w:sz="0" w:space="0" w:color="auto"/>
      </w:divBdr>
    </w:div>
    <w:div w:id="1070733090">
      <w:bodyDiv w:val="1"/>
      <w:marLeft w:val="0"/>
      <w:marRight w:val="0"/>
      <w:marTop w:val="0"/>
      <w:marBottom w:val="0"/>
      <w:divBdr>
        <w:top w:val="none" w:sz="0" w:space="0" w:color="auto"/>
        <w:left w:val="none" w:sz="0" w:space="0" w:color="auto"/>
        <w:bottom w:val="none" w:sz="0" w:space="0" w:color="auto"/>
        <w:right w:val="none" w:sz="0" w:space="0" w:color="auto"/>
      </w:divBdr>
    </w:div>
    <w:div w:id="1136024256">
      <w:bodyDiv w:val="1"/>
      <w:marLeft w:val="0"/>
      <w:marRight w:val="0"/>
      <w:marTop w:val="0"/>
      <w:marBottom w:val="0"/>
      <w:divBdr>
        <w:top w:val="none" w:sz="0" w:space="0" w:color="auto"/>
        <w:left w:val="none" w:sz="0" w:space="0" w:color="auto"/>
        <w:bottom w:val="none" w:sz="0" w:space="0" w:color="auto"/>
        <w:right w:val="none" w:sz="0" w:space="0" w:color="auto"/>
      </w:divBdr>
    </w:div>
    <w:div w:id="1242325942">
      <w:bodyDiv w:val="1"/>
      <w:marLeft w:val="0"/>
      <w:marRight w:val="0"/>
      <w:marTop w:val="0"/>
      <w:marBottom w:val="0"/>
      <w:divBdr>
        <w:top w:val="none" w:sz="0" w:space="0" w:color="auto"/>
        <w:left w:val="none" w:sz="0" w:space="0" w:color="auto"/>
        <w:bottom w:val="none" w:sz="0" w:space="0" w:color="auto"/>
        <w:right w:val="none" w:sz="0" w:space="0" w:color="auto"/>
      </w:divBdr>
    </w:div>
    <w:div w:id="1513455474">
      <w:bodyDiv w:val="1"/>
      <w:marLeft w:val="0"/>
      <w:marRight w:val="0"/>
      <w:marTop w:val="0"/>
      <w:marBottom w:val="0"/>
      <w:divBdr>
        <w:top w:val="none" w:sz="0" w:space="0" w:color="auto"/>
        <w:left w:val="none" w:sz="0" w:space="0" w:color="auto"/>
        <w:bottom w:val="none" w:sz="0" w:space="0" w:color="auto"/>
        <w:right w:val="none" w:sz="0" w:space="0" w:color="auto"/>
      </w:divBdr>
    </w:div>
    <w:div w:id="1537082857">
      <w:bodyDiv w:val="1"/>
      <w:marLeft w:val="0"/>
      <w:marRight w:val="0"/>
      <w:marTop w:val="0"/>
      <w:marBottom w:val="0"/>
      <w:divBdr>
        <w:top w:val="none" w:sz="0" w:space="0" w:color="auto"/>
        <w:left w:val="none" w:sz="0" w:space="0" w:color="auto"/>
        <w:bottom w:val="none" w:sz="0" w:space="0" w:color="auto"/>
        <w:right w:val="none" w:sz="0" w:space="0" w:color="auto"/>
      </w:divBdr>
    </w:div>
    <w:div w:id="1666401564">
      <w:bodyDiv w:val="1"/>
      <w:marLeft w:val="0"/>
      <w:marRight w:val="0"/>
      <w:marTop w:val="0"/>
      <w:marBottom w:val="0"/>
      <w:divBdr>
        <w:top w:val="none" w:sz="0" w:space="0" w:color="auto"/>
        <w:left w:val="none" w:sz="0" w:space="0" w:color="auto"/>
        <w:bottom w:val="none" w:sz="0" w:space="0" w:color="auto"/>
        <w:right w:val="none" w:sz="0" w:space="0" w:color="auto"/>
      </w:divBdr>
    </w:div>
    <w:div w:id="1810439357">
      <w:bodyDiv w:val="1"/>
      <w:marLeft w:val="0"/>
      <w:marRight w:val="0"/>
      <w:marTop w:val="0"/>
      <w:marBottom w:val="0"/>
      <w:divBdr>
        <w:top w:val="none" w:sz="0" w:space="0" w:color="auto"/>
        <w:left w:val="none" w:sz="0" w:space="0" w:color="auto"/>
        <w:bottom w:val="none" w:sz="0" w:space="0" w:color="auto"/>
        <w:right w:val="none" w:sz="0" w:space="0" w:color="auto"/>
      </w:divBdr>
    </w:div>
    <w:div w:id="1898852991">
      <w:bodyDiv w:val="1"/>
      <w:marLeft w:val="0"/>
      <w:marRight w:val="0"/>
      <w:marTop w:val="0"/>
      <w:marBottom w:val="0"/>
      <w:divBdr>
        <w:top w:val="none" w:sz="0" w:space="0" w:color="auto"/>
        <w:left w:val="none" w:sz="0" w:space="0" w:color="auto"/>
        <w:bottom w:val="none" w:sz="0" w:space="0" w:color="auto"/>
        <w:right w:val="none" w:sz="0" w:space="0" w:color="auto"/>
      </w:divBdr>
    </w:div>
    <w:div w:id="2039505317">
      <w:bodyDiv w:val="1"/>
      <w:marLeft w:val="0"/>
      <w:marRight w:val="0"/>
      <w:marTop w:val="0"/>
      <w:marBottom w:val="0"/>
      <w:divBdr>
        <w:top w:val="none" w:sz="0" w:space="0" w:color="auto"/>
        <w:left w:val="none" w:sz="0" w:space="0" w:color="auto"/>
        <w:bottom w:val="none" w:sz="0" w:space="0" w:color="auto"/>
        <w:right w:val="none" w:sz="0" w:space="0" w:color="auto"/>
      </w:divBdr>
    </w:div>
    <w:div w:id="210602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3.amazonaws.com/sitesusa/wp-content/uploads/sites/242/2014/05/Hastedt_2012FCSM_I-A.pdf" TargetMode="External"/><Relationship Id="rId13" Type="http://schemas.openxmlformats.org/officeDocument/2006/relationships/hyperlink" Target="https://journals.sagepub.com/doi/pdf/10.1177/1525822X177262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mc/articles/PMC350356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tor.org/stable/234790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stor.org/stable/3521675" TargetMode="External"/><Relationship Id="rId4" Type="http://schemas.openxmlformats.org/officeDocument/2006/relationships/settings" Target="settings.xml"/><Relationship Id="rId9" Type="http://schemas.openxmlformats.org/officeDocument/2006/relationships/hyperlink" Target="https://doi.org/10.1093/poq/nfr0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B2A57-5E22-434A-A58A-319DED80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6253</Words>
  <Characters>35645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Krantz-Kent, Rachel - BLS</dc:creator>
  <cp:keywords/>
  <dc:description/>
  <cp:lastModifiedBy>Krantz-Kent, Rachel - BLS</cp:lastModifiedBy>
  <cp:revision>2</cp:revision>
  <cp:lastPrinted>2019-03-05T18:58:00Z</cp:lastPrinted>
  <dcterms:created xsi:type="dcterms:W3CDTF">2019-10-28T14:13:00Z</dcterms:created>
  <dcterms:modified xsi:type="dcterms:W3CDTF">2019-10-28T14:13:00Z</dcterms:modified>
</cp:coreProperties>
</file>