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D1E11" w:rsidR="008B43F2" w:rsidP="008B43F2" w:rsidRDefault="008B43F2" w14:paraId="14D94607" w14:textId="77777777">
      <w:pPr>
        <w:tabs>
          <w:tab w:val="left" w:pos="720"/>
        </w:tabs>
        <w:ind w:left="720" w:hanging="1440"/>
        <w:jc w:val="center"/>
        <w:rPr>
          <w:b/>
          <w:bCs/>
          <w:sz w:val="24"/>
          <w:szCs w:val="24"/>
        </w:rPr>
      </w:pPr>
      <w:r w:rsidRPr="00FD1E11">
        <w:rPr>
          <w:b/>
          <w:bCs/>
          <w:sz w:val="24"/>
          <w:szCs w:val="24"/>
        </w:rPr>
        <w:t>SUPPORTING STATEMENT FOR</w:t>
      </w:r>
    </w:p>
    <w:p w:rsidR="008B43F2" w:rsidP="008B43F2" w:rsidRDefault="008B43F2" w14:paraId="6E776AB8" w14:textId="5401EA83">
      <w:pPr>
        <w:tabs>
          <w:tab w:val="left" w:pos="720"/>
        </w:tabs>
        <w:ind w:left="720" w:hanging="1440"/>
        <w:jc w:val="center"/>
        <w:rPr>
          <w:b/>
          <w:bCs/>
          <w:sz w:val="24"/>
          <w:szCs w:val="24"/>
        </w:rPr>
      </w:pPr>
      <w:r w:rsidRPr="00FD1E11">
        <w:rPr>
          <w:b/>
          <w:bCs/>
          <w:sz w:val="24"/>
          <w:szCs w:val="24"/>
        </w:rPr>
        <w:t>ATUS W</w:t>
      </w:r>
      <w:r w:rsidR="00FD1E11">
        <w:rPr>
          <w:b/>
          <w:bCs/>
          <w:sz w:val="24"/>
          <w:szCs w:val="24"/>
        </w:rPr>
        <w:t>ELL</w:t>
      </w:r>
      <w:r w:rsidRPr="00FD1E11">
        <w:rPr>
          <w:b/>
          <w:bCs/>
          <w:sz w:val="24"/>
          <w:szCs w:val="24"/>
        </w:rPr>
        <w:t>-</w:t>
      </w:r>
      <w:r w:rsidR="00FD1E11">
        <w:rPr>
          <w:b/>
          <w:bCs/>
          <w:sz w:val="24"/>
          <w:szCs w:val="24"/>
        </w:rPr>
        <w:t>BEING</w:t>
      </w:r>
      <w:r w:rsidRPr="00FD1E11">
        <w:rPr>
          <w:b/>
          <w:bCs/>
          <w:sz w:val="24"/>
          <w:szCs w:val="24"/>
        </w:rPr>
        <w:t xml:space="preserve"> M</w:t>
      </w:r>
      <w:r w:rsidR="00FD1E11">
        <w:rPr>
          <w:b/>
          <w:bCs/>
          <w:sz w:val="24"/>
          <w:szCs w:val="24"/>
        </w:rPr>
        <w:t>ODULE</w:t>
      </w:r>
    </w:p>
    <w:p w:rsidRPr="00FD1E11" w:rsidR="00FD1E11" w:rsidP="008B43F2" w:rsidRDefault="00FD1E11" w14:paraId="0CC1F9B8" w14:textId="77777777">
      <w:pPr>
        <w:tabs>
          <w:tab w:val="left" w:pos="720"/>
        </w:tabs>
        <w:ind w:left="720" w:hanging="1440"/>
        <w:jc w:val="center"/>
        <w:rPr>
          <w:b/>
          <w:bCs/>
          <w:sz w:val="24"/>
          <w:szCs w:val="24"/>
        </w:rPr>
      </w:pPr>
    </w:p>
    <w:p w:rsidRPr="00FD1E11" w:rsidR="00DB4614" w:rsidP="008B43F2" w:rsidRDefault="008B43F2" w14:paraId="2A6BC8A7" w14:textId="7645F9C5">
      <w:pPr>
        <w:tabs>
          <w:tab w:val="left" w:pos="720"/>
        </w:tabs>
        <w:ind w:left="720" w:hanging="1440"/>
        <w:jc w:val="center"/>
        <w:rPr>
          <w:b/>
          <w:bCs/>
          <w:sz w:val="24"/>
          <w:szCs w:val="24"/>
        </w:rPr>
      </w:pPr>
      <w:r w:rsidRPr="00FD1E11">
        <w:rPr>
          <w:b/>
          <w:bCs/>
          <w:sz w:val="24"/>
          <w:szCs w:val="24"/>
        </w:rPr>
        <w:t>OMB CONTROL NO. 1220-0185</w:t>
      </w:r>
    </w:p>
    <w:p w:rsidRPr="008B43F2" w:rsidR="008B43F2" w:rsidP="008B43F2" w:rsidRDefault="008B43F2" w14:paraId="67D63E15" w14:textId="77777777">
      <w:pPr>
        <w:rPr>
          <w:rFonts w:asciiTheme="minorHAnsi" w:hAnsiTheme="minorHAnsi" w:cstheme="minorHAnsi"/>
          <w:sz w:val="22"/>
          <w:szCs w:val="22"/>
        </w:rPr>
      </w:pPr>
    </w:p>
    <w:p w:rsidRPr="00FD1E11" w:rsidR="00DB4614" w:rsidP="00DB4614" w:rsidRDefault="00DB4614" w14:paraId="3E91CC0F" w14:textId="7DFA53B1">
      <w:pPr>
        <w:rPr>
          <w:sz w:val="24"/>
          <w:szCs w:val="22"/>
        </w:rPr>
      </w:pPr>
      <w:r w:rsidRPr="00FD1E11">
        <w:rPr>
          <w:sz w:val="24"/>
          <w:szCs w:val="22"/>
        </w:rPr>
        <w:t>This ICR seeks OMB clearance for a r</w:t>
      </w:r>
      <w:r w:rsidR="00FD1E11">
        <w:rPr>
          <w:sz w:val="24"/>
          <w:szCs w:val="22"/>
        </w:rPr>
        <w:t>einstatement</w:t>
      </w:r>
      <w:r w:rsidRPr="00FD1E11">
        <w:rPr>
          <w:sz w:val="24"/>
          <w:szCs w:val="22"/>
        </w:rPr>
        <w:t xml:space="preserve"> of the BLS Well-being </w:t>
      </w:r>
      <w:r w:rsidR="0036562F">
        <w:rPr>
          <w:sz w:val="24"/>
          <w:szCs w:val="22"/>
        </w:rPr>
        <w:t>M</w:t>
      </w:r>
      <w:r w:rsidRPr="00FD1E11">
        <w:rPr>
          <w:sz w:val="24"/>
          <w:szCs w:val="22"/>
        </w:rPr>
        <w:t>odule to the American Time Use Survey.</w:t>
      </w:r>
    </w:p>
    <w:p w:rsidRPr="00FD1E11" w:rsidR="00DB4614" w:rsidP="00DB4614" w:rsidRDefault="00DB4614" w14:paraId="7A4E3B0E" w14:textId="77777777">
      <w:pPr>
        <w:rPr>
          <w:sz w:val="24"/>
          <w:szCs w:val="22"/>
        </w:rPr>
      </w:pPr>
    </w:p>
    <w:p w:rsidRPr="00FD1E11" w:rsidR="00DB4614" w:rsidP="00DB4614" w:rsidRDefault="00DB4614" w14:paraId="263C7F99" w14:textId="77777777">
      <w:pPr>
        <w:rPr>
          <w:b/>
          <w:caps/>
          <w:sz w:val="24"/>
          <w:szCs w:val="22"/>
          <w:u w:val="single"/>
        </w:rPr>
      </w:pPr>
      <w:r w:rsidRPr="00FD1E11">
        <w:rPr>
          <w:b/>
          <w:caps/>
          <w:sz w:val="24"/>
          <w:szCs w:val="22"/>
        </w:rPr>
        <w:t>A. Justification</w:t>
      </w:r>
    </w:p>
    <w:p w:rsidRPr="00FD1E11" w:rsidR="00DB4614" w:rsidP="00DB4614" w:rsidRDefault="00DB4614" w14:paraId="79F7DFA1" w14:textId="77777777">
      <w:pPr>
        <w:rPr>
          <w:sz w:val="24"/>
          <w:szCs w:val="22"/>
        </w:rPr>
      </w:pPr>
    </w:p>
    <w:p w:rsidRPr="00FD1E11" w:rsidR="00DB4614" w:rsidP="00DB4614" w:rsidRDefault="00DB4614" w14:paraId="354B1588" w14:textId="77777777">
      <w:pPr>
        <w:numPr>
          <w:ilvl w:val="0"/>
          <w:numId w:val="24"/>
        </w:numPr>
        <w:tabs>
          <w:tab w:val="left" w:pos="360"/>
        </w:tabs>
        <w:ind w:left="0" w:firstLine="0"/>
        <w:rPr>
          <w:b/>
          <w:sz w:val="24"/>
          <w:szCs w:val="22"/>
        </w:rPr>
      </w:pPr>
      <w:r w:rsidRPr="00FD1E11">
        <w:rPr>
          <w:b/>
          <w:bCs/>
          <w:sz w:val="24"/>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FD1E11" w:rsidR="00A80CD9" w:rsidP="00FB5862" w:rsidRDefault="00A80CD9" w14:paraId="39D6133E" w14:textId="77777777">
      <w:pPr>
        <w:rPr>
          <w:sz w:val="24"/>
          <w:szCs w:val="22"/>
          <w:u w:val="single"/>
        </w:rPr>
      </w:pPr>
    </w:p>
    <w:p w:rsidRPr="00210902" w:rsidR="004A5228" w:rsidP="00C53DAD" w:rsidRDefault="00A80CD9" w14:paraId="64ACF57B" w14:textId="2B3380D7">
      <w:pPr>
        <w:rPr>
          <w:sz w:val="24"/>
          <w:szCs w:val="22"/>
        </w:rPr>
      </w:pPr>
      <w:r w:rsidRPr="00210902">
        <w:rPr>
          <w:sz w:val="24"/>
          <w:szCs w:val="22"/>
        </w:rPr>
        <w:t xml:space="preserve">The purpose of this request for review is for the Bureau of Labor Statistics (BLS) to obtain clearance for </w:t>
      </w:r>
      <w:r w:rsidRPr="00210902" w:rsidR="00C6092A">
        <w:rPr>
          <w:sz w:val="24"/>
          <w:szCs w:val="22"/>
        </w:rPr>
        <w:t xml:space="preserve">a </w:t>
      </w:r>
      <w:r w:rsidRPr="00210902" w:rsidR="00F5012B">
        <w:rPr>
          <w:sz w:val="24"/>
          <w:szCs w:val="22"/>
        </w:rPr>
        <w:t>Well-being</w:t>
      </w:r>
      <w:r w:rsidRPr="00210902" w:rsidR="007D3DBE">
        <w:rPr>
          <w:sz w:val="24"/>
          <w:szCs w:val="22"/>
        </w:rPr>
        <w:t xml:space="preserve"> Module</w:t>
      </w:r>
      <w:r w:rsidRPr="00210902">
        <w:rPr>
          <w:sz w:val="24"/>
          <w:szCs w:val="22"/>
        </w:rPr>
        <w:t xml:space="preserve"> to the </w:t>
      </w:r>
      <w:r w:rsidRPr="00210902" w:rsidR="007D3DBE">
        <w:rPr>
          <w:sz w:val="24"/>
          <w:szCs w:val="22"/>
        </w:rPr>
        <w:t>American Time Use Survey (ATUS)</w:t>
      </w:r>
      <w:r w:rsidRPr="00210902">
        <w:rPr>
          <w:sz w:val="24"/>
          <w:szCs w:val="22"/>
        </w:rPr>
        <w:t xml:space="preserve">, scheduled to be conducted </w:t>
      </w:r>
      <w:r w:rsidRPr="00210902" w:rsidR="006733E7">
        <w:rPr>
          <w:sz w:val="24"/>
          <w:szCs w:val="22"/>
        </w:rPr>
        <w:t>March</w:t>
      </w:r>
      <w:r w:rsidRPr="00210902" w:rsidR="00F57C8D">
        <w:rPr>
          <w:sz w:val="24"/>
          <w:szCs w:val="22"/>
        </w:rPr>
        <w:t xml:space="preserve"> </w:t>
      </w:r>
      <w:r w:rsidRPr="00210902" w:rsidR="00B7139D">
        <w:rPr>
          <w:sz w:val="24"/>
          <w:szCs w:val="22"/>
        </w:rPr>
        <w:t>2021</w:t>
      </w:r>
      <w:r w:rsidRPr="00210902" w:rsidR="00B82D93">
        <w:rPr>
          <w:sz w:val="24"/>
          <w:szCs w:val="22"/>
        </w:rPr>
        <w:t xml:space="preserve"> through December 2021</w:t>
      </w:r>
      <w:r w:rsidRPr="00210902">
        <w:rPr>
          <w:sz w:val="24"/>
          <w:szCs w:val="22"/>
        </w:rPr>
        <w:t>.</w:t>
      </w:r>
      <w:r w:rsidRPr="00210902" w:rsidR="00666AF7">
        <w:rPr>
          <w:sz w:val="24"/>
          <w:szCs w:val="22"/>
        </w:rPr>
        <w:t xml:space="preserve">  The proposed questions appear in Attachment A. </w:t>
      </w:r>
      <w:r w:rsidRPr="00210902">
        <w:rPr>
          <w:sz w:val="24"/>
          <w:szCs w:val="22"/>
        </w:rPr>
        <w:t xml:space="preserve"> </w:t>
      </w:r>
      <w:r w:rsidRPr="00210902" w:rsidR="00E52E83">
        <w:rPr>
          <w:sz w:val="24"/>
          <w:szCs w:val="22"/>
        </w:rPr>
        <w:t xml:space="preserve">As part of the </w:t>
      </w:r>
      <w:r w:rsidRPr="00210902" w:rsidR="007D3DBE">
        <w:rPr>
          <w:sz w:val="24"/>
          <w:szCs w:val="22"/>
        </w:rPr>
        <w:t>ATUS</w:t>
      </w:r>
      <w:r w:rsidRPr="00210902" w:rsidR="00E52E83">
        <w:rPr>
          <w:sz w:val="24"/>
          <w:szCs w:val="22"/>
        </w:rPr>
        <w:t xml:space="preserve">, the </w:t>
      </w:r>
      <w:r w:rsidRPr="00210902" w:rsidR="007D3DBE">
        <w:rPr>
          <w:sz w:val="24"/>
          <w:szCs w:val="22"/>
        </w:rPr>
        <w:t xml:space="preserve">module </w:t>
      </w:r>
      <w:r w:rsidRPr="00210902" w:rsidR="00E52E83">
        <w:rPr>
          <w:sz w:val="24"/>
          <w:szCs w:val="22"/>
        </w:rPr>
        <w:t xml:space="preserve">will survey individuals ages </w:t>
      </w:r>
      <w:r w:rsidRPr="00210902" w:rsidR="007D3DBE">
        <w:rPr>
          <w:sz w:val="24"/>
          <w:szCs w:val="22"/>
        </w:rPr>
        <w:t xml:space="preserve">15 </w:t>
      </w:r>
      <w:r w:rsidRPr="00210902" w:rsidR="004A5228">
        <w:rPr>
          <w:sz w:val="24"/>
          <w:szCs w:val="22"/>
        </w:rPr>
        <w:t>and over from a nationally</w:t>
      </w:r>
      <w:r w:rsidRPr="00210902" w:rsidR="00671496">
        <w:rPr>
          <w:sz w:val="24"/>
          <w:szCs w:val="22"/>
        </w:rPr>
        <w:t xml:space="preserve"> </w:t>
      </w:r>
      <w:r w:rsidRPr="00210902" w:rsidR="00E52E83">
        <w:rPr>
          <w:sz w:val="24"/>
          <w:szCs w:val="22"/>
        </w:rPr>
        <w:t xml:space="preserve">representative sample of approximately </w:t>
      </w:r>
      <w:r w:rsidRPr="00210902" w:rsidR="0062630A">
        <w:rPr>
          <w:sz w:val="24"/>
          <w:szCs w:val="22"/>
        </w:rPr>
        <w:t>2,</w:t>
      </w:r>
      <w:r w:rsidRPr="00210902" w:rsidR="00CE64B8">
        <w:rPr>
          <w:sz w:val="24"/>
          <w:szCs w:val="22"/>
        </w:rPr>
        <w:t>060</w:t>
      </w:r>
      <w:r w:rsidRPr="00210902" w:rsidR="0062630A">
        <w:rPr>
          <w:sz w:val="24"/>
          <w:szCs w:val="22"/>
        </w:rPr>
        <w:t xml:space="preserve"> sample households each month</w:t>
      </w:r>
      <w:r w:rsidRPr="00210902" w:rsidR="00E52E83">
        <w:rPr>
          <w:sz w:val="24"/>
          <w:szCs w:val="22"/>
        </w:rPr>
        <w:t>.</w:t>
      </w:r>
      <w:r w:rsidRPr="00210902" w:rsidR="008577CF">
        <w:rPr>
          <w:sz w:val="24"/>
          <w:szCs w:val="22"/>
        </w:rPr>
        <w:t xml:space="preserve">  If approved, the Well-being Module questions will be asked </w:t>
      </w:r>
      <w:r w:rsidRPr="00210902" w:rsidR="00F1339D">
        <w:rPr>
          <w:sz w:val="24"/>
          <w:szCs w:val="22"/>
        </w:rPr>
        <w:t>immediately</w:t>
      </w:r>
      <w:r w:rsidRPr="00210902" w:rsidR="008577CF">
        <w:rPr>
          <w:sz w:val="24"/>
          <w:szCs w:val="22"/>
        </w:rPr>
        <w:t xml:space="preserve"> after the ATUS and will follow up on some of the information ATUS respondents provide </w:t>
      </w:r>
      <w:r w:rsidRPr="00210902" w:rsidR="00F73B24">
        <w:rPr>
          <w:sz w:val="24"/>
          <w:szCs w:val="22"/>
        </w:rPr>
        <w:t>in their time diary.</w:t>
      </w:r>
      <w:r w:rsidRPr="00210902" w:rsidR="00AE6FF4">
        <w:rPr>
          <w:sz w:val="24"/>
          <w:szCs w:val="22"/>
        </w:rPr>
        <w:t xml:space="preserve">  (The time diary is a section of the ATUS interview in which respondents report the activities they did over a 24-hour period that mainly encompasses "yesterday," or the day before the interview.)</w:t>
      </w:r>
      <w:r w:rsidRPr="00210902" w:rsidR="00E52E83">
        <w:rPr>
          <w:sz w:val="24"/>
          <w:szCs w:val="22"/>
        </w:rPr>
        <w:t xml:space="preserve">  </w:t>
      </w:r>
      <w:r w:rsidRPr="00EF1AC1" w:rsidR="00A16168">
        <w:rPr>
          <w:sz w:val="24"/>
          <w:szCs w:val="22"/>
        </w:rPr>
        <w:t xml:space="preserve">The Well-being Module is sponsored by the </w:t>
      </w:r>
      <w:r w:rsidR="00A16168">
        <w:rPr>
          <w:sz w:val="24"/>
          <w:szCs w:val="22"/>
        </w:rPr>
        <w:t>University of Maryland and the University of Minnesota</w:t>
      </w:r>
      <w:r w:rsidRPr="00EF1AC1" w:rsidR="00A16168">
        <w:rPr>
          <w:sz w:val="24"/>
          <w:szCs w:val="22"/>
        </w:rPr>
        <w:t xml:space="preserve"> and is contingent upon funding.</w:t>
      </w:r>
    </w:p>
    <w:p w:rsidRPr="00210902" w:rsidR="008158AD" w:rsidP="00FB5862" w:rsidRDefault="008158AD" w14:paraId="5A526638" w14:textId="77777777">
      <w:pPr>
        <w:ind w:left="720"/>
        <w:rPr>
          <w:sz w:val="24"/>
          <w:szCs w:val="22"/>
        </w:rPr>
      </w:pPr>
    </w:p>
    <w:p w:rsidRPr="00210902" w:rsidR="00673B13" w:rsidP="00C53DAD" w:rsidRDefault="000C7CBF" w14:paraId="262859D2" w14:textId="77777777">
      <w:pPr>
        <w:rPr>
          <w:sz w:val="24"/>
          <w:szCs w:val="22"/>
        </w:rPr>
      </w:pPr>
      <w:r w:rsidRPr="00210902">
        <w:rPr>
          <w:sz w:val="24"/>
          <w:szCs w:val="22"/>
        </w:rPr>
        <w:t xml:space="preserve">The core of the </w:t>
      </w:r>
      <w:r w:rsidRPr="00210902" w:rsidR="004A5228">
        <w:rPr>
          <w:sz w:val="24"/>
          <w:szCs w:val="22"/>
        </w:rPr>
        <w:t xml:space="preserve">proposed </w:t>
      </w:r>
      <w:r w:rsidRPr="00210902" w:rsidR="00B42AF6">
        <w:rPr>
          <w:sz w:val="24"/>
          <w:szCs w:val="22"/>
        </w:rPr>
        <w:t>Well-being M</w:t>
      </w:r>
      <w:r w:rsidRPr="00210902" w:rsidR="004A5228">
        <w:rPr>
          <w:sz w:val="24"/>
          <w:szCs w:val="22"/>
        </w:rPr>
        <w:t>odule will collect data about how</w:t>
      </w:r>
      <w:r w:rsidRPr="00210902" w:rsidR="00F5012B">
        <w:rPr>
          <w:sz w:val="24"/>
          <w:szCs w:val="22"/>
        </w:rPr>
        <w:t xml:space="preserve"> people experience their time, </w:t>
      </w:r>
      <w:r w:rsidRPr="00210902" w:rsidR="00F35B69">
        <w:rPr>
          <w:sz w:val="24"/>
          <w:szCs w:val="22"/>
        </w:rPr>
        <w:t>specifically</w:t>
      </w:r>
      <w:r w:rsidRPr="00210902" w:rsidR="00F5012B">
        <w:rPr>
          <w:sz w:val="24"/>
          <w:szCs w:val="22"/>
        </w:rPr>
        <w:t xml:space="preserve"> how happy, tired, sad, stressed, and in pain they felt </w:t>
      </w:r>
      <w:r w:rsidRPr="00210902" w:rsidR="008577CF">
        <w:rPr>
          <w:sz w:val="24"/>
          <w:szCs w:val="22"/>
        </w:rPr>
        <w:t>yesterday</w:t>
      </w:r>
      <w:r w:rsidRPr="00210902" w:rsidR="007032C1">
        <w:rPr>
          <w:sz w:val="24"/>
          <w:szCs w:val="22"/>
        </w:rPr>
        <w:t>.  Respondents will be asked these questions about three</w:t>
      </w:r>
      <w:r w:rsidRPr="00210902" w:rsidR="00F73B24">
        <w:rPr>
          <w:sz w:val="24"/>
          <w:szCs w:val="22"/>
        </w:rPr>
        <w:t xml:space="preserve"> randomly</w:t>
      </w:r>
      <w:r w:rsidRPr="00210902" w:rsidR="00671496">
        <w:rPr>
          <w:sz w:val="24"/>
          <w:szCs w:val="22"/>
        </w:rPr>
        <w:t xml:space="preserve"> </w:t>
      </w:r>
      <w:r w:rsidRPr="00210902" w:rsidR="00F73B24">
        <w:rPr>
          <w:sz w:val="24"/>
          <w:szCs w:val="22"/>
        </w:rPr>
        <w:t>selected activities from the time diary</w:t>
      </w:r>
      <w:r w:rsidRPr="00210902" w:rsidR="00AE6FF4">
        <w:rPr>
          <w:sz w:val="24"/>
          <w:szCs w:val="22"/>
        </w:rPr>
        <w:t>; a</w:t>
      </w:r>
      <w:r w:rsidRPr="00210902" w:rsidR="00F73B24">
        <w:rPr>
          <w:sz w:val="24"/>
          <w:szCs w:val="22"/>
        </w:rPr>
        <w:t xml:space="preserve"> few activities, </w:t>
      </w:r>
      <w:r w:rsidRPr="00210902" w:rsidR="00B42AF6">
        <w:rPr>
          <w:sz w:val="24"/>
          <w:szCs w:val="22"/>
        </w:rPr>
        <w:t xml:space="preserve">such as sleeping and private activities, will never be selected. </w:t>
      </w:r>
      <w:r w:rsidRPr="00210902" w:rsidR="00B7139D">
        <w:rPr>
          <w:sz w:val="24"/>
          <w:szCs w:val="22"/>
        </w:rPr>
        <w:t xml:space="preserve"> </w:t>
      </w:r>
      <w:r w:rsidRPr="00210902" w:rsidR="00F5012B">
        <w:rPr>
          <w:sz w:val="24"/>
          <w:szCs w:val="22"/>
        </w:rPr>
        <w:t>The module</w:t>
      </w:r>
      <w:r w:rsidRPr="00210902" w:rsidR="00673B13">
        <w:rPr>
          <w:sz w:val="24"/>
          <w:szCs w:val="22"/>
        </w:rPr>
        <w:t xml:space="preserve"> also will collect data on whether people were interacting with anyone while doing the selected activities, </w:t>
      </w:r>
      <w:r w:rsidRPr="00210902" w:rsidR="00671496">
        <w:rPr>
          <w:sz w:val="24"/>
          <w:szCs w:val="22"/>
        </w:rPr>
        <w:t xml:space="preserve">and </w:t>
      </w:r>
      <w:r w:rsidRPr="00210902" w:rsidR="00673B13">
        <w:rPr>
          <w:sz w:val="24"/>
          <w:szCs w:val="22"/>
        </w:rPr>
        <w:t xml:space="preserve">how meaningful the activities were to them. </w:t>
      </w:r>
      <w:r w:rsidRPr="00210902" w:rsidR="00B7139D">
        <w:rPr>
          <w:sz w:val="24"/>
          <w:szCs w:val="22"/>
        </w:rPr>
        <w:t xml:space="preserve"> </w:t>
      </w:r>
      <w:r w:rsidRPr="00210902" w:rsidR="00673B13">
        <w:rPr>
          <w:sz w:val="24"/>
          <w:szCs w:val="22"/>
        </w:rPr>
        <w:t>Some general health questions, a question about overall life satisfaction, and a question about respondents' overall affective experience yesterday also will be asked.</w:t>
      </w:r>
      <w:r w:rsidRPr="00210902" w:rsidR="00B7139D">
        <w:rPr>
          <w:sz w:val="24"/>
          <w:szCs w:val="22"/>
        </w:rPr>
        <w:t xml:space="preserve">  </w:t>
      </w:r>
    </w:p>
    <w:p w:rsidRPr="00210902" w:rsidR="00B42AF6" w:rsidP="00B7139D" w:rsidRDefault="00B42AF6" w14:paraId="750AA135" w14:textId="77777777">
      <w:pPr>
        <w:rPr>
          <w:sz w:val="24"/>
          <w:szCs w:val="22"/>
        </w:rPr>
      </w:pPr>
    </w:p>
    <w:p w:rsidRPr="00210902" w:rsidR="00B42AF6" w:rsidP="00C53DAD" w:rsidRDefault="00D7680E" w14:paraId="33D758E1" w14:textId="282753DB">
      <w:pPr>
        <w:rPr>
          <w:sz w:val="24"/>
          <w:szCs w:val="22"/>
        </w:rPr>
      </w:pPr>
      <w:r w:rsidRPr="00210902">
        <w:rPr>
          <w:sz w:val="24"/>
          <w:szCs w:val="22"/>
        </w:rPr>
        <w:t>The</w:t>
      </w:r>
      <w:r w:rsidRPr="00210902" w:rsidR="007032C1">
        <w:rPr>
          <w:sz w:val="24"/>
          <w:szCs w:val="22"/>
        </w:rPr>
        <w:t xml:space="preserve"> Well-being </w:t>
      </w:r>
      <w:r w:rsidRPr="00210902" w:rsidR="00841EC8">
        <w:rPr>
          <w:sz w:val="24"/>
          <w:szCs w:val="22"/>
        </w:rPr>
        <w:t>M</w:t>
      </w:r>
      <w:r w:rsidRPr="00210902" w:rsidR="007032C1">
        <w:rPr>
          <w:sz w:val="24"/>
          <w:szCs w:val="22"/>
        </w:rPr>
        <w:t>odule</w:t>
      </w:r>
      <w:r w:rsidRPr="00210902">
        <w:rPr>
          <w:sz w:val="24"/>
          <w:szCs w:val="22"/>
        </w:rPr>
        <w:t xml:space="preserve"> was previously collected as part of the ATUS in 2010</w:t>
      </w:r>
      <w:r w:rsidRPr="00210902" w:rsidR="00841EC8">
        <w:rPr>
          <w:sz w:val="24"/>
          <w:szCs w:val="22"/>
        </w:rPr>
        <w:t xml:space="preserve"> under the ATUS OMB Number 1220-0175</w:t>
      </w:r>
      <w:r w:rsidRPr="00210902" w:rsidR="00114F70">
        <w:rPr>
          <w:sz w:val="24"/>
          <w:szCs w:val="22"/>
        </w:rPr>
        <w:t xml:space="preserve"> and again in 2012 and 2013 under </w:t>
      </w:r>
      <w:r w:rsidRPr="00210902" w:rsidR="00911F2D">
        <w:rPr>
          <w:sz w:val="24"/>
          <w:szCs w:val="22"/>
        </w:rPr>
        <w:t>OMB Control Number 1220-0185</w:t>
      </w:r>
      <w:r w:rsidRPr="00210902" w:rsidR="00E20994">
        <w:rPr>
          <w:sz w:val="24"/>
          <w:szCs w:val="22"/>
        </w:rPr>
        <w:t xml:space="preserve">.  The </w:t>
      </w:r>
      <w:r w:rsidRPr="00210902" w:rsidR="00F73B24">
        <w:rPr>
          <w:sz w:val="24"/>
          <w:szCs w:val="22"/>
        </w:rPr>
        <w:t xml:space="preserve">proposed </w:t>
      </w:r>
      <w:r w:rsidRPr="00210902" w:rsidR="00FD44DB">
        <w:rPr>
          <w:sz w:val="24"/>
          <w:szCs w:val="22"/>
        </w:rPr>
        <w:t>2021</w:t>
      </w:r>
      <w:r w:rsidRPr="00210902" w:rsidR="00E20994">
        <w:rPr>
          <w:sz w:val="24"/>
          <w:szCs w:val="22"/>
        </w:rPr>
        <w:t xml:space="preserve"> version of the module </w:t>
      </w:r>
      <w:r w:rsidRPr="00210902" w:rsidR="00FD44DB">
        <w:rPr>
          <w:sz w:val="24"/>
          <w:szCs w:val="22"/>
        </w:rPr>
        <w:t>is</w:t>
      </w:r>
      <w:r w:rsidRPr="00210902" w:rsidR="00B7139D">
        <w:rPr>
          <w:sz w:val="24"/>
          <w:szCs w:val="22"/>
        </w:rPr>
        <w:t xml:space="preserve"> </w:t>
      </w:r>
      <w:r w:rsidRPr="00210902" w:rsidR="00FD44DB">
        <w:rPr>
          <w:sz w:val="24"/>
          <w:szCs w:val="22"/>
        </w:rPr>
        <w:t>identical to the 201</w:t>
      </w:r>
      <w:r w:rsidRPr="00210902">
        <w:rPr>
          <w:sz w:val="24"/>
          <w:szCs w:val="22"/>
        </w:rPr>
        <w:t>2 and 2013</w:t>
      </w:r>
      <w:r w:rsidRPr="00210902" w:rsidR="00FD44DB">
        <w:rPr>
          <w:sz w:val="24"/>
          <w:szCs w:val="22"/>
        </w:rPr>
        <w:t xml:space="preserve"> module</w:t>
      </w:r>
      <w:r w:rsidRPr="00210902" w:rsidR="00BB2EA0">
        <w:rPr>
          <w:sz w:val="24"/>
          <w:szCs w:val="22"/>
        </w:rPr>
        <w:t>.</w:t>
      </w:r>
      <w:r w:rsidRPr="00210902" w:rsidR="00841EC8">
        <w:rPr>
          <w:sz w:val="24"/>
          <w:szCs w:val="22"/>
        </w:rPr>
        <w:t xml:space="preserve"> </w:t>
      </w:r>
      <w:r w:rsidRPr="00210902" w:rsidR="00B7139D">
        <w:rPr>
          <w:sz w:val="24"/>
          <w:szCs w:val="22"/>
        </w:rPr>
        <w:t xml:space="preserve"> </w:t>
      </w:r>
    </w:p>
    <w:p w:rsidRPr="00210902" w:rsidR="00B42AF6" w:rsidP="00B42AF6" w:rsidRDefault="00B42AF6" w14:paraId="6779757F" w14:textId="77777777">
      <w:pPr>
        <w:ind w:left="720"/>
        <w:rPr>
          <w:sz w:val="24"/>
          <w:szCs w:val="22"/>
        </w:rPr>
      </w:pPr>
    </w:p>
    <w:p w:rsidRPr="00210902" w:rsidR="00974FFA" w:rsidP="00C53DAD" w:rsidRDefault="00056D2C" w14:paraId="399D6719" w14:textId="77777777">
      <w:pPr>
        <w:rPr>
          <w:sz w:val="24"/>
          <w:szCs w:val="22"/>
        </w:rPr>
      </w:pPr>
      <w:r w:rsidRPr="00210902">
        <w:rPr>
          <w:sz w:val="24"/>
          <w:szCs w:val="22"/>
        </w:rPr>
        <w:t>The ATUS is the Nation's first federally</w:t>
      </w:r>
      <w:r w:rsidRPr="00210902" w:rsidR="00671496">
        <w:rPr>
          <w:sz w:val="24"/>
          <w:szCs w:val="22"/>
        </w:rPr>
        <w:t xml:space="preserve"> </w:t>
      </w:r>
      <w:r w:rsidRPr="00210902">
        <w:rPr>
          <w:sz w:val="24"/>
          <w:szCs w:val="22"/>
        </w:rPr>
        <w:t>administered, continuous survey about time use in the United States.</w:t>
      </w:r>
      <w:r w:rsidRPr="00210902" w:rsidR="00AE6FF4">
        <w:rPr>
          <w:sz w:val="24"/>
          <w:szCs w:val="22"/>
        </w:rPr>
        <w:t xml:space="preserve">  The survey is sponsored by BLS and conducted by the U.S. Census Bureau.  In the ATUS, a</w:t>
      </w:r>
      <w:r w:rsidRPr="00210902">
        <w:rPr>
          <w:sz w:val="24"/>
          <w:szCs w:val="22"/>
        </w:rPr>
        <w:t xml:space="preserve"> nationally</w:t>
      </w:r>
      <w:r w:rsidRPr="00210902" w:rsidR="00671496">
        <w:rPr>
          <w:sz w:val="24"/>
          <w:szCs w:val="22"/>
        </w:rPr>
        <w:t xml:space="preserve"> </w:t>
      </w:r>
      <w:r w:rsidRPr="00210902">
        <w:rPr>
          <w:sz w:val="24"/>
          <w:szCs w:val="22"/>
        </w:rPr>
        <w:t xml:space="preserve">representative sample of persons from households completing their final month of interviews for the Current Population Survey (CPS) is </w:t>
      </w:r>
      <w:r w:rsidRPr="00210902">
        <w:rPr>
          <w:sz w:val="24"/>
          <w:szCs w:val="22"/>
        </w:rPr>
        <w:lastRenderedPageBreak/>
        <w:t xml:space="preserve">drawn for the ATUS.  </w:t>
      </w:r>
      <w:r w:rsidRPr="00210902" w:rsidR="00AE6FF4">
        <w:rPr>
          <w:sz w:val="24"/>
          <w:szCs w:val="22"/>
        </w:rPr>
        <w:t xml:space="preserve">From each household, </w:t>
      </w:r>
      <w:proofErr w:type="gramStart"/>
      <w:r w:rsidRPr="00210902">
        <w:rPr>
          <w:sz w:val="24"/>
          <w:szCs w:val="22"/>
        </w:rPr>
        <w:t>one person</w:t>
      </w:r>
      <w:proofErr w:type="gramEnd"/>
      <w:r w:rsidRPr="00210902">
        <w:rPr>
          <w:sz w:val="24"/>
          <w:szCs w:val="22"/>
        </w:rPr>
        <w:t xml:space="preserve"> age 15 or older </w:t>
      </w:r>
      <w:r w:rsidRPr="00210902" w:rsidR="00AE6FF4">
        <w:rPr>
          <w:sz w:val="24"/>
          <w:szCs w:val="22"/>
        </w:rPr>
        <w:t>is</w:t>
      </w:r>
      <w:r w:rsidRPr="00210902">
        <w:rPr>
          <w:sz w:val="24"/>
          <w:szCs w:val="22"/>
        </w:rPr>
        <w:t xml:space="preserve"> selected</w:t>
      </w:r>
      <w:r w:rsidRPr="00210902" w:rsidR="00AE6FF4">
        <w:rPr>
          <w:sz w:val="24"/>
          <w:szCs w:val="22"/>
        </w:rPr>
        <w:t xml:space="preserve"> for a one-time ATUS interview</w:t>
      </w:r>
      <w:r w:rsidRPr="00210902">
        <w:rPr>
          <w:sz w:val="24"/>
          <w:szCs w:val="22"/>
        </w:rPr>
        <w:t xml:space="preserve">.  The primary focus of the interview is on </w:t>
      </w:r>
      <w:r w:rsidRPr="00210902" w:rsidR="004D59E9">
        <w:rPr>
          <w:sz w:val="24"/>
          <w:szCs w:val="22"/>
        </w:rPr>
        <w:t>collecting the time diary, al</w:t>
      </w:r>
      <w:r w:rsidRPr="00210902">
        <w:rPr>
          <w:sz w:val="24"/>
          <w:szCs w:val="22"/>
        </w:rPr>
        <w:t xml:space="preserve">though additional questions are asked about </w:t>
      </w:r>
      <w:r w:rsidRPr="00210902" w:rsidR="00ED3085">
        <w:rPr>
          <w:sz w:val="24"/>
          <w:szCs w:val="22"/>
        </w:rPr>
        <w:t xml:space="preserve">the respondent's household composition and </w:t>
      </w:r>
      <w:r w:rsidRPr="00210902">
        <w:rPr>
          <w:sz w:val="24"/>
          <w:szCs w:val="22"/>
        </w:rPr>
        <w:t>work during the prior week.</w:t>
      </w:r>
    </w:p>
    <w:p w:rsidRPr="00210902" w:rsidR="00974FFA" w:rsidP="00056D2C" w:rsidRDefault="00974FFA" w14:paraId="6688FB61" w14:textId="77777777">
      <w:pPr>
        <w:ind w:left="720"/>
        <w:rPr>
          <w:sz w:val="24"/>
          <w:szCs w:val="22"/>
        </w:rPr>
      </w:pPr>
    </w:p>
    <w:p w:rsidRPr="00210902" w:rsidR="00856280" w:rsidP="003F4B1E" w:rsidRDefault="00856280" w14:paraId="30209527" w14:textId="77777777">
      <w:pPr>
        <w:pStyle w:val="BodyTextIndent3"/>
        <w:spacing w:after="0"/>
        <w:ind w:left="0"/>
        <w:rPr>
          <w:sz w:val="24"/>
          <w:szCs w:val="22"/>
        </w:rPr>
      </w:pPr>
      <w:r w:rsidRPr="00210902">
        <w:rPr>
          <w:sz w:val="24"/>
          <w:szCs w:val="22"/>
        </w:rPr>
        <w:t>Time-use data are considered important indicators of both quality of life and the contribution of non-market work to national economies.  They measure, for example, time spent caring for children, vol</w:t>
      </w:r>
      <w:r w:rsidRPr="00210902" w:rsidR="00CE67FE">
        <w:rPr>
          <w:sz w:val="24"/>
          <w:szCs w:val="22"/>
        </w:rPr>
        <w:t>unteering, working, sleeping, and</w:t>
      </w:r>
      <w:r w:rsidRPr="00210902">
        <w:rPr>
          <w:sz w:val="24"/>
          <w:szCs w:val="22"/>
        </w:rPr>
        <w:t xml:space="preserve"> doing leisure </w:t>
      </w:r>
      <w:r w:rsidRPr="00210902" w:rsidR="00865501">
        <w:rPr>
          <w:sz w:val="24"/>
          <w:szCs w:val="22"/>
        </w:rPr>
        <w:t xml:space="preserve">and other </w:t>
      </w:r>
      <w:r w:rsidRPr="00210902">
        <w:rPr>
          <w:sz w:val="24"/>
          <w:szCs w:val="22"/>
        </w:rPr>
        <w:t>activities.</w:t>
      </w:r>
    </w:p>
    <w:p w:rsidRPr="00210902" w:rsidR="00856280" w:rsidP="003F4B1E" w:rsidRDefault="00856280" w14:paraId="6D06B5A2" w14:textId="77777777">
      <w:pPr>
        <w:ind w:left="720"/>
        <w:rPr>
          <w:sz w:val="24"/>
          <w:szCs w:val="22"/>
        </w:rPr>
      </w:pPr>
    </w:p>
    <w:p w:rsidRPr="00210902" w:rsidR="00974FFA" w:rsidP="003F4B1E" w:rsidRDefault="00974FFA" w14:paraId="3572F818" w14:textId="77777777">
      <w:pPr>
        <w:rPr>
          <w:sz w:val="24"/>
          <w:szCs w:val="22"/>
        </w:rPr>
      </w:pPr>
      <w:r w:rsidRPr="00210902">
        <w:rPr>
          <w:sz w:val="24"/>
          <w:szCs w:val="22"/>
        </w:rPr>
        <w:t>Collection of time-use data fits well within the BLS mission, as outlined in Title 29, United States Code, Section 1:</w:t>
      </w:r>
    </w:p>
    <w:p w:rsidRPr="00210902" w:rsidR="00974FFA" w:rsidP="00056D2C" w:rsidRDefault="00974FFA" w14:paraId="16A48E75" w14:textId="77777777">
      <w:pPr>
        <w:ind w:left="720"/>
        <w:rPr>
          <w:sz w:val="24"/>
          <w:szCs w:val="22"/>
        </w:rPr>
      </w:pPr>
    </w:p>
    <w:p w:rsidRPr="00210902" w:rsidR="00A80CD9" w:rsidP="00C53DAD" w:rsidRDefault="00D64531" w14:paraId="41F9DAE5" w14:textId="77777777">
      <w:pPr>
        <w:rPr>
          <w:sz w:val="24"/>
          <w:szCs w:val="22"/>
        </w:rPr>
      </w:pPr>
      <w:r w:rsidRPr="00210902">
        <w:rPr>
          <w:sz w:val="24"/>
          <w:szCs w:val="22"/>
        </w:rP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w:t>
      </w:r>
    </w:p>
    <w:p w:rsidR="004A5228" w:rsidP="00FB5862" w:rsidRDefault="004A5228" w14:paraId="294F6C78" w14:textId="77777777">
      <w:pPr>
        <w:ind w:left="720"/>
        <w:rPr>
          <w:sz w:val="24"/>
          <w:szCs w:val="22"/>
        </w:rPr>
      </w:pPr>
    </w:p>
    <w:p w:rsidRPr="00210902" w:rsidR="00210902" w:rsidP="00FB5862" w:rsidRDefault="00210902" w14:paraId="4775C068" w14:textId="77777777">
      <w:pPr>
        <w:ind w:left="720"/>
        <w:rPr>
          <w:sz w:val="28"/>
          <w:szCs w:val="22"/>
        </w:rPr>
      </w:pPr>
    </w:p>
    <w:p w:rsidRPr="00210902" w:rsidR="00E62D30" w:rsidP="00E62D30" w:rsidRDefault="00E62D30" w14:paraId="29B8C20E" w14:textId="77777777">
      <w:pPr>
        <w:numPr>
          <w:ilvl w:val="0"/>
          <w:numId w:val="24"/>
        </w:numPr>
        <w:tabs>
          <w:tab w:val="left" w:pos="360"/>
        </w:tabs>
        <w:ind w:left="0" w:firstLine="0"/>
        <w:rPr>
          <w:b/>
          <w:sz w:val="24"/>
          <w:szCs w:val="22"/>
        </w:rPr>
      </w:pPr>
      <w:r w:rsidRPr="00210902">
        <w:rPr>
          <w:b/>
          <w:bCs/>
          <w:sz w:val="24"/>
          <w:szCs w:val="22"/>
        </w:rPr>
        <w:t>Indicate how, by whom, and for what purpose the information is to be used.  Except for a new collection, indicate the actual use the agency has made of the information received from the current collection.</w:t>
      </w:r>
    </w:p>
    <w:p w:rsidRPr="00210902" w:rsidR="00A80CD9" w:rsidP="00FB5862" w:rsidRDefault="00A80CD9" w14:paraId="2A74B5A2" w14:textId="77777777">
      <w:pPr>
        <w:rPr>
          <w:sz w:val="24"/>
          <w:szCs w:val="22"/>
        </w:rPr>
      </w:pPr>
      <w:r w:rsidRPr="00210902">
        <w:rPr>
          <w:sz w:val="24"/>
          <w:szCs w:val="22"/>
        </w:rPr>
        <w:tab/>
      </w:r>
    </w:p>
    <w:p w:rsidRPr="00210902" w:rsidR="009C22A1" w:rsidP="003F4B1E" w:rsidRDefault="00865501" w14:paraId="5A68D686" w14:textId="77777777">
      <w:pPr>
        <w:rPr>
          <w:color w:val="000000"/>
          <w:sz w:val="24"/>
          <w:szCs w:val="22"/>
        </w:rPr>
      </w:pPr>
      <w:r w:rsidRPr="00210902">
        <w:rPr>
          <w:sz w:val="24"/>
          <w:szCs w:val="22"/>
        </w:rPr>
        <w:t xml:space="preserve">The data from the proposed </w:t>
      </w:r>
      <w:r w:rsidRPr="00210902" w:rsidR="00A346A6">
        <w:rPr>
          <w:sz w:val="24"/>
          <w:szCs w:val="22"/>
        </w:rPr>
        <w:t>W</w:t>
      </w:r>
      <w:r w:rsidRPr="00210902">
        <w:rPr>
          <w:sz w:val="24"/>
          <w:szCs w:val="22"/>
        </w:rPr>
        <w:t xml:space="preserve">ell-being </w:t>
      </w:r>
      <w:r w:rsidRPr="00210902" w:rsidR="00A346A6">
        <w:rPr>
          <w:sz w:val="24"/>
          <w:szCs w:val="22"/>
        </w:rPr>
        <w:t>M</w:t>
      </w:r>
      <w:r w:rsidRPr="00210902">
        <w:rPr>
          <w:sz w:val="24"/>
          <w:szCs w:val="22"/>
        </w:rPr>
        <w:t>odule will support the BLS mission of providing relevant information on economic and social issues.  The data will provide a richer description of work; specifically, it will measure how workers feel (tired, stressed, in pain) during work episodes compared to non</w:t>
      </w:r>
      <w:r w:rsidRPr="00210902" w:rsidR="00A346A6">
        <w:rPr>
          <w:sz w:val="24"/>
          <w:szCs w:val="22"/>
        </w:rPr>
        <w:t>-</w:t>
      </w:r>
      <w:r w:rsidRPr="00210902">
        <w:rPr>
          <w:sz w:val="24"/>
          <w:szCs w:val="22"/>
        </w:rPr>
        <w:t xml:space="preserve">work episodes, and how often workers interact on the job.  It can also measure </w:t>
      </w:r>
      <w:r w:rsidRPr="00210902" w:rsidR="0087160C">
        <w:rPr>
          <w:sz w:val="24"/>
          <w:szCs w:val="22"/>
        </w:rPr>
        <w:t>whether</w:t>
      </w:r>
      <w:r w:rsidRPr="00210902">
        <w:rPr>
          <w:sz w:val="24"/>
          <w:szCs w:val="22"/>
        </w:rPr>
        <w:t xml:space="preserve"> the amount of pain</w:t>
      </w:r>
      <w:r w:rsidRPr="00210902" w:rsidR="00B07C68">
        <w:rPr>
          <w:sz w:val="24"/>
          <w:szCs w:val="22"/>
        </w:rPr>
        <w:t xml:space="preserve"> </w:t>
      </w:r>
      <w:r w:rsidRPr="00210902" w:rsidR="00F80096">
        <w:rPr>
          <w:sz w:val="24"/>
          <w:szCs w:val="22"/>
        </w:rPr>
        <w:t>workers experience</w:t>
      </w:r>
      <w:r w:rsidRPr="00210902">
        <w:rPr>
          <w:sz w:val="24"/>
          <w:szCs w:val="22"/>
        </w:rPr>
        <w:t xml:space="preserve"> varies by occupation and disability status. </w:t>
      </w:r>
    </w:p>
    <w:p w:rsidRPr="00210902" w:rsidR="00B64E3D" w:rsidP="009C22A1" w:rsidRDefault="00B64E3D" w14:paraId="02FAC83F" w14:textId="77777777">
      <w:pPr>
        <w:ind w:left="720"/>
        <w:rPr>
          <w:sz w:val="24"/>
          <w:szCs w:val="22"/>
        </w:rPr>
      </w:pPr>
    </w:p>
    <w:p w:rsidRPr="00210902" w:rsidR="009C22A1" w:rsidP="003F4B1E" w:rsidRDefault="00CC2D29" w14:paraId="69E0CC23" w14:textId="77777777">
      <w:pPr>
        <w:rPr>
          <w:sz w:val="24"/>
          <w:szCs w:val="22"/>
        </w:rPr>
      </w:pPr>
      <w:r w:rsidRPr="00210902">
        <w:rPr>
          <w:sz w:val="24"/>
          <w:szCs w:val="22"/>
        </w:rPr>
        <w:t>Data</w:t>
      </w:r>
      <w:r w:rsidRPr="00210902" w:rsidR="00EA1A93">
        <w:rPr>
          <w:sz w:val="24"/>
          <w:szCs w:val="22"/>
        </w:rPr>
        <w:t xml:space="preserve"> </w:t>
      </w:r>
      <w:r w:rsidRPr="00210902">
        <w:rPr>
          <w:sz w:val="24"/>
          <w:szCs w:val="22"/>
        </w:rPr>
        <w:t>on</w:t>
      </w:r>
      <w:r w:rsidRPr="00210902" w:rsidR="00EA1A93">
        <w:rPr>
          <w:sz w:val="24"/>
          <w:szCs w:val="22"/>
        </w:rPr>
        <w:t xml:space="preserve"> life satisfaction will provide more comprehensive information about peo</w:t>
      </w:r>
      <w:r w:rsidRPr="00210902">
        <w:rPr>
          <w:sz w:val="24"/>
          <w:szCs w:val="22"/>
        </w:rPr>
        <w:t>p</w:t>
      </w:r>
      <w:r w:rsidRPr="00210902" w:rsidR="00EA1A93">
        <w:rPr>
          <w:sz w:val="24"/>
          <w:szCs w:val="22"/>
        </w:rPr>
        <w:t>le’s well-being beyond the point-in-time information collected by the affect questions</w:t>
      </w:r>
      <w:r w:rsidRPr="00210902">
        <w:rPr>
          <w:sz w:val="24"/>
          <w:szCs w:val="22"/>
        </w:rPr>
        <w:t xml:space="preserve"> and</w:t>
      </w:r>
      <w:r w:rsidRPr="00210902" w:rsidR="00EA1A93">
        <w:rPr>
          <w:sz w:val="24"/>
          <w:szCs w:val="22"/>
        </w:rPr>
        <w:t xml:space="preserve"> could </w:t>
      </w:r>
      <w:r w:rsidRPr="00210902" w:rsidR="001C2522">
        <w:rPr>
          <w:sz w:val="24"/>
          <w:szCs w:val="22"/>
        </w:rPr>
        <w:t xml:space="preserve">also </w:t>
      </w:r>
      <w:r w:rsidRPr="00210902" w:rsidR="00EA1A93">
        <w:rPr>
          <w:sz w:val="24"/>
          <w:szCs w:val="22"/>
        </w:rPr>
        <w:t xml:space="preserve">be compared to the activity-level data.  For </w:t>
      </w:r>
      <w:r w:rsidRPr="00210902">
        <w:rPr>
          <w:sz w:val="24"/>
          <w:szCs w:val="22"/>
        </w:rPr>
        <w:t>example, it could provide information</w:t>
      </w:r>
      <w:r w:rsidRPr="00210902" w:rsidR="00EA1A93">
        <w:rPr>
          <w:sz w:val="24"/>
          <w:szCs w:val="22"/>
        </w:rPr>
        <w:t xml:space="preserve"> </w:t>
      </w:r>
      <w:r w:rsidRPr="00210902">
        <w:rPr>
          <w:sz w:val="24"/>
          <w:szCs w:val="22"/>
        </w:rPr>
        <w:t>a</w:t>
      </w:r>
      <w:r w:rsidRPr="00210902" w:rsidR="00EA1A93">
        <w:rPr>
          <w:sz w:val="24"/>
          <w:szCs w:val="22"/>
        </w:rPr>
        <w:t>bout whether people who a</w:t>
      </w:r>
      <w:r w:rsidRPr="00210902">
        <w:rPr>
          <w:sz w:val="24"/>
          <w:szCs w:val="22"/>
        </w:rPr>
        <w:t>re more satisfied with their li</w:t>
      </w:r>
      <w:r w:rsidRPr="00210902" w:rsidR="00EA1A93">
        <w:rPr>
          <w:sz w:val="24"/>
          <w:szCs w:val="22"/>
        </w:rPr>
        <w:t xml:space="preserve">fe spend their time differently than those who are not as satisfied.  It also could be used as an indicator of the average well-being of various subpopulations, such as older Americans or those in poor health.  </w:t>
      </w:r>
      <w:r w:rsidRPr="00210902" w:rsidR="00520EC5">
        <w:rPr>
          <w:sz w:val="24"/>
          <w:szCs w:val="22"/>
        </w:rPr>
        <w:t xml:space="preserve">Such information is important for public policy.  </w:t>
      </w:r>
    </w:p>
    <w:p w:rsidRPr="00210902" w:rsidR="001C2522" w:rsidP="001C2522" w:rsidRDefault="001C2522" w14:paraId="4C8CE3EE" w14:textId="77777777">
      <w:pPr>
        <w:rPr>
          <w:sz w:val="24"/>
          <w:szCs w:val="22"/>
        </w:rPr>
      </w:pPr>
    </w:p>
    <w:p w:rsidRPr="00210902" w:rsidR="008E233F" w:rsidP="003F4B1E" w:rsidRDefault="00F421FF" w14:paraId="54110A49" w14:textId="77777777">
      <w:pPr>
        <w:rPr>
          <w:sz w:val="24"/>
          <w:szCs w:val="22"/>
        </w:rPr>
      </w:pPr>
      <w:r w:rsidRPr="00210902">
        <w:rPr>
          <w:sz w:val="24"/>
          <w:szCs w:val="22"/>
        </w:rPr>
        <w:t xml:space="preserve">The </w:t>
      </w:r>
      <w:r w:rsidRPr="00210902" w:rsidR="00F2489C">
        <w:rPr>
          <w:sz w:val="24"/>
          <w:szCs w:val="22"/>
        </w:rPr>
        <w:t xml:space="preserve">2021 </w:t>
      </w:r>
      <w:r w:rsidRPr="00210902">
        <w:rPr>
          <w:sz w:val="24"/>
          <w:szCs w:val="22"/>
        </w:rPr>
        <w:t xml:space="preserve">Well-being Module data files are intended to be used as a data set for researchers. </w:t>
      </w:r>
      <w:r w:rsidRPr="00210902" w:rsidR="008E233F">
        <w:rPr>
          <w:sz w:val="24"/>
          <w:szCs w:val="22"/>
        </w:rPr>
        <w:t>Data from the 2</w:t>
      </w:r>
      <w:r w:rsidRPr="00210902" w:rsidR="00490FA4">
        <w:rPr>
          <w:sz w:val="24"/>
          <w:szCs w:val="22"/>
        </w:rPr>
        <w:t xml:space="preserve">010, 2012, and 2013 Well-Being </w:t>
      </w:r>
      <w:r w:rsidRPr="00210902" w:rsidR="00190991">
        <w:rPr>
          <w:sz w:val="24"/>
          <w:szCs w:val="22"/>
        </w:rPr>
        <w:t>M</w:t>
      </w:r>
      <w:r w:rsidRPr="00210902" w:rsidR="008E233F">
        <w:rPr>
          <w:sz w:val="24"/>
          <w:szCs w:val="22"/>
        </w:rPr>
        <w:t>odules have</w:t>
      </w:r>
      <w:r w:rsidRPr="00210902" w:rsidR="00FE3A5F">
        <w:rPr>
          <w:sz w:val="24"/>
          <w:szCs w:val="22"/>
        </w:rPr>
        <w:t xml:space="preserve"> proven to be a rich data source </w:t>
      </w:r>
      <w:r w:rsidRPr="00210902" w:rsidR="00042992">
        <w:rPr>
          <w:sz w:val="24"/>
          <w:szCs w:val="22"/>
        </w:rPr>
        <w:t>for researchers</w:t>
      </w:r>
      <w:r w:rsidRPr="00210902" w:rsidR="00530B15">
        <w:rPr>
          <w:sz w:val="24"/>
          <w:szCs w:val="22"/>
        </w:rPr>
        <w:t>.  Some examples of how the Well-Being data have been used include</w:t>
      </w:r>
      <w:r w:rsidRPr="00210902" w:rsidR="008E233F">
        <w:rPr>
          <w:sz w:val="24"/>
          <w:szCs w:val="22"/>
        </w:rPr>
        <w:t xml:space="preserve">: </w:t>
      </w:r>
    </w:p>
    <w:p w:rsidRPr="00210902" w:rsidR="006B1AA1" w:rsidP="006B1AA1" w:rsidRDefault="006B1AA1" w14:paraId="2CC470C8" w14:textId="77777777">
      <w:pPr>
        <w:numPr>
          <w:ilvl w:val="0"/>
          <w:numId w:val="22"/>
        </w:numPr>
        <w:rPr>
          <w:sz w:val="24"/>
          <w:szCs w:val="22"/>
        </w:rPr>
      </w:pPr>
      <w:r w:rsidRPr="00210902">
        <w:rPr>
          <w:sz w:val="24"/>
          <w:szCs w:val="22"/>
        </w:rPr>
        <w:lastRenderedPageBreak/>
        <w:t>Meier et al. used Well-</w:t>
      </w:r>
      <w:r w:rsidRPr="00210902" w:rsidR="00190991">
        <w:rPr>
          <w:sz w:val="24"/>
          <w:szCs w:val="22"/>
        </w:rPr>
        <w:t>b</w:t>
      </w:r>
      <w:r w:rsidRPr="00210902">
        <w:rPr>
          <w:sz w:val="24"/>
          <w:szCs w:val="22"/>
        </w:rPr>
        <w:t xml:space="preserve">eing </w:t>
      </w:r>
      <w:r w:rsidRPr="00210902" w:rsidR="00190991">
        <w:rPr>
          <w:sz w:val="24"/>
          <w:szCs w:val="22"/>
        </w:rPr>
        <w:t>M</w:t>
      </w:r>
      <w:r w:rsidRPr="00210902">
        <w:rPr>
          <w:sz w:val="24"/>
          <w:szCs w:val="22"/>
        </w:rPr>
        <w:t>odule data to assess how parents feel in activities with children of different ages</w:t>
      </w:r>
      <w:r w:rsidRPr="00210902" w:rsidR="00A652A3">
        <w:rPr>
          <w:sz w:val="24"/>
          <w:szCs w:val="22"/>
        </w:rPr>
        <w:t>.</w:t>
      </w:r>
      <w:r w:rsidRPr="00210902">
        <w:rPr>
          <w:rStyle w:val="FootnoteReference"/>
          <w:sz w:val="24"/>
          <w:szCs w:val="22"/>
        </w:rPr>
        <w:footnoteReference w:id="1"/>
      </w:r>
    </w:p>
    <w:p w:rsidRPr="00210902" w:rsidR="006B1AA1" w:rsidP="006B1AA1" w:rsidRDefault="00D71E53" w14:paraId="07276F78" w14:textId="77777777">
      <w:pPr>
        <w:numPr>
          <w:ilvl w:val="0"/>
          <w:numId w:val="22"/>
        </w:numPr>
        <w:rPr>
          <w:sz w:val="24"/>
          <w:szCs w:val="22"/>
        </w:rPr>
      </w:pPr>
      <w:r w:rsidRPr="00210902">
        <w:rPr>
          <w:sz w:val="24"/>
          <w:szCs w:val="22"/>
        </w:rPr>
        <w:t xml:space="preserve">He, </w:t>
      </w:r>
      <w:proofErr w:type="spellStart"/>
      <w:r w:rsidRPr="00210902">
        <w:rPr>
          <w:sz w:val="24"/>
          <w:szCs w:val="22"/>
        </w:rPr>
        <w:t>Weingartner</w:t>
      </w:r>
      <w:proofErr w:type="spellEnd"/>
      <w:r w:rsidRPr="00210902">
        <w:rPr>
          <w:sz w:val="24"/>
          <w:szCs w:val="22"/>
        </w:rPr>
        <w:t>, and Sayer</w:t>
      </w:r>
      <w:r w:rsidRPr="00210902" w:rsidR="006B1AA1">
        <w:rPr>
          <w:sz w:val="24"/>
          <w:szCs w:val="22"/>
        </w:rPr>
        <w:t xml:space="preserve"> used Well-</w:t>
      </w:r>
      <w:r w:rsidRPr="00210902" w:rsidR="00190991">
        <w:rPr>
          <w:sz w:val="24"/>
          <w:szCs w:val="22"/>
        </w:rPr>
        <w:t>b</w:t>
      </w:r>
      <w:r w:rsidRPr="00210902" w:rsidR="006B1AA1">
        <w:rPr>
          <w:sz w:val="24"/>
          <w:szCs w:val="22"/>
        </w:rPr>
        <w:t xml:space="preserve">eing </w:t>
      </w:r>
      <w:r w:rsidRPr="00210902" w:rsidR="00A652A3">
        <w:rPr>
          <w:sz w:val="24"/>
          <w:szCs w:val="22"/>
        </w:rPr>
        <w:t xml:space="preserve">Module </w:t>
      </w:r>
      <w:r w:rsidRPr="00210902" w:rsidR="006B1AA1">
        <w:rPr>
          <w:sz w:val="24"/>
          <w:szCs w:val="22"/>
        </w:rPr>
        <w:t>data to examine the subjective well-being of eldercare providers</w:t>
      </w:r>
      <w:r w:rsidRPr="00210902" w:rsidR="00A652A3">
        <w:rPr>
          <w:sz w:val="24"/>
          <w:szCs w:val="22"/>
        </w:rPr>
        <w:t>,</w:t>
      </w:r>
      <w:r w:rsidRPr="00210902" w:rsidR="006B1AA1">
        <w:rPr>
          <w:sz w:val="24"/>
          <w:szCs w:val="22"/>
        </w:rPr>
        <w:t> including their experienced positive and negative feelings, and compared them with those who are not eldercare providers.</w:t>
      </w:r>
      <w:r w:rsidRPr="00210902" w:rsidR="006B1AA1">
        <w:rPr>
          <w:rStyle w:val="FootnoteReference"/>
          <w:sz w:val="24"/>
          <w:szCs w:val="22"/>
        </w:rPr>
        <w:footnoteReference w:id="2"/>
      </w:r>
    </w:p>
    <w:p w:rsidRPr="00210902" w:rsidR="00E61980" w:rsidP="006B1AA1" w:rsidRDefault="00B83AB0" w14:paraId="0EEBF4A9" w14:textId="755ED260">
      <w:pPr>
        <w:numPr>
          <w:ilvl w:val="0"/>
          <w:numId w:val="22"/>
        </w:numPr>
        <w:rPr>
          <w:sz w:val="24"/>
          <w:szCs w:val="22"/>
        </w:rPr>
      </w:pPr>
      <w:r w:rsidRPr="00210902">
        <w:rPr>
          <w:sz w:val="24"/>
          <w:szCs w:val="22"/>
        </w:rPr>
        <w:t xml:space="preserve">Krueger used the Well-being Module </w:t>
      </w:r>
      <w:r w:rsidRPr="00210902" w:rsidR="00A652A3">
        <w:rPr>
          <w:sz w:val="24"/>
          <w:szCs w:val="22"/>
        </w:rPr>
        <w:t xml:space="preserve">data </w:t>
      </w:r>
      <w:r w:rsidRPr="00210902">
        <w:rPr>
          <w:sz w:val="24"/>
          <w:szCs w:val="22"/>
        </w:rPr>
        <w:t>to study the opioid crisis in his paper, “</w:t>
      </w:r>
      <w:r w:rsidRPr="00210902" w:rsidR="00006CE8">
        <w:rPr>
          <w:sz w:val="24"/>
          <w:szCs w:val="22"/>
        </w:rPr>
        <w:t>Where Have all of the Workers G</w:t>
      </w:r>
      <w:r w:rsidRPr="00210902">
        <w:rPr>
          <w:sz w:val="24"/>
          <w:szCs w:val="22"/>
        </w:rPr>
        <w:t>one?</w:t>
      </w:r>
      <w:r w:rsidRPr="00210902" w:rsidR="00006CE8">
        <w:rPr>
          <w:sz w:val="24"/>
          <w:szCs w:val="22"/>
        </w:rPr>
        <w:t xml:space="preserve"> An Inquiry into the Decline of the U.S. Labor Force Participation R</w:t>
      </w:r>
      <w:r w:rsidRPr="00210902">
        <w:rPr>
          <w:sz w:val="24"/>
          <w:szCs w:val="22"/>
        </w:rPr>
        <w:t>ate</w:t>
      </w:r>
      <w:r w:rsidRPr="00210902" w:rsidR="007254E7">
        <w:rPr>
          <w:sz w:val="24"/>
          <w:szCs w:val="22"/>
        </w:rPr>
        <w:t>.</w:t>
      </w:r>
      <w:r w:rsidRPr="00210902">
        <w:rPr>
          <w:sz w:val="24"/>
          <w:szCs w:val="22"/>
        </w:rPr>
        <w:t>”</w:t>
      </w:r>
      <w:r w:rsidRPr="00210902" w:rsidR="00006CE8">
        <w:rPr>
          <w:rStyle w:val="FootnoteReference"/>
          <w:sz w:val="24"/>
          <w:szCs w:val="22"/>
        </w:rPr>
        <w:footnoteReference w:id="3"/>
      </w:r>
    </w:p>
    <w:p w:rsidRPr="00210902" w:rsidR="008E233F" w:rsidP="00530B15" w:rsidRDefault="00866658" w14:paraId="0D15B55D" w14:textId="77777777">
      <w:pPr>
        <w:numPr>
          <w:ilvl w:val="0"/>
          <w:numId w:val="22"/>
        </w:numPr>
        <w:rPr>
          <w:sz w:val="24"/>
          <w:szCs w:val="22"/>
        </w:rPr>
      </w:pPr>
      <w:proofErr w:type="spellStart"/>
      <w:r w:rsidRPr="00210902">
        <w:rPr>
          <w:sz w:val="24"/>
          <w:szCs w:val="22"/>
        </w:rPr>
        <w:t>Kushlev</w:t>
      </w:r>
      <w:proofErr w:type="spellEnd"/>
      <w:r w:rsidRPr="00210902">
        <w:rPr>
          <w:sz w:val="24"/>
          <w:szCs w:val="22"/>
        </w:rPr>
        <w:t>, Dunn, and Lucas used Well-</w:t>
      </w:r>
      <w:r w:rsidRPr="00210902" w:rsidR="00190991">
        <w:rPr>
          <w:sz w:val="24"/>
          <w:szCs w:val="22"/>
        </w:rPr>
        <w:t>b</w:t>
      </w:r>
      <w:r w:rsidRPr="00210902">
        <w:rPr>
          <w:sz w:val="24"/>
          <w:szCs w:val="22"/>
        </w:rPr>
        <w:t xml:space="preserve">eing </w:t>
      </w:r>
      <w:r w:rsidRPr="00210902" w:rsidR="00A652A3">
        <w:rPr>
          <w:sz w:val="24"/>
          <w:szCs w:val="22"/>
        </w:rPr>
        <w:t>M</w:t>
      </w:r>
      <w:r w:rsidRPr="00210902">
        <w:rPr>
          <w:sz w:val="24"/>
          <w:szCs w:val="22"/>
        </w:rPr>
        <w:t>odule data to explore the relationship between income and sadness levels</w:t>
      </w:r>
      <w:r w:rsidRPr="00210902" w:rsidR="00530B15">
        <w:rPr>
          <w:sz w:val="24"/>
          <w:szCs w:val="22"/>
        </w:rPr>
        <w:t>.</w:t>
      </w:r>
      <w:r w:rsidRPr="00210902">
        <w:rPr>
          <w:rStyle w:val="FootnoteReference"/>
          <w:sz w:val="24"/>
          <w:szCs w:val="22"/>
        </w:rPr>
        <w:footnoteReference w:id="4"/>
      </w:r>
    </w:p>
    <w:p w:rsidRPr="00210902" w:rsidR="00530B15" w:rsidP="00530B15" w:rsidRDefault="00530B15" w14:paraId="14DB6C95" w14:textId="77777777">
      <w:pPr>
        <w:numPr>
          <w:ilvl w:val="0"/>
          <w:numId w:val="22"/>
        </w:numPr>
        <w:rPr>
          <w:color w:val="1F497D"/>
          <w:sz w:val="24"/>
          <w:szCs w:val="22"/>
        </w:rPr>
      </w:pPr>
      <w:r w:rsidRPr="00210902">
        <w:rPr>
          <w:color w:val="333333"/>
          <w:sz w:val="24"/>
          <w:szCs w:val="22"/>
          <w:shd w:val="clear" w:color="auto" w:fill="FFFFFF"/>
        </w:rPr>
        <w:t>Gimenez-Nadal and Molina used Well-</w:t>
      </w:r>
      <w:r w:rsidRPr="00210902" w:rsidR="00190991">
        <w:rPr>
          <w:color w:val="333333"/>
          <w:sz w:val="24"/>
          <w:szCs w:val="22"/>
          <w:shd w:val="clear" w:color="auto" w:fill="FFFFFF"/>
        </w:rPr>
        <w:t>b</w:t>
      </w:r>
      <w:r w:rsidRPr="00210902">
        <w:rPr>
          <w:color w:val="333333"/>
          <w:sz w:val="24"/>
          <w:szCs w:val="22"/>
          <w:shd w:val="clear" w:color="auto" w:fill="FFFFFF"/>
        </w:rPr>
        <w:t xml:space="preserve">eing </w:t>
      </w:r>
      <w:r w:rsidRPr="00210902" w:rsidR="00A652A3">
        <w:rPr>
          <w:color w:val="333333"/>
          <w:sz w:val="24"/>
          <w:szCs w:val="22"/>
          <w:shd w:val="clear" w:color="auto" w:fill="FFFFFF"/>
        </w:rPr>
        <w:t xml:space="preserve">Module </w:t>
      </w:r>
      <w:r w:rsidRPr="00210902">
        <w:rPr>
          <w:color w:val="333333"/>
          <w:sz w:val="24"/>
          <w:szCs w:val="22"/>
          <w:shd w:val="clear" w:color="auto" w:fill="FFFFFF"/>
        </w:rPr>
        <w:t xml:space="preserve">data to </w:t>
      </w:r>
      <w:r w:rsidRPr="00210902">
        <w:rPr>
          <w:sz w:val="24"/>
          <w:szCs w:val="22"/>
        </w:rPr>
        <w:t>analyze differences in daily happiness between those individuals in the United States who perform voluntary activities during the day, and those who do not.</w:t>
      </w:r>
      <w:r w:rsidRPr="00210902">
        <w:rPr>
          <w:rStyle w:val="FootnoteReference"/>
          <w:sz w:val="24"/>
          <w:szCs w:val="22"/>
        </w:rPr>
        <w:footnoteReference w:id="5"/>
      </w:r>
    </w:p>
    <w:p w:rsidRPr="00210902" w:rsidR="00530B15" w:rsidP="00530B15" w:rsidRDefault="00530B15" w14:paraId="40E141A8" w14:textId="77777777">
      <w:pPr>
        <w:rPr>
          <w:color w:val="1F497D"/>
          <w:sz w:val="24"/>
          <w:szCs w:val="22"/>
        </w:rPr>
      </w:pPr>
    </w:p>
    <w:p w:rsidRPr="00210902" w:rsidR="00530B15" w:rsidP="003F4B1E" w:rsidRDefault="00530B15" w14:paraId="1CA0A658" w14:textId="77777777">
      <w:pPr>
        <w:rPr>
          <w:sz w:val="24"/>
          <w:szCs w:val="22"/>
        </w:rPr>
      </w:pPr>
      <w:r w:rsidRPr="00210902">
        <w:rPr>
          <w:sz w:val="24"/>
          <w:szCs w:val="22"/>
        </w:rPr>
        <w:t>The 2021 Well-</w:t>
      </w:r>
      <w:r w:rsidRPr="00210902" w:rsidR="00190991">
        <w:rPr>
          <w:sz w:val="24"/>
          <w:szCs w:val="22"/>
        </w:rPr>
        <w:t>b</w:t>
      </w:r>
      <w:r w:rsidRPr="00210902">
        <w:rPr>
          <w:sz w:val="24"/>
          <w:szCs w:val="22"/>
        </w:rPr>
        <w:t xml:space="preserve">eing </w:t>
      </w:r>
      <w:r w:rsidRPr="00210902" w:rsidR="00190991">
        <w:rPr>
          <w:sz w:val="24"/>
          <w:szCs w:val="22"/>
        </w:rPr>
        <w:t>M</w:t>
      </w:r>
      <w:r w:rsidRPr="00210902">
        <w:rPr>
          <w:sz w:val="24"/>
          <w:szCs w:val="22"/>
        </w:rPr>
        <w:t xml:space="preserve">odule data will allow additional analysis of changes in </w:t>
      </w:r>
      <w:r w:rsidRPr="00210902" w:rsidR="00190991">
        <w:rPr>
          <w:sz w:val="24"/>
          <w:szCs w:val="22"/>
        </w:rPr>
        <w:t>w</w:t>
      </w:r>
      <w:r w:rsidRPr="00210902">
        <w:rPr>
          <w:sz w:val="24"/>
          <w:szCs w:val="22"/>
        </w:rPr>
        <w:t>ell-</w:t>
      </w:r>
      <w:r w:rsidRPr="00210902" w:rsidR="00190991">
        <w:rPr>
          <w:sz w:val="24"/>
          <w:szCs w:val="22"/>
        </w:rPr>
        <w:t>b</w:t>
      </w:r>
      <w:r w:rsidRPr="00210902">
        <w:rPr>
          <w:sz w:val="24"/>
          <w:szCs w:val="22"/>
        </w:rPr>
        <w:t xml:space="preserve">eing over time. </w:t>
      </w:r>
    </w:p>
    <w:p w:rsidRPr="00210902" w:rsidR="00487512" w:rsidP="00CA4B44" w:rsidRDefault="00487512" w14:paraId="3E65805B" w14:textId="77777777">
      <w:pPr>
        <w:rPr>
          <w:sz w:val="28"/>
          <w:szCs w:val="22"/>
        </w:rPr>
      </w:pPr>
    </w:p>
    <w:p w:rsidRPr="00210902" w:rsidR="00E62D30" w:rsidP="00E62D30" w:rsidRDefault="00E62D30" w14:paraId="2E8E0412" w14:textId="77777777">
      <w:pPr>
        <w:numPr>
          <w:ilvl w:val="0"/>
          <w:numId w:val="24"/>
        </w:numPr>
        <w:tabs>
          <w:tab w:val="left" w:pos="360"/>
        </w:tabs>
        <w:ind w:left="0" w:firstLine="0"/>
        <w:rPr>
          <w:b/>
          <w:sz w:val="24"/>
          <w:szCs w:val="22"/>
        </w:rPr>
      </w:pPr>
      <w:r w:rsidRPr="00210902">
        <w:rPr>
          <w:b/>
          <w:bCs/>
          <w:sz w:val="24"/>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10902" w:rsidR="00A80CD9" w:rsidP="00FB5862" w:rsidRDefault="00A80CD9" w14:paraId="2C2C0E5E" w14:textId="77777777">
      <w:pPr>
        <w:rPr>
          <w:sz w:val="24"/>
          <w:szCs w:val="22"/>
        </w:rPr>
      </w:pPr>
    </w:p>
    <w:p w:rsidRPr="00210902" w:rsidR="0026253F" w:rsidP="003F4B1E" w:rsidRDefault="0026253F" w14:paraId="312FFE1F" w14:textId="77777777">
      <w:pPr>
        <w:pStyle w:val="BodyTextIndent"/>
        <w:ind w:left="0"/>
        <w:rPr>
          <w:szCs w:val="22"/>
        </w:rPr>
      </w:pPr>
      <w:r w:rsidRPr="00210902">
        <w:rPr>
          <w:szCs w:val="22"/>
        </w:rPr>
        <w:t>The U.S. Census Bureau, which collects and processes the data for BLS, conduct</w:t>
      </w:r>
      <w:r w:rsidRPr="00210902" w:rsidR="008F6F4B">
        <w:rPr>
          <w:szCs w:val="22"/>
        </w:rPr>
        <w:t>s</w:t>
      </w:r>
      <w:r w:rsidRPr="00210902">
        <w:rPr>
          <w:szCs w:val="22"/>
        </w:rPr>
        <w:t xml:space="preserve"> all interviews over the telephone, completing the respondent’s time-use diary using Computer Assisted Telephone Interviewing (CATI).  Using an automated call scheduler and hourly reports from the system, cases are presented to interviewers in order depending on respondents’ designated interview days, pre-set appointment times, CPS information on the best time to call respondents, and other information.</w:t>
      </w:r>
    </w:p>
    <w:p w:rsidRPr="00210902" w:rsidR="0026253F" w:rsidP="0026253F" w:rsidRDefault="0026253F" w14:paraId="1934BA2A" w14:textId="77777777">
      <w:pPr>
        <w:pStyle w:val="BodyTextIndent"/>
        <w:rPr>
          <w:szCs w:val="22"/>
        </w:rPr>
      </w:pPr>
    </w:p>
    <w:p w:rsidR="0026253F" w:rsidP="003F4B1E" w:rsidRDefault="0026253F" w14:paraId="16D69B00" w14:textId="77777777">
      <w:pPr>
        <w:pStyle w:val="BodyTextIndent"/>
        <w:ind w:left="0"/>
        <w:rPr>
          <w:szCs w:val="22"/>
        </w:rPr>
      </w:pPr>
      <w:r w:rsidRPr="00210902">
        <w:rPr>
          <w:szCs w:val="22"/>
        </w:rPr>
        <w:t xml:space="preserve">The ATUS questionnaire </w:t>
      </w:r>
      <w:r w:rsidRPr="00210902" w:rsidR="003D0D89">
        <w:rPr>
          <w:szCs w:val="22"/>
        </w:rPr>
        <w:t>and coding instrument are</w:t>
      </w:r>
      <w:r w:rsidRPr="00210902">
        <w:rPr>
          <w:szCs w:val="22"/>
        </w:rPr>
        <w:t xml:space="preserve"> built in Blaise, a </w:t>
      </w:r>
      <w:r w:rsidRPr="00210902" w:rsidR="008F6F4B">
        <w:rPr>
          <w:szCs w:val="22"/>
        </w:rPr>
        <w:t>W</w:t>
      </w:r>
      <w:r w:rsidRPr="00210902">
        <w:rPr>
          <w:szCs w:val="22"/>
        </w:rPr>
        <w:t xml:space="preserve">indows-based software package developed by Statistics Netherlands and adopted as the Census Bureau standard.  The </w:t>
      </w:r>
      <w:r w:rsidRPr="00A16168">
        <w:rPr>
          <w:szCs w:val="24"/>
        </w:rPr>
        <w:t>software’s graphical user interface (GUI) enables the usage of data entry grids that accept many entries on one screen.  This feature enables the interview to be flexible, making reporting easier for respondents</w:t>
      </w:r>
      <w:r w:rsidRPr="00A16168" w:rsidR="003D0D89">
        <w:rPr>
          <w:szCs w:val="24"/>
        </w:rPr>
        <w:t xml:space="preserve">.  </w:t>
      </w:r>
      <w:r w:rsidRPr="00210902" w:rsidR="003D0D89">
        <w:rPr>
          <w:szCs w:val="22"/>
        </w:rPr>
        <w:t>It also facilitates efficient and accurate coding of diary activities</w:t>
      </w:r>
      <w:r w:rsidRPr="00210902">
        <w:rPr>
          <w:szCs w:val="22"/>
        </w:rPr>
        <w:t xml:space="preserve">.  </w:t>
      </w:r>
    </w:p>
    <w:p w:rsidR="00210902" w:rsidP="003F4B1E" w:rsidRDefault="00210902" w14:paraId="0830B240" w14:textId="77777777">
      <w:pPr>
        <w:pStyle w:val="BodyTextIndent"/>
        <w:ind w:left="0"/>
        <w:rPr>
          <w:szCs w:val="22"/>
        </w:rPr>
      </w:pPr>
    </w:p>
    <w:p w:rsidRPr="00210902" w:rsidR="00210902" w:rsidP="003F4B1E" w:rsidRDefault="00210902" w14:paraId="4F32E597" w14:textId="77777777">
      <w:pPr>
        <w:pStyle w:val="BodyTextIndent"/>
        <w:ind w:left="0"/>
        <w:rPr>
          <w:szCs w:val="22"/>
        </w:rPr>
      </w:pPr>
    </w:p>
    <w:p w:rsidRPr="00210902" w:rsidR="00E62D30" w:rsidP="00E62D30" w:rsidRDefault="00E62D30" w14:paraId="7B8C3F40" w14:textId="77777777">
      <w:pPr>
        <w:numPr>
          <w:ilvl w:val="0"/>
          <w:numId w:val="24"/>
        </w:numPr>
        <w:tabs>
          <w:tab w:val="left" w:pos="360"/>
        </w:tabs>
        <w:ind w:left="0" w:firstLine="0"/>
        <w:rPr>
          <w:b/>
          <w:sz w:val="24"/>
          <w:szCs w:val="22"/>
        </w:rPr>
      </w:pPr>
      <w:r w:rsidRPr="00210902">
        <w:rPr>
          <w:b/>
          <w:bCs/>
          <w:sz w:val="24"/>
          <w:szCs w:val="22"/>
        </w:rPr>
        <w:t>Describe efforts to identify duplication.  Show specifically why any similar information already available cannot be used or modified for use for the purposes described in Item A.2 above.</w:t>
      </w:r>
    </w:p>
    <w:p w:rsidRPr="00210902" w:rsidR="00994DB0" w:rsidP="00872443" w:rsidRDefault="00994DB0" w14:paraId="3B4F5DBC" w14:textId="77777777">
      <w:pPr>
        <w:rPr>
          <w:sz w:val="24"/>
          <w:szCs w:val="22"/>
        </w:rPr>
      </w:pPr>
    </w:p>
    <w:p w:rsidRPr="00210902" w:rsidR="00D376A6" w:rsidP="003F4B1E" w:rsidRDefault="00994DB0" w14:paraId="3DC669F7" w14:textId="3D9B3C41">
      <w:pPr>
        <w:rPr>
          <w:sz w:val="24"/>
          <w:szCs w:val="22"/>
        </w:rPr>
      </w:pPr>
      <w:r w:rsidRPr="00210902">
        <w:rPr>
          <w:sz w:val="24"/>
          <w:szCs w:val="22"/>
        </w:rPr>
        <w:t>A</w:t>
      </w:r>
      <w:r w:rsidRPr="00210902" w:rsidR="005D7E15">
        <w:rPr>
          <w:sz w:val="24"/>
          <w:szCs w:val="22"/>
        </w:rPr>
        <w:t xml:space="preserve"> few independent surveys have collected data on </w:t>
      </w:r>
      <w:r w:rsidRPr="00210902" w:rsidR="00A3189E">
        <w:rPr>
          <w:sz w:val="24"/>
          <w:szCs w:val="22"/>
        </w:rPr>
        <w:t xml:space="preserve">Americans' </w:t>
      </w:r>
      <w:r w:rsidRPr="00210902" w:rsidR="005D7E15">
        <w:rPr>
          <w:sz w:val="24"/>
          <w:szCs w:val="22"/>
        </w:rPr>
        <w:t>well-being</w:t>
      </w:r>
      <w:r w:rsidRPr="00210902" w:rsidR="00A3189E">
        <w:rPr>
          <w:sz w:val="24"/>
          <w:szCs w:val="22"/>
        </w:rPr>
        <w:t>.  A couple of these surveys have used a time diary in conjunction with episod</w:t>
      </w:r>
      <w:r w:rsidRPr="00210902" w:rsidR="006630E4">
        <w:rPr>
          <w:sz w:val="24"/>
          <w:szCs w:val="22"/>
        </w:rPr>
        <w:t>e</w:t>
      </w:r>
      <w:r w:rsidRPr="00210902" w:rsidR="00A3189E">
        <w:rPr>
          <w:sz w:val="24"/>
          <w:szCs w:val="22"/>
        </w:rPr>
        <w:t>-level questions about respondents' emotional experience</w:t>
      </w:r>
      <w:r w:rsidRPr="00210902" w:rsidR="006630E4">
        <w:rPr>
          <w:sz w:val="24"/>
          <w:szCs w:val="22"/>
        </w:rPr>
        <w:t>;</w:t>
      </w:r>
      <w:r w:rsidRPr="00210902" w:rsidR="005D7E15">
        <w:rPr>
          <w:sz w:val="24"/>
          <w:szCs w:val="22"/>
        </w:rPr>
        <w:t xml:space="preserve"> however, </w:t>
      </w:r>
      <w:r w:rsidRPr="00210902" w:rsidR="00A3189E">
        <w:rPr>
          <w:sz w:val="24"/>
          <w:szCs w:val="22"/>
        </w:rPr>
        <w:t>these surveys lack the scope and representativeness of the ATUS data.  The Dai</w:t>
      </w:r>
      <w:r w:rsidRPr="00210902" w:rsidR="00BB253A">
        <w:rPr>
          <w:sz w:val="24"/>
          <w:szCs w:val="22"/>
        </w:rPr>
        <w:t>ly Reconstruction Method (DRM) collected data on time use, episod</w:t>
      </w:r>
      <w:r w:rsidRPr="00210902" w:rsidR="008666F7">
        <w:rPr>
          <w:sz w:val="24"/>
          <w:szCs w:val="22"/>
        </w:rPr>
        <w:t>e</w:t>
      </w:r>
      <w:r w:rsidRPr="00210902" w:rsidR="00BB253A">
        <w:rPr>
          <w:sz w:val="24"/>
          <w:szCs w:val="22"/>
        </w:rPr>
        <w:t>-level affect data, and information about respondents' overall life satisfaction in 2004.  This survey was smaller in scale than the ATUS (the analytical focus was on 909 women who reported working in their time-use diary) and relied on a convenience sample rather than a nationally</w:t>
      </w:r>
      <w:r w:rsidRPr="00210902" w:rsidR="006630E4">
        <w:rPr>
          <w:sz w:val="24"/>
          <w:szCs w:val="22"/>
        </w:rPr>
        <w:t xml:space="preserve"> </w:t>
      </w:r>
      <w:r w:rsidRPr="00210902" w:rsidR="00BB253A">
        <w:rPr>
          <w:sz w:val="24"/>
          <w:szCs w:val="22"/>
        </w:rPr>
        <w:t>representative sample.</w:t>
      </w:r>
      <w:r w:rsidRPr="00210902" w:rsidR="00EF0456">
        <w:rPr>
          <w:sz w:val="24"/>
          <w:szCs w:val="22"/>
        </w:rPr>
        <w:t xml:space="preserve">  </w:t>
      </w:r>
      <w:r w:rsidRPr="00210902" w:rsidR="006D2A54">
        <w:rPr>
          <w:sz w:val="24"/>
          <w:szCs w:val="22"/>
        </w:rPr>
        <w:t>Another independent survey, the Princeton Affect and Time Survey (PATS) was modeled on the ATUS and the DRM</w:t>
      </w:r>
      <w:r w:rsidRPr="00210902" w:rsidR="00917210">
        <w:rPr>
          <w:sz w:val="24"/>
          <w:szCs w:val="22"/>
        </w:rPr>
        <w:t>,</w:t>
      </w:r>
      <w:r w:rsidRPr="00210902" w:rsidR="006D2A54">
        <w:rPr>
          <w:sz w:val="24"/>
          <w:szCs w:val="22"/>
        </w:rPr>
        <w:t xml:space="preserve"> and collected time-use and affect data from nearly 4,000 respondents in 2006.  </w:t>
      </w:r>
      <w:r w:rsidRPr="00210902" w:rsidR="00A3189E">
        <w:rPr>
          <w:sz w:val="24"/>
          <w:szCs w:val="22"/>
        </w:rPr>
        <w:t xml:space="preserve">Other </w:t>
      </w:r>
      <w:r w:rsidRPr="00210902" w:rsidR="00BB253A">
        <w:rPr>
          <w:sz w:val="24"/>
          <w:szCs w:val="22"/>
        </w:rPr>
        <w:t xml:space="preserve">independent surveys have included questions to </w:t>
      </w:r>
      <w:r w:rsidRPr="00210902" w:rsidR="005D7E15">
        <w:rPr>
          <w:sz w:val="24"/>
          <w:szCs w:val="22"/>
        </w:rPr>
        <w:t>measure respondents'</w:t>
      </w:r>
      <w:r w:rsidRPr="00210902" w:rsidR="008673CB">
        <w:rPr>
          <w:sz w:val="24"/>
          <w:szCs w:val="22"/>
        </w:rPr>
        <w:t xml:space="preserve"> overall life satisfaction.</w:t>
      </w:r>
    </w:p>
    <w:p w:rsidR="00D376A6" w:rsidP="00FB5862" w:rsidRDefault="00D376A6" w14:paraId="7FDC0929" w14:textId="77777777">
      <w:pPr>
        <w:ind w:left="720"/>
        <w:rPr>
          <w:sz w:val="24"/>
          <w:szCs w:val="22"/>
        </w:rPr>
      </w:pPr>
    </w:p>
    <w:p w:rsidRPr="00210902" w:rsidR="00210902" w:rsidP="00FB5862" w:rsidRDefault="00210902" w14:paraId="6E9EAF5D" w14:textId="77777777">
      <w:pPr>
        <w:ind w:left="720"/>
        <w:rPr>
          <w:sz w:val="24"/>
          <w:szCs w:val="22"/>
        </w:rPr>
      </w:pPr>
    </w:p>
    <w:p w:rsidRPr="00210902" w:rsidR="00E62D30" w:rsidP="00E62D30" w:rsidRDefault="00E62D30" w14:paraId="79CFFBC3" w14:textId="77777777">
      <w:pPr>
        <w:numPr>
          <w:ilvl w:val="0"/>
          <w:numId w:val="24"/>
        </w:numPr>
        <w:tabs>
          <w:tab w:val="left" w:pos="360"/>
        </w:tabs>
        <w:ind w:left="0" w:firstLine="0"/>
        <w:rPr>
          <w:b/>
          <w:sz w:val="24"/>
          <w:szCs w:val="24"/>
        </w:rPr>
      </w:pPr>
      <w:r w:rsidRPr="00210902">
        <w:rPr>
          <w:b/>
          <w:bCs/>
          <w:sz w:val="24"/>
          <w:szCs w:val="22"/>
        </w:rPr>
        <w:t xml:space="preserve">If the collection of information impacts small businesses or other small entities, describe </w:t>
      </w:r>
      <w:r w:rsidRPr="00210902">
        <w:rPr>
          <w:b/>
          <w:bCs/>
          <w:sz w:val="24"/>
          <w:szCs w:val="24"/>
        </w:rPr>
        <w:t>any methods used to minimize burden.</w:t>
      </w:r>
    </w:p>
    <w:p w:rsidRPr="00210902" w:rsidR="00A80CD9" w:rsidP="00FB5862" w:rsidRDefault="00A80CD9" w14:paraId="549AC209" w14:textId="77777777">
      <w:pPr>
        <w:rPr>
          <w:sz w:val="24"/>
          <w:szCs w:val="24"/>
        </w:rPr>
      </w:pPr>
    </w:p>
    <w:p w:rsidRPr="00210902" w:rsidR="00A80CD9" w:rsidP="003F4B1E" w:rsidRDefault="00A80CD9" w14:paraId="5012AA09" w14:textId="77777777">
      <w:pPr>
        <w:rPr>
          <w:sz w:val="24"/>
          <w:szCs w:val="24"/>
        </w:rPr>
      </w:pPr>
      <w:r w:rsidRPr="00210902">
        <w:rPr>
          <w:sz w:val="24"/>
          <w:szCs w:val="24"/>
        </w:rPr>
        <w:t xml:space="preserve">The data are collected from </w:t>
      </w:r>
      <w:r w:rsidRPr="00210902" w:rsidR="0078382B">
        <w:rPr>
          <w:sz w:val="24"/>
          <w:szCs w:val="24"/>
        </w:rPr>
        <w:t xml:space="preserve">individuals in </w:t>
      </w:r>
      <w:r w:rsidRPr="00210902">
        <w:rPr>
          <w:sz w:val="24"/>
          <w:szCs w:val="24"/>
        </w:rPr>
        <w:t>households; their collection does not involve any small businesses or other small entities.</w:t>
      </w:r>
    </w:p>
    <w:p w:rsidR="00113DDB" w:rsidP="00FB5862" w:rsidRDefault="00113DDB" w14:paraId="08E92E58" w14:textId="77777777">
      <w:pPr>
        <w:rPr>
          <w:sz w:val="24"/>
          <w:szCs w:val="24"/>
        </w:rPr>
      </w:pPr>
    </w:p>
    <w:p w:rsidRPr="00210902" w:rsidR="005006F3" w:rsidP="00FB5862" w:rsidRDefault="005006F3" w14:paraId="2E66F1D0" w14:textId="77777777">
      <w:pPr>
        <w:rPr>
          <w:sz w:val="24"/>
          <w:szCs w:val="24"/>
        </w:rPr>
      </w:pPr>
    </w:p>
    <w:p w:rsidRPr="00210902" w:rsidR="00E62D30" w:rsidP="00E62D30" w:rsidRDefault="00E62D30" w14:paraId="485F2CB2" w14:textId="77777777">
      <w:pPr>
        <w:numPr>
          <w:ilvl w:val="0"/>
          <w:numId w:val="24"/>
        </w:numPr>
        <w:tabs>
          <w:tab w:val="left" w:pos="360"/>
        </w:tabs>
        <w:ind w:left="0" w:firstLine="0"/>
        <w:rPr>
          <w:b/>
          <w:sz w:val="24"/>
          <w:szCs w:val="24"/>
        </w:rPr>
      </w:pPr>
      <w:r w:rsidRPr="00210902">
        <w:rPr>
          <w:b/>
          <w:bCs/>
          <w:sz w:val="24"/>
          <w:szCs w:val="24"/>
        </w:rPr>
        <w:t>Describe the consequence to federal program or policy activities if the collection is not conducted or is conducted less frequently, as well as any technical or legal obstacles to reducing burden.</w:t>
      </w:r>
    </w:p>
    <w:p w:rsidRPr="00210902" w:rsidR="00B94515" w:rsidP="00FB5862" w:rsidRDefault="00B94515" w14:paraId="44F7686E" w14:textId="77777777">
      <w:pPr>
        <w:ind w:left="717"/>
        <w:rPr>
          <w:sz w:val="24"/>
          <w:szCs w:val="24"/>
        </w:rPr>
      </w:pPr>
    </w:p>
    <w:p w:rsidRPr="00210902" w:rsidR="0091067A" w:rsidP="003F4B1E" w:rsidRDefault="00B94515" w14:paraId="626E10E9" w14:textId="77777777">
      <w:pPr>
        <w:rPr>
          <w:sz w:val="24"/>
          <w:szCs w:val="24"/>
        </w:rPr>
      </w:pPr>
      <w:r w:rsidRPr="00210902">
        <w:rPr>
          <w:sz w:val="24"/>
          <w:szCs w:val="24"/>
        </w:rPr>
        <w:t xml:space="preserve">Fielding the Well-being Module in </w:t>
      </w:r>
      <w:r w:rsidRPr="00210902" w:rsidR="004163E3">
        <w:rPr>
          <w:sz w:val="24"/>
          <w:szCs w:val="24"/>
        </w:rPr>
        <w:t>2021</w:t>
      </w:r>
      <w:r w:rsidRPr="00210902" w:rsidR="00D23954">
        <w:rPr>
          <w:sz w:val="24"/>
          <w:szCs w:val="24"/>
        </w:rPr>
        <w:t xml:space="preserve"> </w:t>
      </w:r>
      <w:r w:rsidRPr="00210902" w:rsidR="00D556FF">
        <w:rPr>
          <w:sz w:val="24"/>
          <w:szCs w:val="24"/>
        </w:rPr>
        <w:t xml:space="preserve">will allow researchers to monitor changes in </w:t>
      </w:r>
      <w:r w:rsidRPr="00210902" w:rsidR="000516A2">
        <w:rPr>
          <w:sz w:val="24"/>
          <w:szCs w:val="24"/>
        </w:rPr>
        <w:t xml:space="preserve">workers’ well-being </w:t>
      </w:r>
      <w:r w:rsidRPr="00210902" w:rsidR="00D23954">
        <w:rPr>
          <w:sz w:val="24"/>
          <w:szCs w:val="24"/>
        </w:rPr>
        <w:t xml:space="preserve">over time since the last module was collected in 2013.  </w:t>
      </w:r>
    </w:p>
    <w:p w:rsidR="009324C3" w:rsidP="0091067A" w:rsidRDefault="009324C3" w14:paraId="2354B4F3" w14:textId="77777777">
      <w:pPr>
        <w:ind w:left="717"/>
        <w:rPr>
          <w:sz w:val="24"/>
          <w:szCs w:val="24"/>
        </w:rPr>
      </w:pPr>
    </w:p>
    <w:p w:rsidRPr="00210902" w:rsidR="005006F3" w:rsidP="0091067A" w:rsidRDefault="005006F3" w14:paraId="3E5795B3" w14:textId="77777777">
      <w:pPr>
        <w:ind w:left="717"/>
        <w:rPr>
          <w:sz w:val="24"/>
          <w:szCs w:val="24"/>
        </w:rPr>
      </w:pPr>
    </w:p>
    <w:p w:rsidRPr="00210902" w:rsidR="00E62D30" w:rsidP="00E62D30" w:rsidRDefault="00E62D30" w14:paraId="6EC70844" w14:textId="77777777">
      <w:pPr>
        <w:numPr>
          <w:ilvl w:val="0"/>
          <w:numId w:val="24"/>
        </w:numPr>
        <w:tabs>
          <w:tab w:val="left" w:pos="360"/>
        </w:tabs>
        <w:ind w:left="0" w:firstLine="0"/>
        <w:rPr>
          <w:sz w:val="24"/>
          <w:szCs w:val="24"/>
        </w:rPr>
      </w:pPr>
      <w:r w:rsidRPr="00210902">
        <w:rPr>
          <w:b/>
          <w:bCs/>
          <w:sz w:val="24"/>
          <w:szCs w:val="24"/>
        </w:rPr>
        <w:t>Explain any special circumstances that would cause an information collection to be conducted in a manner:</w:t>
      </w:r>
    </w:p>
    <w:p w:rsidRPr="00210902" w:rsidR="00E62D30" w:rsidP="00E62D30" w:rsidRDefault="00E62D30" w14:paraId="649510A9" w14:textId="77777777">
      <w:pPr>
        <w:pStyle w:val="Level1"/>
        <w:widowControl/>
        <w:numPr>
          <w:ilvl w:val="0"/>
          <w:numId w:val="25"/>
        </w:numPr>
        <w:spacing w:after="120"/>
        <w:rPr>
          <w:b/>
          <w:bCs/>
        </w:rPr>
      </w:pPr>
      <w:r w:rsidRPr="00210902">
        <w:rPr>
          <w:b/>
          <w:bCs/>
        </w:rPr>
        <w:t>requiring respondents to report information to the agency more often than quarterly;</w:t>
      </w:r>
    </w:p>
    <w:p w:rsidRPr="00210902" w:rsidR="00E62D30" w:rsidP="00E62D30" w:rsidRDefault="00E62D30" w14:paraId="45AD1C41" w14:textId="77777777">
      <w:pPr>
        <w:pStyle w:val="Level1"/>
        <w:widowControl/>
        <w:numPr>
          <w:ilvl w:val="0"/>
          <w:numId w:val="25"/>
        </w:numPr>
        <w:spacing w:after="120"/>
        <w:rPr>
          <w:b/>
          <w:bCs/>
        </w:rPr>
      </w:pPr>
      <w:r w:rsidRPr="00210902">
        <w:rPr>
          <w:b/>
          <w:bCs/>
        </w:rPr>
        <w:t>requiring respondents to prepare a written response to a collection of information in fewer than 30 days after receipt of it;</w:t>
      </w:r>
    </w:p>
    <w:p w:rsidRPr="00210902" w:rsidR="00E62D30" w:rsidP="00E62D30" w:rsidRDefault="00E62D30" w14:paraId="1D21C2EE" w14:textId="77777777">
      <w:pPr>
        <w:pStyle w:val="Level1"/>
        <w:widowControl/>
        <w:numPr>
          <w:ilvl w:val="0"/>
          <w:numId w:val="25"/>
        </w:numPr>
        <w:spacing w:after="120"/>
        <w:rPr>
          <w:b/>
          <w:bCs/>
        </w:rPr>
      </w:pPr>
      <w:r w:rsidRPr="00210902">
        <w:rPr>
          <w:b/>
          <w:bCs/>
        </w:rPr>
        <w:t>requiring respondents to submit more than an original and two copies of any document;</w:t>
      </w:r>
    </w:p>
    <w:p w:rsidRPr="00210902" w:rsidR="00E62D30" w:rsidP="00E62D30" w:rsidRDefault="00E62D30" w14:paraId="333FEBB8" w14:textId="77777777">
      <w:pPr>
        <w:pStyle w:val="Level1"/>
        <w:widowControl/>
        <w:numPr>
          <w:ilvl w:val="0"/>
          <w:numId w:val="25"/>
        </w:numPr>
        <w:spacing w:after="120"/>
        <w:rPr>
          <w:b/>
          <w:bCs/>
        </w:rPr>
      </w:pPr>
      <w:r w:rsidRPr="00210902">
        <w:rPr>
          <w:b/>
          <w:bCs/>
        </w:rPr>
        <w:lastRenderedPageBreak/>
        <w:t>requiring respondents to retain records, other than health, medical, government contract, grant-in-aid, or tax records for more than three years;</w:t>
      </w:r>
    </w:p>
    <w:p w:rsidRPr="00210902" w:rsidR="00E62D30" w:rsidP="00E62D30" w:rsidRDefault="00E62D30" w14:paraId="3642C1B8" w14:textId="77777777">
      <w:pPr>
        <w:pStyle w:val="Level1"/>
        <w:widowControl/>
        <w:numPr>
          <w:ilvl w:val="0"/>
          <w:numId w:val="25"/>
        </w:numPr>
        <w:spacing w:after="120"/>
        <w:rPr>
          <w:b/>
          <w:bCs/>
        </w:rPr>
      </w:pPr>
      <w:r w:rsidRPr="00210902">
        <w:rPr>
          <w:b/>
          <w:bCs/>
        </w:rPr>
        <w:t>in connection with a statistical survey, that is not designed to produce valid and reliable results that can be generalized to the universe of study;</w:t>
      </w:r>
    </w:p>
    <w:p w:rsidRPr="00210902" w:rsidR="00E62D30" w:rsidP="00E62D30" w:rsidRDefault="00E62D30" w14:paraId="3A0E7B72" w14:textId="77777777">
      <w:pPr>
        <w:pStyle w:val="Level1"/>
        <w:widowControl/>
        <w:numPr>
          <w:ilvl w:val="0"/>
          <w:numId w:val="25"/>
        </w:numPr>
        <w:spacing w:after="120"/>
        <w:rPr>
          <w:b/>
          <w:bCs/>
        </w:rPr>
      </w:pPr>
      <w:r w:rsidRPr="00210902">
        <w:rPr>
          <w:b/>
          <w:bCs/>
        </w:rPr>
        <w:t>requiring the use of statistical data classification that has not been reviewed and approved by OMB;</w:t>
      </w:r>
    </w:p>
    <w:p w:rsidRPr="00210902" w:rsidR="00E62D30" w:rsidP="00E62D30" w:rsidRDefault="00E62D30" w14:paraId="58A2A8D1" w14:textId="77777777">
      <w:pPr>
        <w:pStyle w:val="Level1"/>
        <w:widowControl/>
        <w:numPr>
          <w:ilvl w:val="0"/>
          <w:numId w:val="25"/>
        </w:numPr>
        <w:spacing w:after="120"/>
        <w:rPr>
          <w:b/>
          <w:bCs/>
        </w:rPr>
      </w:pPr>
      <w:r w:rsidRPr="00210902">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10902" w:rsidR="00A80CD9" w:rsidP="00210902" w:rsidRDefault="00E62D30" w14:paraId="4E763801" w14:textId="799C5F93">
      <w:pPr>
        <w:pStyle w:val="Level1"/>
        <w:widowControl/>
        <w:numPr>
          <w:ilvl w:val="0"/>
          <w:numId w:val="25"/>
        </w:numPr>
        <w:rPr>
          <w:b/>
        </w:rPr>
      </w:pPr>
      <w:r w:rsidRPr="00210902">
        <w:rPr>
          <w:b/>
          <w:bCs/>
        </w:rPr>
        <w:t>requiring respondents to submit proprietary trade secret, or other confidential information unless the agency can demonstrate that it has instituted procedures to protect the information's confidentially to the extent permitted by law.</w:t>
      </w:r>
    </w:p>
    <w:p w:rsidRPr="00210902" w:rsidR="00210902" w:rsidP="00210902" w:rsidRDefault="00210902" w14:paraId="1EFE31F3" w14:textId="77777777">
      <w:pPr>
        <w:pStyle w:val="Level1"/>
        <w:widowControl/>
        <w:rPr>
          <w:b/>
        </w:rPr>
      </w:pPr>
    </w:p>
    <w:p w:rsidRPr="00210902" w:rsidR="004618BA" w:rsidP="00210902" w:rsidRDefault="00F20526" w14:paraId="284F4DDD" w14:textId="77777777">
      <w:pPr>
        <w:pStyle w:val="BodyTextIndent"/>
        <w:keepNext/>
        <w:ind w:left="0"/>
        <w:rPr>
          <w:szCs w:val="24"/>
        </w:rPr>
      </w:pPr>
      <w:r w:rsidRPr="00210902">
        <w:rPr>
          <w:szCs w:val="24"/>
        </w:rPr>
        <w:t>Affect data in the</w:t>
      </w:r>
      <w:r w:rsidRPr="00210902" w:rsidR="004618BA">
        <w:rPr>
          <w:szCs w:val="24"/>
        </w:rPr>
        <w:t xml:space="preserve"> Well-being Module </w:t>
      </w:r>
      <w:r w:rsidRPr="00210902">
        <w:rPr>
          <w:szCs w:val="24"/>
        </w:rPr>
        <w:t xml:space="preserve">are collected for </w:t>
      </w:r>
      <w:r w:rsidRPr="00210902" w:rsidR="00873C95">
        <w:rPr>
          <w:szCs w:val="24"/>
        </w:rPr>
        <w:t>randomly-</w:t>
      </w:r>
      <w:r w:rsidRPr="00210902">
        <w:rPr>
          <w:szCs w:val="24"/>
        </w:rPr>
        <w:t>selected activities.  These activities are coded using a</w:t>
      </w:r>
      <w:r w:rsidRPr="00210902" w:rsidR="004618BA">
        <w:rPr>
          <w:szCs w:val="24"/>
        </w:rPr>
        <w:t xml:space="preserve"> classification system not use</w:t>
      </w:r>
      <w:r w:rsidRPr="00210902" w:rsidR="00BD45E6">
        <w:rPr>
          <w:szCs w:val="24"/>
        </w:rPr>
        <w:t>d</w:t>
      </w:r>
      <w:r w:rsidRPr="00210902" w:rsidR="004618BA">
        <w:rPr>
          <w:szCs w:val="24"/>
        </w:rPr>
        <w:t xml:space="preserve"> </w:t>
      </w:r>
      <w:r w:rsidRPr="00210902" w:rsidR="00BD45E6">
        <w:rPr>
          <w:szCs w:val="24"/>
        </w:rPr>
        <w:t>by</w:t>
      </w:r>
      <w:r w:rsidRPr="00210902" w:rsidR="004618BA">
        <w:rPr>
          <w:szCs w:val="24"/>
        </w:rPr>
        <w:t xml:space="preserve"> Federal survey</w:t>
      </w:r>
      <w:r w:rsidRPr="00210902" w:rsidR="00BD45E6">
        <w:rPr>
          <w:szCs w:val="24"/>
        </w:rPr>
        <w:t>s other than the ATUS</w:t>
      </w:r>
      <w:r w:rsidRPr="00210902" w:rsidR="004618BA">
        <w:rPr>
          <w:szCs w:val="24"/>
        </w:rPr>
        <w:t>.  A coding lexicon was developed to classify reported activities into 17 major categories, with two additional levels of detail.  (ATUS coding lexicons can be found on the Internet at</w:t>
      </w:r>
      <w:r w:rsidRPr="00210902" w:rsidR="00AA7D6D">
        <w:rPr>
          <w:szCs w:val="24"/>
        </w:rPr>
        <w:t xml:space="preserve">: </w:t>
      </w:r>
      <w:r w:rsidRPr="00210902">
        <w:rPr>
          <w:szCs w:val="24"/>
        </w:rPr>
        <w:t xml:space="preserve"> </w:t>
      </w:r>
      <w:hyperlink w:history="1" r:id="rId8">
        <w:r w:rsidRPr="00210902" w:rsidR="0032414C">
          <w:rPr>
            <w:rStyle w:val="Hyperlink"/>
            <w:szCs w:val="24"/>
          </w:rPr>
          <w:t>www.bls.gov/tus/lexicons.htm</w:t>
        </w:r>
      </w:hyperlink>
      <w:r w:rsidRPr="00210902" w:rsidR="004618BA">
        <w:rPr>
          <w:szCs w:val="24"/>
        </w:rPr>
        <w:t xml:space="preserve">).  BLS designed the ATUS lexicon by studying classification systems used for time-use surveys in other countries, drawing most heavily on the Australian time-use survey lexicon, and then determining the best way to produce analytically relevant data for the United States.  The coding lexicon developed for the ATUS was extensively tested by </w:t>
      </w:r>
      <w:r w:rsidRPr="00210902">
        <w:rPr>
          <w:szCs w:val="24"/>
        </w:rPr>
        <w:t xml:space="preserve">U.S. </w:t>
      </w:r>
      <w:r w:rsidRPr="00210902" w:rsidR="004618BA">
        <w:rPr>
          <w:szCs w:val="24"/>
        </w:rPr>
        <w:t xml:space="preserve">Census Bureau coders and by coders at </w:t>
      </w:r>
      <w:proofErr w:type="spellStart"/>
      <w:r w:rsidRPr="00210902" w:rsidR="004618BA">
        <w:rPr>
          <w:szCs w:val="24"/>
        </w:rPr>
        <w:t>Westat</w:t>
      </w:r>
      <w:proofErr w:type="spellEnd"/>
      <w:r w:rsidRPr="00210902" w:rsidR="004618BA">
        <w:rPr>
          <w:szCs w:val="24"/>
        </w:rPr>
        <w:t xml:space="preserve"> prior to the start of full production in 2003. </w:t>
      </w:r>
      <w:r w:rsidRPr="00210902" w:rsidR="00243AB4">
        <w:rPr>
          <w:szCs w:val="24"/>
        </w:rPr>
        <w:t xml:space="preserve"> The d</w:t>
      </w:r>
      <w:r w:rsidRPr="00210902" w:rsidR="004618BA">
        <w:rPr>
          <w:szCs w:val="24"/>
        </w:rPr>
        <w:t>evelopment of the ATUS lexicon is described in</w:t>
      </w:r>
      <w:r w:rsidRPr="00210902" w:rsidR="00B15E06">
        <w:rPr>
          <w:szCs w:val="24"/>
        </w:rPr>
        <w:t xml:space="preserve"> "Developing the American Time Use Survey activity classification system</w:t>
      </w:r>
      <w:r w:rsidRPr="00210902" w:rsidR="00243AB4">
        <w:rPr>
          <w:szCs w:val="24"/>
        </w:rPr>
        <w:t>,</w:t>
      </w:r>
      <w:r w:rsidRPr="00210902" w:rsidR="00B15E06">
        <w:rPr>
          <w:szCs w:val="24"/>
        </w:rPr>
        <w:t xml:space="preserve">" by Kristina Shelley, available at:  </w:t>
      </w:r>
      <w:hyperlink w:history="1" r:id="rId9">
        <w:r w:rsidRPr="00210902" w:rsidR="00B15E06">
          <w:rPr>
            <w:rStyle w:val="Hyperlink"/>
            <w:szCs w:val="24"/>
          </w:rPr>
          <w:t>http://www.bls.gov/opub/mlr/2005/06/art1full.pdf</w:t>
        </w:r>
      </w:hyperlink>
      <w:r w:rsidRPr="00210902" w:rsidR="004618BA">
        <w:rPr>
          <w:szCs w:val="24"/>
        </w:rPr>
        <w:t xml:space="preserve">.      </w:t>
      </w:r>
    </w:p>
    <w:p w:rsidRPr="00210902" w:rsidR="004618BA" w:rsidP="004618BA" w:rsidRDefault="004618BA" w14:paraId="056AE66A" w14:textId="77777777">
      <w:pPr>
        <w:pStyle w:val="BodyTextIndent"/>
        <w:rPr>
          <w:szCs w:val="24"/>
        </w:rPr>
      </w:pPr>
    </w:p>
    <w:p w:rsidRPr="00210902" w:rsidR="004618BA" w:rsidP="00B0360D" w:rsidRDefault="004618BA" w14:paraId="71161CCA" w14:textId="77777777">
      <w:pPr>
        <w:pStyle w:val="BodyTextIndent"/>
        <w:ind w:left="0"/>
        <w:rPr>
          <w:szCs w:val="24"/>
        </w:rPr>
      </w:pPr>
      <w:r w:rsidRPr="00210902">
        <w:rPr>
          <w:szCs w:val="24"/>
        </w:rPr>
        <w:t>No other special circumstances apply.</w:t>
      </w:r>
    </w:p>
    <w:p w:rsidR="0090395D" w:rsidP="00FB5862" w:rsidRDefault="0090395D" w14:paraId="785B58A2" w14:textId="77777777">
      <w:pPr>
        <w:rPr>
          <w:sz w:val="24"/>
          <w:szCs w:val="24"/>
        </w:rPr>
      </w:pPr>
    </w:p>
    <w:p w:rsidRPr="00210902" w:rsidR="00210902" w:rsidP="00FB5862" w:rsidRDefault="00210902" w14:paraId="18CF007C" w14:textId="77777777">
      <w:pPr>
        <w:rPr>
          <w:sz w:val="24"/>
          <w:szCs w:val="24"/>
        </w:rPr>
      </w:pPr>
    </w:p>
    <w:p w:rsidRPr="00210902" w:rsidR="00E62D30" w:rsidP="00E62D30" w:rsidRDefault="00E62D30" w14:paraId="51190979" w14:textId="77777777">
      <w:pPr>
        <w:numPr>
          <w:ilvl w:val="0"/>
          <w:numId w:val="24"/>
        </w:numPr>
        <w:tabs>
          <w:tab w:val="left" w:pos="360"/>
        </w:tabs>
        <w:ind w:left="0" w:firstLine="0"/>
        <w:rPr>
          <w:b/>
          <w:bCs/>
          <w:sz w:val="24"/>
          <w:szCs w:val="24"/>
        </w:rPr>
      </w:pPr>
      <w:r w:rsidRPr="00210902">
        <w:rPr>
          <w:b/>
          <w:bCs/>
          <w:sz w:val="24"/>
          <w:szCs w:val="24"/>
        </w:rPr>
        <w:t xml:space="preserve">If applicable, provide a copy and identify the date and page number of </w:t>
      </w:r>
      <w:proofErr w:type="gramStart"/>
      <w:r w:rsidRPr="00210902">
        <w:rPr>
          <w:b/>
          <w:bCs/>
          <w:sz w:val="24"/>
          <w:szCs w:val="24"/>
        </w:rPr>
        <w:t>publication</w:t>
      </w:r>
      <w:proofErr w:type="gramEnd"/>
      <w:r w:rsidRPr="00210902">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10902" w:rsidR="00E62D30" w:rsidP="00E62D30" w:rsidRDefault="00E62D30" w14:paraId="488D4FA2" w14:textId="77777777">
      <w:pPr>
        <w:rPr>
          <w:b/>
          <w:sz w:val="24"/>
          <w:szCs w:val="24"/>
        </w:rPr>
      </w:pPr>
    </w:p>
    <w:p w:rsidRPr="00210902" w:rsidR="00E62D30" w:rsidP="00E62D30" w:rsidRDefault="00E62D30" w14:paraId="7034CA2C" w14:textId="77777777">
      <w:pPr>
        <w:rPr>
          <w:b/>
          <w:bCs/>
          <w:sz w:val="24"/>
          <w:szCs w:val="24"/>
        </w:rPr>
      </w:pPr>
      <w:r w:rsidRPr="00210902">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10902" w:rsidR="00E62D30" w:rsidP="00E62D30" w:rsidRDefault="00E62D30" w14:paraId="343CEF66" w14:textId="77777777">
      <w:pPr>
        <w:rPr>
          <w:b/>
          <w:bCs/>
          <w:sz w:val="24"/>
          <w:szCs w:val="24"/>
        </w:rPr>
      </w:pPr>
    </w:p>
    <w:p w:rsidRPr="00210902" w:rsidR="00E62D30" w:rsidP="00E62D30" w:rsidRDefault="00E62D30" w14:paraId="20B8E7CF" w14:textId="77777777">
      <w:pPr>
        <w:rPr>
          <w:b/>
          <w:bCs/>
          <w:sz w:val="24"/>
          <w:szCs w:val="24"/>
        </w:rPr>
      </w:pPr>
      <w:r w:rsidRPr="00210902">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210902" w:rsidR="00EB071A" w:rsidP="00FB5862" w:rsidRDefault="00EB071A" w14:paraId="13D47BE0" w14:textId="77777777">
      <w:pPr>
        <w:rPr>
          <w:sz w:val="24"/>
          <w:szCs w:val="24"/>
        </w:rPr>
      </w:pPr>
    </w:p>
    <w:p w:rsidRPr="00210902" w:rsidR="00F572DF" w:rsidP="00B0360D" w:rsidRDefault="00F572DF" w14:paraId="59A103A9" w14:textId="2911E713">
      <w:pPr>
        <w:numPr>
          <w:ilvl w:val="0"/>
          <w:numId w:val="21"/>
        </w:numPr>
        <w:ind w:left="270" w:hanging="270"/>
        <w:rPr>
          <w:sz w:val="24"/>
          <w:szCs w:val="24"/>
        </w:rPr>
      </w:pPr>
      <w:r w:rsidRPr="00210902">
        <w:rPr>
          <w:sz w:val="24"/>
          <w:szCs w:val="24"/>
        </w:rPr>
        <w:t xml:space="preserve">One </w:t>
      </w:r>
      <w:r w:rsidRPr="00210902" w:rsidR="007D63F8">
        <w:rPr>
          <w:sz w:val="24"/>
          <w:szCs w:val="24"/>
        </w:rPr>
        <w:t xml:space="preserve">comment </w:t>
      </w:r>
      <w:r w:rsidRPr="00210902">
        <w:rPr>
          <w:sz w:val="24"/>
          <w:szCs w:val="24"/>
        </w:rPr>
        <w:t>was</w:t>
      </w:r>
      <w:r w:rsidRPr="00210902" w:rsidR="007D63F8">
        <w:rPr>
          <w:sz w:val="24"/>
          <w:szCs w:val="24"/>
        </w:rPr>
        <w:t xml:space="preserve"> received as a result of a </w:t>
      </w:r>
      <w:r w:rsidRPr="00210902" w:rsidR="00873C95">
        <w:rPr>
          <w:sz w:val="24"/>
          <w:szCs w:val="24"/>
        </w:rPr>
        <w:t>Federal Register notice published in</w:t>
      </w:r>
      <w:r w:rsidRPr="00210902" w:rsidR="00F2489C">
        <w:rPr>
          <w:sz w:val="24"/>
          <w:szCs w:val="24"/>
        </w:rPr>
        <w:t xml:space="preserve"> 85 FR 26716 on </w:t>
      </w:r>
      <w:r w:rsidR="002D467A">
        <w:rPr>
          <w:sz w:val="24"/>
          <w:szCs w:val="24"/>
        </w:rPr>
        <w:t>July 6</w:t>
      </w:r>
      <w:r w:rsidRPr="00210902" w:rsidR="00F2489C">
        <w:rPr>
          <w:sz w:val="24"/>
          <w:szCs w:val="24"/>
        </w:rPr>
        <w:t xml:space="preserve">, 2020.  </w:t>
      </w:r>
      <w:r w:rsidRPr="00210902" w:rsidR="001741F1">
        <w:rPr>
          <w:sz w:val="24"/>
          <w:szCs w:val="24"/>
        </w:rPr>
        <w:t>The comment was in</w:t>
      </w:r>
      <w:r w:rsidRPr="00210902" w:rsidR="00530B15">
        <w:rPr>
          <w:sz w:val="24"/>
          <w:szCs w:val="24"/>
        </w:rPr>
        <w:t xml:space="preserve"> support of </w:t>
      </w:r>
      <w:r w:rsidRPr="00210902">
        <w:rPr>
          <w:sz w:val="24"/>
          <w:szCs w:val="24"/>
        </w:rPr>
        <w:t xml:space="preserve">the 2021 Well-Being Module.  </w:t>
      </w:r>
      <w:r w:rsidRPr="00210902" w:rsidR="001741F1">
        <w:rPr>
          <w:sz w:val="24"/>
          <w:szCs w:val="24"/>
        </w:rPr>
        <w:t>The commenter noted that “the Well-Being Supplement will help develop a clearer picture of the experiences of workers.”</w:t>
      </w:r>
    </w:p>
    <w:p w:rsidRPr="00210902" w:rsidR="0005260A" w:rsidP="00B0360D" w:rsidRDefault="0005260A" w14:paraId="11164895" w14:textId="77777777">
      <w:pPr>
        <w:ind w:left="270"/>
        <w:rPr>
          <w:sz w:val="24"/>
          <w:szCs w:val="24"/>
        </w:rPr>
      </w:pPr>
    </w:p>
    <w:p w:rsidRPr="00210902" w:rsidR="00AD2416" w:rsidP="00B0360D" w:rsidRDefault="00AD2416" w14:paraId="1EEB3BF8" w14:textId="5ECE1E9F">
      <w:pPr>
        <w:numPr>
          <w:ilvl w:val="0"/>
          <w:numId w:val="21"/>
        </w:numPr>
        <w:ind w:left="270" w:hanging="270"/>
        <w:rPr>
          <w:sz w:val="24"/>
          <w:szCs w:val="24"/>
        </w:rPr>
      </w:pPr>
      <w:r w:rsidRPr="00210902">
        <w:rPr>
          <w:sz w:val="24"/>
          <w:szCs w:val="24"/>
        </w:rPr>
        <w:t>The following people</w:t>
      </w:r>
      <w:r w:rsidRPr="00210902" w:rsidR="00760802">
        <w:rPr>
          <w:sz w:val="24"/>
          <w:szCs w:val="24"/>
        </w:rPr>
        <w:t xml:space="preserve"> and offices</w:t>
      </w:r>
      <w:r w:rsidRPr="00210902">
        <w:rPr>
          <w:sz w:val="24"/>
          <w:szCs w:val="24"/>
        </w:rPr>
        <w:t xml:space="preserve"> have been consulted concerning the development of the survey:</w:t>
      </w:r>
    </w:p>
    <w:p w:rsidR="00AD2416" w:rsidP="00B0360D" w:rsidRDefault="00AD2416" w14:paraId="416869A4" w14:textId="77777777">
      <w:pPr>
        <w:ind w:left="360"/>
        <w:rPr>
          <w:sz w:val="24"/>
          <w:szCs w:val="24"/>
        </w:rPr>
      </w:pPr>
    </w:p>
    <w:p w:rsidR="00F72031" w:rsidP="00B0360D" w:rsidRDefault="00F72031" w14:paraId="4CC82BCB" w14:textId="7E1AA99F">
      <w:pPr>
        <w:ind w:left="360"/>
        <w:rPr>
          <w:sz w:val="24"/>
          <w:szCs w:val="24"/>
        </w:rPr>
      </w:pPr>
      <w:r>
        <w:rPr>
          <w:sz w:val="24"/>
          <w:szCs w:val="24"/>
        </w:rPr>
        <w:t xml:space="preserve">The core of the Well-being </w:t>
      </w:r>
      <w:r w:rsidR="0036562F">
        <w:rPr>
          <w:sz w:val="24"/>
          <w:szCs w:val="24"/>
        </w:rPr>
        <w:t>M</w:t>
      </w:r>
      <w:r>
        <w:rPr>
          <w:sz w:val="24"/>
          <w:szCs w:val="24"/>
        </w:rPr>
        <w:t xml:space="preserve">odule, first asked in 2010, was developed with input from the </w:t>
      </w:r>
      <w:r w:rsidR="00B941B7">
        <w:rPr>
          <w:sz w:val="24"/>
          <w:szCs w:val="24"/>
        </w:rPr>
        <w:t>BLS</w:t>
      </w:r>
      <w:r>
        <w:rPr>
          <w:sz w:val="24"/>
          <w:szCs w:val="24"/>
        </w:rPr>
        <w:t>, U.S. Census Bureau, National Institute on Aging</w:t>
      </w:r>
      <w:r w:rsidR="00B941B7">
        <w:rPr>
          <w:sz w:val="24"/>
          <w:szCs w:val="24"/>
        </w:rPr>
        <w:t xml:space="preserve"> (NIA)</w:t>
      </w:r>
      <w:r>
        <w:rPr>
          <w:sz w:val="24"/>
          <w:szCs w:val="24"/>
        </w:rPr>
        <w:t>, and researchers affiliated with Princeton University.</w:t>
      </w:r>
    </w:p>
    <w:p w:rsidR="00F72031" w:rsidP="00B0360D" w:rsidRDefault="00F72031" w14:paraId="00708083" w14:textId="77777777">
      <w:pPr>
        <w:ind w:left="360"/>
        <w:rPr>
          <w:sz w:val="24"/>
          <w:szCs w:val="24"/>
        </w:rPr>
      </w:pPr>
    </w:p>
    <w:p w:rsidR="00F72031" w:rsidP="00B0360D" w:rsidRDefault="00F72031" w14:paraId="75181C01" w14:textId="02B8B164">
      <w:pPr>
        <w:ind w:left="360"/>
        <w:rPr>
          <w:sz w:val="24"/>
          <w:szCs w:val="24"/>
        </w:rPr>
      </w:pPr>
      <w:r>
        <w:rPr>
          <w:sz w:val="24"/>
          <w:szCs w:val="24"/>
        </w:rPr>
        <w:t xml:space="preserve">The 2012-13 iteration of the module was modified </w:t>
      </w:r>
      <w:r w:rsidR="007D758C">
        <w:rPr>
          <w:sz w:val="24"/>
          <w:szCs w:val="24"/>
        </w:rPr>
        <w:t>in consultation with</w:t>
      </w:r>
      <w:r>
        <w:rPr>
          <w:sz w:val="24"/>
          <w:szCs w:val="24"/>
        </w:rPr>
        <w:t xml:space="preserve"> a consortium of researchers</w:t>
      </w:r>
      <w:r w:rsidR="007D758C">
        <w:rPr>
          <w:sz w:val="24"/>
          <w:szCs w:val="24"/>
        </w:rPr>
        <w:t xml:space="preserve"> who were</w:t>
      </w:r>
      <w:r>
        <w:rPr>
          <w:sz w:val="24"/>
          <w:szCs w:val="24"/>
        </w:rPr>
        <w:t xml:space="preserve"> </w:t>
      </w:r>
      <w:r w:rsidR="007D758C">
        <w:rPr>
          <w:sz w:val="24"/>
          <w:szCs w:val="24"/>
        </w:rPr>
        <w:t>affiliated with</w:t>
      </w:r>
      <w:r>
        <w:rPr>
          <w:sz w:val="24"/>
          <w:szCs w:val="24"/>
        </w:rPr>
        <w:t xml:space="preserve"> Princeton University, the University of California at San Diego, and </w:t>
      </w:r>
      <w:r w:rsidR="007D758C">
        <w:rPr>
          <w:sz w:val="24"/>
          <w:szCs w:val="24"/>
        </w:rPr>
        <w:t xml:space="preserve">Stony Brook University. The </w:t>
      </w:r>
      <w:r w:rsidR="00B941B7">
        <w:rPr>
          <w:sz w:val="24"/>
          <w:szCs w:val="24"/>
        </w:rPr>
        <w:t>NIA</w:t>
      </w:r>
      <w:r w:rsidR="007D758C">
        <w:rPr>
          <w:sz w:val="24"/>
          <w:szCs w:val="24"/>
        </w:rPr>
        <w:t xml:space="preserve">, </w:t>
      </w:r>
      <w:r w:rsidR="00B941B7">
        <w:rPr>
          <w:sz w:val="24"/>
          <w:szCs w:val="24"/>
        </w:rPr>
        <w:t>BLS</w:t>
      </w:r>
      <w:r w:rsidR="007D758C">
        <w:rPr>
          <w:sz w:val="24"/>
          <w:szCs w:val="24"/>
        </w:rPr>
        <w:t xml:space="preserve">, and U.S. Census Bureau also provided input. </w:t>
      </w:r>
    </w:p>
    <w:p w:rsidR="007D758C" w:rsidP="00B0360D" w:rsidRDefault="007D758C" w14:paraId="0039D354" w14:textId="77777777">
      <w:pPr>
        <w:ind w:left="360"/>
        <w:rPr>
          <w:sz w:val="24"/>
          <w:szCs w:val="24"/>
        </w:rPr>
      </w:pPr>
    </w:p>
    <w:p w:rsidR="007D758C" w:rsidP="00B0360D" w:rsidRDefault="007D758C" w14:paraId="7C413628" w14:textId="64D2851E">
      <w:pPr>
        <w:ind w:left="360"/>
        <w:rPr>
          <w:sz w:val="24"/>
          <w:szCs w:val="24"/>
        </w:rPr>
      </w:pPr>
      <w:r>
        <w:rPr>
          <w:sz w:val="24"/>
          <w:szCs w:val="24"/>
        </w:rPr>
        <w:t>The 2021 iteration of the module is identical to the 2012-13 version</w:t>
      </w:r>
      <w:r w:rsidR="00206483">
        <w:rPr>
          <w:sz w:val="24"/>
          <w:szCs w:val="24"/>
        </w:rPr>
        <w:t xml:space="preserve"> and is sponsored by</w:t>
      </w:r>
      <w:r>
        <w:rPr>
          <w:sz w:val="24"/>
          <w:szCs w:val="24"/>
        </w:rPr>
        <w:t xml:space="preserve"> the University of Maryland and the University of Minnesota. </w:t>
      </w:r>
    </w:p>
    <w:p w:rsidRPr="0036562F" w:rsidR="00F72031" w:rsidP="00B0360D" w:rsidRDefault="00F72031" w14:paraId="27FECD56" w14:textId="77777777">
      <w:pPr>
        <w:ind w:left="360"/>
        <w:rPr>
          <w:sz w:val="24"/>
          <w:szCs w:val="24"/>
        </w:rPr>
      </w:pPr>
    </w:p>
    <w:p w:rsidRPr="00210902" w:rsidR="00F572DF" w:rsidP="00B0360D" w:rsidRDefault="00F572DF" w14:paraId="5DA99C88" w14:textId="77777777">
      <w:pPr>
        <w:ind w:left="360"/>
        <w:rPr>
          <w:sz w:val="24"/>
          <w:szCs w:val="24"/>
        </w:rPr>
      </w:pPr>
      <w:r w:rsidRPr="00210902">
        <w:rPr>
          <w:sz w:val="24"/>
          <w:szCs w:val="24"/>
          <w:u w:val="single"/>
        </w:rPr>
        <w:t>U.S. Census Bureau</w:t>
      </w:r>
    </w:p>
    <w:p w:rsidRPr="00210902" w:rsidR="00F572DF" w:rsidP="00B0360D" w:rsidRDefault="00F572DF" w14:paraId="4EE6F315" w14:textId="77777777">
      <w:pPr>
        <w:ind w:left="360"/>
        <w:rPr>
          <w:sz w:val="24"/>
          <w:szCs w:val="24"/>
        </w:rPr>
      </w:pPr>
      <w:r w:rsidRPr="00210902">
        <w:rPr>
          <w:sz w:val="24"/>
          <w:szCs w:val="24"/>
        </w:rPr>
        <w:t>Beth Ashbaugh Capps</w:t>
      </w:r>
    </w:p>
    <w:p w:rsidRPr="00210902" w:rsidR="00F572DF" w:rsidP="00B0360D" w:rsidRDefault="00F572DF" w14:paraId="0D085921" w14:textId="77777777">
      <w:pPr>
        <w:pStyle w:val="NormalWeb"/>
        <w:shd w:val="clear" w:color="auto" w:fill="FFFFFF"/>
        <w:spacing w:before="0" w:beforeAutospacing="0" w:after="0" w:afterAutospacing="0"/>
        <w:ind w:left="360"/>
        <w:rPr>
          <w:rFonts w:ascii="Times New Roman" w:hAnsi="Times New Roman"/>
          <w:sz w:val="24"/>
          <w:szCs w:val="24"/>
        </w:rPr>
      </w:pPr>
      <w:r w:rsidRPr="00210902">
        <w:rPr>
          <w:rFonts w:ascii="Times New Roman" w:hAnsi="Times New Roman"/>
          <w:sz w:val="24"/>
          <w:szCs w:val="24"/>
        </w:rPr>
        <w:t>Assistant Survey Director - American Time Use Survey</w:t>
      </w:r>
    </w:p>
    <w:p w:rsidRPr="00210902" w:rsidR="00F572DF" w:rsidP="00B0360D" w:rsidRDefault="00F572DF" w14:paraId="144FFB11" w14:textId="77777777">
      <w:pPr>
        <w:pStyle w:val="NormalWeb"/>
        <w:shd w:val="clear" w:color="auto" w:fill="FFFFFF"/>
        <w:spacing w:before="0" w:beforeAutospacing="0" w:after="0" w:afterAutospacing="0"/>
        <w:ind w:left="360"/>
        <w:rPr>
          <w:rFonts w:ascii="Times New Roman" w:hAnsi="Times New Roman"/>
          <w:sz w:val="24"/>
          <w:szCs w:val="24"/>
        </w:rPr>
      </w:pPr>
      <w:r w:rsidRPr="00210902">
        <w:rPr>
          <w:rFonts w:ascii="Times New Roman" w:hAnsi="Times New Roman"/>
          <w:sz w:val="24"/>
          <w:szCs w:val="24"/>
        </w:rPr>
        <w:t>Associate Director for Demographic Programs</w:t>
      </w:r>
    </w:p>
    <w:p w:rsidRPr="00210902" w:rsidR="00F572DF" w:rsidP="00B0360D" w:rsidRDefault="00F572DF" w14:paraId="5B5F77DE" w14:textId="77777777">
      <w:pPr>
        <w:pStyle w:val="NormalWeb"/>
        <w:shd w:val="clear" w:color="auto" w:fill="FFFFFF"/>
        <w:spacing w:before="0" w:beforeAutospacing="0" w:after="0" w:afterAutospacing="0"/>
        <w:ind w:left="360"/>
        <w:rPr>
          <w:rFonts w:ascii="Times New Roman" w:hAnsi="Times New Roman"/>
          <w:sz w:val="24"/>
          <w:szCs w:val="24"/>
        </w:rPr>
      </w:pPr>
      <w:r w:rsidRPr="00210902">
        <w:rPr>
          <w:rFonts w:ascii="Times New Roman" w:hAnsi="Times New Roman"/>
          <w:sz w:val="24"/>
          <w:szCs w:val="24"/>
        </w:rPr>
        <w:t>U.S. Census Bureau</w:t>
      </w:r>
    </w:p>
    <w:p w:rsidRPr="00210902" w:rsidR="00487512" w:rsidP="00B0360D" w:rsidRDefault="00487512" w14:paraId="78865E6E" w14:textId="77777777">
      <w:pPr>
        <w:rPr>
          <w:sz w:val="24"/>
          <w:szCs w:val="24"/>
        </w:rPr>
      </w:pPr>
    </w:p>
    <w:p w:rsidRPr="00210902" w:rsidR="00F572DF" w:rsidP="00B0360D" w:rsidRDefault="00F572DF" w14:paraId="55E1998C" w14:textId="77777777">
      <w:pPr>
        <w:ind w:left="360"/>
        <w:rPr>
          <w:sz w:val="24"/>
          <w:szCs w:val="24"/>
          <w:u w:val="single"/>
        </w:rPr>
      </w:pPr>
      <w:r w:rsidRPr="00210902">
        <w:rPr>
          <w:sz w:val="24"/>
          <w:szCs w:val="24"/>
          <w:u w:val="single"/>
        </w:rPr>
        <w:t xml:space="preserve">Bureau of Labor Statistics </w:t>
      </w:r>
    </w:p>
    <w:p w:rsidRPr="00210902" w:rsidR="00F572DF" w:rsidP="00B0360D" w:rsidRDefault="00F572DF" w14:paraId="6F9C2F1A" w14:textId="61123AFA">
      <w:pPr>
        <w:ind w:left="360"/>
        <w:rPr>
          <w:sz w:val="24"/>
          <w:szCs w:val="24"/>
        </w:rPr>
      </w:pPr>
      <w:r w:rsidRPr="00210902">
        <w:rPr>
          <w:sz w:val="24"/>
          <w:szCs w:val="24"/>
        </w:rPr>
        <w:t>Office of Survey Methods Research</w:t>
      </w:r>
      <w:r w:rsidR="00B941B7">
        <w:rPr>
          <w:sz w:val="24"/>
          <w:szCs w:val="24"/>
        </w:rPr>
        <w:t xml:space="preserve"> and the Office of Employment and Unemployment Statistics</w:t>
      </w:r>
    </w:p>
    <w:p w:rsidRPr="00210902" w:rsidR="00F572DF" w:rsidP="00B0360D" w:rsidRDefault="00F572DF" w14:paraId="55C7D98D" w14:textId="77777777">
      <w:pPr>
        <w:ind w:left="360"/>
        <w:rPr>
          <w:sz w:val="24"/>
          <w:szCs w:val="24"/>
        </w:rPr>
      </w:pPr>
      <w:r w:rsidRPr="00210902">
        <w:rPr>
          <w:sz w:val="24"/>
          <w:szCs w:val="24"/>
        </w:rPr>
        <w:t>Bureau of Labor Statistics</w:t>
      </w:r>
    </w:p>
    <w:p w:rsidR="00B941B7" w:rsidP="00B0360D" w:rsidRDefault="00F572DF" w14:paraId="4F9B8AD3" w14:textId="6A310F70">
      <w:pPr>
        <w:ind w:left="360"/>
        <w:rPr>
          <w:sz w:val="24"/>
          <w:szCs w:val="24"/>
        </w:rPr>
      </w:pPr>
      <w:r w:rsidRPr="00210902">
        <w:rPr>
          <w:sz w:val="24"/>
          <w:szCs w:val="24"/>
        </w:rPr>
        <w:t>Department of Labor</w:t>
      </w:r>
    </w:p>
    <w:p w:rsidRPr="00D233F0" w:rsidR="00D233F0" w:rsidP="00B0360D" w:rsidRDefault="00D233F0" w14:paraId="1592D788" w14:textId="77777777">
      <w:pPr>
        <w:ind w:left="360"/>
        <w:rPr>
          <w:sz w:val="24"/>
          <w:szCs w:val="24"/>
        </w:rPr>
      </w:pPr>
    </w:p>
    <w:p w:rsidRPr="00D233F0" w:rsidR="00D233F0" w:rsidP="00D233F0" w:rsidRDefault="00D233F0" w14:paraId="235E69B0" w14:textId="77777777">
      <w:pPr>
        <w:ind w:left="965" w:hanging="605"/>
        <w:rPr>
          <w:sz w:val="24"/>
          <w:szCs w:val="24"/>
          <w:u w:val="single"/>
        </w:rPr>
      </w:pPr>
      <w:r w:rsidRPr="00D233F0">
        <w:rPr>
          <w:sz w:val="24"/>
          <w:szCs w:val="24"/>
          <w:u w:val="single"/>
        </w:rPr>
        <w:t>National Institute on Aging (NIA)</w:t>
      </w:r>
    </w:p>
    <w:p w:rsidRPr="00D233F0" w:rsidR="00D233F0" w:rsidP="00D233F0" w:rsidRDefault="00D233F0" w14:paraId="78093E1B" w14:textId="77777777">
      <w:pPr>
        <w:ind w:left="965" w:hanging="605"/>
        <w:rPr>
          <w:sz w:val="24"/>
          <w:szCs w:val="24"/>
        </w:rPr>
      </w:pPr>
      <w:r w:rsidRPr="00D233F0">
        <w:rPr>
          <w:sz w:val="24"/>
          <w:szCs w:val="24"/>
        </w:rPr>
        <w:t>National Institute on Aging</w:t>
      </w:r>
    </w:p>
    <w:p w:rsidRPr="00D233F0" w:rsidR="00D233F0" w:rsidP="00D233F0" w:rsidRDefault="00D233F0" w14:paraId="15A0825B" w14:textId="77777777">
      <w:pPr>
        <w:ind w:left="965" w:hanging="605"/>
        <w:rPr>
          <w:sz w:val="24"/>
          <w:szCs w:val="24"/>
        </w:rPr>
      </w:pPr>
      <w:r w:rsidRPr="00D233F0">
        <w:rPr>
          <w:sz w:val="24"/>
          <w:szCs w:val="24"/>
        </w:rPr>
        <w:t>U.S. National Institutes of Health</w:t>
      </w:r>
    </w:p>
    <w:p w:rsidRPr="00D233F0" w:rsidR="00D233F0" w:rsidP="00D233F0" w:rsidRDefault="00D233F0" w14:paraId="49B589F1" w14:textId="77777777">
      <w:pPr>
        <w:ind w:left="360"/>
        <w:rPr>
          <w:sz w:val="24"/>
          <w:szCs w:val="24"/>
        </w:rPr>
      </w:pPr>
    </w:p>
    <w:p w:rsidR="0036562F" w:rsidRDefault="0036562F" w14:paraId="4F5F95EA" w14:textId="77777777">
      <w:pPr>
        <w:rPr>
          <w:sz w:val="24"/>
          <w:szCs w:val="24"/>
          <w:u w:val="single"/>
        </w:rPr>
      </w:pPr>
      <w:r>
        <w:rPr>
          <w:sz w:val="24"/>
          <w:szCs w:val="24"/>
          <w:u w:val="single"/>
        </w:rPr>
        <w:br w:type="page"/>
      </w:r>
    </w:p>
    <w:p w:rsidRPr="00D233F0" w:rsidR="00D233F0" w:rsidP="00D233F0" w:rsidRDefault="00D233F0" w14:paraId="5479B4D2" w14:textId="14104624">
      <w:pPr>
        <w:ind w:left="360"/>
        <w:rPr>
          <w:sz w:val="24"/>
          <w:szCs w:val="24"/>
          <w:u w:val="single"/>
        </w:rPr>
      </w:pPr>
      <w:r w:rsidRPr="00D233F0">
        <w:rPr>
          <w:sz w:val="24"/>
          <w:szCs w:val="24"/>
          <w:u w:val="single"/>
        </w:rPr>
        <w:lastRenderedPageBreak/>
        <w:t xml:space="preserve">University of Maryland </w:t>
      </w:r>
    </w:p>
    <w:p w:rsidRPr="00D233F0" w:rsidR="00D233F0" w:rsidP="00D233F0" w:rsidRDefault="00D233F0" w14:paraId="5C1AC70F" w14:textId="77777777">
      <w:pPr>
        <w:ind w:left="360"/>
        <w:rPr>
          <w:sz w:val="24"/>
          <w:szCs w:val="24"/>
        </w:rPr>
      </w:pPr>
      <w:r w:rsidRPr="00D233F0">
        <w:rPr>
          <w:sz w:val="24"/>
          <w:szCs w:val="24"/>
        </w:rPr>
        <w:t xml:space="preserve">Sandra </w:t>
      </w:r>
      <w:proofErr w:type="spellStart"/>
      <w:r w:rsidRPr="00D233F0">
        <w:rPr>
          <w:sz w:val="24"/>
          <w:szCs w:val="24"/>
        </w:rPr>
        <w:t>Hofferth</w:t>
      </w:r>
      <w:proofErr w:type="spellEnd"/>
    </w:p>
    <w:p w:rsidRPr="00D233F0" w:rsidR="00D233F0" w:rsidP="00D233F0" w:rsidRDefault="00D233F0" w14:paraId="0A538470" w14:textId="77777777">
      <w:pPr>
        <w:ind w:left="360"/>
        <w:rPr>
          <w:sz w:val="24"/>
          <w:szCs w:val="24"/>
        </w:rPr>
      </w:pPr>
      <w:r w:rsidRPr="00D233F0">
        <w:rPr>
          <w:sz w:val="24"/>
          <w:szCs w:val="24"/>
        </w:rPr>
        <w:t>Professor Emerita, School of Public Health</w:t>
      </w:r>
    </w:p>
    <w:p w:rsidRPr="00D233F0" w:rsidR="00D233F0" w:rsidP="00D233F0" w:rsidRDefault="00D233F0" w14:paraId="410C6513" w14:textId="77777777">
      <w:pPr>
        <w:ind w:left="360"/>
        <w:rPr>
          <w:sz w:val="24"/>
          <w:szCs w:val="24"/>
        </w:rPr>
      </w:pPr>
      <w:r w:rsidRPr="00D233F0">
        <w:rPr>
          <w:sz w:val="24"/>
          <w:szCs w:val="24"/>
        </w:rPr>
        <w:t>Research Professor</w:t>
      </w:r>
    </w:p>
    <w:p w:rsidRPr="00D233F0" w:rsidR="00D233F0" w:rsidP="00D233F0" w:rsidRDefault="00D233F0" w14:paraId="138E6013" w14:textId="77777777">
      <w:pPr>
        <w:ind w:left="360"/>
        <w:rPr>
          <w:sz w:val="24"/>
          <w:szCs w:val="24"/>
        </w:rPr>
      </w:pPr>
      <w:r w:rsidRPr="00D233F0">
        <w:rPr>
          <w:sz w:val="24"/>
          <w:szCs w:val="24"/>
        </w:rPr>
        <w:t>Maryland Population Research Center</w:t>
      </w:r>
    </w:p>
    <w:p w:rsidRPr="00D233F0" w:rsidR="00D233F0" w:rsidP="00D233F0" w:rsidRDefault="00D233F0" w14:paraId="58086808" w14:textId="77777777">
      <w:pPr>
        <w:ind w:left="360"/>
        <w:rPr>
          <w:sz w:val="24"/>
          <w:szCs w:val="24"/>
        </w:rPr>
      </w:pPr>
    </w:p>
    <w:p w:rsidRPr="00D233F0" w:rsidR="00D233F0" w:rsidP="00D233F0" w:rsidRDefault="00D233F0" w14:paraId="558BDE69" w14:textId="77777777">
      <w:pPr>
        <w:ind w:left="360"/>
        <w:rPr>
          <w:sz w:val="24"/>
          <w:szCs w:val="24"/>
          <w:u w:val="single"/>
        </w:rPr>
      </w:pPr>
      <w:r w:rsidRPr="00D233F0">
        <w:rPr>
          <w:sz w:val="24"/>
          <w:szCs w:val="24"/>
          <w:u w:val="single"/>
        </w:rPr>
        <w:t>University of Minnesota</w:t>
      </w:r>
    </w:p>
    <w:p w:rsidRPr="00D233F0" w:rsidR="00D233F0" w:rsidP="00D233F0" w:rsidRDefault="00D233F0" w14:paraId="71E0445F" w14:textId="77777777">
      <w:pPr>
        <w:ind w:left="360"/>
        <w:rPr>
          <w:sz w:val="24"/>
          <w:szCs w:val="24"/>
        </w:rPr>
      </w:pPr>
      <w:r w:rsidRPr="00D233F0">
        <w:rPr>
          <w:sz w:val="24"/>
          <w:szCs w:val="24"/>
        </w:rPr>
        <w:t>Sarah Flood</w:t>
      </w:r>
    </w:p>
    <w:p w:rsidRPr="00D233F0" w:rsidR="00D233F0" w:rsidP="00D233F0" w:rsidRDefault="00D233F0" w14:paraId="43ABF5BC" w14:textId="77777777">
      <w:pPr>
        <w:ind w:left="360"/>
        <w:rPr>
          <w:sz w:val="24"/>
          <w:szCs w:val="24"/>
        </w:rPr>
      </w:pPr>
      <w:r w:rsidRPr="00D233F0">
        <w:rPr>
          <w:sz w:val="24"/>
          <w:szCs w:val="24"/>
        </w:rPr>
        <w:t>Director of US Survey Projects, IPUMS</w:t>
      </w:r>
    </w:p>
    <w:p w:rsidRPr="00D233F0" w:rsidR="00D233F0" w:rsidP="00D233F0" w:rsidRDefault="00D233F0" w14:paraId="36FF05A3" w14:textId="77777777">
      <w:pPr>
        <w:ind w:left="360"/>
        <w:rPr>
          <w:sz w:val="24"/>
          <w:szCs w:val="24"/>
        </w:rPr>
      </w:pPr>
      <w:r w:rsidRPr="00D233F0">
        <w:rPr>
          <w:sz w:val="24"/>
          <w:szCs w:val="24"/>
        </w:rPr>
        <w:t>Associate Director, Life Course Center</w:t>
      </w:r>
    </w:p>
    <w:p w:rsidRPr="00D233F0" w:rsidR="00D233F0" w:rsidP="00D233F0" w:rsidRDefault="00D233F0" w14:paraId="3D633E6B" w14:textId="6A9E734D">
      <w:pPr>
        <w:ind w:left="360"/>
        <w:rPr>
          <w:sz w:val="24"/>
          <w:szCs w:val="24"/>
        </w:rPr>
      </w:pPr>
      <w:r w:rsidRPr="00D233F0">
        <w:rPr>
          <w:sz w:val="24"/>
          <w:szCs w:val="24"/>
        </w:rPr>
        <w:t>Minnesota Population Center</w:t>
      </w:r>
    </w:p>
    <w:p w:rsidRPr="00D233F0" w:rsidR="00F572DF" w:rsidP="00F572DF" w:rsidRDefault="00F572DF" w14:paraId="501DAC95" w14:textId="77777777">
      <w:pPr>
        <w:ind w:left="1080"/>
        <w:rPr>
          <w:sz w:val="24"/>
          <w:szCs w:val="24"/>
        </w:rPr>
      </w:pPr>
    </w:p>
    <w:p w:rsidR="00D233F0" w:rsidRDefault="00D233F0" w14:paraId="6405CA44" w14:textId="21070CC0">
      <w:pPr>
        <w:rPr>
          <w:b/>
          <w:bCs/>
          <w:sz w:val="24"/>
          <w:szCs w:val="24"/>
        </w:rPr>
      </w:pPr>
    </w:p>
    <w:p w:rsidRPr="00210902" w:rsidR="00E62D30" w:rsidP="00E62D30" w:rsidRDefault="00E62D30" w14:paraId="01B54EC7" w14:textId="3A337B16">
      <w:pPr>
        <w:numPr>
          <w:ilvl w:val="0"/>
          <w:numId w:val="24"/>
        </w:numPr>
        <w:tabs>
          <w:tab w:val="left" w:pos="360"/>
        </w:tabs>
        <w:ind w:left="0" w:firstLine="0"/>
        <w:rPr>
          <w:b/>
          <w:sz w:val="24"/>
          <w:szCs w:val="24"/>
        </w:rPr>
      </w:pPr>
      <w:r w:rsidRPr="00210902">
        <w:rPr>
          <w:b/>
          <w:bCs/>
          <w:sz w:val="24"/>
          <w:szCs w:val="24"/>
        </w:rPr>
        <w:t>Explain any decision to provide any payments or gifts to respondents, other than remuneration of contractors or grantees.</w:t>
      </w:r>
    </w:p>
    <w:p w:rsidRPr="00210902" w:rsidR="00847AC7" w:rsidP="00847AC7" w:rsidRDefault="00847AC7" w14:paraId="56A9B5D4" w14:textId="77777777">
      <w:pPr>
        <w:ind w:left="720"/>
        <w:rPr>
          <w:sz w:val="28"/>
          <w:szCs w:val="24"/>
        </w:rPr>
      </w:pPr>
    </w:p>
    <w:p w:rsidRPr="00210902" w:rsidR="00E15466" w:rsidP="00B0360D" w:rsidRDefault="00F40A3B" w14:paraId="47B16C4B" w14:textId="347F29A3">
      <w:pPr>
        <w:rPr>
          <w:sz w:val="24"/>
          <w:szCs w:val="22"/>
        </w:rPr>
      </w:pPr>
      <w:r w:rsidRPr="00210902">
        <w:rPr>
          <w:sz w:val="24"/>
          <w:szCs w:val="22"/>
        </w:rPr>
        <w:t>Participants in the Well-being Module will not receive compensation beyond what they already receive for participating in the ATUS.  In the ATUS,</w:t>
      </w:r>
      <w:r w:rsidRPr="00210902" w:rsidR="00527597">
        <w:rPr>
          <w:sz w:val="24"/>
          <w:szCs w:val="22"/>
        </w:rPr>
        <w:t xml:space="preserve"> the majority of respondents do not receive compensation.</w:t>
      </w:r>
      <w:r w:rsidRPr="00210902">
        <w:rPr>
          <w:sz w:val="24"/>
          <w:szCs w:val="22"/>
        </w:rPr>
        <w:t xml:space="preserve"> </w:t>
      </w:r>
      <w:r w:rsidRPr="00210902" w:rsidR="00506516">
        <w:rPr>
          <w:sz w:val="24"/>
          <w:szCs w:val="22"/>
        </w:rPr>
        <w:t xml:space="preserve"> Cash i</w:t>
      </w:r>
      <w:r w:rsidRPr="00210902" w:rsidR="00E15466">
        <w:rPr>
          <w:sz w:val="24"/>
          <w:szCs w:val="22"/>
        </w:rPr>
        <w:t xml:space="preserve">ncentives </w:t>
      </w:r>
      <w:r w:rsidRPr="00210902" w:rsidR="00506516">
        <w:rPr>
          <w:sz w:val="24"/>
          <w:szCs w:val="22"/>
        </w:rPr>
        <w:t xml:space="preserve">in the amount of $5 or $10 </w:t>
      </w:r>
      <w:r w:rsidRPr="00210902" w:rsidR="0000137E">
        <w:rPr>
          <w:sz w:val="24"/>
          <w:szCs w:val="22"/>
        </w:rPr>
        <w:t>are</w:t>
      </w:r>
      <w:r w:rsidRPr="00210902" w:rsidR="00E15466">
        <w:rPr>
          <w:sz w:val="24"/>
          <w:szCs w:val="22"/>
        </w:rPr>
        <w:t xml:space="preserve"> sent</w:t>
      </w:r>
      <w:r w:rsidRPr="00210902" w:rsidR="00506516">
        <w:rPr>
          <w:sz w:val="24"/>
          <w:szCs w:val="22"/>
        </w:rPr>
        <w:t xml:space="preserve"> to some recipients</w:t>
      </w:r>
      <w:r w:rsidRPr="00210902" w:rsidR="00E15466">
        <w:rPr>
          <w:sz w:val="24"/>
          <w:szCs w:val="22"/>
        </w:rPr>
        <w:t xml:space="preserve"> in accordance with the ATUS Cash Incentive Study</w:t>
      </w:r>
      <w:r w:rsidRPr="00210902" w:rsidR="00506516">
        <w:rPr>
          <w:sz w:val="24"/>
          <w:szCs w:val="22"/>
        </w:rPr>
        <w:t xml:space="preserve"> that began in December 2019</w:t>
      </w:r>
      <w:r w:rsidRPr="00210902" w:rsidR="00E15466">
        <w:rPr>
          <w:sz w:val="24"/>
          <w:szCs w:val="22"/>
        </w:rPr>
        <w:t>.  (See Attachment K.)</w:t>
      </w:r>
    </w:p>
    <w:p w:rsidR="00847AC7" w:rsidP="00506516" w:rsidRDefault="00847AC7" w14:paraId="7C9450C2" w14:textId="77777777">
      <w:pPr>
        <w:rPr>
          <w:sz w:val="24"/>
          <w:szCs w:val="22"/>
        </w:rPr>
      </w:pPr>
    </w:p>
    <w:p w:rsidRPr="00210902" w:rsidR="00210902" w:rsidP="00506516" w:rsidRDefault="00210902" w14:paraId="229E21CE" w14:textId="77777777">
      <w:pPr>
        <w:rPr>
          <w:sz w:val="24"/>
          <w:szCs w:val="22"/>
        </w:rPr>
      </w:pPr>
    </w:p>
    <w:p w:rsidRPr="00210902" w:rsidR="00E62D30" w:rsidP="00E62D30" w:rsidRDefault="00E62D30" w14:paraId="51455966" w14:textId="77777777">
      <w:pPr>
        <w:numPr>
          <w:ilvl w:val="0"/>
          <w:numId w:val="24"/>
        </w:numPr>
        <w:tabs>
          <w:tab w:val="left" w:pos="360"/>
        </w:tabs>
        <w:ind w:left="0" w:firstLine="0"/>
        <w:rPr>
          <w:b/>
          <w:sz w:val="24"/>
          <w:szCs w:val="22"/>
        </w:rPr>
      </w:pPr>
      <w:r w:rsidRPr="00210902">
        <w:rPr>
          <w:b/>
          <w:bCs/>
          <w:sz w:val="24"/>
          <w:szCs w:val="22"/>
        </w:rPr>
        <w:t>Describe any assurance of confidentiality provided to respondents and the basis for the assurance in statute, regulation, or agency policy.</w:t>
      </w:r>
    </w:p>
    <w:p w:rsidRPr="00210902" w:rsidR="00A80CD9" w:rsidP="00FB5862" w:rsidRDefault="00A80CD9" w14:paraId="3884349D" w14:textId="77777777">
      <w:pPr>
        <w:rPr>
          <w:sz w:val="24"/>
          <w:szCs w:val="22"/>
        </w:rPr>
      </w:pPr>
    </w:p>
    <w:p w:rsidRPr="00210902" w:rsidR="00847AC7" w:rsidP="00B0360D" w:rsidRDefault="00847AC7" w14:paraId="42E3349D" w14:textId="77777777">
      <w:pPr>
        <w:autoSpaceDE w:val="0"/>
        <w:autoSpaceDN w:val="0"/>
        <w:adjustRightInd w:val="0"/>
        <w:spacing w:before="100" w:after="100"/>
        <w:rPr>
          <w:sz w:val="24"/>
          <w:szCs w:val="22"/>
        </w:rPr>
      </w:pPr>
      <w:r w:rsidRPr="00210902">
        <w:rPr>
          <w:sz w:val="24"/>
          <w:szCs w:val="22"/>
        </w:rPr>
        <w:t>The Census Bureau employees hold all information that respondents provide in strict confidence in accordance with Title 13, United States Code, Section 9.  (</w:t>
      </w:r>
      <w:r w:rsidRPr="00210902" w:rsidR="002D7AEB">
        <w:rPr>
          <w:sz w:val="24"/>
          <w:szCs w:val="22"/>
        </w:rPr>
        <w:t xml:space="preserve">See Attachment </w:t>
      </w:r>
      <w:r w:rsidRPr="00210902" w:rsidR="009A29C3">
        <w:rPr>
          <w:sz w:val="24"/>
          <w:szCs w:val="22"/>
        </w:rPr>
        <w:t>N</w:t>
      </w:r>
      <w:r w:rsidRPr="00210902">
        <w:rPr>
          <w:sz w:val="24"/>
          <w:szCs w:val="22"/>
        </w:rPr>
        <w:t xml:space="preserve">.)  Each interviewer has taken an oath to this effect, and if convicted of disclosing any information given by the respondent may be fined up to $250,000 and/or imprisoned up to 5 years.  In addition, Title 13 prohibits Census Bureau employees from disclosing information identifying any individual(s) in the ATUS to anyone other than sworn Census employees. </w:t>
      </w:r>
    </w:p>
    <w:p w:rsidRPr="00210902" w:rsidR="00847AC7" w:rsidP="00847AC7" w:rsidRDefault="00847AC7" w14:paraId="2166531D" w14:textId="77777777">
      <w:pPr>
        <w:pStyle w:val="BodyTextIndent"/>
        <w:rPr>
          <w:szCs w:val="22"/>
        </w:rPr>
      </w:pPr>
      <w:bookmarkStart w:name="STET" w:id="0"/>
      <w:bookmarkEnd w:id="0"/>
    </w:p>
    <w:p w:rsidRPr="00210902" w:rsidR="00847AC7" w:rsidP="00B0360D" w:rsidRDefault="00847AC7" w14:paraId="6D8F3E79" w14:textId="77777777">
      <w:pPr>
        <w:pStyle w:val="BodyTextIndent"/>
        <w:ind w:left="0"/>
        <w:rPr>
          <w:szCs w:val="22"/>
        </w:rPr>
      </w:pPr>
      <w:r w:rsidRPr="00210902">
        <w:rPr>
          <w:szCs w:val="22"/>
        </w:rPr>
        <w:t xml:space="preserve">Respondents are informed of their right to confidentiality under Title 13 in the ATUS advance letter, mailed approximately 10 days before the interview date.  (See Attachment </w:t>
      </w:r>
      <w:r w:rsidRPr="00210902" w:rsidR="009A29C3">
        <w:rPr>
          <w:szCs w:val="22"/>
        </w:rPr>
        <w:t>E</w:t>
      </w:r>
      <w:r w:rsidRPr="00210902">
        <w:rPr>
          <w:szCs w:val="22"/>
        </w:rPr>
        <w:t xml:space="preserve">.)  The ATUS advance letter also advises respondents that this is a voluntary survey.  </w:t>
      </w:r>
    </w:p>
    <w:p w:rsidRPr="00210902" w:rsidR="00847AC7" w:rsidP="00847AC7" w:rsidRDefault="00847AC7" w14:paraId="2B5C97FA" w14:textId="77777777">
      <w:pPr>
        <w:pStyle w:val="BodyTextIndent"/>
        <w:rPr>
          <w:szCs w:val="22"/>
        </w:rPr>
      </w:pPr>
    </w:p>
    <w:p w:rsidRPr="00210902" w:rsidR="00847AC7" w:rsidP="00B0360D" w:rsidRDefault="00847AC7" w14:paraId="1A3F1A94" w14:textId="77777777">
      <w:pPr>
        <w:pStyle w:val="BodyTextIndent"/>
        <w:ind w:left="0"/>
        <w:rPr>
          <w:szCs w:val="22"/>
        </w:rPr>
      </w:pPr>
      <w:r w:rsidRPr="00210902">
        <w:rPr>
          <w:szCs w:val="22"/>
        </w:rPr>
        <w:t xml:space="preserve">All Census Bureau security safeguards regarding the protection of data files containing confidential information against unauthorized use, including data collected through Computer Assisted Telephone Interviewing (CATI), apply to ATUS data collection. </w:t>
      </w:r>
    </w:p>
    <w:p w:rsidRPr="00210902" w:rsidR="00847AC7" w:rsidP="00847AC7" w:rsidRDefault="00847AC7" w14:paraId="01EB618F" w14:textId="77777777">
      <w:pPr>
        <w:pStyle w:val="BodyTextIndent"/>
        <w:rPr>
          <w:szCs w:val="22"/>
        </w:rPr>
      </w:pPr>
    </w:p>
    <w:p w:rsidRPr="00210902" w:rsidR="00847AC7" w:rsidP="00B0360D" w:rsidRDefault="00847AC7" w14:paraId="3E0A4A7F" w14:textId="77777777">
      <w:pPr>
        <w:pStyle w:val="BodyTextIndent"/>
        <w:ind w:left="0"/>
        <w:rPr>
          <w:szCs w:val="22"/>
        </w:rPr>
      </w:pPr>
      <w:r w:rsidRPr="00210902">
        <w:rPr>
          <w:szCs w:val="22"/>
        </w:rPr>
        <w:t>The BLS Processing System design requires that ATUS data be securely transferred from the Census Bureau server to the BLS server.  This process mirrors the process used to transfer CPS data.</w:t>
      </w:r>
    </w:p>
    <w:p w:rsidR="00847AC7" w:rsidP="00FB5862" w:rsidRDefault="00847AC7" w14:paraId="2BD8AFAD" w14:textId="77777777">
      <w:pPr>
        <w:ind w:left="720"/>
        <w:rPr>
          <w:sz w:val="24"/>
          <w:szCs w:val="22"/>
        </w:rPr>
      </w:pPr>
    </w:p>
    <w:p w:rsidRPr="00210902" w:rsidR="00210902" w:rsidP="00FB5862" w:rsidRDefault="00210902" w14:paraId="27839EE6" w14:textId="77777777">
      <w:pPr>
        <w:ind w:left="720"/>
        <w:rPr>
          <w:sz w:val="24"/>
          <w:szCs w:val="22"/>
        </w:rPr>
      </w:pPr>
    </w:p>
    <w:p w:rsidRPr="00210902" w:rsidR="00E62D30" w:rsidP="00E62D30" w:rsidRDefault="00E62D30" w14:paraId="5A888835" w14:textId="77777777">
      <w:pPr>
        <w:numPr>
          <w:ilvl w:val="0"/>
          <w:numId w:val="24"/>
        </w:numPr>
        <w:tabs>
          <w:tab w:val="left" w:pos="360"/>
        </w:tabs>
        <w:ind w:left="0" w:firstLine="0"/>
        <w:rPr>
          <w:b/>
          <w:sz w:val="24"/>
          <w:szCs w:val="22"/>
        </w:rPr>
      </w:pPr>
      <w:r w:rsidRPr="00210902">
        <w:rPr>
          <w:b/>
          <w:bCs/>
          <w:sz w:val="24"/>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10902" w:rsidR="00A80CD9" w:rsidP="00FB5862" w:rsidRDefault="00A80CD9" w14:paraId="0A3A74F8" w14:textId="77777777">
      <w:pPr>
        <w:rPr>
          <w:sz w:val="24"/>
          <w:szCs w:val="22"/>
        </w:rPr>
      </w:pPr>
    </w:p>
    <w:p w:rsidRPr="00210902" w:rsidR="0020756E" w:rsidP="00B0360D" w:rsidRDefault="0020756E" w14:paraId="7FA6150C" w14:textId="77777777">
      <w:pPr>
        <w:pStyle w:val="BodyTextIndent"/>
        <w:ind w:left="0"/>
        <w:rPr>
          <w:color w:val="000000"/>
          <w:szCs w:val="22"/>
        </w:rPr>
      </w:pPr>
      <w:r w:rsidRPr="00210902">
        <w:rPr>
          <w:color w:val="000000"/>
          <w:szCs w:val="22"/>
        </w:rPr>
        <w:t xml:space="preserve">Some of the proposed </w:t>
      </w:r>
      <w:r w:rsidRPr="00210902" w:rsidR="005F7C53">
        <w:rPr>
          <w:color w:val="000000"/>
          <w:szCs w:val="22"/>
        </w:rPr>
        <w:t>W</w:t>
      </w:r>
      <w:r w:rsidRPr="00210902">
        <w:rPr>
          <w:color w:val="000000"/>
          <w:szCs w:val="22"/>
        </w:rPr>
        <w:t xml:space="preserve">ell-being </w:t>
      </w:r>
      <w:r w:rsidRPr="00210902" w:rsidR="005F7C53">
        <w:rPr>
          <w:color w:val="000000"/>
          <w:szCs w:val="22"/>
        </w:rPr>
        <w:t>M</w:t>
      </w:r>
      <w:r w:rsidRPr="00210902">
        <w:rPr>
          <w:color w:val="000000"/>
          <w:szCs w:val="22"/>
        </w:rPr>
        <w:t xml:space="preserve">odule questions </w:t>
      </w:r>
      <w:r w:rsidRPr="00210902" w:rsidR="00D35EED">
        <w:rPr>
          <w:color w:val="000000"/>
          <w:szCs w:val="22"/>
        </w:rPr>
        <w:t>may</w:t>
      </w:r>
      <w:r w:rsidRPr="00210902">
        <w:rPr>
          <w:color w:val="000000"/>
          <w:szCs w:val="22"/>
        </w:rPr>
        <w:t xml:space="preserve"> be sensitive. </w:t>
      </w:r>
      <w:r w:rsidRPr="00210902" w:rsidR="00F34855">
        <w:rPr>
          <w:color w:val="000000"/>
          <w:szCs w:val="22"/>
        </w:rPr>
        <w:t xml:space="preserve"> </w:t>
      </w:r>
      <w:r w:rsidRPr="00210902">
        <w:rPr>
          <w:color w:val="000000"/>
          <w:szCs w:val="22"/>
        </w:rPr>
        <w:t>After the respondents complete the main ATUS interview, the CATI instrument will randomly select three activities, and respondents will be asked, on a scale</w:t>
      </w:r>
      <w:r w:rsidRPr="00210902" w:rsidR="00F34855">
        <w:rPr>
          <w:color w:val="000000"/>
          <w:szCs w:val="22"/>
        </w:rPr>
        <w:t xml:space="preserve"> from 0 to 6</w:t>
      </w:r>
      <w:r w:rsidRPr="00210902">
        <w:rPr>
          <w:color w:val="000000"/>
          <w:szCs w:val="22"/>
        </w:rPr>
        <w:t>, how happy, tired, stressed, sad, and in pain they felt during the activity, and also how meaningful the activity was. These affect questions will not be asked for certain personal activities (e.g., sleep</w:t>
      </w:r>
      <w:r w:rsidRPr="00210902" w:rsidR="00F57A10">
        <w:rPr>
          <w:color w:val="000000"/>
          <w:szCs w:val="22"/>
        </w:rPr>
        <w:t>ing</w:t>
      </w:r>
      <w:r w:rsidRPr="00210902">
        <w:rPr>
          <w:color w:val="000000"/>
          <w:szCs w:val="22"/>
        </w:rPr>
        <w:t xml:space="preserve">, grooming, or sex). For the remaining activities for which these questions will be asked, none of the 28 participants in the </w:t>
      </w:r>
      <w:r w:rsidRPr="00210902" w:rsidR="00F34855">
        <w:rPr>
          <w:color w:val="000000"/>
          <w:szCs w:val="22"/>
        </w:rPr>
        <w:t>200</w:t>
      </w:r>
      <w:r w:rsidRPr="00210902" w:rsidR="00F57A10">
        <w:rPr>
          <w:color w:val="000000"/>
          <w:szCs w:val="22"/>
        </w:rPr>
        <w:t>8</w:t>
      </w:r>
      <w:r w:rsidRPr="00210902" w:rsidR="00F34855">
        <w:rPr>
          <w:color w:val="000000"/>
          <w:szCs w:val="22"/>
        </w:rPr>
        <w:t xml:space="preserve"> </w:t>
      </w:r>
      <w:r w:rsidRPr="00210902">
        <w:rPr>
          <w:color w:val="000000"/>
          <w:szCs w:val="22"/>
        </w:rPr>
        <w:t xml:space="preserve">cognitive testing thought the questions were too personal (see Attachment </w:t>
      </w:r>
      <w:r w:rsidRPr="00210902" w:rsidR="009A29C3">
        <w:rPr>
          <w:color w:val="000000"/>
          <w:szCs w:val="22"/>
        </w:rPr>
        <w:t>L</w:t>
      </w:r>
      <w:r w:rsidRPr="00210902" w:rsidR="00F34855">
        <w:rPr>
          <w:color w:val="000000"/>
          <w:szCs w:val="22"/>
        </w:rPr>
        <w:t>)</w:t>
      </w:r>
      <w:r w:rsidRPr="00210902">
        <w:rPr>
          <w:color w:val="000000"/>
          <w:szCs w:val="22"/>
        </w:rPr>
        <w:t>.</w:t>
      </w:r>
      <w:r w:rsidRPr="00210902" w:rsidR="002E4779">
        <w:rPr>
          <w:color w:val="000000"/>
          <w:szCs w:val="22"/>
        </w:rPr>
        <w:t xml:space="preserve">  </w:t>
      </w:r>
    </w:p>
    <w:p w:rsidRPr="00210902" w:rsidR="00351901" w:rsidP="0020756E" w:rsidRDefault="00351901" w14:paraId="21826E17" w14:textId="77777777">
      <w:pPr>
        <w:pStyle w:val="BodyTextIndent"/>
        <w:rPr>
          <w:color w:val="000000"/>
          <w:szCs w:val="22"/>
        </w:rPr>
      </w:pPr>
    </w:p>
    <w:p w:rsidRPr="00210902" w:rsidR="0020756E" w:rsidP="00B0360D" w:rsidRDefault="0020756E" w14:paraId="23C61E3B" w14:textId="77777777">
      <w:pPr>
        <w:pStyle w:val="BodyTextIndent"/>
        <w:ind w:left="0"/>
        <w:rPr>
          <w:szCs w:val="22"/>
        </w:rPr>
      </w:pPr>
      <w:r w:rsidRPr="00210902">
        <w:rPr>
          <w:color w:val="000000"/>
          <w:szCs w:val="22"/>
        </w:rPr>
        <w:t xml:space="preserve">During the </w:t>
      </w:r>
      <w:r w:rsidRPr="00210902" w:rsidR="00351901">
        <w:rPr>
          <w:color w:val="000000"/>
          <w:szCs w:val="22"/>
        </w:rPr>
        <w:t>200</w:t>
      </w:r>
      <w:r w:rsidRPr="00210902" w:rsidR="004771AF">
        <w:rPr>
          <w:color w:val="000000"/>
          <w:szCs w:val="22"/>
        </w:rPr>
        <w:t>8</w:t>
      </w:r>
      <w:r w:rsidRPr="00210902" w:rsidR="00351901">
        <w:rPr>
          <w:color w:val="000000"/>
          <w:szCs w:val="22"/>
        </w:rPr>
        <w:t xml:space="preserve"> </w:t>
      </w:r>
      <w:r w:rsidRPr="00210902">
        <w:rPr>
          <w:color w:val="000000"/>
          <w:szCs w:val="22"/>
        </w:rPr>
        <w:t xml:space="preserve">cognitive testing of the well-being questions, participants were also asked how they reacted to being asked how they felt during an activity. The majority (23 out of 28) either had no reaction or felt neutral about the questions (e.g., “the questions were fine”). The remaining 5 participants did not express discomfort with the questions. Their comments were mainly about the nature of the scale or how interesting or revealing the questions were to them. Finally, when asked their reaction to the explanation of why the government was collecting these data, only 1 out of the 28 felt that the government should not collect </w:t>
      </w:r>
      <w:r w:rsidRPr="00210902">
        <w:rPr>
          <w:szCs w:val="22"/>
        </w:rPr>
        <w:t xml:space="preserve">the information. </w:t>
      </w:r>
    </w:p>
    <w:p w:rsidRPr="00210902" w:rsidR="00351901" w:rsidP="0020756E" w:rsidRDefault="00351901" w14:paraId="028287EB" w14:textId="77777777">
      <w:pPr>
        <w:pStyle w:val="BodyTextIndent"/>
        <w:rPr>
          <w:szCs w:val="22"/>
        </w:rPr>
      </w:pPr>
    </w:p>
    <w:p w:rsidR="00210902" w:rsidP="00210902" w:rsidRDefault="00760FC0" w14:paraId="522F71B4" w14:textId="508C0876">
      <w:pPr>
        <w:pStyle w:val="BodyTextIndent"/>
        <w:ind w:left="0"/>
        <w:rPr>
          <w:iCs/>
          <w:szCs w:val="22"/>
        </w:rPr>
      </w:pPr>
      <w:r w:rsidRPr="00210902">
        <w:rPr>
          <w:szCs w:val="22"/>
        </w:rPr>
        <w:t>Two</w:t>
      </w:r>
      <w:r w:rsidRPr="00210902" w:rsidR="006341CB">
        <w:rPr>
          <w:szCs w:val="22"/>
        </w:rPr>
        <w:t xml:space="preserve"> additional questions</w:t>
      </w:r>
      <w:r w:rsidRPr="00210902" w:rsidR="001D5954">
        <w:rPr>
          <w:szCs w:val="22"/>
        </w:rPr>
        <w:t xml:space="preserve"> about </w:t>
      </w:r>
      <w:r w:rsidRPr="00210902" w:rsidR="006341CB">
        <w:rPr>
          <w:szCs w:val="22"/>
        </w:rPr>
        <w:t>overall life satisfaction and respondents' overall emotional experience yesterday</w:t>
      </w:r>
      <w:r w:rsidRPr="00210902" w:rsidR="001D5954">
        <w:rPr>
          <w:szCs w:val="22"/>
        </w:rPr>
        <w:t xml:space="preserve"> were cogni</w:t>
      </w:r>
      <w:r w:rsidRPr="00210902" w:rsidR="00A67D18">
        <w:rPr>
          <w:szCs w:val="22"/>
        </w:rPr>
        <w:t>ti</w:t>
      </w:r>
      <w:r w:rsidRPr="00210902" w:rsidR="001D5954">
        <w:rPr>
          <w:szCs w:val="22"/>
        </w:rPr>
        <w:t xml:space="preserve">vely tested in </w:t>
      </w:r>
      <w:r w:rsidRPr="00210902" w:rsidR="00BC3433">
        <w:rPr>
          <w:szCs w:val="22"/>
        </w:rPr>
        <w:t>2011</w:t>
      </w:r>
      <w:r w:rsidRPr="00210902" w:rsidR="001D5954">
        <w:rPr>
          <w:szCs w:val="22"/>
        </w:rPr>
        <w:t>.</w:t>
      </w:r>
      <w:r w:rsidRPr="00210902" w:rsidR="00BC3433">
        <w:rPr>
          <w:szCs w:val="22"/>
        </w:rPr>
        <w:t xml:space="preserve"> Participants in the testing did not perceive the questions as sensitive; however, some participants thought others might think they were sensitive.  When asked to provide additional information about why others might find the questions sensitive, participants in the testing provided general responses indicating some people are more private and do not like to share information about themselves</w:t>
      </w:r>
      <w:r w:rsidRPr="00210902" w:rsidR="006E3DF1">
        <w:rPr>
          <w:szCs w:val="22"/>
        </w:rPr>
        <w:t xml:space="preserve"> (see Attachment </w:t>
      </w:r>
      <w:r w:rsidRPr="00210902" w:rsidR="009A29C3">
        <w:rPr>
          <w:szCs w:val="22"/>
        </w:rPr>
        <w:t>M</w:t>
      </w:r>
      <w:r w:rsidRPr="00210902" w:rsidR="006E3DF1">
        <w:rPr>
          <w:szCs w:val="22"/>
        </w:rPr>
        <w:t>)</w:t>
      </w:r>
      <w:r w:rsidRPr="00210902" w:rsidR="00BC3433">
        <w:rPr>
          <w:szCs w:val="22"/>
        </w:rPr>
        <w:t>.</w:t>
      </w:r>
      <w:r w:rsidRPr="00210902" w:rsidR="006E3DF1">
        <w:rPr>
          <w:szCs w:val="22"/>
        </w:rPr>
        <w:t xml:space="preserve"> </w:t>
      </w:r>
      <w:r w:rsidRPr="00210902" w:rsidR="00BC3433">
        <w:rPr>
          <w:szCs w:val="22"/>
        </w:rPr>
        <w:t xml:space="preserve"> </w:t>
      </w:r>
      <w:r w:rsidRPr="00210902" w:rsidR="00BC3433">
        <w:rPr>
          <w:iCs/>
          <w:szCs w:val="22"/>
        </w:rPr>
        <w:t xml:space="preserve">  </w:t>
      </w:r>
    </w:p>
    <w:p w:rsidR="005006F3" w:rsidP="00210902" w:rsidRDefault="005006F3" w14:paraId="54FE6EB4" w14:textId="77777777">
      <w:pPr>
        <w:pStyle w:val="BodyTextIndent"/>
        <w:ind w:left="0"/>
        <w:rPr>
          <w:iCs/>
          <w:szCs w:val="22"/>
        </w:rPr>
      </w:pPr>
    </w:p>
    <w:p w:rsidRPr="00210902" w:rsidR="005006F3" w:rsidP="00210902" w:rsidRDefault="005006F3" w14:paraId="3FE9CD80" w14:textId="77777777">
      <w:pPr>
        <w:pStyle w:val="BodyTextIndent"/>
        <w:ind w:left="0"/>
        <w:rPr>
          <w:szCs w:val="24"/>
        </w:rPr>
      </w:pPr>
    </w:p>
    <w:p w:rsidRPr="00210902" w:rsidR="00E62D30" w:rsidP="00E62D30" w:rsidRDefault="00E62D30" w14:paraId="20F4CDB3" w14:textId="77777777">
      <w:pPr>
        <w:numPr>
          <w:ilvl w:val="0"/>
          <w:numId w:val="24"/>
        </w:numPr>
        <w:tabs>
          <w:tab w:val="left" w:pos="360"/>
        </w:tabs>
        <w:spacing w:after="120"/>
        <w:ind w:left="0" w:firstLine="0"/>
        <w:rPr>
          <w:b/>
          <w:sz w:val="24"/>
          <w:szCs w:val="24"/>
        </w:rPr>
      </w:pPr>
      <w:r w:rsidRPr="00210902">
        <w:rPr>
          <w:b/>
          <w:sz w:val="24"/>
          <w:szCs w:val="24"/>
        </w:rPr>
        <w:t xml:space="preserve">Provide </w:t>
      </w:r>
      <w:r w:rsidRPr="00210902">
        <w:rPr>
          <w:b/>
          <w:bCs/>
          <w:sz w:val="24"/>
          <w:szCs w:val="24"/>
        </w:rPr>
        <w:t>estimates</w:t>
      </w:r>
      <w:r w:rsidRPr="00210902">
        <w:rPr>
          <w:b/>
          <w:sz w:val="24"/>
          <w:szCs w:val="24"/>
        </w:rPr>
        <w:t xml:space="preserve"> of the hour burden of the collection of information.  The statement should:</w:t>
      </w:r>
    </w:p>
    <w:p w:rsidRPr="00210902" w:rsidR="00E62D30" w:rsidP="00E62D30" w:rsidRDefault="00E62D30" w14:paraId="6A8416A7" w14:textId="77777777">
      <w:pPr>
        <w:pStyle w:val="Level1"/>
        <w:widowControl/>
        <w:numPr>
          <w:ilvl w:val="0"/>
          <w:numId w:val="26"/>
        </w:numPr>
        <w:spacing w:after="120"/>
        <w:rPr>
          <w:b/>
          <w:bCs/>
        </w:rPr>
      </w:pPr>
      <w:r w:rsidRPr="00210902">
        <w:rPr>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w:t>
      </w:r>
      <w:r w:rsidRPr="00210902">
        <w:rPr>
          <w:b/>
          <w:bCs/>
        </w:rPr>
        <w:lastRenderedPageBreak/>
        <w:t>explain the reasons for the variance.  General, estimates should not include burden hours for customary and usual business practices.</w:t>
      </w:r>
    </w:p>
    <w:p w:rsidRPr="00210902" w:rsidR="00E62D30" w:rsidP="00E62D30" w:rsidRDefault="00E62D30" w14:paraId="68660192" w14:textId="77777777">
      <w:pPr>
        <w:pStyle w:val="Level1"/>
        <w:widowControl/>
        <w:numPr>
          <w:ilvl w:val="0"/>
          <w:numId w:val="26"/>
        </w:numPr>
        <w:spacing w:after="120"/>
        <w:rPr>
          <w:b/>
          <w:bCs/>
        </w:rPr>
      </w:pPr>
      <w:r w:rsidRPr="00210902">
        <w:rPr>
          <w:b/>
          <w:bCs/>
        </w:rPr>
        <w:t>If this request for approval covers more than one form, provide separate hour burden estimates for each form.</w:t>
      </w:r>
    </w:p>
    <w:p w:rsidRPr="00210902" w:rsidR="00E62D30" w:rsidP="00210902" w:rsidRDefault="00E62D30" w14:paraId="2C573660" w14:textId="77777777">
      <w:pPr>
        <w:pStyle w:val="Level1"/>
        <w:widowControl/>
        <w:numPr>
          <w:ilvl w:val="0"/>
          <w:numId w:val="26"/>
        </w:numPr>
        <w:rPr>
          <w:b/>
          <w:bCs/>
        </w:rPr>
      </w:pPr>
      <w:r w:rsidRPr="00210902">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210902" w:rsidR="00A80CD9" w:rsidP="00210902" w:rsidRDefault="00A80CD9" w14:paraId="0834FA81" w14:textId="77777777">
      <w:pPr>
        <w:rPr>
          <w:sz w:val="24"/>
          <w:szCs w:val="24"/>
        </w:rPr>
      </w:pPr>
    </w:p>
    <w:p w:rsidRPr="00210902" w:rsidR="00FA3A7C" w:rsidP="00210902" w:rsidRDefault="00FA3A7C" w14:paraId="737AD16B" w14:textId="60AD9658">
      <w:pPr>
        <w:pStyle w:val="BodyTextIndent"/>
        <w:ind w:left="0"/>
        <w:rPr>
          <w:szCs w:val="24"/>
        </w:rPr>
      </w:pPr>
      <w:r w:rsidRPr="00210902">
        <w:rPr>
          <w:szCs w:val="24"/>
        </w:rPr>
        <w:t xml:space="preserve">The estimated respondent burden for the </w:t>
      </w:r>
      <w:r w:rsidRPr="00210902" w:rsidR="00E85F57">
        <w:rPr>
          <w:szCs w:val="24"/>
        </w:rPr>
        <w:t xml:space="preserve">proposed </w:t>
      </w:r>
      <w:r w:rsidRPr="00210902" w:rsidR="001D5954">
        <w:rPr>
          <w:szCs w:val="24"/>
        </w:rPr>
        <w:t>2021</w:t>
      </w:r>
      <w:r w:rsidRPr="00210902" w:rsidR="00E85F57">
        <w:rPr>
          <w:szCs w:val="24"/>
        </w:rPr>
        <w:t xml:space="preserve"> Well-being Module is </w:t>
      </w:r>
      <w:r w:rsidRPr="008311A4" w:rsidR="008311A4">
        <w:rPr>
          <w:szCs w:val="24"/>
        </w:rPr>
        <w:t>734</w:t>
      </w:r>
      <w:r w:rsidRPr="00210902" w:rsidR="00741474">
        <w:rPr>
          <w:szCs w:val="24"/>
        </w:rPr>
        <w:t xml:space="preserve"> </w:t>
      </w:r>
      <w:r w:rsidRPr="00210902" w:rsidR="00E85F57">
        <w:rPr>
          <w:szCs w:val="24"/>
        </w:rPr>
        <w:t xml:space="preserve">hours.  This is based on an average respondent burden of approximately </w:t>
      </w:r>
      <w:r w:rsidRPr="00210902" w:rsidR="00CA4B44">
        <w:rPr>
          <w:szCs w:val="24"/>
        </w:rPr>
        <w:t>5.6</w:t>
      </w:r>
      <w:r w:rsidRPr="00210902" w:rsidR="00E85F57">
        <w:rPr>
          <w:szCs w:val="24"/>
        </w:rPr>
        <w:t xml:space="preserve"> minutes</w:t>
      </w:r>
      <w:r w:rsidRPr="00210902" w:rsidR="006D4F16">
        <w:rPr>
          <w:szCs w:val="24"/>
        </w:rPr>
        <w:t>, which was the average duration of the</w:t>
      </w:r>
      <w:r w:rsidRPr="00210902" w:rsidR="00E85F57">
        <w:rPr>
          <w:szCs w:val="24"/>
        </w:rPr>
        <w:t xml:space="preserve"> 20</w:t>
      </w:r>
      <w:r w:rsidRPr="00210902" w:rsidR="0071442E">
        <w:rPr>
          <w:szCs w:val="24"/>
        </w:rPr>
        <w:t>13</w:t>
      </w:r>
      <w:r w:rsidRPr="00210902" w:rsidR="00E85F57">
        <w:rPr>
          <w:szCs w:val="24"/>
        </w:rPr>
        <w:t xml:space="preserve"> Well-being Module</w:t>
      </w:r>
      <w:r w:rsidRPr="00210902" w:rsidR="006D4F16">
        <w:rPr>
          <w:szCs w:val="24"/>
        </w:rPr>
        <w:t>.</w:t>
      </w:r>
      <w:r w:rsidRPr="00210902" w:rsidR="00F65062">
        <w:rPr>
          <w:szCs w:val="24"/>
        </w:rPr>
        <w:t xml:space="preserve"> </w:t>
      </w:r>
      <w:r w:rsidR="008311A4">
        <w:rPr>
          <w:szCs w:val="24"/>
        </w:rPr>
        <w:t xml:space="preserve"> </w:t>
      </w:r>
      <w:r w:rsidRPr="00210902" w:rsidR="00F65062">
        <w:rPr>
          <w:szCs w:val="24"/>
        </w:rPr>
        <w:t>In 2019, the overall</w:t>
      </w:r>
      <w:r w:rsidRPr="00210902" w:rsidR="009B3020">
        <w:rPr>
          <w:szCs w:val="24"/>
        </w:rPr>
        <w:t xml:space="preserve"> response rate for the ATUS was 40.1</w:t>
      </w:r>
      <w:r w:rsidRPr="00210902" w:rsidR="00F65062">
        <w:rPr>
          <w:szCs w:val="24"/>
        </w:rPr>
        <w:t xml:space="preserve"> percent, for a total of 9,435 respondents.  The Well-Being Module will start in March 2021, and the number of potential resp</w:t>
      </w:r>
      <w:r w:rsidRPr="00210902" w:rsidR="009B3020">
        <w:rPr>
          <w:szCs w:val="24"/>
        </w:rPr>
        <w:t>ondents is estimated to be 7,860</w:t>
      </w:r>
      <w:r w:rsidRPr="00210902" w:rsidR="00F65062">
        <w:rPr>
          <w:szCs w:val="24"/>
        </w:rPr>
        <w:t xml:space="preserve">.  </w:t>
      </w:r>
    </w:p>
    <w:p w:rsidRPr="00210902" w:rsidR="00FA3A7C" w:rsidP="00FB5862" w:rsidRDefault="00FA3A7C" w14:paraId="49C0FCAB" w14:textId="77777777">
      <w:pPr>
        <w:pStyle w:val="BodyTextIndent"/>
        <w:rPr>
          <w:szCs w:val="24"/>
        </w:rPr>
      </w:pPr>
    </w:p>
    <w:p w:rsidRPr="00210902" w:rsidR="00E85F57" w:rsidP="00FB4DE9" w:rsidRDefault="00A80CD9" w14:paraId="0BA9FD46" w14:textId="0B24C862">
      <w:pPr>
        <w:pStyle w:val="BodyTextIndent"/>
        <w:ind w:left="0"/>
        <w:rPr>
          <w:szCs w:val="24"/>
        </w:rPr>
      </w:pPr>
      <w:r w:rsidRPr="00210902">
        <w:rPr>
          <w:szCs w:val="24"/>
        </w:rPr>
        <w:t>The overall annualized dollar cost to the respondents for collection</w:t>
      </w:r>
      <w:r w:rsidRPr="00210902" w:rsidR="00E85F57">
        <w:rPr>
          <w:szCs w:val="24"/>
        </w:rPr>
        <w:t xml:space="preserve"> of the 20</w:t>
      </w:r>
      <w:r w:rsidRPr="00210902" w:rsidR="0011648E">
        <w:rPr>
          <w:szCs w:val="24"/>
        </w:rPr>
        <w:t>21</w:t>
      </w:r>
      <w:r w:rsidRPr="00210902" w:rsidR="00E85F57">
        <w:rPr>
          <w:szCs w:val="24"/>
        </w:rPr>
        <w:t xml:space="preserve"> Well-being Module is expected to be </w:t>
      </w:r>
      <w:r w:rsidRPr="00210902" w:rsidR="001A3A06">
        <w:rPr>
          <w:szCs w:val="24"/>
        </w:rPr>
        <w:t>$</w:t>
      </w:r>
      <w:r w:rsidRPr="008311A4" w:rsidR="008311A4">
        <w:rPr>
          <w:sz w:val="22"/>
          <w:szCs w:val="22"/>
        </w:rPr>
        <w:t>11,267</w:t>
      </w:r>
      <w:r w:rsidR="008311A4">
        <w:rPr>
          <w:sz w:val="22"/>
          <w:szCs w:val="22"/>
        </w:rPr>
        <w:t xml:space="preserve"> </w:t>
      </w:r>
      <w:r w:rsidRPr="00210902" w:rsidR="00E85F57">
        <w:rPr>
          <w:szCs w:val="24"/>
        </w:rPr>
        <w:t>per year.  This estimate assumes a wage rate for all respondents of</w:t>
      </w:r>
      <w:r w:rsidRPr="00210902" w:rsidR="00B441DB">
        <w:rPr>
          <w:szCs w:val="24"/>
        </w:rPr>
        <w:t xml:space="preserve"> </w:t>
      </w:r>
      <w:r w:rsidRPr="00210902" w:rsidR="00E85F57">
        <w:rPr>
          <w:szCs w:val="24"/>
        </w:rPr>
        <w:t>$</w:t>
      </w:r>
      <w:r w:rsidRPr="00210902" w:rsidR="0011648E">
        <w:rPr>
          <w:szCs w:val="24"/>
        </w:rPr>
        <w:t>15.35</w:t>
      </w:r>
      <w:r w:rsidRPr="00210902" w:rsidR="00E85F57">
        <w:rPr>
          <w:szCs w:val="24"/>
        </w:rPr>
        <w:t xml:space="preserve"> an hour, the median hourly earnings for workers paid by the hour in 20</w:t>
      </w:r>
      <w:r w:rsidRPr="00210902" w:rsidR="00B441DB">
        <w:rPr>
          <w:szCs w:val="24"/>
        </w:rPr>
        <w:t>1</w:t>
      </w:r>
      <w:r w:rsidRPr="00210902" w:rsidR="0011648E">
        <w:rPr>
          <w:szCs w:val="24"/>
        </w:rPr>
        <w:t>9</w:t>
      </w:r>
      <w:r w:rsidRPr="00210902" w:rsidR="00E85F57">
        <w:rPr>
          <w:szCs w:val="24"/>
        </w:rPr>
        <w:t>.</w:t>
      </w:r>
    </w:p>
    <w:p w:rsidRPr="00210902" w:rsidR="00741474" w:rsidP="00FB5862" w:rsidRDefault="00741474" w14:paraId="205EBC66" w14:textId="77777777">
      <w:pPr>
        <w:pStyle w:val="BodyTextIndent"/>
        <w:rPr>
          <w:szCs w:val="24"/>
        </w:rPr>
      </w:pPr>
    </w:p>
    <w:p w:rsidRPr="00210902" w:rsidR="00760802" w:rsidP="00210902" w:rsidRDefault="00760802" w14:paraId="626E7A1D" w14:textId="4E6E87EF">
      <w:pPr>
        <w:pStyle w:val="BodyTextIndent"/>
        <w:ind w:left="270"/>
        <w:jc w:val="center"/>
        <w:rPr>
          <w:b/>
          <w:szCs w:val="24"/>
        </w:rPr>
      </w:pPr>
      <w:r w:rsidRPr="00210902">
        <w:rPr>
          <w:b/>
          <w:szCs w:val="24"/>
        </w:rPr>
        <w:t>Estimated Annualized Respondent Cost and Hour Burden</w:t>
      </w:r>
    </w:p>
    <w:tbl>
      <w:tblPr>
        <w:tblW w:w="8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75"/>
        <w:gridCol w:w="1295"/>
        <w:gridCol w:w="1315"/>
        <w:gridCol w:w="1190"/>
        <w:gridCol w:w="1150"/>
        <w:gridCol w:w="990"/>
        <w:gridCol w:w="900"/>
        <w:gridCol w:w="990"/>
      </w:tblGrid>
      <w:tr w:rsidRPr="00C53DAD" w:rsidR="00760802" w:rsidTr="003C45F4" w14:paraId="711E867E" w14:textId="77777777">
        <w:trPr>
          <w:trHeight w:val="890"/>
        </w:trPr>
        <w:tc>
          <w:tcPr>
            <w:tcW w:w="107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10902" w:rsidR="00760802" w:rsidP="009F473D" w:rsidRDefault="00760802" w14:paraId="434F9682" w14:textId="77777777">
            <w:pPr>
              <w:spacing w:line="276" w:lineRule="auto"/>
              <w:jc w:val="center"/>
              <w:rPr>
                <w:b/>
                <w:sz w:val="22"/>
                <w:szCs w:val="22"/>
              </w:rPr>
            </w:pPr>
            <w:r w:rsidRPr="00210902">
              <w:rPr>
                <w:b/>
                <w:sz w:val="22"/>
                <w:szCs w:val="22"/>
              </w:rPr>
              <w:t>Activity</w:t>
            </w:r>
          </w:p>
        </w:tc>
        <w:tc>
          <w:tcPr>
            <w:tcW w:w="129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10902" w:rsidR="00760802" w:rsidP="009F473D" w:rsidRDefault="00760802" w14:paraId="5F4DC940" w14:textId="2A2F05B0">
            <w:pPr>
              <w:spacing w:line="276" w:lineRule="auto"/>
              <w:jc w:val="center"/>
              <w:rPr>
                <w:b/>
                <w:sz w:val="22"/>
                <w:szCs w:val="22"/>
              </w:rPr>
            </w:pPr>
            <w:r w:rsidRPr="00210902">
              <w:rPr>
                <w:b/>
                <w:sz w:val="22"/>
                <w:szCs w:val="22"/>
              </w:rPr>
              <w:t xml:space="preserve">No. of </w:t>
            </w:r>
            <w:proofErr w:type="spellStart"/>
            <w:r w:rsidRPr="00210902">
              <w:rPr>
                <w:b/>
                <w:sz w:val="22"/>
                <w:szCs w:val="22"/>
              </w:rPr>
              <w:t>Respon</w:t>
            </w:r>
            <w:proofErr w:type="spellEnd"/>
            <w:r w:rsidRPr="00210902">
              <w:rPr>
                <w:b/>
                <w:sz w:val="22"/>
                <w:szCs w:val="22"/>
              </w:rPr>
              <w:t>-dents</w:t>
            </w:r>
          </w:p>
        </w:tc>
        <w:tc>
          <w:tcPr>
            <w:tcW w:w="1315" w:type="dxa"/>
            <w:tcBorders>
              <w:top w:val="single" w:color="auto" w:sz="4" w:space="0"/>
              <w:left w:val="single" w:color="auto" w:sz="4" w:space="0"/>
              <w:bottom w:val="single" w:color="auto" w:sz="4" w:space="0"/>
              <w:right w:val="single" w:color="auto" w:sz="4" w:space="0"/>
            </w:tcBorders>
            <w:shd w:val="clear" w:color="auto" w:fill="8DB3E2"/>
            <w:vAlign w:val="center"/>
          </w:tcPr>
          <w:p w:rsidRPr="00210902" w:rsidR="00760802" w:rsidP="009F473D" w:rsidRDefault="00760802" w14:paraId="462E75CA" w14:textId="77777777">
            <w:pPr>
              <w:spacing w:line="276" w:lineRule="auto"/>
              <w:jc w:val="center"/>
              <w:rPr>
                <w:b/>
                <w:sz w:val="22"/>
                <w:szCs w:val="22"/>
              </w:rPr>
            </w:pPr>
            <w:r w:rsidRPr="00210902">
              <w:rPr>
                <w:b/>
                <w:sz w:val="22"/>
                <w:szCs w:val="22"/>
              </w:rPr>
              <w:t xml:space="preserve">No. of Responses </w:t>
            </w:r>
          </w:p>
          <w:p w:rsidRPr="00210902" w:rsidR="00760802" w:rsidP="009F473D" w:rsidRDefault="00760802" w14:paraId="7F69A28B" w14:textId="68F9F725">
            <w:pPr>
              <w:spacing w:line="276" w:lineRule="auto"/>
              <w:jc w:val="center"/>
              <w:rPr>
                <w:b/>
                <w:sz w:val="22"/>
                <w:szCs w:val="22"/>
              </w:rPr>
            </w:pPr>
            <w:r w:rsidRPr="00210902">
              <w:rPr>
                <w:b/>
                <w:sz w:val="22"/>
                <w:szCs w:val="22"/>
              </w:rPr>
              <w:t xml:space="preserve">per </w:t>
            </w:r>
            <w:proofErr w:type="spellStart"/>
            <w:r w:rsidRPr="00210902">
              <w:rPr>
                <w:b/>
                <w:sz w:val="22"/>
                <w:szCs w:val="22"/>
              </w:rPr>
              <w:t>Respon</w:t>
            </w:r>
            <w:proofErr w:type="spellEnd"/>
            <w:r w:rsidRPr="00210902">
              <w:rPr>
                <w:b/>
                <w:sz w:val="22"/>
                <w:szCs w:val="22"/>
              </w:rPr>
              <w:t>-dent</w:t>
            </w:r>
          </w:p>
        </w:tc>
        <w:tc>
          <w:tcPr>
            <w:tcW w:w="11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10902" w:rsidR="00760802" w:rsidP="009F473D" w:rsidRDefault="00760802" w14:paraId="128D985F" w14:textId="77777777">
            <w:pPr>
              <w:spacing w:line="276" w:lineRule="auto"/>
              <w:jc w:val="center"/>
              <w:rPr>
                <w:b/>
                <w:sz w:val="22"/>
                <w:szCs w:val="22"/>
              </w:rPr>
            </w:pPr>
            <w:r w:rsidRPr="00210902">
              <w:rPr>
                <w:b/>
                <w:sz w:val="22"/>
                <w:szCs w:val="22"/>
              </w:rPr>
              <w:t>Total Responses</w:t>
            </w:r>
          </w:p>
        </w:tc>
        <w:tc>
          <w:tcPr>
            <w:tcW w:w="11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10902" w:rsidR="00760802" w:rsidP="009F473D" w:rsidRDefault="00760802" w14:paraId="5D1B4150" w14:textId="18745A2B">
            <w:pPr>
              <w:spacing w:line="276" w:lineRule="auto"/>
              <w:jc w:val="center"/>
              <w:rPr>
                <w:b/>
                <w:sz w:val="22"/>
                <w:szCs w:val="22"/>
              </w:rPr>
            </w:pPr>
            <w:r w:rsidRPr="00210902">
              <w:rPr>
                <w:b/>
                <w:sz w:val="22"/>
                <w:szCs w:val="22"/>
              </w:rPr>
              <w:t>Average Burden (</w:t>
            </w:r>
            <w:r w:rsidR="005006F3">
              <w:rPr>
                <w:b/>
                <w:sz w:val="22"/>
                <w:szCs w:val="22"/>
              </w:rPr>
              <w:t>Hours</w:t>
            </w:r>
            <w:r w:rsidRPr="00210902">
              <w:rPr>
                <w:b/>
                <w:sz w:val="22"/>
                <w:szCs w:val="22"/>
              </w:rPr>
              <w:t>)</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10902" w:rsidR="00760802" w:rsidP="009F473D" w:rsidRDefault="00760802" w14:paraId="79A57ADE" w14:textId="77777777">
            <w:pPr>
              <w:spacing w:line="276" w:lineRule="auto"/>
              <w:jc w:val="center"/>
              <w:rPr>
                <w:b/>
                <w:sz w:val="22"/>
                <w:szCs w:val="22"/>
              </w:rPr>
            </w:pPr>
            <w:r w:rsidRPr="00210902">
              <w:rPr>
                <w:b/>
                <w:sz w:val="22"/>
                <w:szCs w:val="22"/>
              </w:rPr>
              <w:t>Total Burden (Hours)</w:t>
            </w:r>
          </w:p>
        </w:tc>
        <w:tc>
          <w:tcPr>
            <w:tcW w:w="9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10902" w:rsidR="00760802" w:rsidP="009F473D" w:rsidRDefault="00760802" w14:paraId="5C678A90" w14:textId="77777777">
            <w:pPr>
              <w:spacing w:line="276" w:lineRule="auto"/>
              <w:jc w:val="center"/>
              <w:rPr>
                <w:b/>
                <w:sz w:val="22"/>
                <w:szCs w:val="22"/>
              </w:rPr>
            </w:pPr>
            <w:r w:rsidRPr="00210902">
              <w:rPr>
                <w:b/>
                <w:sz w:val="22"/>
                <w:szCs w:val="22"/>
              </w:rPr>
              <w:t>Hourly</w:t>
            </w:r>
          </w:p>
          <w:p w:rsidRPr="00210902" w:rsidR="00760802" w:rsidP="009F473D" w:rsidRDefault="00760802" w14:paraId="0B3B9028" w14:textId="77777777">
            <w:pPr>
              <w:spacing w:line="276" w:lineRule="auto"/>
              <w:jc w:val="center"/>
              <w:rPr>
                <w:b/>
                <w:sz w:val="22"/>
                <w:szCs w:val="22"/>
              </w:rPr>
            </w:pPr>
            <w:r w:rsidRPr="00210902">
              <w:rPr>
                <w:b/>
                <w:sz w:val="22"/>
                <w:szCs w:val="22"/>
              </w:rPr>
              <w:t>Wage Rate</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10902" w:rsidR="00760802" w:rsidP="009F473D" w:rsidRDefault="00760802" w14:paraId="0715F9D8" w14:textId="77777777">
            <w:pPr>
              <w:spacing w:line="276" w:lineRule="auto"/>
              <w:jc w:val="center"/>
              <w:rPr>
                <w:b/>
                <w:sz w:val="22"/>
                <w:szCs w:val="22"/>
              </w:rPr>
            </w:pPr>
            <w:r w:rsidRPr="00210902">
              <w:rPr>
                <w:b/>
                <w:sz w:val="22"/>
                <w:szCs w:val="22"/>
              </w:rPr>
              <w:t>Total Burden Cost</w:t>
            </w:r>
          </w:p>
        </w:tc>
      </w:tr>
      <w:tr w:rsidRPr="00C53DAD" w:rsidR="00760802" w:rsidTr="003C45F4" w14:paraId="3B0FAE6F" w14:textId="77777777">
        <w:tc>
          <w:tcPr>
            <w:tcW w:w="1075" w:type="dxa"/>
            <w:tcBorders>
              <w:top w:val="single" w:color="auto" w:sz="4" w:space="0"/>
              <w:left w:val="single" w:color="auto" w:sz="4" w:space="0"/>
              <w:bottom w:val="single" w:color="auto" w:sz="4" w:space="0"/>
              <w:right w:val="single" w:color="auto" w:sz="4" w:space="0"/>
            </w:tcBorders>
            <w:vAlign w:val="center"/>
            <w:hideMark/>
          </w:tcPr>
          <w:p w:rsidRPr="00210902" w:rsidR="00760802" w:rsidP="009F473D" w:rsidRDefault="00760802" w14:paraId="3B1A845D" w14:textId="6330ACC0">
            <w:pPr>
              <w:spacing w:line="276" w:lineRule="auto"/>
              <w:jc w:val="center"/>
              <w:rPr>
                <w:sz w:val="22"/>
                <w:szCs w:val="22"/>
              </w:rPr>
            </w:pPr>
            <w:r w:rsidRPr="00210902">
              <w:rPr>
                <w:sz w:val="22"/>
                <w:szCs w:val="22"/>
              </w:rPr>
              <w:t>2021</w:t>
            </w:r>
          </w:p>
          <w:p w:rsidRPr="00210902" w:rsidR="00760802" w:rsidP="009F473D" w:rsidRDefault="00760802" w14:paraId="0354AF8B" w14:textId="02ADDE2A">
            <w:pPr>
              <w:spacing w:line="276" w:lineRule="auto"/>
              <w:jc w:val="center"/>
              <w:rPr>
                <w:sz w:val="22"/>
                <w:szCs w:val="22"/>
              </w:rPr>
            </w:pPr>
            <w:r w:rsidRPr="00210902">
              <w:rPr>
                <w:sz w:val="22"/>
                <w:szCs w:val="22"/>
              </w:rPr>
              <w:t>Well-Being Module</w:t>
            </w:r>
          </w:p>
        </w:tc>
        <w:tc>
          <w:tcPr>
            <w:tcW w:w="1295" w:type="dxa"/>
            <w:tcBorders>
              <w:top w:val="single" w:color="auto" w:sz="4" w:space="0"/>
              <w:left w:val="single" w:color="auto" w:sz="4" w:space="0"/>
              <w:bottom w:val="single" w:color="auto" w:sz="4" w:space="0"/>
              <w:right w:val="single" w:color="auto" w:sz="4" w:space="0"/>
            </w:tcBorders>
            <w:vAlign w:val="center"/>
          </w:tcPr>
          <w:p w:rsidRPr="00210902" w:rsidR="00760802" w:rsidP="009F473D" w:rsidRDefault="009B3020" w14:paraId="62DF0D1C" w14:textId="0B486059">
            <w:pPr>
              <w:spacing w:line="276" w:lineRule="auto"/>
              <w:jc w:val="center"/>
              <w:rPr>
                <w:sz w:val="22"/>
                <w:szCs w:val="22"/>
              </w:rPr>
            </w:pPr>
            <w:r w:rsidRPr="00210902">
              <w:rPr>
                <w:sz w:val="22"/>
                <w:szCs w:val="22"/>
              </w:rPr>
              <w:t>7,860</w:t>
            </w:r>
          </w:p>
          <w:p w:rsidRPr="00210902" w:rsidR="00760802" w:rsidP="009F473D" w:rsidRDefault="00760802" w14:paraId="2206CC0F" w14:textId="77777777">
            <w:pPr>
              <w:spacing w:line="276" w:lineRule="auto"/>
              <w:jc w:val="center"/>
              <w:rPr>
                <w:sz w:val="22"/>
                <w:szCs w:val="22"/>
              </w:rPr>
            </w:pPr>
          </w:p>
        </w:tc>
        <w:tc>
          <w:tcPr>
            <w:tcW w:w="1315" w:type="dxa"/>
            <w:tcBorders>
              <w:top w:val="single" w:color="auto" w:sz="4" w:space="0"/>
              <w:left w:val="single" w:color="auto" w:sz="4" w:space="0"/>
              <w:bottom w:val="single" w:color="auto" w:sz="4" w:space="0"/>
              <w:right w:val="single" w:color="auto" w:sz="4" w:space="0"/>
            </w:tcBorders>
            <w:vAlign w:val="center"/>
          </w:tcPr>
          <w:p w:rsidRPr="00210902" w:rsidR="00760802" w:rsidP="009F473D" w:rsidRDefault="00760802" w14:paraId="79CF209B" w14:textId="4C5709C9">
            <w:pPr>
              <w:spacing w:line="276" w:lineRule="auto"/>
              <w:jc w:val="center"/>
              <w:rPr>
                <w:sz w:val="22"/>
                <w:szCs w:val="22"/>
              </w:rPr>
            </w:pPr>
            <w:r w:rsidRPr="00210902">
              <w:rPr>
                <w:sz w:val="22"/>
                <w:szCs w:val="22"/>
              </w:rPr>
              <w:t>1</w:t>
            </w:r>
          </w:p>
          <w:p w:rsidRPr="00210902" w:rsidR="00760802" w:rsidP="009F473D" w:rsidRDefault="00760802" w14:paraId="1A22CD40" w14:textId="77777777">
            <w:pPr>
              <w:spacing w:line="276" w:lineRule="auto"/>
              <w:jc w:val="center"/>
              <w:rPr>
                <w:sz w:val="22"/>
                <w:szCs w:val="22"/>
              </w:rPr>
            </w:pPr>
          </w:p>
        </w:tc>
        <w:tc>
          <w:tcPr>
            <w:tcW w:w="1190" w:type="dxa"/>
            <w:tcBorders>
              <w:top w:val="single" w:color="auto" w:sz="4" w:space="0"/>
              <w:left w:val="single" w:color="auto" w:sz="4" w:space="0"/>
              <w:bottom w:val="single" w:color="auto" w:sz="4" w:space="0"/>
              <w:right w:val="single" w:color="auto" w:sz="4" w:space="0"/>
            </w:tcBorders>
            <w:vAlign w:val="center"/>
          </w:tcPr>
          <w:p w:rsidRPr="00210902" w:rsidR="00760802" w:rsidP="009F473D" w:rsidRDefault="009B3020" w14:paraId="4428DC4D" w14:textId="3C0F1758">
            <w:pPr>
              <w:spacing w:line="276" w:lineRule="auto"/>
              <w:jc w:val="center"/>
              <w:rPr>
                <w:sz w:val="22"/>
                <w:szCs w:val="22"/>
              </w:rPr>
            </w:pPr>
            <w:r w:rsidRPr="00210902">
              <w:rPr>
                <w:sz w:val="22"/>
                <w:szCs w:val="22"/>
              </w:rPr>
              <w:t>7,860</w:t>
            </w:r>
          </w:p>
          <w:p w:rsidRPr="00210902" w:rsidR="00760802" w:rsidP="009F473D" w:rsidRDefault="00760802" w14:paraId="6E985DD2" w14:textId="77777777">
            <w:pPr>
              <w:spacing w:line="276" w:lineRule="auto"/>
              <w:jc w:val="center"/>
              <w:rPr>
                <w:sz w:val="22"/>
                <w:szCs w:val="22"/>
              </w:rPr>
            </w:pPr>
          </w:p>
        </w:tc>
        <w:tc>
          <w:tcPr>
            <w:tcW w:w="1150" w:type="dxa"/>
            <w:tcBorders>
              <w:top w:val="single" w:color="auto" w:sz="4" w:space="0"/>
              <w:left w:val="single" w:color="auto" w:sz="4" w:space="0"/>
              <w:bottom w:val="single" w:color="auto" w:sz="4" w:space="0"/>
              <w:right w:val="single" w:color="auto" w:sz="4" w:space="0"/>
            </w:tcBorders>
            <w:vAlign w:val="center"/>
          </w:tcPr>
          <w:p w:rsidRPr="00210902" w:rsidR="00760802" w:rsidP="009F473D" w:rsidRDefault="005006F3" w14:paraId="6654380C" w14:textId="7AE3C111">
            <w:pPr>
              <w:spacing w:line="276" w:lineRule="auto"/>
              <w:jc w:val="center"/>
              <w:rPr>
                <w:sz w:val="22"/>
                <w:szCs w:val="22"/>
              </w:rPr>
            </w:pPr>
            <w:r>
              <w:rPr>
                <w:sz w:val="22"/>
                <w:szCs w:val="22"/>
              </w:rPr>
              <w:t>0.</w:t>
            </w:r>
            <w:r w:rsidR="00BB1367">
              <w:rPr>
                <w:sz w:val="22"/>
                <w:szCs w:val="22"/>
              </w:rPr>
              <w:t>0</w:t>
            </w:r>
            <w:r>
              <w:rPr>
                <w:sz w:val="22"/>
                <w:szCs w:val="22"/>
              </w:rPr>
              <w:t>93</w:t>
            </w:r>
          </w:p>
          <w:p w:rsidRPr="00210902" w:rsidR="00760802" w:rsidP="009F473D" w:rsidRDefault="00760802" w14:paraId="47F720D1" w14:textId="77777777">
            <w:pPr>
              <w:spacing w:line="276" w:lineRule="auto"/>
              <w:jc w:val="center"/>
              <w:rPr>
                <w:sz w:val="22"/>
                <w:szCs w:val="22"/>
              </w:rPr>
            </w:pPr>
          </w:p>
        </w:tc>
        <w:tc>
          <w:tcPr>
            <w:tcW w:w="990" w:type="dxa"/>
            <w:tcBorders>
              <w:top w:val="single" w:color="auto" w:sz="4" w:space="0"/>
              <w:left w:val="single" w:color="auto" w:sz="4" w:space="0"/>
              <w:bottom w:val="single" w:color="auto" w:sz="4" w:space="0"/>
              <w:right w:val="single" w:color="auto" w:sz="4" w:space="0"/>
            </w:tcBorders>
            <w:vAlign w:val="center"/>
          </w:tcPr>
          <w:p w:rsidRPr="00210902" w:rsidR="00760802" w:rsidP="009F473D" w:rsidRDefault="008311A4" w14:paraId="6EB2C073" w14:textId="01C66E31">
            <w:pPr>
              <w:spacing w:line="276" w:lineRule="auto"/>
              <w:jc w:val="center"/>
              <w:rPr>
                <w:sz w:val="22"/>
                <w:szCs w:val="22"/>
              </w:rPr>
            </w:pPr>
            <w:r>
              <w:rPr>
                <w:sz w:val="22"/>
                <w:szCs w:val="22"/>
              </w:rPr>
              <w:t>734</w:t>
            </w:r>
          </w:p>
          <w:p w:rsidRPr="00210902" w:rsidR="00760802" w:rsidP="009F473D" w:rsidRDefault="00760802" w14:paraId="5A8DE367" w14:textId="77777777">
            <w:pPr>
              <w:spacing w:line="276" w:lineRule="auto"/>
              <w:jc w:val="center"/>
              <w:rPr>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rsidRPr="00210902" w:rsidR="00760802" w:rsidP="009F473D" w:rsidRDefault="00760802" w14:paraId="1059C85A" w14:textId="159C1556">
            <w:pPr>
              <w:spacing w:line="276" w:lineRule="auto"/>
              <w:jc w:val="center"/>
              <w:rPr>
                <w:sz w:val="22"/>
                <w:szCs w:val="22"/>
              </w:rPr>
            </w:pPr>
            <w:r w:rsidRPr="00210902">
              <w:rPr>
                <w:sz w:val="22"/>
                <w:szCs w:val="22"/>
              </w:rPr>
              <w:t>$15.35</w:t>
            </w:r>
          </w:p>
          <w:p w:rsidRPr="00210902" w:rsidR="00760802" w:rsidP="009F473D" w:rsidRDefault="00760802" w14:paraId="5F67E7AE" w14:textId="77777777">
            <w:pPr>
              <w:spacing w:line="276" w:lineRule="auto"/>
              <w:jc w:val="center"/>
              <w:rPr>
                <w:sz w:val="22"/>
                <w:szCs w:val="22"/>
              </w:rPr>
            </w:pPr>
          </w:p>
        </w:tc>
        <w:tc>
          <w:tcPr>
            <w:tcW w:w="990" w:type="dxa"/>
            <w:tcBorders>
              <w:top w:val="single" w:color="auto" w:sz="4" w:space="0"/>
              <w:left w:val="single" w:color="auto" w:sz="4" w:space="0"/>
              <w:bottom w:val="single" w:color="auto" w:sz="4" w:space="0"/>
              <w:right w:val="single" w:color="auto" w:sz="4" w:space="0"/>
            </w:tcBorders>
            <w:vAlign w:val="center"/>
          </w:tcPr>
          <w:p w:rsidRPr="00210902" w:rsidR="00760802" w:rsidP="009F473D" w:rsidRDefault="00760802" w14:paraId="302FE6E3" w14:textId="5CC07EA9">
            <w:pPr>
              <w:spacing w:line="276" w:lineRule="auto"/>
              <w:jc w:val="center"/>
              <w:rPr>
                <w:sz w:val="22"/>
                <w:szCs w:val="22"/>
              </w:rPr>
            </w:pPr>
            <w:r w:rsidRPr="00210902">
              <w:rPr>
                <w:sz w:val="22"/>
                <w:szCs w:val="22"/>
              </w:rPr>
              <w:t>$</w:t>
            </w:r>
            <w:r w:rsidRPr="008311A4" w:rsidR="008311A4">
              <w:rPr>
                <w:sz w:val="22"/>
                <w:szCs w:val="22"/>
              </w:rPr>
              <w:t>11,267</w:t>
            </w:r>
          </w:p>
          <w:p w:rsidRPr="00210902" w:rsidR="00760802" w:rsidP="009F473D" w:rsidRDefault="00760802" w14:paraId="38B962CA" w14:textId="77777777">
            <w:pPr>
              <w:spacing w:line="276" w:lineRule="auto"/>
              <w:jc w:val="center"/>
              <w:rPr>
                <w:sz w:val="22"/>
                <w:szCs w:val="22"/>
              </w:rPr>
            </w:pPr>
          </w:p>
        </w:tc>
      </w:tr>
    </w:tbl>
    <w:p w:rsidRPr="00210902" w:rsidR="00741474" w:rsidP="00FB4DE9" w:rsidRDefault="00741474" w14:paraId="3C55F1CC" w14:textId="7E7E9CEA">
      <w:pPr>
        <w:pStyle w:val="BodyTextIndent"/>
        <w:ind w:left="0"/>
        <w:rPr>
          <w:b/>
          <w:color w:val="000000"/>
          <w:szCs w:val="22"/>
        </w:rPr>
      </w:pPr>
      <w:r w:rsidRPr="008311A4">
        <w:rPr>
          <w:sz w:val="22"/>
          <w:szCs w:val="22"/>
        </w:rPr>
        <w:t>**Costs are rounded to the nearest dollar and calculated using 2019 median hourly earnings ($15.35) from the Current Population Survey</w:t>
      </w:r>
      <w:r w:rsidR="003F6AB9">
        <w:rPr>
          <w:sz w:val="22"/>
          <w:szCs w:val="22"/>
        </w:rPr>
        <w:t xml:space="preserve"> (See Attachment J</w:t>
      </w:r>
      <w:r w:rsidRPr="003F6AB9" w:rsidR="003F6AB9">
        <w:rPr>
          <w:sz w:val="22"/>
          <w:szCs w:val="22"/>
        </w:rPr>
        <w:t>.)</w:t>
      </w:r>
      <w:r w:rsidRPr="00210902">
        <w:rPr>
          <w:sz w:val="22"/>
          <w:szCs w:val="22"/>
        </w:rPr>
        <w:t xml:space="preserve"> </w:t>
      </w:r>
    </w:p>
    <w:p w:rsidR="00A80CD9" w:rsidP="00FB5862" w:rsidRDefault="00A80CD9" w14:paraId="13660F0B" w14:textId="77777777">
      <w:pPr>
        <w:rPr>
          <w:sz w:val="24"/>
          <w:szCs w:val="22"/>
        </w:rPr>
      </w:pPr>
    </w:p>
    <w:p w:rsidRPr="00210902" w:rsidR="008311A4" w:rsidP="00FB5862" w:rsidRDefault="008311A4" w14:paraId="0161B36B" w14:textId="77777777">
      <w:pPr>
        <w:rPr>
          <w:sz w:val="24"/>
          <w:szCs w:val="22"/>
        </w:rPr>
      </w:pPr>
    </w:p>
    <w:p w:rsidRPr="00210902" w:rsidR="00E62D30" w:rsidP="00E62D30" w:rsidRDefault="00E62D30" w14:paraId="64331A95" w14:textId="77777777">
      <w:pPr>
        <w:numPr>
          <w:ilvl w:val="0"/>
          <w:numId w:val="24"/>
        </w:numPr>
        <w:tabs>
          <w:tab w:val="left" w:pos="360"/>
        </w:tabs>
        <w:ind w:left="0" w:firstLine="0"/>
        <w:rPr>
          <w:b/>
          <w:sz w:val="24"/>
          <w:szCs w:val="22"/>
        </w:rPr>
      </w:pPr>
      <w:r w:rsidRPr="00210902">
        <w:rPr>
          <w:b/>
          <w:sz w:val="24"/>
          <w:szCs w:val="22"/>
        </w:rPr>
        <w:t>Provide an estimate of the total annual cost burden to respondents or recordkeepers resulting from the collection of information.  (Do not include the cost of any hour burden shown in Items 12 and 14).</w:t>
      </w:r>
    </w:p>
    <w:p w:rsidRPr="00210902" w:rsidR="00A80CD9" w:rsidP="00FB5862" w:rsidRDefault="00A80CD9" w14:paraId="585531E2" w14:textId="77777777">
      <w:pPr>
        <w:rPr>
          <w:sz w:val="24"/>
          <w:szCs w:val="22"/>
        </w:rPr>
      </w:pPr>
    </w:p>
    <w:p w:rsidRPr="00210902" w:rsidR="00A80CD9" w:rsidP="00457FAA" w:rsidRDefault="00A80CD9" w14:paraId="57678FBB" w14:textId="77777777">
      <w:pPr>
        <w:numPr>
          <w:ilvl w:val="0"/>
          <w:numId w:val="3"/>
        </w:numPr>
        <w:spacing w:line="480" w:lineRule="auto"/>
        <w:rPr>
          <w:sz w:val="24"/>
          <w:szCs w:val="22"/>
        </w:rPr>
      </w:pPr>
      <w:r w:rsidRPr="00210902">
        <w:rPr>
          <w:sz w:val="24"/>
          <w:szCs w:val="22"/>
        </w:rPr>
        <w:t>Capital start-up costs:  $0</w:t>
      </w:r>
    </w:p>
    <w:p w:rsidRPr="00210902" w:rsidR="00A80CD9" w:rsidP="00B8739B" w:rsidRDefault="00A80CD9" w14:paraId="3B01D09A" w14:textId="77777777">
      <w:pPr>
        <w:numPr>
          <w:ilvl w:val="0"/>
          <w:numId w:val="3"/>
        </w:numPr>
        <w:rPr>
          <w:sz w:val="24"/>
          <w:szCs w:val="22"/>
        </w:rPr>
      </w:pPr>
      <w:r w:rsidRPr="00210902">
        <w:rPr>
          <w:sz w:val="24"/>
          <w:szCs w:val="22"/>
        </w:rPr>
        <w:t>Total operation and maintenance and purchase of services:  $0</w:t>
      </w:r>
    </w:p>
    <w:p w:rsidRPr="00210902" w:rsidR="00E15466" w:rsidP="00E15466" w:rsidRDefault="00E15466" w14:paraId="4FAC6B5A" w14:textId="77777777">
      <w:pPr>
        <w:rPr>
          <w:sz w:val="24"/>
          <w:szCs w:val="24"/>
        </w:rPr>
      </w:pPr>
    </w:p>
    <w:p w:rsidRPr="00210902" w:rsidR="00B8739B" w:rsidP="00B8739B" w:rsidRDefault="00B8739B" w14:paraId="249F3982" w14:textId="77777777">
      <w:pPr>
        <w:rPr>
          <w:sz w:val="24"/>
          <w:szCs w:val="24"/>
        </w:rPr>
      </w:pPr>
    </w:p>
    <w:p w:rsidRPr="00210902" w:rsidR="00E62D30" w:rsidP="00E62D30" w:rsidRDefault="00E62D30" w14:paraId="42B0593B" w14:textId="77777777">
      <w:pPr>
        <w:numPr>
          <w:ilvl w:val="0"/>
          <w:numId w:val="24"/>
        </w:numPr>
        <w:tabs>
          <w:tab w:val="left" w:pos="360"/>
        </w:tabs>
        <w:ind w:left="0" w:firstLine="0"/>
        <w:rPr>
          <w:b/>
          <w:sz w:val="24"/>
          <w:szCs w:val="24"/>
        </w:rPr>
      </w:pPr>
      <w:r w:rsidRPr="00210902">
        <w:rPr>
          <w:b/>
          <w:bCs/>
          <w:sz w:val="24"/>
          <w:szCs w:val="24"/>
        </w:rPr>
        <w:t xml:space="preserve">Provide </w:t>
      </w:r>
      <w:r w:rsidRPr="00210902">
        <w:rPr>
          <w:b/>
          <w:sz w:val="24"/>
          <w:szCs w:val="24"/>
        </w:rPr>
        <w:t>estimates</w:t>
      </w:r>
      <w:r w:rsidRPr="00210902">
        <w:rPr>
          <w:b/>
          <w:bCs/>
          <w:sz w:val="24"/>
          <w:szCs w:val="24"/>
        </w:rPr>
        <w:t xml:space="preserve">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210902">
        <w:rPr>
          <w:sz w:val="24"/>
          <w:szCs w:val="24"/>
        </w:rPr>
        <w:t xml:space="preserve"> </w:t>
      </w:r>
      <w:r w:rsidRPr="00210902">
        <w:rPr>
          <w:b/>
          <w:bCs/>
          <w:sz w:val="24"/>
          <w:szCs w:val="24"/>
        </w:rPr>
        <w:t>without this collection of information.  Agencies also may aggregate cost estimates from Items 12, 13, and 14 into a single table.</w:t>
      </w:r>
    </w:p>
    <w:p w:rsidRPr="00210902" w:rsidR="00A80CD9" w:rsidP="00FB5862" w:rsidRDefault="00A80CD9" w14:paraId="1426A6A6" w14:textId="77777777">
      <w:pPr>
        <w:rPr>
          <w:sz w:val="24"/>
          <w:szCs w:val="24"/>
        </w:rPr>
      </w:pPr>
    </w:p>
    <w:p w:rsidRPr="00210902" w:rsidR="00A80CD9" w:rsidP="00FB4DE9" w:rsidRDefault="00A80CD9" w14:paraId="29D3EA06" w14:textId="35CAE435">
      <w:pPr>
        <w:pStyle w:val="BodyTextIndent"/>
        <w:ind w:left="0"/>
        <w:rPr>
          <w:szCs w:val="24"/>
        </w:rPr>
      </w:pPr>
      <w:r w:rsidRPr="00210902">
        <w:rPr>
          <w:szCs w:val="24"/>
        </w:rPr>
        <w:t xml:space="preserve">The total estimated cost of the </w:t>
      </w:r>
      <w:r w:rsidRPr="00210902" w:rsidR="00D357AF">
        <w:rPr>
          <w:szCs w:val="24"/>
        </w:rPr>
        <w:t>2021</w:t>
      </w:r>
      <w:r w:rsidRPr="00210902" w:rsidR="00E85F57">
        <w:rPr>
          <w:szCs w:val="24"/>
        </w:rPr>
        <w:t xml:space="preserve"> Well-being Module is $</w:t>
      </w:r>
      <w:r w:rsidR="00206483">
        <w:rPr>
          <w:szCs w:val="24"/>
        </w:rPr>
        <w:t>300</w:t>
      </w:r>
      <w:r w:rsidRPr="00210902" w:rsidR="003B0BD2">
        <w:rPr>
          <w:szCs w:val="24"/>
        </w:rPr>
        <w:t>,000</w:t>
      </w:r>
      <w:r w:rsidRPr="00210902" w:rsidR="00E85F57">
        <w:rPr>
          <w:szCs w:val="24"/>
        </w:rPr>
        <w:t xml:space="preserve">.  </w:t>
      </w:r>
      <w:r w:rsidRPr="00210902">
        <w:rPr>
          <w:szCs w:val="24"/>
        </w:rPr>
        <w:t xml:space="preserve">This cost is to be borne by </w:t>
      </w:r>
      <w:r w:rsidRPr="00210902" w:rsidR="00E85F57">
        <w:rPr>
          <w:szCs w:val="24"/>
        </w:rPr>
        <w:t>the</w:t>
      </w:r>
      <w:r w:rsidRPr="00210902" w:rsidR="006D4F16">
        <w:rPr>
          <w:szCs w:val="24"/>
        </w:rPr>
        <w:t xml:space="preserve"> University of Maryland </w:t>
      </w:r>
      <w:r w:rsidR="00107A6F">
        <w:t>using grant funding from the Eunice Kennedy Shriver National Institute of Child Health and Human Development (NICHD)</w:t>
      </w:r>
      <w:r w:rsidR="006D4DBE">
        <w:t>,</w:t>
      </w:r>
      <w:r w:rsidR="00107A6F">
        <w:t xml:space="preserve"> </w:t>
      </w:r>
      <w:r w:rsidRPr="00210902" w:rsidR="006D4F16">
        <w:rPr>
          <w:szCs w:val="24"/>
        </w:rPr>
        <w:t>and the University of Minnesota</w:t>
      </w:r>
      <w:r w:rsidR="008925BB">
        <w:rPr>
          <w:szCs w:val="24"/>
        </w:rPr>
        <w:t xml:space="preserve"> using grant funding from the National Science Foundation</w:t>
      </w:r>
      <w:r w:rsidR="0036562F">
        <w:rPr>
          <w:szCs w:val="24"/>
        </w:rPr>
        <w:t xml:space="preserve"> (NSF)</w:t>
      </w:r>
      <w:r w:rsidR="00107A6F">
        <w:rPr>
          <w:szCs w:val="24"/>
        </w:rPr>
        <w:t>.  This cost</w:t>
      </w:r>
      <w:r w:rsidRPr="00210902">
        <w:rPr>
          <w:szCs w:val="24"/>
        </w:rPr>
        <w:t xml:space="preserve"> </w:t>
      </w:r>
      <w:r w:rsidRPr="00210902" w:rsidR="00C64E65">
        <w:rPr>
          <w:szCs w:val="24"/>
        </w:rPr>
        <w:t xml:space="preserve">largely </w:t>
      </w:r>
      <w:r w:rsidRPr="00210902">
        <w:rPr>
          <w:szCs w:val="24"/>
        </w:rPr>
        <w:t>represents the charge by the Census Bureau for conducting the</w:t>
      </w:r>
      <w:r w:rsidRPr="00210902" w:rsidR="005F7C53">
        <w:rPr>
          <w:szCs w:val="24"/>
        </w:rPr>
        <w:t xml:space="preserve"> m</w:t>
      </w:r>
      <w:r w:rsidRPr="00210902" w:rsidR="00E85F57">
        <w:rPr>
          <w:szCs w:val="24"/>
        </w:rPr>
        <w:t>odule</w:t>
      </w:r>
      <w:r w:rsidRPr="00210902">
        <w:rPr>
          <w:szCs w:val="24"/>
        </w:rPr>
        <w:t xml:space="preserve">. </w:t>
      </w:r>
      <w:r w:rsidRPr="00210902" w:rsidR="00C64E65">
        <w:rPr>
          <w:szCs w:val="24"/>
        </w:rPr>
        <w:t xml:space="preserve">Census activities for this supplement </w:t>
      </w:r>
      <w:r w:rsidRPr="00210902" w:rsidR="002E6C63">
        <w:rPr>
          <w:szCs w:val="24"/>
        </w:rPr>
        <w:t>i</w:t>
      </w:r>
      <w:r w:rsidRPr="00210902">
        <w:rPr>
          <w:szCs w:val="24"/>
        </w:rPr>
        <w:t xml:space="preserve">nclude programming the questionnaire, developing </w:t>
      </w:r>
      <w:r w:rsidRPr="00210902" w:rsidR="003B0BD2">
        <w:rPr>
          <w:szCs w:val="24"/>
        </w:rPr>
        <w:t xml:space="preserve">and conducting </w:t>
      </w:r>
      <w:r w:rsidRPr="00210902">
        <w:rPr>
          <w:szCs w:val="24"/>
        </w:rPr>
        <w:t xml:space="preserve">interviewer training, collecting data, processing </w:t>
      </w:r>
      <w:r w:rsidRPr="00210902" w:rsidR="008907B6">
        <w:rPr>
          <w:szCs w:val="24"/>
        </w:rPr>
        <w:t xml:space="preserve">survey </w:t>
      </w:r>
      <w:r w:rsidRPr="00210902">
        <w:rPr>
          <w:szCs w:val="24"/>
        </w:rPr>
        <w:t xml:space="preserve">microdata, and developing public use files. </w:t>
      </w:r>
      <w:r w:rsidRPr="00210902" w:rsidR="00C64E65">
        <w:rPr>
          <w:szCs w:val="24"/>
        </w:rPr>
        <w:t xml:space="preserve">The </w:t>
      </w:r>
      <w:r w:rsidR="00206483">
        <w:rPr>
          <w:szCs w:val="24"/>
        </w:rPr>
        <w:t>cost</w:t>
      </w:r>
      <w:r w:rsidRPr="00210902" w:rsidR="00C64E65">
        <w:rPr>
          <w:szCs w:val="24"/>
        </w:rPr>
        <w:t xml:space="preserve"> al</w:t>
      </w:r>
      <w:r w:rsidRPr="00210902" w:rsidR="008907B6">
        <w:rPr>
          <w:szCs w:val="24"/>
        </w:rPr>
        <w:t xml:space="preserve">so includes </w:t>
      </w:r>
      <w:r w:rsidRPr="00210902" w:rsidR="003B0BD2">
        <w:rPr>
          <w:szCs w:val="24"/>
        </w:rPr>
        <w:t xml:space="preserve">BLS activities </w:t>
      </w:r>
      <w:r w:rsidRPr="00210902" w:rsidR="00D357AF">
        <w:rPr>
          <w:szCs w:val="24"/>
        </w:rPr>
        <w:t>of</w:t>
      </w:r>
      <w:r w:rsidRPr="00210902" w:rsidR="008907B6">
        <w:rPr>
          <w:szCs w:val="24"/>
        </w:rPr>
        <w:t xml:space="preserve"> </w:t>
      </w:r>
      <w:r w:rsidRPr="00210902" w:rsidR="003B0BD2">
        <w:rPr>
          <w:szCs w:val="24"/>
        </w:rPr>
        <w:t>data editing</w:t>
      </w:r>
      <w:r w:rsidRPr="00210902" w:rsidR="00E85F57">
        <w:rPr>
          <w:szCs w:val="24"/>
        </w:rPr>
        <w:t xml:space="preserve">, </w:t>
      </w:r>
      <w:r w:rsidRPr="00210902" w:rsidR="003B0BD2">
        <w:rPr>
          <w:szCs w:val="24"/>
        </w:rPr>
        <w:t>developing and conducting training</w:t>
      </w:r>
      <w:r w:rsidRPr="00210902" w:rsidR="00E85F57">
        <w:rPr>
          <w:szCs w:val="24"/>
        </w:rPr>
        <w:t xml:space="preserve">, </w:t>
      </w:r>
      <w:r w:rsidRPr="00210902" w:rsidR="003B0BD2">
        <w:rPr>
          <w:szCs w:val="24"/>
        </w:rPr>
        <w:t xml:space="preserve">call monitoring, </w:t>
      </w:r>
      <w:r w:rsidRPr="00210902" w:rsidR="00E85F57">
        <w:rPr>
          <w:szCs w:val="24"/>
        </w:rPr>
        <w:t xml:space="preserve">and </w:t>
      </w:r>
      <w:r w:rsidRPr="00210902" w:rsidR="003B0BD2">
        <w:rPr>
          <w:szCs w:val="24"/>
        </w:rPr>
        <w:t xml:space="preserve">the </w:t>
      </w:r>
      <w:r w:rsidRPr="00210902" w:rsidR="00E85F57">
        <w:rPr>
          <w:szCs w:val="24"/>
        </w:rPr>
        <w:t xml:space="preserve">administration of </w:t>
      </w:r>
      <w:r w:rsidRPr="00210902" w:rsidR="00C64E65">
        <w:rPr>
          <w:szCs w:val="24"/>
        </w:rPr>
        <w:t>the interagency agreement</w:t>
      </w:r>
      <w:r w:rsidRPr="00210902" w:rsidR="00673FC4">
        <w:rPr>
          <w:szCs w:val="24"/>
        </w:rPr>
        <w:t>.</w:t>
      </w:r>
      <w:r w:rsidRPr="00210902" w:rsidR="00C64E65">
        <w:rPr>
          <w:szCs w:val="24"/>
        </w:rPr>
        <w:t xml:space="preserve"> </w:t>
      </w:r>
    </w:p>
    <w:p w:rsidR="00A80CD9" w:rsidP="00FB5862" w:rsidRDefault="00A80CD9" w14:paraId="41C5B91A" w14:textId="77777777">
      <w:pPr>
        <w:rPr>
          <w:sz w:val="24"/>
          <w:szCs w:val="24"/>
        </w:rPr>
      </w:pPr>
    </w:p>
    <w:p w:rsidRPr="00210902" w:rsidR="00210902" w:rsidP="00FB5862" w:rsidRDefault="00210902" w14:paraId="28ED073A" w14:textId="77777777">
      <w:pPr>
        <w:rPr>
          <w:sz w:val="24"/>
          <w:szCs w:val="24"/>
        </w:rPr>
      </w:pPr>
    </w:p>
    <w:p w:rsidRPr="00210902" w:rsidR="00E62D30" w:rsidP="00E62D30" w:rsidRDefault="00E62D30" w14:paraId="28A7D2AB" w14:textId="77777777">
      <w:pPr>
        <w:numPr>
          <w:ilvl w:val="0"/>
          <w:numId w:val="24"/>
        </w:numPr>
        <w:rPr>
          <w:b/>
          <w:sz w:val="24"/>
          <w:szCs w:val="24"/>
        </w:rPr>
      </w:pPr>
      <w:r w:rsidRPr="00210902">
        <w:rPr>
          <w:b/>
          <w:bCs/>
          <w:sz w:val="24"/>
          <w:szCs w:val="24"/>
        </w:rPr>
        <w:t>Explain the reasons for any program changes or adjustments.</w:t>
      </w:r>
    </w:p>
    <w:p w:rsidRPr="00210902" w:rsidR="00556F96" w:rsidP="00AA1AD7" w:rsidRDefault="00556F96" w14:paraId="48255F86" w14:textId="77777777">
      <w:pPr>
        <w:pStyle w:val="BodyTextIndent"/>
        <w:rPr>
          <w:color w:val="000000"/>
          <w:sz w:val="28"/>
          <w:szCs w:val="24"/>
        </w:rPr>
      </w:pPr>
    </w:p>
    <w:p w:rsidRPr="00210902" w:rsidR="00556F96" w:rsidP="00FB4DE9" w:rsidRDefault="00556F96" w14:paraId="5CCE6EAC" w14:textId="2A627568">
      <w:pPr>
        <w:pStyle w:val="BodyTextIndent"/>
        <w:ind w:left="0"/>
        <w:rPr>
          <w:szCs w:val="22"/>
        </w:rPr>
      </w:pPr>
      <w:r w:rsidRPr="00210902">
        <w:rPr>
          <w:szCs w:val="22"/>
        </w:rPr>
        <w:t>The estimated respondent burden for the prop</w:t>
      </w:r>
      <w:r w:rsidRPr="00210902" w:rsidR="00777ADA">
        <w:rPr>
          <w:szCs w:val="22"/>
        </w:rPr>
        <w:t>os</w:t>
      </w:r>
      <w:r w:rsidR="008311A4">
        <w:rPr>
          <w:szCs w:val="22"/>
        </w:rPr>
        <w:t xml:space="preserve">ed 2021 </w:t>
      </w:r>
      <w:r w:rsidRPr="00107A6F" w:rsidR="008311A4">
        <w:rPr>
          <w:szCs w:val="22"/>
        </w:rPr>
        <w:t>Well-being Module is 734</w:t>
      </w:r>
      <w:r w:rsidRPr="00107A6F">
        <w:rPr>
          <w:szCs w:val="22"/>
        </w:rPr>
        <w:t xml:space="preserve"> hours.  This is based on an average respo</w:t>
      </w:r>
      <w:r w:rsidRPr="00107A6F" w:rsidR="00777ADA">
        <w:rPr>
          <w:szCs w:val="22"/>
        </w:rPr>
        <w:t xml:space="preserve">ndent burden of approximately 5.6 </w:t>
      </w:r>
      <w:r w:rsidRPr="00107A6F">
        <w:rPr>
          <w:szCs w:val="22"/>
        </w:rPr>
        <w:t>minutes</w:t>
      </w:r>
      <w:r w:rsidRPr="00107A6F" w:rsidR="00777ADA">
        <w:rPr>
          <w:szCs w:val="22"/>
        </w:rPr>
        <w:t xml:space="preserve"> and 7,8</w:t>
      </w:r>
      <w:r w:rsidRPr="00107A6F" w:rsidR="003533A8">
        <w:rPr>
          <w:szCs w:val="22"/>
        </w:rPr>
        <w:t>60</w:t>
      </w:r>
      <w:r w:rsidRPr="00107A6F" w:rsidR="00777ADA">
        <w:rPr>
          <w:szCs w:val="22"/>
        </w:rPr>
        <w:t xml:space="preserve"> expected respondents</w:t>
      </w:r>
      <w:r w:rsidRPr="00107A6F">
        <w:rPr>
          <w:szCs w:val="22"/>
        </w:rPr>
        <w:t xml:space="preserve">.  The 2013 Well-being Module lasted an average of 5.6 minutes and was completed by </w:t>
      </w:r>
      <w:r w:rsidRPr="00107A6F" w:rsidR="00497DEA">
        <w:rPr>
          <w:szCs w:val="22"/>
        </w:rPr>
        <w:t>10,378 respondents</w:t>
      </w:r>
      <w:r w:rsidRPr="00107A6F">
        <w:rPr>
          <w:szCs w:val="22"/>
        </w:rPr>
        <w:t>.  T</w:t>
      </w:r>
      <w:r w:rsidRPr="00107A6F" w:rsidR="00497DEA">
        <w:rPr>
          <w:szCs w:val="22"/>
        </w:rPr>
        <w:t xml:space="preserve">he </w:t>
      </w:r>
      <w:r w:rsidRPr="00107A6F" w:rsidR="00777ADA">
        <w:rPr>
          <w:szCs w:val="22"/>
        </w:rPr>
        <w:t>2021 Well-Being Module will have fewer respondents due to an overall decline in response rates</w:t>
      </w:r>
      <w:r w:rsidRPr="00210902" w:rsidR="00777ADA">
        <w:rPr>
          <w:szCs w:val="22"/>
        </w:rPr>
        <w:t xml:space="preserve"> as well as two fewer months of collection (with a March 2021 </w:t>
      </w:r>
      <w:r w:rsidR="009C5A41">
        <w:rPr>
          <w:szCs w:val="22"/>
        </w:rPr>
        <w:t xml:space="preserve">targeted </w:t>
      </w:r>
      <w:r w:rsidRPr="00210902" w:rsidR="00777ADA">
        <w:rPr>
          <w:szCs w:val="22"/>
        </w:rPr>
        <w:t>start).</w:t>
      </w:r>
    </w:p>
    <w:p w:rsidR="00AA1AD7" w:rsidP="00AA1AD7" w:rsidRDefault="00AA1AD7" w14:paraId="3C43A592" w14:textId="5050D5C2">
      <w:pPr>
        <w:pStyle w:val="BodyTextIndent"/>
        <w:rPr>
          <w:color w:val="000000"/>
          <w:szCs w:val="22"/>
        </w:rPr>
      </w:pPr>
    </w:p>
    <w:p w:rsidRPr="00210902" w:rsidR="00210902" w:rsidP="00AA1AD7" w:rsidRDefault="00210902" w14:paraId="2C87C43F" w14:textId="77777777">
      <w:pPr>
        <w:pStyle w:val="BodyTextIndent"/>
        <w:rPr>
          <w:color w:val="000000"/>
          <w:szCs w:val="22"/>
        </w:rPr>
      </w:pPr>
    </w:p>
    <w:p w:rsidRPr="00210902" w:rsidR="00E62D30" w:rsidP="00E62D30" w:rsidRDefault="00E62D30" w14:paraId="7FA73829" w14:textId="77777777">
      <w:pPr>
        <w:numPr>
          <w:ilvl w:val="0"/>
          <w:numId w:val="24"/>
        </w:numPr>
        <w:tabs>
          <w:tab w:val="left" w:pos="360"/>
          <w:tab w:val="left" w:pos="1980"/>
        </w:tabs>
        <w:ind w:left="0" w:firstLine="0"/>
        <w:rPr>
          <w:b/>
          <w:sz w:val="24"/>
          <w:szCs w:val="22"/>
        </w:rPr>
      </w:pPr>
      <w:r w:rsidRPr="00210902">
        <w:rPr>
          <w:b/>
          <w:sz w:val="24"/>
          <w:szCs w:val="22"/>
        </w:rPr>
        <w:t>F</w:t>
      </w:r>
      <w:r w:rsidRPr="00210902">
        <w:rPr>
          <w:b/>
          <w:bCs/>
          <w:sz w:val="24"/>
          <w:szCs w:val="22"/>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Pr="00210902" w:rsidR="00A80CD9" w:rsidP="00FB5862" w:rsidRDefault="00A80CD9" w14:paraId="57BAB85A" w14:textId="77777777">
      <w:pPr>
        <w:rPr>
          <w:sz w:val="24"/>
          <w:szCs w:val="22"/>
        </w:rPr>
      </w:pPr>
    </w:p>
    <w:p w:rsidRPr="00210902" w:rsidR="005F6BA8" w:rsidP="00FB4DE9" w:rsidRDefault="00CC7850" w14:paraId="313F411E" w14:textId="10646186">
      <w:pPr>
        <w:rPr>
          <w:color w:val="1F497D"/>
          <w:sz w:val="24"/>
          <w:szCs w:val="22"/>
        </w:rPr>
      </w:pPr>
      <w:r w:rsidRPr="00210902">
        <w:rPr>
          <w:sz w:val="24"/>
          <w:szCs w:val="22"/>
        </w:rPr>
        <w:t>The proposed 20</w:t>
      </w:r>
      <w:r w:rsidRPr="00210902" w:rsidR="00AE5ED1">
        <w:rPr>
          <w:sz w:val="24"/>
          <w:szCs w:val="22"/>
        </w:rPr>
        <w:t>21</w:t>
      </w:r>
      <w:r w:rsidRPr="00210902">
        <w:rPr>
          <w:sz w:val="24"/>
          <w:szCs w:val="22"/>
        </w:rPr>
        <w:t xml:space="preserve"> Well-being Module will be collected </w:t>
      </w:r>
      <w:r w:rsidRPr="00210902" w:rsidR="006714A3">
        <w:rPr>
          <w:sz w:val="24"/>
          <w:szCs w:val="22"/>
        </w:rPr>
        <w:t>from March 2021 through December 2021</w:t>
      </w:r>
      <w:r w:rsidRPr="00210902">
        <w:rPr>
          <w:sz w:val="24"/>
          <w:szCs w:val="22"/>
        </w:rPr>
        <w:t>.  Processing of the module will be done as the data come in, and final data processing will be completed by mid-20</w:t>
      </w:r>
      <w:r w:rsidRPr="00210902" w:rsidR="00AE5ED1">
        <w:rPr>
          <w:sz w:val="24"/>
          <w:szCs w:val="22"/>
        </w:rPr>
        <w:t>22</w:t>
      </w:r>
      <w:r w:rsidRPr="00210902">
        <w:rPr>
          <w:sz w:val="24"/>
          <w:szCs w:val="22"/>
        </w:rPr>
        <w:t xml:space="preserve">. </w:t>
      </w:r>
      <w:r w:rsidRPr="00210902" w:rsidR="009677C9">
        <w:rPr>
          <w:sz w:val="24"/>
          <w:szCs w:val="22"/>
        </w:rPr>
        <w:t>Soon afterward, t</w:t>
      </w:r>
      <w:r w:rsidRPr="00210902" w:rsidR="00E1006F">
        <w:rPr>
          <w:sz w:val="24"/>
          <w:szCs w:val="22"/>
        </w:rPr>
        <w:t>he 20</w:t>
      </w:r>
      <w:r w:rsidRPr="00210902" w:rsidR="00AE5ED1">
        <w:rPr>
          <w:sz w:val="24"/>
          <w:szCs w:val="22"/>
        </w:rPr>
        <w:t>21</w:t>
      </w:r>
      <w:r w:rsidRPr="00210902" w:rsidR="00E1006F">
        <w:rPr>
          <w:sz w:val="24"/>
          <w:szCs w:val="22"/>
        </w:rPr>
        <w:t xml:space="preserve"> Well-being Module public use files</w:t>
      </w:r>
      <w:r w:rsidRPr="00210902" w:rsidR="009677C9">
        <w:rPr>
          <w:sz w:val="24"/>
          <w:szCs w:val="22"/>
        </w:rPr>
        <w:t xml:space="preserve"> and documentation</w:t>
      </w:r>
      <w:r w:rsidRPr="00210902" w:rsidR="00E1006F">
        <w:rPr>
          <w:sz w:val="24"/>
          <w:szCs w:val="22"/>
        </w:rPr>
        <w:t xml:space="preserve"> will be posted on the ATUS Web site</w:t>
      </w:r>
      <w:r w:rsidRPr="00210902" w:rsidR="005B5FAC">
        <w:rPr>
          <w:sz w:val="24"/>
          <w:szCs w:val="22"/>
        </w:rPr>
        <w:t xml:space="preserve"> </w:t>
      </w:r>
      <w:r w:rsidRPr="00210902" w:rsidR="005B5FAC">
        <w:rPr>
          <w:color w:val="000000"/>
          <w:sz w:val="24"/>
          <w:szCs w:val="22"/>
        </w:rPr>
        <w:t xml:space="preserve">at </w:t>
      </w:r>
      <w:hyperlink w:history="1" r:id="rId10">
        <w:r w:rsidRPr="00210902" w:rsidR="005B5FAC">
          <w:rPr>
            <w:rStyle w:val="Hyperlink"/>
            <w:sz w:val="24"/>
            <w:szCs w:val="22"/>
          </w:rPr>
          <w:t>www.bls.gov/tus</w:t>
        </w:r>
      </w:hyperlink>
      <w:r w:rsidRPr="00210902" w:rsidR="00E1006F">
        <w:rPr>
          <w:sz w:val="24"/>
          <w:szCs w:val="22"/>
        </w:rPr>
        <w:t>.</w:t>
      </w:r>
      <w:r w:rsidRPr="00210902" w:rsidR="005F6BA8">
        <w:rPr>
          <w:color w:val="1F497D"/>
          <w:sz w:val="24"/>
          <w:szCs w:val="22"/>
        </w:rPr>
        <w:t xml:space="preserve">  </w:t>
      </w:r>
    </w:p>
    <w:p w:rsidR="00E9304C" w:rsidP="00FB5862" w:rsidRDefault="00E9304C" w14:paraId="62B1EF5E" w14:textId="77777777">
      <w:pPr>
        <w:rPr>
          <w:sz w:val="24"/>
          <w:szCs w:val="22"/>
        </w:rPr>
      </w:pPr>
    </w:p>
    <w:p w:rsidRPr="00210902" w:rsidR="00210902" w:rsidP="00FB5862" w:rsidRDefault="00210902" w14:paraId="6F8077C1" w14:textId="77777777">
      <w:pPr>
        <w:rPr>
          <w:sz w:val="24"/>
          <w:szCs w:val="22"/>
        </w:rPr>
      </w:pPr>
    </w:p>
    <w:p w:rsidR="0036562F" w:rsidRDefault="0036562F" w14:paraId="00D7B04F" w14:textId="77777777">
      <w:pPr>
        <w:rPr>
          <w:b/>
          <w:sz w:val="24"/>
          <w:szCs w:val="22"/>
        </w:rPr>
      </w:pPr>
      <w:r>
        <w:rPr>
          <w:b/>
          <w:sz w:val="24"/>
          <w:szCs w:val="22"/>
        </w:rPr>
        <w:br w:type="page"/>
      </w:r>
    </w:p>
    <w:p w:rsidRPr="00210902" w:rsidR="00E62D30" w:rsidP="00E62D30" w:rsidRDefault="00E62D30" w14:paraId="69B39070" w14:textId="6896EB8F">
      <w:pPr>
        <w:numPr>
          <w:ilvl w:val="0"/>
          <w:numId w:val="24"/>
        </w:numPr>
        <w:tabs>
          <w:tab w:val="left" w:pos="360"/>
          <w:tab w:val="left" w:pos="1980"/>
        </w:tabs>
        <w:ind w:left="0" w:firstLine="0"/>
        <w:rPr>
          <w:b/>
          <w:sz w:val="24"/>
          <w:szCs w:val="22"/>
        </w:rPr>
      </w:pPr>
      <w:r w:rsidRPr="00210902">
        <w:rPr>
          <w:b/>
          <w:sz w:val="24"/>
          <w:szCs w:val="22"/>
        </w:rPr>
        <w:lastRenderedPageBreak/>
        <w:t>I</w:t>
      </w:r>
      <w:r w:rsidRPr="00210902">
        <w:rPr>
          <w:b/>
          <w:bCs/>
          <w:sz w:val="24"/>
          <w:szCs w:val="22"/>
        </w:rPr>
        <w:t>f seeking approval to not display the expiration date for OMB approval of the information collection, explain the reasons that display would be inappropriate.</w:t>
      </w:r>
    </w:p>
    <w:p w:rsidRPr="00210902" w:rsidR="00A80CD9" w:rsidP="00FB5862" w:rsidRDefault="00A80CD9" w14:paraId="219CDE90" w14:textId="77777777">
      <w:pPr>
        <w:rPr>
          <w:sz w:val="24"/>
          <w:szCs w:val="22"/>
        </w:rPr>
      </w:pPr>
    </w:p>
    <w:p w:rsidRPr="00210902" w:rsidR="00B2603E" w:rsidP="00FB4DE9" w:rsidRDefault="00B2603E" w14:paraId="1A130F0F" w14:textId="77777777">
      <w:pPr>
        <w:pStyle w:val="BodyTextIndent"/>
        <w:ind w:left="0"/>
        <w:rPr>
          <w:color w:val="000000"/>
          <w:szCs w:val="22"/>
        </w:rPr>
      </w:pPr>
      <w:r w:rsidRPr="00210902">
        <w:rPr>
          <w:color w:val="000000"/>
          <w:szCs w:val="22"/>
        </w:rPr>
        <w:t xml:space="preserve">The Census Bureau does not wish to display the assigned expiration date of the information collection because the instrument is automated and the respondent, therefore, would never see the date. The advance letter sent to households by the Census Bureau contains the OMB survey control number for the ATUS. </w:t>
      </w:r>
    </w:p>
    <w:p w:rsidR="00A80CD9" w:rsidP="00FB5862" w:rsidRDefault="00A80CD9" w14:paraId="683576A2" w14:textId="77777777">
      <w:pPr>
        <w:rPr>
          <w:sz w:val="24"/>
          <w:szCs w:val="22"/>
        </w:rPr>
      </w:pPr>
      <w:r w:rsidRPr="00210902">
        <w:rPr>
          <w:sz w:val="24"/>
          <w:szCs w:val="22"/>
        </w:rPr>
        <w:t xml:space="preserve">  </w:t>
      </w:r>
      <w:r w:rsidRPr="00210902" w:rsidDel="006604FB">
        <w:rPr>
          <w:sz w:val="24"/>
          <w:szCs w:val="22"/>
        </w:rPr>
        <w:t xml:space="preserve"> </w:t>
      </w:r>
    </w:p>
    <w:p w:rsidRPr="00210902" w:rsidR="00210902" w:rsidP="00FB5862" w:rsidRDefault="00210902" w14:paraId="2E7F2345" w14:textId="77777777">
      <w:pPr>
        <w:rPr>
          <w:sz w:val="24"/>
          <w:szCs w:val="22"/>
        </w:rPr>
      </w:pPr>
    </w:p>
    <w:p w:rsidRPr="00210902" w:rsidR="00E62D30" w:rsidP="00E62D30" w:rsidRDefault="00E62D30" w14:paraId="6F907BC8" w14:textId="77777777">
      <w:pPr>
        <w:numPr>
          <w:ilvl w:val="0"/>
          <w:numId w:val="24"/>
        </w:numPr>
        <w:rPr>
          <w:b/>
          <w:sz w:val="24"/>
          <w:szCs w:val="22"/>
        </w:rPr>
      </w:pPr>
      <w:r w:rsidRPr="00210902">
        <w:rPr>
          <w:b/>
          <w:sz w:val="24"/>
          <w:szCs w:val="22"/>
        </w:rPr>
        <w:t>Explain each exception to the certification statement.</w:t>
      </w:r>
    </w:p>
    <w:p w:rsidRPr="00210902" w:rsidR="00A80CD9" w:rsidP="00FB5862" w:rsidRDefault="00A80CD9" w14:paraId="502ACA93" w14:textId="77777777">
      <w:pPr>
        <w:rPr>
          <w:sz w:val="24"/>
          <w:szCs w:val="22"/>
        </w:rPr>
      </w:pPr>
    </w:p>
    <w:p w:rsidRPr="00210902" w:rsidR="00973A40" w:rsidP="00FB4DE9" w:rsidRDefault="00A80CD9" w14:paraId="14AA3E73" w14:textId="77777777">
      <w:pPr>
        <w:pStyle w:val="Heading1"/>
        <w:rPr>
          <w:szCs w:val="22"/>
        </w:rPr>
      </w:pPr>
      <w:r w:rsidRPr="00210902">
        <w:rPr>
          <w:szCs w:val="22"/>
        </w:rPr>
        <w:t>There are no exceptions to the certification.</w:t>
      </w:r>
    </w:p>
    <w:sectPr w:rsidRPr="00210902" w:rsidR="00973A40">
      <w:headerReference w:type="default" r:id="rId1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3E3DA" w14:textId="77777777" w:rsidR="007C42A1" w:rsidRDefault="007C42A1" w:rsidP="00AE6FF4">
      <w:r>
        <w:separator/>
      </w:r>
    </w:p>
  </w:endnote>
  <w:endnote w:type="continuationSeparator" w:id="0">
    <w:p w14:paraId="2177FB57" w14:textId="77777777" w:rsidR="007C42A1" w:rsidRDefault="007C42A1" w:rsidP="00AE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AD072" w14:textId="77777777" w:rsidR="007C42A1" w:rsidRDefault="007C42A1" w:rsidP="00AE6FF4">
      <w:r>
        <w:separator/>
      </w:r>
    </w:p>
  </w:footnote>
  <w:footnote w:type="continuationSeparator" w:id="0">
    <w:p w14:paraId="17E0710D" w14:textId="77777777" w:rsidR="007C42A1" w:rsidRDefault="007C42A1" w:rsidP="00AE6FF4">
      <w:r>
        <w:continuationSeparator/>
      </w:r>
    </w:p>
  </w:footnote>
  <w:footnote w:id="1">
    <w:p w14:paraId="2D0A18E5" w14:textId="77777777" w:rsidR="006B1AA1" w:rsidRPr="00210902" w:rsidRDefault="006B1AA1" w:rsidP="006B1AA1">
      <w:pPr>
        <w:pStyle w:val="FootnoteText"/>
        <w:rPr>
          <w:sz w:val="16"/>
          <w:szCs w:val="18"/>
        </w:rPr>
      </w:pPr>
      <w:r w:rsidRPr="00210902">
        <w:rPr>
          <w:rStyle w:val="FootnoteReference"/>
          <w:sz w:val="18"/>
          <w:szCs w:val="18"/>
        </w:rPr>
        <w:footnoteRef/>
      </w:r>
      <w:r w:rsidRPr="00210902">
        <w:rPr>
          <w:sz w:val="18"/>
          <w:szCs w:val="18"/>
        </w:rPr>
        <w:t xml:space="preserve"> Ann Meier, Kelly </w:t>
      </w:r>
      <w:proofErr w:type="spellStart"/>
      <w:r w:rsidRPr="00210902">
        <w:rPr>
          <w:sz w:val="18"/>
          <w:szCs w:val="18"/>
        </w:rPr>
        <w:t>Musick</w:t>
      </w:r>
      <w:proofErr w:type="spellEnd"/>
      <w:r w:rsidRPr="00210902">
        <w:rPr>
          <w:sz w:val="18"/>
          <w:szCs w:val="18"/>
        </w:rPr>
        <w:t>, Jocelyn Fischer, and Sarah Flood.  Mothers’ and Father’s Well-Being in Parenting Across the Arch of Child Development. Journal of Marriage and Family. Vol 80, Issue 4.  August 2018.</w:t>
      </w:r>
    </w:p>
  </w:footnote>
  <w:footnote w:id="2">
    <w:p w14:paraId="7769E44D" w14:textId="77777777" w:rsidR="006B1AA1" w:rsidRPr="00210902" w:rsidRDefault="006B1AA1" w:rsidP="006B1AA1">
      <w:pPr>
        <w:pStyle w:val="FootnoteText"/>
        <w:rPr>
          <w:sz w:val="18"/>
          <w:szCs w:val="18"/>
        </w:rPr>
      </w:pPr>
      <w:r w:rsidRPr="00210902">
        <w:rPr>
          <w:rStyle w:val="FootnoteReference"/>
          <w:sz w:val="18"/>
          <w:szCs w:val="18"/>
        </w:rPr>
        <w:footnoteRef/>
      </w:r>
      <w:r w:rsidRPr="00210902">
        <w:rPr>
          <w:sz w:val="18"/>
          <w:szCs w:val="18"/>
        </w:rPr>
        <w:t xml:space="preserve"> Wan He, Rose M. </w:t>
      </w:r>
      <w:proofErr w:type="spellStart"/>
      <w:r w:rsidRPr="00210902">
        <w:rPr>
          <w:sz w:val="18"/>
          <w:szCs w:val="18"/>
        </w:rPr>
        <w:t>Weingartner</w:t>
      </w:r>
      <w:proofErr w:type="spellEnd"/>
      <w:r w:rsidRPr="00210902">
        <w:rPr>
          <w:sz w:val="18"/>
          <w:szCs w:val="18"/>
        </w:rPr>
        <w:t xml:space="preserve">, and Liana C. Sayer.  Subjective Well-Being of Eldercare Providers: 2012-2013.  Census Bureau. Current Population Reports.  Report Number P23-215. February 2018. </w:t>
      </w:r>
    </w:p>
  </w:footnote>
  <w:footnote w:id="3">
    <w:p w14:paraId="34685961" w14:textId="77777777" w:rsidR="00006CE8" w:rsidRPr="00210902" w:rsidRDefault="00006CE8">
      <w:pPr>
        <w:pStyle w:val="FootnoteText"/>
        <w:rPr>
          <w:sz w:val="18"/>
          <w:szCs w:val="18"/>
        </w:rPr>
      </w:pPr>
      <w:r w:rsidRPr="00210902">
        <w:rPr>
          <w:rStyle w:val="FootnoteReference"/>
          <w:sz w:val="18"/>
          <w:szCs w:val="18"/>
        </w:rPr>
        <w:footnoteRef/>
      </w:r>
      <w:r w:rsidRPr="00210902">
        <w:rPr>
          <w:sz w:val="18"/>
          <w:szCs w:val="18"/>
        </w:rPr>
        <w:t xml:space="preserve"> Allan Krueger. Where Have all the Workers Gone?  An Inquiry into the Decline of the U.S. Labor Force Participation Rate. Brookings Papers on Economic Activity.  BPEA Conference Drafts, September 7–8, 2017</w:t>
      </w:r>
    </w:p>
  </w:footnote>
  <w:footnote w:id="4">
    <w:p w14:paraId="2239BE60" w14:textId="77777777" w:rsidR="00866658" w:rsidRPr="00210902" w:rsidRDefault="00866658">
      <w:pPr>
        <w:pStyle w:val="FootnoteText"/>
        <w:rPr>
          <w:sz w:val="18"/>
          <w:szCs w:val="18"/>
        </w:rPr>
      </w:pPr>
      <w:r w:rsidRPr="00210902">
        <w:rPr>
          <w:rStyle w:val="FootnoteReference"/>
          <w:sz w:val="18"/>
          <w:szCs w:val="18"/>
        </w:rPr>
        <w:footnoteRef/>
      </w:r>
      <w:r w:rsidRPr="00210902">
        <w:rPr>
          <w:sz w:val="18"/>
          <w:szCs w:val="18"/>
        </w:rPr>
        <w:t xml:space="preserve"> </w:t>
      </w:r>
      <w:proofErr w:type="spellStart"/>
      <w:r w:rsidRPr="00210902">
        <w:rPr>
          <w:sz w:val="18"/>
          <w:szCs w:val="18"/>
        </w:rPr>
        <w:t>Kostadin</w:t>
      </w:r>
      <w:proofErr w:type="spellEnd"/>
      <w:r w:rsidRPr="00210902">
        <w:rPr>
          <w:sz w:val="18"/>
          <w:szCs w:val="18"/>
        </w:rPr>
        <w:t xml:space="preserve"> </w:t>
      </w:r>
      <w:proofErr w:type="spellStart"/>
      <w:r w:rsidRPr="00210902">
        <w:rPr>
          <w:sz w:val="18"/>
          <w:szCs w:val="18"/>
        </w:rPr>
        <w:t>Kushlev</w:t>
      </w:r>
      <w:proofErr w:type="spellEnd"/>
      <w:r w:rsidRPr="00210902">
        <w:rPr>
          <w:sz w:val="18"/>
          <w:szCs w:val="18"/>
        </w:rPr>
        <w:t>, Elizabeth W. Dunn, and Richard E. Lucas. Higher Income is Associated with Less Daily Sadness but not More Daily Happiness. Social Psychological and Personality Science. Volume 6, No. 5/July 2015.</w:t>
      </w:r>
    </w:p>
  </w:footnote>
  <w:footnote w:id="5">
    <w:p w14:paraId="1C491E14" w14:textId="5832FF9E" w:rsidR="00530B15" w:rsidRPr="00294A22" w:rsidRDefault="00530B15">
      <w:pPr>
        <w:pStyle w:val="FootnoteText"/>
        <w:rPr>
          <w:rFonts w:ascii="Calibri" w:hAnsi="Calibri" w:cs="Calibri"/>
          <w:sz w:val="18"/>
          <w:szCs w:val="18"/>
        </w:rPr>
      </w:pPr>
      <w:r w:rsidRPr="00210902">
        <w:rPr>
          <w:rStyle w:val="FootnoteReference"/>
          <w:sz w:val="18"/>
          <w:szCs w:val="18"/>
        </w:rPr>
        <w:footnoteRef/>
      </w:r>
      <w:r w:rsidRPr="00210902">
        <w:rPr>
          <w:sz w:val="18"/>
          <w:szCs w:val="18"/>
        </w:rPr>
        <w:t xml:space="preserve"> </w:t>
      </w:r>
      <w:r w:rsidRPr="00210902">
        <w:rPr>
          <w:sz w:val="18"/>
          <w:szCs w:val="18"/>
          <w:shd w:val="clear" w:color="auto" w:fill="FFFFFF"/>
        </w:rPr>
        <w:t xml:space="preserve">J. </w:t>
      </w:r>
      <w:proofErr w:type="spellStart"/>
      <w:r w:rsidRPr="00210902">
        <w:rPr>
          <w:sz w:val="18"/>
          <w:szCs w:val="18"/>
          <w:shd w:val="clear" w:color="auto" w:fill="FFFFFF"/>
        </w:rPr>
        <w:t>Ingnacio</w:t>
      </w:r>
      <w:proofErr w:type="spellEnd"/>
      <w:r w:rsidRPr="00210902">
        <w:rPr>
          <w:sz w:val="18"/>
          <w:szCs w:val="18"/>
          <w:shd w:val="clear" w:color="auto" w:fill="FFFFFF"/>
        </w:rPr>
        <w:t xml:space="preserve"> Gimenez-Nadal and Jose Alberto Molina. </w:t>
      </w:r>
      <w:r w:rsidRPr="00210902">
        <w:rPr>
          <w:rStyle w:val="Strong"/>
          <w:b w:val="0"/>
          <w:sz w:val="18"/>
          <w:szCs w:val="18"/>
          <w:shd w:val="clear" w:color="auto" w:fill="FFFFFF"/>
        </w:rPr>
        <w:t xml:space="preserve">Voluntary Activities and Daily Happiness in the United States. </w:t>
      </w:r>
      <w:r w:rsidRPr="00210902">
        <w:rPr>
          <w:sz w:val="18"/>
          <w:szCs w:val="18"/>
          <w:shd w:val="clear" w:color="auto" w:fill="FFFFFF"/>
        </w:rPr>
        <w:t>Economic Inquiry. May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C35AA" w14:textId="0CD9A396" w:rsidR="009324C3" w:rsidRPr="00FD1E11" w:rsidRDefault="009324C3" w:rsidP="009324C3">
    <w:pPr>
      <w:pStyle w:val="Header"/>
    </w:pPr>
    <w:r w:rsidRPr="00FD1E11">
      <w:t>ATUS Well-being Module</w:t>
    </w:r>
  </w:p>
  <w:p w14:paraId="213B15DE" w14:textId="42938E51" w:rsidR="00FD1E11" w:rsidRDefault="00FD1E11" w:rsidP="00FD1E11">
    <w:pPr>
      <w:pStyle w:val="Header"/>
    </w:pPr>
    <w:r>
      <w:t xml:space="preserve">OMB Control Number </w:t>
    </w:r>
    <w:r w:rsidRPr="00FD1E11">
      <w:t>1220-0185</w:t>
    </w:r>
  </w:p>
  <w:p w14:paraId="24FBA24A" w14:textId="46565D2A" w:rsidR="009324C3" w:rsidRPr="009324C3" w:rsidRDefault="00FD1E11" w:rsidP="00FD1E11">
    <w:pPr>
      <w:pStyle w:val="Header"/>
      <w:rPr>
        <w:rFonts w:ascii="Calibri" w:hAnsi="Calibri" w:cs="Calibri"/>
      </w:rPr>
    </w:pPr>
    <w:r>
      <w:t>OMB Expiration Date: Reinstatement</w:t>
    </w:r>
    <w:r w:rsidR="009324C3" w:rsidRPr="00AC795C">
      <w:rPr>
        <w:rFonts w:ascii="Calibri" w:hAnsi="Calibri" w:cs="Calibri"/>
      </w:rPr>
      <w:t xml:space="preserve">                 </w:t>
    </w:r>
  </w:p>
  <w:p w14:paraId="42C3B1BB" w14:textId="77777777" w:rsidR="009324C3" w:rsidRDefault="00932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9289E"/>
    <w:multiLevelType w:val="singleLevel"/>
    <w:tmpl w:val="362452A4"/>
    <w:lvl w:ilvl="0">
      <w:start w:val="5"/>
      <w:numFmt w:val="upperLetter"/>
      <w:lvlText w:val="%1."/>
      <w:lvlJc w:val="left"/>
      <w:pPr>
        <w:tabs>
          <w:tab w:val="num" w:pos="1080"/>
        </w:tabs>
        <w:ind w:left="1080" w:hanging="360"/>
      </w:pPr>
      <w:rPr>
        <w:rFonts w:hint="default"/>
      </w:rPr>
    </w:lvl>
  </w:abstractNum>
  <w:abstractNum w:abstractNumId="1"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96641"/>
    <w:multiLevelType w:val="singleLevel"/>
    <w:tmpl w:val="CADE29A4"/>
    <w:lvl w:ilvl="0">
      <w:start w:val="5"/>
      <w:numFmt w:val="upperLetter"/>
      <w:lvlText w:val="%1."/>
      <w:lvlJc w:val="left"/>
      <w:pPr>
        <w:tabs>
          <w:tab w:val="num" w:pos="1080"/>
        </w:tabs>
        <w:ind w:left="1080" w:hanging="360"/>
      </w:pPr>
      <w:rPr>
        <w:rFonts w:hint="default"/>
      </w:rPr>
    </w:lvl>
  </w:abstractNum>
  <w:abstractNum w:abstractNumId="3" w15:restartNumberingAfterBreak="0">
    <w:nsid w:val="20EF3BCB"/>
    <w:multiLevelType w:val="multilevel"/>
    <w:tmpl w:val="C64286DA"/>
    <w:lvl w:ilvl="0">
      <w:start w:val="1"/>
      <w:numFmt w:val="lowerLetter"/>
      <w:lvlText w:val="%1. "/>
      <w:lvlJc w:val="left"/>
      <w:pPr>
        <w:tabs>
          <w:tab w:val="num" w:pos="720"/>
        </w:tabs>
        <w:ind w:left="1800" w:hanging="360"/>
      </w:pPr>
      <w:rPr>
        <w:rFonts w:ascii="Times New Roman" w:hAnsi="Times New Roman" w:hint="default"/>
        <w:b w:val="0"/>
        <w:i w:val="0"/>
        <w:sz w:val="24"/>
        <w:u w:val="none"/>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76D3E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ED7324"/>
    <w:multiLevelType w:val="hybridMultilevel"/>
    <w:tmpl w:val="FA786684"/>
    <w:lvl w:ilvl="0" w:tplc="111A50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9633AF"/>
    <w:multiLevelType w:val="hybridMultilevel"/>
    <w:tmpl w:val="176AB5CA"/>
    <w:lvl w:ilvl="0" w:tplc="79321362">
      <w:start w:val="8"/>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15:restartNumberingAfterBreak="0">
    <w:nsid w:val="35AA6612"/>
    <w:multiLevelType w:val="hybridMultilevel"/>
    <w:tmpl w:val="2E8AE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9A7A33"/>
    <w:multiLevelType w:val="singleLevel"/>
    <w:tmpl w:val="75EEBD1C"/>
    <w:lvl w:ilvl="0">
      <w:start w:val="8"/>
      <w:numFmt w:val="decimal"/>
      <w:lvlText w:val="%1."/>
      <w:lvlJc w:val="left"/>
      <w:pPr>
        <w:tabs>
          <w:tab w:val="num" w:pos="720"/>
        </w:tabs>
        <w:ind w:left="720" w:hanging="720"/>
      </w:pPr>
      <w:rPr>
        <w:rFonts w:hint="default"/>
        <w:u w:val="none"/>
      </w:rPr>
    </w:lvl>
  </w:abstractNum>
  <w:abstractNum w:abstractNumId="9" w15:restartNumberingAfterBreak="0">
    <w:nsid w:val="4B293AC9"/>
    <w:multiLevelType w:val="hybridMultilevel"/>
    <w:tmpl w:val="F8D826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B2A42C3"/>
    <w:multiLevelType w:val="hybridMultilevel"/>
    <w:tmpl w:val="F13E8D80"/>
    <w:lvl w:ilvl="0" w:tplc="E9027A54">
      <w:start w:val="1"/>
      <w:numFmt w:val="lowerLetter"/>
      <w:lvlText w:val="%1. "/>
      <w:lvlJc w:val="left"/>
      <w:pPr>
        <w:ind w:left="0" w:firstLine="720"/>
      </w:pPr>
      <w:rPr>
        <w:rFonts w:ascii="Calibri" w:hAnsi="Calibri" w:cs="Courier New" w:hint="default"/>
        <w:b w:val="0"/>
        <w:i w:val="0"/>
        <w:sz w:val="22"/>
        <w:szCs w:val="22"/>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507A2D35"/>
    <w:multiLevelType w:val="singleLevel"/>
    <w:tmpl w:val="255EFBA6"/>
    <w:lvl w:ilvl="0">
      <w:start w:val="1"/>
      <w:numFmt w:val="lowerLetter"/>
      <w:lvlText w:val="%1. "/>
      <w:lvlJc w:val="left"/>
      <w:pPr>
        <w:tabs>
          <w:tab w:val="num" w:pos="0"/>
        </w:tabs>
        <w:ind w:left="1080" w:hanging="360"/>
      </w:pPr>
      <w:rPr>
        <w:rFonts w:ascii="Times New Roman" w:hAnsi="Times New Roman" w:hint="default"/>
        <w:b w:val="0"/>
        <w:i w:val="0"/>
        <w:sz w:val="24"/>
        <w:u w:val="none"/>
      </w:rPr>
    </w:lvl>
  </w:abstractNum>
  <w:abstractNum w:abstractNumId="12" w15:restartNumberingAfterBreak="0">
    <w:nsid w:val="50D967AD"/>
    <w:multiLevelType w:val="hybridMultilevel"/>
    <w:tmpl w:val="30F46912"/>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2820AEF"/>
    <w:multiLevelType w:val="hybridMultilevel"/>
    <w:tmpl w:val="13CAB0BE"/>
    <w:lvl w:ilvl="0" w:tplc="0EDEB1A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0A05EA"/>
    <w:multiLevelType w:val="hybridMultilevel"/>
    <w:tmpl w:val="7E24B9BC"/>
    <w:lvl w:ilvl="0" w:tplc="AD90FFC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F0A5EC6"/>
    <w:multiLevelType w:val="hybridMultilevel"/>
    <w:tmpl w:val="96DAC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F324E76"/>
    <w:multiLevelType w:val="hybridMultilevel"/>
    <w:tmpl w:val="8AB83500"/>
    <w:lvl w:ilvl="0" w:tplc="56E4E9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56A6E11"/>
    <w:multiLevelType w:val="singleLevel"/>
    <w:tmpl w:val="B76C3BFE"/>
    <w:lvl w:ilvl="0">
      <w:start w:val="9"/>
      <w:numFmt w:val="upperLetter"/>
      <w:lvlText w:val="%1."/>
      <w:lvlJc w:val="left"/>
      <w:pPr>
        <w:tabs>
          <w:tab w:val="num" w:pos="1080"/>
        </w:tabs>
        <w:ind w:left="1080" w:hanging="360"/>
      </w:pPr>
      <w:rPr>
        <w:rFonts w:hint="default"/>
      </w:rPr>
    </w:lvl>
  </w:abstractNum>
  <w:abstractNum w:abstractNumId="18" w15:restartNumberingAfterBreak="0">
    <w:nsid w:val="66017221"/>
    <w:multiLevelType w:val="singleLevel"/>
    <w:tmpl w:val="37F6671A"/>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9" w15:restartNumberingAfterBreak="0">
    <w:nsid w:val="68F70921"/>
    <w:multiLevelType w:val="hybridMultilevel"/>
    <w:tmpl w:val="87682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C3E584A"/>
    <w:multiLevelType w:val="singleLevel"/>
    <w:tmpl w:val="9EAEE23A"/>
    <w:lvl w:ilvl="0">
      <w:start w:val="7"/>
      <w:numFmt w:val="upperLetter"/>
      <w:lvlText w:val=""/>
      <w:lvlJc w:val="left"/>
      <w:pPr>
        <w:tabs>
          <w:tab w:val="num" w:pos="360"/>
        </w:tabs>
        <w:ind w:left="360" w:hanging="360"/>
      </w:pPr>
      <w:rPr>
        <w:rFonts w:hint="default"/>
      </w:rPr>
    </w:lvl>
  </w:abstractNum>
  <w:abstractNum w:abstractNumId="21" w15:restartNumberingAfterBreak="0">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22" w15:restartNumberingAfterBreak="0">
    <w:nsid w:val="722E150D"/>
    <w:multiLevelType w:val="hybridMultilevel"/>
    <w:tmpl w:val="8E2CB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34D1FE8"/>
    <w:multiLevelType w:val="hybridMultilevel"/>
    <w:tmpl w:val="6332EEE8"/>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587A0B"/>
    <w:multiLevelType w:val="hybridMultilevel"/>
    <w:tmpl w:val="A5449CAE"/>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F0DA7610">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90D34D6"/>
    <w:multiLevelType w:val="hybridMultilevel"/>
    <w:tmpl w:val="73CE3E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1"/>
  </w:num>
  <w:num w:numId="3">
    <w:abstractNumId w:val="11"/>
  </w:num>
  <w:num w:numId="4">
    <w:abstractNumId w:val="2"/>
  </w:num>
  <w:num w:numId="5">
    <w:abstractNumId w:val="17"/>
  </w:num>
  <w:num w:numId="6">
    <w:abstractNumId w:val="20"/>
  </w:num>
  <w:num w:numId="7">
    <w:abstractNumId w:val="0"/>
  </w:num>
  <w:num w:numId="8">
    <w:abstractNumId w:val="8"/>
  </w:num>
  <w:num w:numId="9">
    <w:abstractNumId w:val="6"/>
  </w:num>
  <w:num w:numId="10">
    <w:abstractNumId w:val="12"/>
  </w:num>
  <w:num w:numId="11">
    <w:abstractNumId w:val="24"/>
  </w:num>
  <w:num w:numId="12">
    <w:abstractNumId w:val="7"/>
  </w:num>
  <w:num w:numId="13">
    <w:abstractNumId w:val="4"/>
  </w:num>
  <w:num w:numId="14">
    <w:abstractNumId w:val="25"/>
  </w:num>
  <w:num w:numId="15">
    <w:abstractNumId w:val="10"/>
  </w:num>
  <w:num w:numId="16">
    <w:abstractNumId w:val="3"/>
  </w:num>
  <w:num w:numId="17">
    <w:abstractNumId w:val="16"/>
  </w:num>
  <w:num w:numId="18">
    <w:abstractNumId w:val="1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5"/>
  </w:num>
  <w:num w:numId="22">
    <w:abstractNumId w:val="15"/>
  </w:num>
  <w:num w:numId="23">
    <w:abstractNumId w:val="22"/>
  </w:num>
  <w:num w:numId="24">
    <w:abstractNumId w:val="13"/>
  </w:num>
  <w:num w:numId="25">
    <w:abstractNumId w:val="2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A4"/>
    <w:rsid w:val="0000137E"/>
    <w:rsid w:val="00001D73"/>
    <w:rsid w:val="000062CB"/>
    <w:rsid w:val="00006CE8"/>
    <w:rsid w:val="000102E0"/>
    <w:rsid w:val="000115DC"/>
    <w:rsid w:val="000147DB"/>
    <w:rsid w:val="00015E0B"/>
    <w:rsid w:val="0001776F"/>
    <w:rsid w:val="00017CDA"/>
    <w:rsid w:val="000235AD"/>
    <w:rsid w:val="00024519"/>
    <w:rsid w:val="00032DD9"/>
    <w:rsid w:val="00035419"/>
    <w:rsid w:val="00042992"/>
    <w:rsid w:val="000447C5"/>
    <w:rsid w:val="00045BA1"/>
    <w:rsid w:val="000516A2"/>
    <w:rsid w:val="00051ABD"/>
    <w:rsid w:val="0005220B"/>
    <w:rsid w:val="0005260A"/>
    <w:rsid w:val="00052712"/>
    <w:rsid w:val="00053901"/>
    <w:rsid w:val="00054816"/>
    <w:rsid w:val="00055F67"/>
    <w:rsid w:val="00056D2C"/>
    <w:rsid w:val="0006327D"/>
    <w:rsid w:val="00063880"/>
    <w:rsid w:val="00065E3B"/>
    <w:rsid w:val="00073CE8"/>
    <w:rsid w:val="00074EBC"/>
    <w:rsid w:val="0007647B"/>
    <w:rsid w:val="0008347B"/>
    <w:rsid w:val="00090183"/>
    <w:rsid w:val="00094571"/>
    <w:rsid w:val="00097EA5"/>
    <w:rsid w:val="000A2210"/>
    <w:rsid w:val="000B1861"/>
    <w:rsid w:val="000B776F"/>
    <w:rsid w:val="000C3CB3"/>
    <w:rsid w:val="000C4090"/>
    <w:rsid w:val="000C7CBF"/>
    <w:rsid w:val="000D1918"/>
    <w:rsid w:val="000D4D1E"/>
    <w:rsid w:val="000D5BA5"/>
    <w:rsid w:val="000E00AF"/>
    <w:rsid w:val="000E0813"/>
    <w:rsid w:val="000E0973"/>
    <w:rsid w:val="000E240D"/>
    <w:rsid w:val="000E3380"/>
    <w:rsid w:val="000E685D"/>
    <w:rsid w:val="000E71EB"/>
    <w:rsid w:val="001053DF"/>
    <w:rsid w:val="00107326"/>
    <w:rsid w:val="00107415"/>
    <w:rsid w:val="00107A6F"/>
    <w:rsid w:val="00112F35"/>
    <w:rsid w:val="001136FC"/>
    <w:rsid w:val="00113DDB"/>
    <w:rsid w:val="00114F70"/>
    <w:rsid w:val="0011648E"/>
    <w:rsid w:val="001171A3"/>
    <w:rsid w:val="001218AF"/>
    <w:rsid w:val="00122B5A"/>
    <w:rsid w:val="00131288"/>
    <w:rsid w:val="0013281A"/>
    <w:rsid w:val="00133B9F"/>
    <w:rsid w:val="001357C5"/>
    <w:rsid w:val="001373C8"/>
    <w:rsid w:val="00137F67"/>
    <w:rsid w:val="00145062"/>
    <w:rsid w:val="001452F8"/>
    <w:rsid w:val="00146566"/>
    <w:rsid w:val="001472C7"/>
    <w:rsid w:val="001509E7"/>
    <w:rsid w:val="001521D7"/>
    <w:rsid w:val="00155BFB"/>
    <w:rsid w:val="00163534"/>
    <w:rsid w:val="00166C76"/>
    <w:rsid w:val="00167841"/>
    <w:rsid w:val="001715F4"/>
    <w:rsid w:val="001741F1"/>
    <w:rsid w:val="00180906"/>
    <w:rsid w:val="001861F9"/>
    <w:rsid w:val="00190991"/>
    <w:rsid w:val="00195E91"/>
    <w:rsid w:val="00197BCF"/>
    <w:rsid w:val="001A1260"/>
    <w:rsid w:val="001A3A06"/>
    <w:rsid w:val="001A5611"/>
    <w:rsid w:val="001B0E04"/>
    <w:rsid w:val="001B203A"/>
    <w:rsid w:val="001B26C8"/>
    <w:rsid w:val="001B5E2D"/>
    <w:rsid w:val="001C2522"/>
    <w:rsid w:val="001C468C"/>
    <w:rsid w:val="001D035E"/>
    <w:rsid w:val="001D061D"/>
    <w:rsid w:val="001D10BB"/>
    <w:rsid w:val="001D4027"/>
    <w:rsid w:val="001D5954"/>
    <w:rsid w:val="001E4143"/>
    <w:rsid w:val="001E46DB"/>
    <w:rsid w:val="001E78E9"/>
    <w:rsid w:val="001F2BE9"/>
    <w:rsid w:val="001F2DAD"/>
    <w:rsid w:val="001F5C88"/>
    <w:rsid w:val="002001BA"/>
    <w:rsid w:val="002006BA"/>
    <w:rsid w:val="00206483"/>
    <w:rsid w:val="0020756E"/>
    <w:rsid w:val="00207B92"/>
    <w:rsid w:val="00210902"/>
    <w:rsid w:val="00216FCE"/>
    <w:rsid w:val="0022434B"/>
    <w:rsid w:val="00230CFE"/>
    <w:rsid w:val="00232593"/>
    <w:rsid w:val="00235040"/>
    <w:rsid w:val="002355E2"/>
    <w:rsid w:val="002409B8"/>
    <w:rsid w:val="00240EA4"/>
    <w:rsid w:val="0024226B"/>
    <w:rsid w:val="00243AB4"/>
    <w:rsid w:val="00244301"/>
    <w:rsid w:val="00251F2D"/>
    <w:rsid w:val="00253270"/>
    <w:rsid w:val="00254B1E"/>
    <w:rsid w:val="002560CC"/>
    <w:rsid w:val="0026253F"/>
    <w:rsid w:val="00264798"/>
    <w:rsid w:val="0026486E"/>
    <w:rsid w:val="00266386"/>
    <w:rsid w:val="00276ACD"/>
    <w:rsid w:val="002816A9"/>
    <w:rsid w:val="00285539"/>
    <w:rsid w:val="002915C7"/>
    <w:rsid w:val="00292E41"/>
    <w:rsid w:val="00294A22"/>
    <w:rsid w:val="0029689A"/>
    <w:rsid w:val="002971D3"/>
    <w:rsid w:val="002A241F"/>
    <w:rsid w:val="002A3787"/>
    <w:rsid w:val="002A55E1"/>
    <w:rsid w:val="002A7A29"/>
    <w:rsid w:val="002A7D87"/>
    <w:rsid w:val="002A7F46"/>
    <w:rsid w:val="002B1A01"/>
    <w:rsid w:val="002C392B"/>
    <w:rsid w:val="002C4026"/>
    <w:rsid w:val="002D2B91"/>
    <w:rsid w:val="002D467A"/>
    <w:rsid w:val="002D55B2"/>
    <w:rsid w:val="002D7AEB"/>
    <w:rsid w:val="002D7B10"/>
    <w:rsid w:val="002E31F4"/>
    <w:rsid w:val="002E3ED0"/>
    <w:rsid w:val="002E4779"/>
    <w:rsid w:val="002E6C63"/>
    <w:rsid w:val="002F358A"/>
    <w:rsid w:val="002F4EC6"/>
    <w:rsid w:val="00306603"/>
    <w:rsid w:val="003074B7"/>
    <w:rsid w:val="00307F01"/>
    <w:rsid w:val="00311387"/>
    <w:rsid w:val="0031271E"/>
    <w:rsid w:val="00313B2F"/>
    <w:rsid w:val="0032414C"/>
    <w:rsid w:val="00326F15"/>
    <w:rsid w:val="003318AE"/>
    <w:rsid w:val="00341CDB"/>
    <w:rsid w:val="003425A7"/>
    <w:rsid w:val="00351901"/>
    <w:rsid w:val="003533A8"/>
    <w:rsid w:val="00355C1C"/>
    <w:rsid w:val="00356D3F"/>
    <w:rsid w:val="00360AB6"/>
    <w:rsid w:val="0036100D"/>
    <w:rsid w:val="0036259C"/>
    <w:rsid w:val="00362EB1"/>
    <w:rsid w:val="003634C0"/>
    <w:rsid w:val="00363D0E"/>
    <w:rsid w:val="0036562F"/>
    <w:rsid w:val="00365B4E"/>
    <w:rsid w:val="00370F05"/>
    <w:rsid w:val="0038042E"/>
    <w:rsid w:val="003816C6"/>
    <w:rsid w:val="003856AE"/>
    <w:rsid w:val="0039338B"/>
    <w:rsid w:val="003A218F"/>
    <w:rsid w:val="003A3689"/>
    <w:rsid w:val="003A46B1"/>
    <w:rsid w:val="003B0668"/>
    <w:rsid w:val="003B0BD2"/>
    <w:rsid w:val="003C2211"/>
    <w:rsid w:val="003C3393"/>
    <w:rsid w:val="003C45F4"/>
    <w:rsid w:val="003C5AD1"/>
    <w:rsid w:val="003C617F"/>
    <w:rsid w:val="003D0D89"/>
    <w:rsid w:val="003D4844"/>
    <w:rsid w:val="003F2B8C"/>
    <w:rsid w:val="003F2BF7"/>
    <w:rsid w:val="003F377B"/>
    <w:rsid w:val="003F4B1E"/>
    <w:rsid w:val="003F6AB9"/>
    <w:rsid w:val="003F7F65"/>
    <w:rsid w:val="00401665"/>
    <w:rsid w:val="00402BE0"/>
    <w:rsid w:val="004049EA"/>
    <w:rsid w:val="004076D3"/>
    <w:rsid w:val="0041106A"/>
    <w:rsid w:val="004163E3"/>
    <w:rsid w:val="00421EBB"/>
    <w:rsid w:val="00422A62"/>
    <w:rsid w:val="00423591"/>
    <w:rsid w:val="00423917"/>
    <w:rsid w:val="004272D8"/>
    <w:rsid w:val="00427AF3"/>
    <w:rsid w:val="0043481F"/>
    <w:rsid w:val="004355D6"/>
    <w:rsid w:val="00436D59"/>
    <w:rsid w:val="0044070F"/>
    <w:rsid w:val="00440BBE"/>
    <w:rsid w:val="00445364"/>
    <w:rsid w:val="00445985"/>
    <w:rsid w:val="004513E9"/>
    <w:rsid w:val="004518C4"/>
    <w:rsid w:val="00452994"/>
    <w:rsid w:val="00457FAA"/>
    <w:rsid w:val="004618BA"/>
    <w:rsid w:val="004660AC"/>
    <w:rsid w:val="00466D40"/>
    <w:rsid w:val="00470260"/>
    <w:rsid w:val="00473946"/>
    <w:rsid w:val="0047424A"/>
    <w:rsid w:val="004771AF"/>
    <w:rsid w:val="00477C20"/>
    <w:rsid w:val="00487512"/>
    <w:rsid w:val="00490FA4"/>
    <w:rsid w:val="00494431"/>
    <w:rsid w:val="00494E91"/>
    <w:rsid w:val="00497DEA"/>
    <w:rsid w:val="004A5228"/>
    <w:rsid w:val="004A7A6F"/>
    <w:rsid w:val="004B2FAD"/>
    <w:rsid w:val="004B3386"/>
    <w:rsid w:val="004B5BC9"/>
    <w:rsid w:val="004C3129"/>
    <w:rsid w:val="004C5CA9"/>
    <w:rsid w:val="004C7827"/>
    <w:rsid w:val="004D2C76"/>
    <w:rsid w:val="004D59E9"/>
    <w:rsid w:val="004D5B10"/>
    <w:rsid w:val="004D611B"/>
    <w:rsid w:val="004E1CC9"/>
    <w:rsid w:val="004E4440"/>
    <w:rsid w:val="004E5B3E"/>
    <w:rsid w:val="004F3D93"/>
    <w:rsid w:val="004F3DBF"/>
    <w:rsid w:val="004F7496"/>
    <w:rsid w:val="005006F3"/>
    <w:rsid w:val="00506516"/>
    <w:rsid w:val="005116E7"/>
    <w:rsid w:val="00512A58"/>
    <w:rsid w:val="00514DED"/>
    <w:rsid w:val="005157F1"/>
    <w:rsid w:val="00515A25"/>
    <w:rsid w:val="00516E7E"/>
    <w:rsid w:val="00520EC5"/>
    <w:rsid w:val="00521028"/>
    <w:rsid w:val="005230DB"/>
    <w:rsid w:val="00523B31"/>
    <w:rsid w:val="0052666E"/>
    <w:rsid w:val="00527597"/>
    <w:rsid w:val="00530B15"/>
    <w:rsid w:val="00531597"/>
    <w:rsid w:val="00533127"/>
    <w:rsid w:val="005412FC"/>
    <w:rsid w:val="0054713A"/>
    <w:rsid w:val="00547766"/>
    <w:rsid w:val="00556F96"/>
    <w:rsid w:val="005600A1"/>
    <w:rsid w:val="005650FE"/>
    <w:rsid w:val="005717CA"/>
    <w:rsid w:val="00572FE3"/>
    <w:rsid w:val="005737EB"/>
    <w:rsid w:val="00574F98"/>
    <w:rsid w:val="005872C8"/>
    <w:rsid w:val="00587675"/>
    <w:rsid w:val="005A29C9"/>
    <w:rsid w:val="005B1BC2"/>
    <w:rsid w:val="005B5FAC"/>
    <w:rsid w:val="005C298D"/>
    <w:rsid w:val="005C5630"/>
    <w:rsid w:val="005C61CD"/>
    <w:rsid w:val="005C656A"/>
    <w:rsid w:val="005D7CC2"/>
    <w:rsid w:val="005D7E15"/>
    <w:rsid w:val="005E15B4"/>
    <w:rsid w:val="005E4CBD"/>
    <w:rsid w:val="005E50DD"/>
    <w:rsid w:val="005E5882"/>
    <w:rsid w:val="005E7232"/>
    <w:rsid w:val="005F1FDF"/>
    <w:rsid w:val="005F212E"/>
    <w:rsid w:val="005F572D"/>
    <w:rsid w:val="005F6AF1"/>
    <w:rsid w:val="005F6BA8"/>
    <w:rsid w:val="005F7C53"/>
    <w:rsid w:val="00601EB0"/>
    <w:rsid w:val="00603BA3"/>
    <w:rsid w:val="00605691"/>
    <w:rsid w:val="00612237"/>
    <w:rsid w:val="00613005"/>
    <w:rsid w:val="00615B08"/>
    <w:rsid w:val="00623322"/>
    <w:rsid w:val="00623E2F"/>
    <w:rsid w:val="00625978"/>
    <w:rsid w:val="00625DBA"/>
    <w:rsid w:val="0062630A"/>
    <w:rsid w:val="00626DAB"/>
    <w:rsid w:val="006341CB"/>
    <w:rsid w:val="00637A1E"/>
    <w:rsid w:val="006422BE"/>
    <w:rsid w:val="0064323D"/>
    <w:rsid w:val="0064419D"/>
    <w:rsid w:val="00644324"/>
    <w:rsid w:val="00650B40"/>
    <w:rsid w:val="00655DE6"/>
    <w:rsid w:val="006604FB"/>
    <w:rsid w:val="006630E4"/>
    <w:rsid w:val="00663629"/>
    <w:rsid w:val="00665F4F"/>
    <w:rsid w:val="00666AF7"/>
    <w:rsid w:val="00666C2A"/>
    <w:rsid w:val="006704F5"/>
    <w:rsid w:val="00671496"/>
    <w:rsid w:val="006714A3"/>
    <w:rsid w:val="00673291"/>
    <w:rsid w:val="0067332A"/>
    <w:rsid w:val="006733E7"/>
    <w:rsid w:val="00673B13"/>
    <w:rsid w:val="00673FC4"/>
    <w:rsid w:val="00674EC4"/>
    <w:rsid w:val="006761BA"/>
    <w:rsid w:val="0068367D"/>
    <w:rsid w:val="00684783"/>
    <w:rsid w:val="00687F35"/>
    <w:rsid w:val="006962A3"/>
    <w:rsid w:val="006A0074"/>
    <w:rsid w:val="006A3502"/>
    <w:rsid w:val="006A48C4"/>
    <w:rsid w:val="006A4FDB"/>
    <w:rsid w:val="006A61E0"/>
    <w:rsid w:val="006B1AA1"/>
    <w:rsid w:val="006B5DCB"/>
    <w:rsid w:val="006C1297"/>
    <w:rsid w:val="006C6ADD"/>
    <w:rsid w:val="006D2A54"/>
    <w:rsid w:val="006D3F98"/>
    <w:rsid w:val="006D4DBE"/>
    <w:rsid w:val="006D4F16"/>
    <w:rsid w:val="006D6986"/>
    <w:rsid w:val="006D6E25"/>
    <w:rsid w:val="006E1354"/>
    <w:rsid w:val="006E3DF1"/>
    <w:rsid w:val="006E3E5E"/>
    <w:rsid w:val="006E46A2"/>
    <w:rsid w:val="006E7296"/>
    <w:rsid w:val="006F1D3C"/>
    <w:rsid w:val="006F6A7A"/>
    <w:rsid w:val="00701097"/>
    <w:rsid w:val="007032C1"/>
    <w:rsid w:val="00707760"/>
    <w:rsid w:val="0071132B"/>
    <w:rsid w:val="0071442E"/>
    <w:rsid w:val="00714B0F"/>
    <w:rsid w:val="00717FE7"/>
    <w:rsid w:val="00721736"/>
    <w:rsid w:val="007217D8"/>
    <w:rsid w:val="007233C2"/>
    <w:rsid w:val="00723F66"/>
    <w:rsid w:val="0072494C"/>
    <w:rsid w:val="007254E7"/>
    <w:rsid w:val="00732030"/>
    <w:rsid w:val="007355EB"/>
    <w:rsid w:val="00740191"/>
    <w:rsid w:val="00741474"/>
    <w:rsid w:val="00741C7A"/>
    <w:rsid w:val="00746C3E"/>
    <w:rsid w:val="00752E7B"/>
    <w:rsid w:val="007553DA"/>
    <w:rsid w:val="007556F9"/>
    <w:rsid w:val="00760802"/>
    <w:rsid w:val="00760FC0"/>
    <w:rsid w:val="00763F90"/>
    <w:rsid w:val="007657E6"/>
    <w:rsid w:val="00766327"/>
    <w:rsid w:val="00766FCB"/>
    <w:rsid w:val="00772FEA"/>
    <w:rsid w:val="0077583A"/>
    <w:rsid w:val="00777ADA"/>
    <w:rsid w:val="00780839"/>
    <w:rsid w:val="0078105A"/>
    <w:rsid w:val="00782403"/>
    <w:rsid w:val="0078382B"/>
    <w:rsid w:val="0078491E"/>
    <w:rsid w:val="00786148"/>
    <w:rsid w:val="00791238"/>
    <w:rsid w:val="0079255D"/>
    <w:rsid w:val="007A1303"/>
    <w:rsid w:val="007A2F17"/>
    <w:rsid w:val="007A4792"/>
    <w:rsid w:val="007A4A40"/>
    <w:rsid w:val="007A6F71"/>
    <w:rsid w:val="007C1AE2"/>
    <w:rsid w:val="007C42A1"/>
    <w:rsid w:val="007C781C"/>
    <w:rsid w:val="007C788D"/>
    <w:rsid w:val="007C7A83"/>
    <w:rsid w:val="007D36C5"/>
    <w:rsid w:val="007D3736"/>
    <w:rsid w:val="007D3DBE"/>
    <w:rsid w:val="007D63F8"/>
    <w:rsid w:val="007D6736"/>
    <w:rsid w:val="007D6F0D"/>
    <w:rsid w:val="007D758C"/>
    <w:rsid w:val="007D7D9F"/>
    <w:rsid w:val="007E103A"/>
    <w:rsid w:val="007E1711"/>
    <w:rsid w:val="007E385A"/>
    <w:rsid w:val="007E571B"/>
    <w:rsid w:val="007F0866"/>
    <w:rsid w:val="007F1A48"/>
    <w:rsid w:val="007F2744"/>
    <w:rsid w:val="007F6A86"/>
    <w:rsid w:val="008025C1"/>
    <w:rsid w:val="00802A8C"/>
    <w:rsid w:val="00802AC8"/>
    <w:rsid w:val="00806B79"/>
    <w:rsid w:val="00806DF6"/>
    <w:rsid w:val="008158AD"/>
    <w:rsid w:val="0082494B"/>
    <w:rsid w:val="00830EA5"/>
    <w:rsid w:val="008311A4"/>
    <w:rsid w:val="00835F55"/>
    <w:rsid w:val="00837D69"/>
    <w:rsid w:val="00840DFA"/>
    <w:rsid w:val="00841EC8"/>
    <w:rsid w:val="00846044"/>
    <w:rsid w:val="00846C6C"/>
    <w:rsid w:val="00847538"/>
    <w:rsid w:val="00847AC7"/>
    <w:rsid w:val="008537A8"/>
    <w:rsid w:val="00855453"/>
    <w:rsid w:val="00855F16"/>
    <w:rsid w:val="00856280"/>
    <w:rsid w:val="00856AAF"/>
    <w:rsid w:val="008577CF"/>
    <w:rsid w:val="00857957"/>
    <w:rsid w:val="00862810"/>
    <w:rsid w:val="00863899"/>
    <w:rsid w:val="00865501"/>
    <w:rsid w:val="00865593"/>
    <w:rsid w:val="008661AF"/>
    <w:rsid w:val="00866658"/>
    <w:rsid w:val="008666F7"/>
    <w:rsid w:val="00866875"/>
    <w:rsid w:val="008673CB"/>
    <w:rsid w:val="00871332"/>
    <w:rsid w:val="0087160C"/>
    <w:rsid w:val="0087184E"/>
    <w:rsid w:val="00872443"/>
    <w:rsid w:val="00872F03"/>
    <w:rsid w:val="008739E3"/>
    <w:rsid w:val="00873C95"/>
    <w:rsid w:val="00876A6B"/>
    <w:rsid w:val="00877433"/>
    <w:rsid w:val="00885A9F"/>
    <w:rsid w:val="0088723B"/>
    <w:rsid w:val="008907B6"/>
    <w:rsid w:val="008925BB"/>
    <w:rsid w:val="00894389"/>
    <w:rsid w:val="00894701"/>
    <w:rsid w:val="00896918"/>
    <w:rsid w:val="008A08D0"/>
    <w:rsid w:val="008A1F81"/>
    <w:rsid w:val="008A32FD"/>
    <w:rsid w:val="008A372C"/>
    <w:rsid w:val="008A7604"/>
    <w:rsid w:val="008B06B9"/>
    <w:rsid w:val="008B0FD9"/>
    <w:rsid w:val="008B32AB"/>
    <w:rsid w:val="008B43F2"/>
    <w:rsid w:val="008B709B"/>
    <w:rsid w:val="008C0192"/>
    <w:rsid w:val="008C4B02"/>
    <w:rsid w:val="008C6D9F"/>
    <w:rsid w:val="008D7348"/>
    <w:rsid w:val="008E233F"/>
    <w:rsid w:val="008E3C49"/>
    <w:rsid w:val="008E3FA9"/>
    <w:rsid w:val="008E7BAE"/>
    <w:rsid w:val="008F37B5"/>
    <w:rsid w:val="008F4BC5"/>
    <w:rsid w:val="008F4D04"/>
    <w:rsid w:val="008F6B12"/>
    <w:rsid w:val="008F6F4B"/>
    <w:rsid w:val="008F74D6"/>
    <w:rsid w:val="008F7824"/>
    <w:rsid w:val="0090070E"/>
    <w:rsid w:val="009014DE"/>
    <w:rsid w:val="0090395D"/>
    <w:rsid w:val="009059AE"/>
    <w:rsid w:val="00907369"/>
    <w:rsid w:val="0091067A"/>
    <w:rsid w:val="00911F2D"/>
    <w:rsid w:val="00912E86"/>
    <w:rsid w:val="009137DA"/>
    <w:rsid w:val="00914942"/>
    <w:rsid w:val="009166C3"/>
    <w:rsid w:val="00917210"/>
    <w:rsid w:val="00917955"/>
    <w:rsid w:val="00924516"/>
    <w:rsid w:val="00931068"/>
    <w:rsid w:val="009324C3"/>
    <w:rsid w:val="00934D12"/>
    <w:rsid w:val="00935836"/>
    <w:rsid w:val="00935848"/>
    <w:rsid w:val="00940577"/>
    <w:rsid w:val="009471C5"/>
    <w:rsid w:val="0095057C"/>
    <w:rsid w:val="00951800"/>
    <w:rsid w:val="00953A36"/>
    <w:rsid w:val="00954149"/>
    <w:rsid w:val="00954CD6"/>
    <w:rsid w:val="009554B6"/>
    <w:rsid w:val="00960359"/>
    <w:rsid w:val="00964877"/>
    <w:rsid w:val="00965B85"/>
    <w:rsid w:val="00965E09"/>
    <w:rsid w:val="00966EC5"/>
    <w:rsid w:val="009677C9"/>
    <w:rsid w:val="00967976"/>
    <w:rsid w:val="00967DAB"/>
    <w:rsid w:val="00967E61"/>
    <w:rsid w:val="00970069"/>
    <w:rsid w:val="00970D90"/>
    <w:rsid w:val="00973A40"/>
    <w:rsid w:val="009741AB"/>
    <w:rsid w:val="00974FFA"/>
    <w:rsid w:val="00986D84"/>
    <w:rsid w:val="00994DB0"/>
    <w:rsid w:val="009A0A89"/>
    <w:rsid w:val="009A29C3"/>
    <w:rsid w:val="009A33C9"/>
    <w:rsid w:val="009A3FAA"/>
    <w:rsid w:val="009A54BC"/>
    <w:rsid w:val="009A735A"/>
    <w:rsid w:val="009A7C47"/>
    <w:rsid w:val="009B260C"/>
    <w:rsid w:val="009B3020"/>
    <w:rsid w:val="009B61C4"/>
    <w:rsid w:val="009C048D"/>
    <w:rsid w:val="009C15DC"/>
    <w:rsid w:val="009C1AD9"/>
    <w:rsid w:val="009C22A1"/>
    <w:rsid w:val="009C333C"/>
    <w:rsid w:val="009C5A41"/>
    <w:rsid w:val="009D24F6"/>
    <w:rsid w:val="009D2E6B"/>
    <w:rsid w:val="009E0A2A"/>
    <w:rsid w:val="009E3279"/>
    <w:rsid w:val="009E500B"/>
    <w:rsid w:val="009E769F"/>
    <w:rsid w:val="009F2CA4"/>
    <w:rsid w:val="009F3B50"/>
    <w:rsid w:val="009F60E5"/>
    <w:rsid w:val="00A014CD"/>
    <w:rsid w:val="00A02038"/>
    <w:rsid w:val="00A06E5A"/>
    <w:rsid w:val="00A10811"/>
    <w:rsid w:val="00A1250C"/>
    <w:rsid w:val="00A14A43"/>
    <w:rsid w:val="00A15641"/>
    <w:rsid w:val="00A16168"/>
    <w:rsid w:val="00A26E19"/>
    <w:rsid w:val="00A273F6"/>
    <w:rsid w:val="00A3189E"/>
    <w:rsid w:val="00A346A6"/>
    <w:rsid w:val="00A34D02"/>
    <w:rsid w:val="00A377AD"/>
    <w:rsid w:val="00A42AF7"/>
    <w:rsid w:val="00A4313A"/>
    <w:rsid w:val="00A50631"/>
    <w:rsid w:val="00A51954"/>
    <w:rsid w:val="00A540EB"/>
    <w:rsid w:val="00A55D49"/>
    <w:rsid w:val="00A652A3"/>
    <w:rsid w:val="00A66296"/>
    <w:rsid w:val="00A67D18"/>
    <w:rsid w:val="00A716BB"/>
    <w:rsid w:val="00A733E0"/>
    <w:rsid w:val="00A76BBC"/>
    <w:rsid w:val="00A80CD9"/>
    <w:rsid w:val="00A83E5E"/>
    <w:rsid w:val="00A90A37"/>
    <w:rsid w:val="00A963F0"/>
    <w:rsid w:val="00A97080"/>
    <w:rsid w:val="00AA1AD7"/>
    <w:rsid w:val="00AA3470"/>
    <w:rsid w:val="00AA3C8C"/>
    <w:rsid w:val="00AA62F9"/>
    <w:rsid w:val="00AA7CE7"/>
    <w:rsid w:val="00AA7D6D"/>
    <w:rsid w:val="00AB2642"/>
    <w:rsid w:val="00AB2A6C"/>
    <w:rsid w:val="00AB49AA"/>
    <w:rsid w:val="00AC177D"/>
    <w:rsid w:val="00AC1836"/>
    <w:rsid w:val="00AC5076"/>
    <w:rsid w:val="00AC5723"/>
    <w:rsid w:val="00AD1815"/>
    <w:rsid w:val="00AD2416"/>
    <w:rsid w:val="00AD5DBC"/>
    <w:rsid w:val="00AD6C04"/>
    <w:rsid w:val="00AE1284"/>
    <w:rsid w:val="00AE3C5F"/>
    <w:rsid w:val="00AE5ED1"/>
    <w:rsid w:val="00AE6FF4"/>
    <w:rsid w:val="00AF11C1"/>
    <w:rsid w:val="00AF5719"/>
    <w:rsid w:val="00B0360D"/>
    <w:rsid w:val="00B07C68"/>
    <w:rsid w:val="00B12217"/>
    <w:rsid w:val="00B122C7"/>
    <w:rsid w:val="00B15E06"/>
    <w:rsid w:val="00B166F2"/>
    <w:rsid w:val="00B16C1A"/>
    <w:rsid w:val="00B172AB"/>
    <w:rsid w:val="00B17F0C"/>
    <w:rsid w:val="00B21A4E"/>
    <w:rsid w:val="00B22355"/>
    <w:rsid w:val="00B2603E"/>
    <w:rsid w:val="00B261E7"/>
    <w:rsid w:val="00B42921"/>
    <w:rsid w:val="00B42AF6"/>
    <w:rsid w:val="00B441DB"/>
    <w:rsid w:val="00B44738"/>
    <w:rsid w:val="00B5148D"/>
    <w:rsid w:val="00B515B4"/>
    <w:rsid w:val="00B523D3"/>
    <w:rsid w:val="00B54BA3"/>
    <w:rsid w:val="00B60E4E"/>
    <w:rsid w:val="00B62FF7"/>
    <w:rsid w:val="00B647A5"/>
    <w:rsid w:val="00B64E3D"/>
    <w:rsid w:val="00B67BF4"/>
    <w:rsid w:val="00B70606"/>
    <w:rsid w:val="00B7139D"/>
    <w:rsid w:val="00B71B58"/>
    <w:rsid w:val="00B73446"/>
    <w:rsid w:val="00B7387C"/>
    <w:rsid w:val="00B743F3"/>
    <w:rsid w:val="00B75E3E"/>
    <w:rsid w:val="00B80469"/>
    <w:rsid w:val="00B80D6C"/>
    <w:rsid w:val="00B82D93"/>
    <w:rsid w:val="00B83AB0"/>
    <w:rsid w:val="00B843F3"/>
    <w:rsid w:val="00B85323"/>
    <w:rsid w:val="00B8739B"/>
    <w:rsid w:val="00B9382F"/>
    <w:rsid w:val="00B941B7"/>
    <w:rsid w:val="00B94515"/>
    <w:rsid w:val="00B96996"/>
    <w:rsid w:val="00BA12B6"/>
    <w:rsid w:val="00BA311D"/>
    <w:rsid w:val="00BA45FB"/>
    <w:rsid w:val="00BA47D2"/>
    <w:rsid w:val="00BA6EA6"/>
    <w:rsid w:val="00BA6EB3"/>
    <w:rsid w:val="00BA73EC"/>
    <w:rsid w:val="00BB1367"/>
    <w:rsid w:val="00BB253A"/>
    <w:rsid w:val="00BB2C22"/>
    <w:rsid w:val="00BB2EA0"/>
    <w:rsid w:val="00BC2CC2"/>
    <w:rsid w:val="00BC3433"/>
    <w:rsid w:val="00BC5653"/>
    <w:rsid w:val="00BC68CB"/>
    <w:rsid w:val="00BD06F8"/>
    <w:rsid w:val="00BD0C96"/>
    <w:rsid w:val="00BD3B70"/>
    <w:rsid w:val="00BD45E6"/>
    <w:rsid w:val="00BD4D57"/>
    <w:rsid w:val="00BD5236"/>
    <w:rsid w:val="00BD5B5E"/>
    <w:rsid w:val="00BE0D85"/>
    <w:rsid w:val="00BE260D"/>
    <w:rsid w:val="00BE5FED"/>
    <w:rsid w:val="00BE6D3F"/>
    <w:rsid w:val="00BE6E95"/>
    <w:rsid w:val="00BF3611"/>
    <w:rsid w:val="00BF47A5"/>
    <w:rsid w:val="00C02E1A"/>
    <w:rsid w:val="00C05A4B"/>
    <w:rsid w:val="00C15D1C"/>
    <w:rsid w:val="00C16E2D"/>
    <w:rsid w:val="00C23244"/>
    <w:rsid w:val="00C31902"/>
    <w:rsid w:val="00C338DF"/>
    <w:rsid w:val="00C429D3"/>
    <w:rsid w:val="00C43AEF"/>
    <w:rsid w:val="00C50D5E"/>
    <w:rsid w:val="00C515E9"/>
    <w:rsid w:val="00C535D4"/>
    <w:rsid w:val="00C53DAD"/>
    <w:rsid w:val="00C54565"/>
    <w:rsid w:val="00C558F2"/>
    <w:rsid w:val="00C6092A"/>
    <w:rsid w:val="00C64E65"/>
    <w:rsid w:val="00C70D31"/>
    <w:rsid w:val="00C72F1E"/>
    <w:rsid w:val="00C731B0"/>
    <w:rsid w:val="00C76B9F"/>
    <w:rsid w:val="00C83144"/>
    <w:rsid w:val="00C856C2"/>
    <w:rsid w:val="00C8683D"/>
    <w:rsid w:val="00C96FB3"/>
    <w:rsid w:val="00C97168"/>
    <w:rsid w:val="00C975F9"/>
    <w:rsid w:val="00CA34D6"/>
    <w:rsid w:val="00CA422F"/>
    <w:rsid w:val="00CA4B44"/>
    <w:rsid w:val="00CA4F25"/>
    <w:rsid w:val="00CA5E06"/>
    <w:rsid w:val="00CB1161"/>
    <w:rsid w:val="00CB3317"/>
    <w:rsid w:val="00CB40D5"/>
    <w:rsid w:val="00CB67FC"/>
    <w:rsid w:val="00CB7E6D"/>
    <w:rsid w:val="00CC2B3A"/>
    <w:rsid w:val="00CC2D29"/>
    <w:rsid w:val="00CC7850"/>
    <w:rsid w:val="00CD3280"/>
    <w:rsid w:val="00CD37AD"/>
    <w:rsid w:val="00CD424B"/>
    <w:rsid w:val="00CD43BF"/>
    <w:rsid w:val="00CE1FD4"/>
    <w:rsid w:val="00CE3F08"/>
    <w:rsid w:val="00CE64B8"/>
    <w:rsid w:val="00CE67FE"/>
    <w:rsid w:val="00CE7CAD"/>
    <w:rsid w:val="00CF0112"/>
    <w:rsid w:val="00CF20E4"/>
    <w:rsid w:val="00CF38DA"/>
    <w:rsid w:val="00D00792"/>
    <w:rsid w:val="00D01B4C"/>
    <w:rsid w:val="00D04831"/>
    <w:rsid w:val="00D12062"/>
    <w:rsid w:val="00D16B2E"/>
    <w:rsid w:val="00D17114"/>
    <w:rsid w:val="00D233F0"/>
    <w:rsid w:val="00D238B3"/>
    <w:rsid w:val="00D23954"/>
    <w:rsid w:val="00D24FE2"/>
    <w:rsid w:val="00D253B2"/>
    <w:rsid w:val="00D357AF"/>
    <w:rsid w:val="00D35EED"/>
    <w:rsid w:val="00D376A6"/>
    <w:rsid w:val="00D42345"/>
    <w:rsid w:val="00D431B0"/>
    <w:rsid w:val="00D4337D"/>
    <w:rsid w:val="00D45B79"/>
    <w:rsid w:val="00D45D27"/>
    <w:rsid w:val="00D50CDE"/>
    <w:rsid w:val="00D51BC1"/>
    <w:rsid w:val="00D52BA5"/>
    <w:rsid w:val="00D52E29"/>
    <w:rsid w:val="00D555F9"/>
    <w:rsid w:val="00D556FF"/>
    <w:rsid w:val="00D615C0"/>
    <w:rsid w:val="00D640C0"/>
    <w:rsid w:val="00D64531"/>
    <w:rsid w:val="00D67C04"/>
    <w:rsid w:val="00D71E53"/>
    <w:rsid w:val="00D7680E"/>
    <w:rsid w:val="00D77A91"/>
    <w:rsid w:val="00D80AA4"/>
    <w:rsid w:val="00D819CD"/>
    <w:rsid w:val="00D82131"/>
    <w:rsid w:val="00D838F7"/>
    <w:rsid w:val="00D83D75"/>
    <w:rsid w:val="00D84EF5"/>
    <w:rsid w:val="00D85F35"/>
    <w:rsid w:val="00D860A1"/>
    <w:rsid w:val="00D90CF4"/>
    <w:rsid w:val="00D92D39"/>
    <w:rsid w:val="00D97BB4"/>
    <w:rsid w:val="00DA3EC2"/>
    <w:rsid w:val="00DA54F2"/>
    <w:rsid w:val="00DB0DEB"/>
    <w:rsid w:val="00DB1B8F"/>
    <w:rsid w:val="00DB1BCB"/>
    <w:rsid w:val="00DB29C8"/>
    <w:rsid w:val="00DB4528"/>
    <w:rsid w:val="00DB4614"/>
    <w:rsid w:val="00DB6A14"/>
    <w:rsid w:val="00DB78F8"/>
    <w:rsid w:val="00DC164F"/>
    <w:rsid w:val="00DC35EF"/>
    <w:rsid w:val="00DC4B5A"/>
    <w:rsid w:val="00DC649A"/>
    <w:rsid w:val="00DC78E0"/>
    <w:rsid w:val="00DD0209"/>
    <w:rsid w:val="00DD7C84"/>
    <w:rsid w:val="00DE236E"/>
    <w:rsid w:val="00DE32DC"/>
    <w:rsid w:val="00DF4603"/>
    <w:rsid w:val="00DF4DC6"/>
    <w:rsid w:val="00E00079"/>
    <w:rsid w:val="00E02A2C"/>
    <w:rsid w:val="00E04D33"/>
    <w:rsid w:val="00E05E1B"/>
    <w:rsid w:val="00E07397"/>
    <w:rsid w:val="00E1006F"/>
    <w:rsid w:val="00E15466"/>
    <w:rsid w:val="00E159F9"/>
    <w:rsid w:val="00E20994"/>
    <w:rsid w:val="00E211F7"/>
    <w:rsid w:val="00E263C7"/>
    <w:rsid w:val="00E336A6"/>
    <w:rsid w:val="00E33BD7"/>
    <w:rsid w:val="00E3428E"/>
    <w:rsid w:val="00E34B18"/>
    <w:rsid w:val="00E36F15"/>
    <w:rsid w:val="00E400B3"/>
    <w:rsid w:val="00E41ED3"/>
    <w:rsid w:val="00E440C0"/>
    <w:rsid w:val="00E44912"/>
    <w:rsid w:val="00E46499"/>
    <w:rsid w:val="00E520AC"/>
    <w:rsid w:val="00E52E83"/>
    <w:rsid w:val="00E5496B"/>
    <w:rsid w:val="00E562A0"/>
    <w:rsid w:val="00E61980"/>
    <w:rsid w:val="00E62435"/>
    <w:rsid w:val="00E62D30"/>
    <w:rsid w:val="00E65E1B"/>
    <w:rsid w:val="00E66036"/>
    <w:rsid w:val="00E70391"/>
    <w:rsid w:val="00E8504D"/>
    <w:rsid w:val="00E85F57"/>
    <w:rsid w:val="00E860D5"/>
    <w:rsid w:val="00E86798"/>
    <w:rsid w:val="00E91C77"/>
    <w:rsid w:val="00E926AB"/>
    <w:rsid w:val="00E9304C"/>
    <w:rsid w:val="00E95208"/>
    <w:rsid w:val="00E97F66"/>
    <w:rsid w:val="00EA1A93"/>
    <w:rsid w:val="00EA7A35"/>
    <w:rsid w:val="00EA7E8B"/>
    <w:rsid w:val="00EB071A"/>
    <w:rsid w:val="00EB4857"/>
    <w:rsid w:val="00EC1FD4"/>
    <w:rsid w:val="00EC2C7F"/>
    <w:rsid w:val="00EC517F"/>
    <w:rsid w:val="00ED00F2"/>
    <w:rsid w:val="00ED0314"/>
    <w:rsid w:val="00ED0909"/>
    <w:rsid w:val="00ED1A4A"/>
    <w:rsid w:val="00ED291C"/>
    <w:rsid w:val="00ED3085"/>
    <w:rsid w:val="00ED5DA5"/>
    <w:rsid w:val="00EE22C7"/>
    <w:rsid w:val="00EE24CC"/>
    <w:rsid w:val="00EF0456"/>
    <w:rsid w:val="00EF0A53"/>
    <w:rsid w:val="00EF35BF"/>
    <w:rsid w:val="00EF3D18"/>
    <w:rsid w:val="00EF4BBD"/>
    <w:rsid w:val="00EF77F4"/>
    <w:rsid w:val="00EF7C2C"/>
    <w:rsid w:val="00EF7DD4"/>
    <w:rsid w:val="00F01344"/>
    <w:rsid w:val="00F039B3"/>
    <w:rsid w:val="00F05BA1"/>
    <w:rsid w:val="00F05EC0"/>
    <w:rsid w:val="00F1339D"/>
    <w:rsid w:val="00F13A04"/>
    <w:rsid w:val="00F14FF7"/>
    <w:rsid w:val="00F1586A"/>
    <w:rsid w:val="00F20526"/>
    <w:rsid w:val="00F224E0"/>
    <w:rsid w:val="00F232E0"/>
    <w:rsid w:val="00F2489C"/>
    <w:rsid w:val="00F33419"/>
    <w:rsid w:val="00F33D86"/>
    <w:rsid w:val="00F34855"/>
    <w:rsid w:val="00F35B69"/>
    <w:rsid w:val="00F3753B"/>
    <w:rsid w:val="00F4020A"/>
    <w:rsid w:val="00F40A3B"/>
    <w:rsid w:val="00F415E2"/>
    <w:rsid w:val="00F421FF"/>
    <w:rsid w:val="00F465F8"/>
    <w:rsid w:val="00F47F6C"/>
    <w:rsid w:val="00F5012B"/>
    <w:rsid w:val="00F50977"/>
    <w:rsid w:val="00F538EB"/>
    <w:rsid w:val="00F567A0"/>
    <w:rsid w:val="00F572DF"/>
    <w:rsid w:val="00F57327"/>
    <w:rsid w:val="00F57A10"/>
    <w:rsid w:val="00F57C8D"/>
    <w:rsid w:val="00F608FC"/>
    <w:rsid w:val="00F60E44"/>
    <w:rsid w:val="00F62569"/>
    <w:rsid w:val="00F630FD"/>
    <w:rsid w:val="00F65062"/>
    <w:rsid w:val="00F65C2D"/>
    <w:rsid w:val="00F65C49"/>
    <w:rsid w:val="00F71730"/>
    <w:rsid w:val="00F71B24"/>
    <w:rsid w:val="00F72031"/>
    <w:rsid w:val="00F731F6"/>
    <w:rsid w:val="00F73B24"/>
    <w:rsid w:val="00F77F78"/>
    <w:rsid w:val="00F80096"/>
    <w:rsid w:val="00F81A77"/>
    <w:rsid w:val="00F81B63"/>
    <w:rsid w:val="00F85033"/>
    <w:rsid w:val="00F87759"/>
    <w:rsid w:val="00F87E55"/>
    <w:rsid w:val="00F9570D"/>
    <w:rsid w:val="00FA2734"/>
    <w:rsid w:val="00FA288B"/>
    <w:rsid w:val="00FA3A7C"/>
    <w:rsid w:val="00FA6F53"/>
    <w:rsid w:val="00FA7C68"/>
    <w:rsid w:val="00FB2F9F"/>
    <w:rsid w:val="00FB4546"/>
    <w:rsid w:val="00FB4835"/>
    <w:rsid w:val="00FB4DE9"/>
    <w:rsid w:val="00FB5862"/>
    <w:rsid w:val="00FC0135"/>
    <w:rsid w:val="00FC52B5"/>
    <w:rsid w:val="00FD1E11"/>
    <w:rsid w:val="00FD1ED3"/>
    <w:rsid w:val="00FD270A"/>
    <w:rsid w:val="00FD2CDA"/>
    <w:rsid w:val="00FD44DB"/>
    <w:rsid w:val="00FD6933"/>
    <w:rsid w:val="00FE067C"/>
    <w:rsid w:val="00FE3A5F"/>
    <w:rsid w:val="00FE5297"/>
    <w:rsid w:val="00FE5AA0"/>
    <w:rsid w:val="00FE77DE"/>
    <w:rsid w:val="00FF14AD"/>
    <w:rsid w:val="00FF2977"/>
    <w:rsid w:val="00FF5932"/>
    <w:rsid w:val="00FF6D59"/>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CA4E05"/>
  <w15:chartTrackingRefBased/>
  <w15:docId w15:val="{4FF33E53-BAA4-4116-921F-B5F732EC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4"/>
    </w:rPr>
  </w:style>
  <w:style w:type="paragraph" w:styleId="BalloonText">
    <w:name w:val="Balloon Text"/>
    <w:basedOn w:val="Normal"/>
    <w:semiHidden/>
    <w:rsid w:val="009B61C4"/>
    <w:rPr>
      <w:rFonts w:ascii="Tahoma" w:hAnsi="Tahoma" w:cs="Tahoma"/>
      <w:sz w:val="16"/>
      <w:szCs w:val="16"/>
    </w:rPr>
  </w:style>
  <w:style w:type="character" w:styleId="CommentReference">
    <w:name w:val="annotation reference"/>
    <w:semiHidden/>
    <w:rsid w:val="008A08D0"/>
    <w:rPr>
      <w:sz w:val="16"/>
      <w:szCs w:val="16"/>
    </w:rPr>
  </w:style>
  <w:style w:type="paragraph" w:styleId="CommentText">
    <w:name w:val="annotation text"/>
    <w:basedOn w:val="Normal"/>
    <w:semiHidden/>
    <w:rsid w:val="008A08D0"/>
  </w:style>
  <w:style w:type="paragraph" w:styleId="CommentSubject">
    <w:name w:val="annotation subject"/>
    <w:basedOn w:val="CommentText"/>
    <w:next w:val="CommentText"/>
    <w:semiHidden/>
    <w:rsid w:val="008A08D0"/>
    <w:rPr>
      <w:b/>
      <w:bCs/>
    </w:rPr>
  </w:style>
  <w:style w:type="paragraph" w:styleId="BodyTextIndent3">
    <w:name w:val="Body Text Indent 3"/>
    <w:basedOn w:val="Normal"/>
    <w:link w:val="BodyTextIndent3Char"/>
    <w:rsid w:val="00D64531"/>
    <w:pPr>
      <w:spacing w:after="120"/>
      <w:ind w:left="360"/>
    </w:pPr>
    <w:rPr>
      <w:sz w:val="16"/>
      <w:szCs w:val="16"/>
    </w:rPr>
  </w:style>
  <w:style w:type="character" w:customStyle="1" w:styleId="BodyTextIndent3Char">
    <w:name w:val="Body Text Indent 3 Char"/>
    <w:link w:val="BodyTextIndent3"/>
    <w:rsid w:val="00D64531"/>
    <w:rPr>
      <w:sz w:val="16"/>
      <w:szCs w:val="16"/>
    </w:rPr>
  </w:style>
  <w:style w:type="paragraph" w:styleId="NormalWeb">
    <w:name w:val="Normal (Web)"/>
    <w:basedOn w:val="Normal"/>
    <w:uiPriority w:val="99"/>
    <w:rsid w:val="00865501"/>
    <w:pPr>
      <w:spacing w:before="100" w:beforeAutospacing="1" w:after="100" w:afterAutospacing="1"/>
    </w:pPr>
    <w:rPr>
      <w:rFonts w:ascii="Verdana" w:hAnsi="Verdana"/>
      <w:color w:val="000000"/>
    </w:rPr>
  </w:style>
  <w:style w:type="character" w:styleId="Hyperlink">
    <w:name w:val="Hyperlink"/>
    <w:rsid w:val="004618BA"/>
    <w:rPr>
      <w:color w:val="0000FF"/>
      <w:u w:val="single"/>
    </w:rPr>
  </w:style>
  <w:style w:type="paragraph" w:styleId="Header">
    <w:name w:val="header"/>
    <w:basedOn w:val="Normal"/>
    <w:link w:val="HeaderChar"/>
    <w:uiPriority w:val="99"/>
    <w:rsid w:val="00AE6FF4"/>
    <w:pPr>
      <w:tabs>
        <w:tab w:val="center" w:pos="4680"/>
        <w:tab w:val="right" w:pos="9360"/>
      </w:tabs>
    </w:pPr>
  </w:style>
  <w:style w:type="character" w:customStyle="1" w:styleId="HeaderChar">
    <w:name w:val="Header Char"/>
    <w:basedOn w:val="DefaultParagraphFont"/>
    <w:link w:val="Header"/>
    <w:uiPriority w:val="99"/>
    <w:rsid w:val="00AE6FF4"/>
  </w:style>
  <w:style w:type="paragraph" w:styleId="Footer">
    <w:name w:val="footer"/>
    <w:basedOn w:val="Normal"/>
    <w:link w:val="FooterChar"/>
    <w:uiPriority w:val="99"/>
    <w:rsid w:val="00AE6FF4"/>
    <w:pPr>
      <w:tabs>
        <w:tab w:val="center" w:pos="4680"/>
        <w:tab w:val="right" w:pos="9360"/>
      </w:tabs>
    </w:pPr>
  </w:style>
  <w:style w:type="character" w:customStyle="1" w:styleId="FooterChar">
    <w:name w:val="Footer Char"/>
    <w:basedOn w:val="DefaultParagraphFont"/>
    <w:link w:val="Footer"/>
    <w:uiPriority w:val="99"/>
    <w:rsid w:val="00AE6FF4"/>
  </w:style>
  <w:style w:type="paragraph" w:styleId="PlainText">
    <w:name w:val="Plain Text"/>
    <w:basedOn w:val="Normal"/>
    <w:link w:val="PlainTextChar"/>
    <w:uiPriority w:val="99"/>
    <w:unhideWhenUsed/>
    <w:rsid w:val="00133B9F"/>
    <w:rPr>
      <w:rFonts w:ascii="Century Gothic" w:hAnsi="Century Gothic"/>
      <w:szCs w:val="21"/>
    </w:rPr>
  </w:style>
  <w:style w:type="character" w:customStyle="1" w:styleId="PlainTextChar">
    <w:name w:val="Plain Text Char"/>
    <w:link w:val="PlainText"/>
    <w:uiPriority w:val="99"/>
    <w:rsid w:val="00133B9F"/>
    <w:rPr>
      <w:rFonts w:ascii="Century Gothic" w:hAnsi="Century Gothic"/>
      <w:szCs w:val="21"/>
    </w:rPr>
  </w:style>
  <w:style w:type="paragraph" w:styleId="ListParagraph">
    <w:name w:val="List Paragraph"/>
    <w:basedOn w:val="Normal"/>
    <w:uiPriority w:val="34"/>
    <w:qFormat/>
    <w:rsid w:val="003B0668"/>
    <w:pPr>
      <w:ind w:left="720"/>
    </w:pPr>
    <w:rPr>
      <w:rFonts w:eastAsia="Calibri"/>
      <w:sz w:val="24"/>
      <w:szCs w:val="24"/>
    </w:rPr>
  </w:style>
  <w:style w:type="paragraph" w:styleId="FootnoteText">
    <w:name w:val="footnote text"/>
    <w:basedOn w:val="Normal"/>
    <w:link w:val="FootnoteTextChar"/>
    <w:rsid w:val="001509E7"/>
  </w:style>
  <w:style w:type="character" w:customStyle="1" w:styleId="FootnoteTextChar">
    <w:name w:val="Footnote Text Char"/>
    <w:basedOn w:val="DefaultParagraphFont"/>
    <w:link w:val="FootnoteText"/>
    <w:rsid w:val="001509E7"/>
  </w:style>
  <w:style w:type="character" w:styleId="FootnoteReference">
    <w:name w:val="footnote reference"/>
    <w:rsid w:val="001509E7"/>
    <w:rPr>
      <w:vertAlign w:val="superscript"/>
    </w:rPr>
  </w:style>
  <w:style w:type="character" w:styleId="Strong">
    <w:name w:val="Strong"/>
    <w:uiPriority w:val="22"/>
    <w:qFormat/>
    <w:rsid w:val="00530B15"/>
    <w:rPr>
      <w:b/>
      <w:bCs/>
    </w:rPr>
  </w:style>
  <w:style w:type="character" w:styleId="FollowedHyperlink">
    <w:name w:val="FollowedHyperlink"/>
    <w:rsid w:val="001D035E"/>
    <w:rPr>
      <w:color w:val="954F72"/>
      <w:u w:val="single"/>
    </w:rPr>
  </w:style>
  <w:style w:type="paragraph" w:customStyle="1" w:styleId="Level1">
    <w:name w:val="Level 1"/>
    <w:basedOn w:val="Normal"/>
    <w:rsid w:val="00E62D30"/>
    <w:pPr>
      <w:widowControl w:val="0"/>
      <w:autoSpaceDE w:val="0"/>
      <w:autoSpaceDN w:val="0"/>
      <w:adjustRightInd w:val="0"/>
      <w:ind w:left="360" w:hanging="3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220751">
      <w:bodyDiv w:val="1"/>
      <w:marLeft w:val="0"/>
      <w:marRight w:val="0"/>
      <w:marTop w:val="0"/>
      <w:marBottom w:val="0"/>
      <w:divBdr>
        <w:top w:val="none" w:sz="0" w:space="0" w:color="auto"/>
        <w:left w:val="none" w:sz="0" w:space="0" w:color="auto"/>
        <w:bottom w:val="none" w:sz="0" w:space="0" w:color="auto"/>
        <w:right w:val="none" w:sz="0" w:space="0" w:color="auto"/>
      </w:divBdr>
    </w:div>
    <w:div w:id="235751670">
      <w:bodyDiv w:val="1"/>
      <w:marLeft w:val="0"/>
      <w:marRight w:val="0"/>
      <w:marTop w:val="0"/>
      <w:marBottom w:val="0"/>
      <w:divBdr>
        <w:top w:val="none" w:sz="0" w:space="0" w:color="auto"/>
        <w:left w:val="none" w:sz="0" w:space="0" w:color="auto"/>
        <w:bottom w:val="none" w:sz="0" w:space="0" w:color="auto"/>
        <w:right w:val="none" w:sz="0" w:space="0" w:color="auto"/>
      </w:divBdr>
      <w:divsChild>
        <w:div w:id="571427182">
          <w:marLeft w:val="0"/>
          <w:marRight w:val="0"/>
          <w:marTop w:val="0"/>
          <w:marBottom w:val="0"/>
          <w:divBdr>
            <w:top w:val="none" w:sz="0" w:space="0" w:color="auto"/>
            <w:left w:val="none" w:sz="0" w:space="0" w:color="auto"/>
            <w:bottom w:val="none" w:sz="0" w:space="0" w:color="auto"/>
            <w:right w:val="none" w:sz="0" w:space="0" w:color="auto"/>
          </w:divBdr>
          <w:divsChild>
            <w:div w:id="1819299669">
              <w:marLeft w:val="0"/>
              <w:marRight w:val="0"/>
              <w:marTop w:val="0"/>
              <w:marBottom w:val="0"/>
              <w:divBdr>
                <w:top w:val="none" w:sz="0" w:space="0" w:color="auto"/>
                <w:left w:val="none" w:sz="0" w:space="0" w:color="auto"/>
                <w:bottom w:val="none" w:sz="0" w:space="0" w:color="auto"/>
                <w:right w:val="none" w:sz="0" w:space="0" w:color="auto"/>
              </w:divBdr>
            </w:div>
          </w:divsChild>
        </w:div>
        <w:div w:id="1972247247">
          <w:marLeft w:val="0"/>
          <w:marRight w:val="0"/>
          <w:marTop w:val="0"/>
          <w:marBottom w:val="0"/>
          <w:divBdr>
            <w:top w:val="none" w:sz="0" w:space="0" w:color="auto"/>
            <w:left w:val="none" w:sz="0" w:space="0" w:color="auto"/>
            <w:bottom w:val="none" w:sz="0" w:space="0" w:color="auto"/>
            <w:right w:val="none" w:sz="0" w:space="0" w:color="auto"/>
          </w:divBdr>
          <w:divsChild>
            <w:div w:id="504049961">
              <w:marLeft w:val="0"/>
              <w:marRight w:val="0"/>
              <w:marTop w:val="0"/>
              <w:marBottom w:val="0"/>
              <w:divBdr>
                <w:top w:val="none" w:sz="0" w:space="0" w:color="auto"/>
                <w:left w:val="none" w:sz="0" w:space="0" w:color="auto"/>
                <w:bottom w:val="none" w:sz="0" w:space="0" w:color="auto"/>
                <w:right w:val="none" w:sz="0" w:space="0" w:color="auto"/>
              </w:divBdr>
            </w:div>
          </w:divsChild>
        </w:div>
        <w:div w:id="2138406904">
          <w:marLeft w:val="0"/>
          <w:marRight w:val="0"/>
          <w:marTop w:val="0"/>
          <w:marBottom w:val="0"/>
          <w:divBdr>
            <w:top w:val="none" w:sz="0" w:space="0" w:color="auto"/>
            <w:left w:val="none" w:sz="0" w:space="0" w:color="auto"/>
            <w:bottom w:val="none" w:sz="0" w:space="0" w:color="auto"/>
            <w:right w:val="none" w:sz="0" w:space="0" w:color="auto"/>
          </w:divBdr>
          <w:divsChild>
            <w:div w:id="143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7636">
      <w:bodyDiv w:val="1"/>
      <w:marLeft w:val="0"/>
      <w:marRight w:val="0"/>
      <w:marTop w:val="0"/>
      <w:marBottom w:val="0"/>
      <w:divBdr>
        <w:top w:val="none" w:sz="0" w:space="0" w:color="auto"/>
        <w:left w:val="none" w:sz="0" w:space="0" w:color="auto"/>
        <w:bottom w:val="none" w:sz="0" w:space="0" w:color="auto"/>
        <w:right w:val="none" w:sz="0" w:space="0" w:color="auto"/>
      </w:divBdr>
    </w:div>
    <w:div w:id="425266845">
      <w:bodyDiv w:val="1"/>
      <w:marLeft w:val="0"/>
      <w:marRight w:val="0"/>
      <w:marTop w:val="0"/>
      <w:marBottom w:val="0"/>
      <w:divBdr>
        <w:top w:val="none" w:sz="0" w:space="0" w:color="auto"/>
        <w:left w:val="none" w:sz="0" w:space="0" w:color="auto"/>
        <w:bottom w:val="none" w:sz="0" w:space="0" w:color="auto"/>
        <w:right w:val="none" w:sz="0" w:space="0" w:color="auto"/>
      </w:divBdr>
    </w:div>
    <w:div w:id="464156694">
      <w:bodyDiv w:val="1"/>
      <w:marLeft w:val="0"/>
      <w:marRight w:val="0"/>
      <w:marTop w:val="0"/>
      <w:marBottom w:val="0"/>
      <w:divBdr>
        <w:top w:val="none" w:sz="0" w:space="0" w:color="auto"/>
        <w:left w:val="none" w:sz="0" w:space="0" w:color="auto"/>
        <w:bottom w:val="none" w:sz="0" w:space="0" w:color="auto"/>
        <w:right w:val="none" w:sz="0" w:space="0" w:color="auto"/>
      </w:divBdr>
    </w:div>
    <w:div w:id="752632100">
      <w:bodyDiv w:val="1"/>
      <w:marLeft w:val="0"/>
      <w:marRight w:val="0"/>
      <w:marTop w:val="0"/>
      <w:marBottom w:val="0"/>
      <w:divBdr>
        <w:top w:val="none" w:sz="0" w:space="0" w:color="auto"/>
        <w:left w:val="none" w:sz="0" w:space="0" w:color="auto"/>
        <w:bottom w:val="none" w:sz="0" w:space="0" w:color="auto"/>
        <w:right w:val="none" w:sz="0" w:space="0" w:color="auto"/>
      </w:divBdr>
    </w:div>
    <w:div w:id="877396385">
      <w:bodyDiv w:val="1"/>
      <w:marLeft w:val="0"/>
      <w:marRight w:val="0"/>
      <w:marTop w:val="0"/>
      <w:marBottom w:val="0"/>
      <w:divBdr>
        <w:top w:val="none" w:sz="0" w:space="0" w:color="auto"/>
        <w:left w:val="none" w:sz="0" w:space="0" w:color="auto"/>
        <w:bottom w:val="none" w:sz="0" w:space="0" w:color="auto"/>
        <w:right w:val="none" w:sz="0" w:space="0" w:color="auto"/>
      </w:divBdr>
    </w:div>
    <w:div w:id="1212841406">
      <w:bodyDiv w:val="1"/>
      <w:marLeft w:val="0"/>
      <w:marRight w:val="0"/>
      <w:marTop w:val="0"/>
      <w:marBottom w:val="0"/>
      <w:divBdr>
        <w:top w:val="none" w:sz="0" w:space="0" w:color="auto"/>
        <w:left w:val="none" w:sz="0" w:space="0" w:color="auto"/>
        <w:bottom w:val="none" w:sz="0" w:space="0" w:color="auto"/>
        <w:right w:val="none" w:sz="0" w:space="0" w:color="auto"/>
      </w:divBdr>
    </w:div>
    <w:div w:id="1377240130">
      <w:bodyDiv w:val="1"/>
      <w:marLeft w:val="0"/>
      <w:marRight w:val="0"/>
      <w:marTop w:val="0"/>
      <w:marBottom w:val="0"/>
      <w:divBdr>
        <w:top w:val="none" w:sz="0" w:space="0" w:color="auto"/>
        <w:left w:val="none" w:sz="0" w:space="0" w:color="auto"/>
        <w:bottom w:val="none" w:sz="0" w:space="0" w:color="auto"/>
        <w:right w:val="none" w:sz="0" w:space="0" w:color="auto"/>
      </w:divBdr>
    </w:div>
    <w:div w:id="1482577235">
      <w:bodyDiv w:val="1"/>
      <w:marLeft w:val="0"/>
      <w:marRight w:val="0"/>
      <w:marTop w:val="0"/>
      <w:marBottom w:val="0"/>
      <w:divBdr>
        <w:top w:val="none" w:sz="0" w:space="0" w:color="auto"/>
        <w:left w:val="none" w:sz="0" w:space="0" w:color="auto"/>
        <w:bottom w:val="none" w:sz="0" w:space="0" w:color="auto"/>
        <w:right w:val="none" w:sz="0" w:space="0" w:color="auto"/>
      </w:divBdr>
    </w:div>
    <w:div w:id="1825078206">
      <w:bodyDiv w:val="1"/>
      <w:marLeft w:val="0"/>
      <w:marRight w:val="0"/>
      <w:marTop w:val="0"/>
      <w:marBottom w:val="0"/>
      <w:divBdr>
        <w:top w:val="none" w:sz="0" w:space="0" w:color="auto"/>
        <w:left w:val="none" w:sz="0" w:space="0" w:color="auto"/>
        <w:bottom w:val="none" w:sz="0" w:space="0" w:color="auto"/>
        <w:right w:val="none" w:sz="0" w:space="0" w:color="auto"/>
      </w:divBdr>
      <w:divsChild>
        <w:div w:id="1717583749">
          <w:marLeft w:val="0"/>
          <w:marRight w:val="0"/>
          <w:marTop w:val="0"/>
          <w:marBottom w:val="0"/>
          <w:divBdr>
            <w:top w:val="none" w:sz="0" w:space="0" w:color="auto"/>
            <w:left w:val="none" w:sz="0" w:space="0" w:color="auto"/>
            <w:bottom w:val="none" w:sz="0" w:space="0" w:color="auto"/>
            <w:right w:val="none" w:sz="0" w:space="0" w:color="auto"/>
          </w:divBdr>
        </w:div>
      </w:divsChild>
    </w:div>
    <w:div w:id="1964455068">
      <w:bodyDiv w:val="1"/>
      <w:marLeft w:val="0"/>
      <w:marRight w:val="0"/>
      <w:marTop w:val="0"/>
      <w:marBottom w:val="0"/>
      <w:divBdr>
        <w:top w:val="none" w:sz="0" w:space="0" w:color="auto"/>
        <w:left w:val="none" w:sz="0" w:space="0" w:color="auto"/>
        <w:bottom w:val="none" w:sz="0" w:space="0" w:color="auto"/>
        <w:right w:val="none" w:sz="0" w:space="0" w:color="auto"/>
      </w:divBdr>
      <w:divsChild>
        <w:div w:id="1305739577">
          <w:marLeft w:val="0"/>
          <w:marRight w:val="0"/>
          <w:marTop w:val="0"/>
          <w:marBottom w:val="0"/>
          <w:divBdr>
            <w:top w:val="none" w:sz="0" w:space="0" w:color="auto"/>
            <w:left w:val="none" w:sz="0" w:space="0" w:color="auto"/>
            <w:bottom w:val="none" w:sz="0" w:space="0" w:color="auto"/>
            <w:right w:val="none" w:sz="0" w:space="0" w:color="auto"/>
          </w:divBdr>
          <w:divsChild>
            <w:div w:id="1095401163">
              <w:marLeft w:val="0"/>
              <w:marRight w:val="0"/>
              <w:marTop w:val="0"/>
              <w:marBottom w:val="0"/>
              <w:divBdr>
                <w:top w:val="none" w:sz="0" w:space="0" w:color="auto"/>
                <w:left w:val="none" w:sz="0" w:space="0" w:color="auto"/>
                <w:bottom w:val="none" w:sz="0" w:space="0" w:color="auto"/>
                <w:right w:val="none" w:sz="0" w:space="0" w:color="auto"/>
              </w:divBdr>
              <w:divsChild>
                <w:div w:id="339091817">
                  <w:marLeft w:val="0"/>
                  <w:marRight w:val="0"/>
                  <w:marTop w:val="0"/>
                  <w:marBottom w:val="0"/>
                  <w:divBdr>
                    <w:top w:val="none" w:sz="0" w:space="0" w:color="auto"/>
                    <w:left w:val="none" w:sz="0" w:space="0" w:color="auto"/>
                    <w:bottom w:val="none" w:sz="0" w:space="0" w:color="auto"/>
                    <w:right w:val="none" w:sz="0" w:space="0" w:color="auto"/>
                  </w:divBdr>
                  <w:divsChild>
                    <w:div w:id="1811744559">
                      <w:marLeft w:val="0"/>
                      <w:marRight w:val="0"/>
                      <w:marTop w:val="0"/>
                      <w:marBottom w:val="0"/>
                      <w:divBdr>
                        <w:top w:val="none" w:sz="0" w:space="0" w:color="auto"/>
                        <w:left w:val="none" w:sz="0" w:space="0" w:color="auto"/>
                        <w:bottom w:val="none" w:sz="0" w:space="0" w:color="auto"/>
                        <w:right w:val="none" w:sz="0" w:space="0" w:color="auto"/>
                      </w:divBdr>
                      <w:divsChild>
                        <w:div w:id="1089154261">
                          <w:marLeft w:val="0"/>
                          <w:marRight w:val="0"/>
                          <w:marTop w:val="0"/>
                          <w:marBottom w:val="0"/>
                          <w:divBdr>
                            <w:top w:val="none" w:sz="0" w:space="0" w:color="auto"/>
                            <w:left w:val="none" w:sz="0" w:space="0" w:color="auto"/>
                            <w:bottom w:val="none" w:sz="0" w:space="0" w:color="auto"/>
                            <w:right w:val="none" w:sz="0" w:space="0" w:color="auto"/>
                          </w:divBdr>
                          <w:divsChild>
                            <w:div w:id="496770519">
                              <w:marLeft w:val="0"/>
                              <w:marRight w:val="0"/>
                              <w:marTop w:val="0"/>
                              <w:marBottom w:val="0"/>
                              <w:divBdr>
                                <w:top w:val="none" w:sz="0" w:space="0" w:color="auto"/>
                                <w:left w:val="none" w:sz="0" w:space="0" w:color="auto"/>
                                <w:bottom w:val="none" w:sz="0" w:space="0" w:color="auto"/>
                                <w:right w:val="none" w:sz="0" w:space="0" w:color="auto"/>
                              </w:divBdr>
                              <w:divsChild>
                                <w:div w:id="534195918">
                                  <w:marLeft w:val="0"/>
                                  <w:marRight w:val="0"/>
                                  <w:marTop w:val="0"/>
                                  <w:marBottom w:val="0"/>
                                  <w:divBdr>
                                    <w:top w:val="none" w:sz="0" w:space="0" w:color="auto"/>
                                    <w:left w:val="none" w:sz="0" w:space="0" w:color="auto"/>
                                    <w:bottom w:val="none" w:sz="0" w:space="0" w:color="auto"/>
                                    <w:right w:val="none" w:sz="0" w:space="0" w:color="auto"/>
                                  </w:divBdr>
                                  <w:divsChild>
                                    <w:div w:id="1613587187">
                                      <w:marLeft w:val="0"/>
                                      <w:marRight w:val="0"/>
                                      <w:marTop w:val="0"/>
                                      <w:marBottom w:val="0"/>
                                      <w:divBdr>
                                        <w:top w:val="none" w:sz="0" w:space="0" w:color="auto"/>
                                        <w:left w:val="none" w:sz="0" w:space="0" w:color="auto"/>
                                        <w:bottom w:val="none" w:sz="0" w:space="0" w:color="auto"/>
                                        <w:right w:val="none" w:sz="0" w:space="0" w:color="auto"/>
                                      </w:divBdr>
                                      <w:divsChild>
                                        <w:div w:id="144900849">
                                          <w:marLeft w:val="0"/>
                                          <w:marRight w:val="0"/>
                                          <w:marTop w:val="0"/>
                                          <w:marBottom w:val="0"/>
                                          <w:divBdr>
                                            <w:top w:val="none" w:sz="0" w:space="0" w:color="auto"/>
                                            <w:left w:val="none" w:sz="0" w:space="0" w:color="auto"/>
                                            <w:bottom w:val="none" w:sz="0" w:space="0" w:color="auto"/>
                                            <w:right w:val="none" w:sz="0" w:space="0" w:color="auto"/>
                                          </w:divBdr>
                                          <w:divsChild>
                                            <w:div w:id="384107644">
                                              <w:marLeft w:val="0"/>
                                              <w:marRight w:val="0"/>
                                              <w:marTop w:val="0"/>
                                              <w:marBottom w:val="0"/>
                                              <w:divBdr>
                                                <w:top w:val="none" w:sz="0" w:space="0" w:color="auto"/>
                                                <w:left w:val="none" w:sz="0" w:space="0" w:color="auto"/>
                                                <w:bottom w:val="none" w:sz="0" w:space="0" w:color="auto"/>
                                                <w:right w:val="none" w:sz="0" w:space="0" w:color="auto"/>
                                              </w:divBdr>
                                              <w:divsChild>
                                                <w:div w:id="119835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658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tus/lexicon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ls.gov/tus" TargetMode="External"/><Relationship Id="rId4" Type="http://schemas.openxmlformats.org/officeDocument/2006/relationships/settings" Target="settings.xml"/><Relationship Id="rId9" Type="http://schemas.openxmlformats.org/officeDocument/2006/relationships/hyperlink" Target="http://www.bls.gov/opub/mlr/2005/06/art1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6937D-F29A-426B-B930-77B5798B3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3720</Words>
  <Characters>21205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24876</CharactersWithSpaces>
  <SharedDoc>false</SharedDoc>
  <HLinks>
    <vt:vector size="18" baseType="variant">
      <vt:variant>
        <vt:i4>2883623</vt:i4>
      </vt:variant>
      <vt:variant>
        <vt:i4>6</vt:i4>
      </vt:variant>
      <vt:variant>
        <vt:i4>0</vt:i4>
      </vt:variant>
      <vt:variant>
        <vt:i4>5</vt:i4>
      </vt:variant>
      <vt:variant>
        <vt:lpwstr>http://www.bls.gov/tus</vt:lpwstr>
      </vt:variant>
      <vt:variant>
        <vt:lpwstr/>
      </vt:variant>
      <vt:variant>
        <vt:i4>720913</vt:i4>
      </vt:variant>
      <vt:variant>
        <vt:i4>3</vt:i4>
      </vt:variant>
      <vt:variant>
        <vt:i4>0</vt:i4>
      </vt:variant>
      <vt:variant>
        <vt:i4>5</vt:i4>
      </vt:variant>
      <vt:variant>
        <vt:lpwstr>http://www.bls.gov/opub/mlr/2005/06/art1full.pdf</vt:lpwstr>
      </vt:variant>
      <vt:variant>
        <vt:lpwstr/>
      </vt:variant>
      <vt:variant>
        <vt:i4>7274608</vt:i4>
      </vt:variant>
      <vt:variant>
        <vt:i4>0</vt:i4>
      </vt:variant>
      <vt:variant>
        <vt:i4>0</vt:i4>
      </vt:variant>
      <vt:variant>
        <vt:i4>5</vt:i4>
      </vt:variant>
      <vt:variant>
        <vt:lpwstr>http://www.bls.gov/tus/lexicons.htm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OEUS Network</dc:creator>
  <cp:keywords/>
  <dc:description/>
  <cp:lastModifiedBy>Anthony May</cp:lastModifiedBy>
  <cp:revision>2</cp:revision>
  <cp:lastPrinted>2010-01-15T19:20:00Z</cp:lastPrinted>
  <dcterms:created xsi:type="dcterms:W3CDTF">2020-12-23T15:31:00Z</dcterms:created>
  <dcterms:modified xsi:type="dcterms:W3CDTF">2020-12-23T15:31:00Z</dcterms:modified>
</cp:coreProperties>
</file>