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D1A78" w:rsidR="005830BA" w:rsidRDefault="005830BA" w14:paraId="5BB62A9B" w14:textId="77777777">
      <w:pPr>
        <w:pStyle w:val="Title"/>
        <w:rPr>
          <w:sz w:val="28"/>
          <w:szCs w:val="28"/>
        </w:rPr>
      </w:pPr>
      <w:r w:rsidRPr="006D1A78">
        <w:rPr>
          <w:sz w:val="28"/>
          <w:szCs w:val="28"/>
        </w:rPr>
        <w:t>SUPPORTING STATEMENT FOR</w:t>
      </w:r>
    </w:p>
    <w:p w:rsidRPr="006D1A78" w:rsidR="00B601AB" w:rsidP="005830BA" w:rsidRDefault="00B601AB" w14:paraId="768D601C" w14:textId="77777777">
      <w:pPr>
        <w:pStyle w:val="Title"/>
        <w:rPr>
          <w:sz w:val="28"/>
          <w:szCs w:val="28"/>
        </w:rPr>
      </w:pPr>
      <w:r w:rsidRPr="006D1A78">
        <w:rPr>
          <w:sz w:val="28"/>
          <w:szCs w:val="28"/>
        </w:rPr>
        <w:t>PAPE</w:t>
      </w:r>
      <w:r w:rsidRPr="006D1A78" w:rsidR="002B2345">
        <w:rPr>
          <w:sz w:val="28"/>
          <w:szCs w:val="28"/>
        </w:rPr>
        <w:t>RWORK REDUCTION ACT SUBMISSION</w:t>
      </w:r>
    </w:p>
    <w:p w:rsidRPr="006D1A78" w:rsidR="00B601AB" w:rsidRDefault="00B601AB" w14:paraId="28AD1047" w14:textId="77777777">
      <w:pPr>
        <w:ind w:firstLine="360"/>
        <w:jc w:val="center"/>
        <w:rPr>
          <w:sz w:val="28"/>
          <w:szCs w:val="28"/>
        </w:rPr>
      </w:pPr>
    </w:p>
    <w:p w:rsidRPr="006D1A78" w:rsidR="00B369C4" w:rsidP="00F81813" w:rsidRDefault="00B141FA" w14:paraId="1256423F" w14:textId="77777777">
      <w:pPr>
        <w:jc w:val="center"/>
        <w:rPr>
          <w:b/>
          <w:sz w:val="28"/>
          <w:szCs w:val="28"/>
        </w:rPr>
      </w:pPr>
      <w:r w:rsidRPr="006D1A78">
        <w:rPr>
          <w:b/>
          <w:sz w:val="28"/>
          <w:szCs w:val="28"/>
        </w:rPr>
        <w:t>Request to Change End-User, End-</w:t>
      </w:r>
      <w:r w:rsidRPr="006D1A78" w:rsidR="00B369C4">
        <w:rPr>
          <w:b/>
          <w:sz w:val="28"/>
          <w:szCs w:val="28"/>
        </w:rPr>
        <w:t xml:space="preserve">Use and/or Destination of Hardware </w:t>
      </w:r>
    </w:p>
    <w:p w:rsidR="00F81813" w:rsidP="00F81813" w:rsidRDefault="00B369C4" w14:paraId="1238252F" w14:textId="77777777">
      <w:pPr>
        <w:jc w:val="center"/>
        <w:rPr>
          <w:b/>
          <w:sz w:val="28"/>
          <w:szCs w:val="28"/>
        </w:rPr>
      </w:pPr>
      <w:r w:rsidRPr="006D1A78">
        <w:rPr>
          <w:b/>
          <w:sz w:val="28"/>
          <w:szCs w:val="28"/>
        </w:rPr>
        <w:t>OMB No. 1405-0173</w:t>
      </w:r>
    </w:p>
    <w:p w:rsidRPr="0016287D" w:rsidR="0049041D" w:rsidP="0049041D" w:rsidRDefault="0049041D" w14:paraId="0EF73BB1" w14:textId="77777777">
      <w:pPr>
        <w:pStyle w:val="BodyText3"/>
        <w:rPr>
          <w:szCs w:val="28"/>
        </w:rPr>
      </w:pPr>
      <w:r w:rsidRPr="0016287D">
        <w:rPr>
          <w:szCs w:val="28"/>
        </w:rPr>
        <w:t>Form DS-6004</w:t>
      </w:r>
    </w:p>
    <w:p w:rsidRPr="006D1A78" w:rsidR="0049041D" w:rsidP="00F81813" w:rsidRDefault="0049041D" w14:paraId="3DB9B0F2" w14:textId="77777777">
      <w:pPr>
        <w:jc w:val="center"/>
        <w:rPr>
          <w:b/>
          <w:sz w:val="28"/>
          <w:szCs w:val="28"/>
        </w:rPr>
      </w:pPr>
    </w:p>
    <w:p w:rsidRPr="006D1A78" w:rsidR="00B601AB" w:rsidRDefault="00B601AB" w14:paraId="17C5FDDF" w14:textId="77777777">
      <w:pPr>
        <w:jc w:val="center"/>
        <w:rPr>
          <w:b/>
          <w:sz w:val="28"/>
          <w:szCs w:val="28"/>
        </w:rPr>
      </w:pPr>
    </w:p>
    <w:p w:rsidRPr="006D1A78" w:rsidR="00B601AB" w:rsidRDefault="00B601AB" w14:paraId="21A91234" w14:textId="77777777">
      <w:pPr>
        <w:pStyle w:val="Heading2"/>
        <w:jc w:val="left"/>
        <w:rPr>
          <w:color w:val="auto"/>
          <w:sz w:val="28"/>
          <w:szCs w:val="28"/>
        </w:rPr>
      </w:pPr>
      <w:r w:rsidRPr="006D1A78">
        <w:rPr>
          <w:color w:val="auto"/>
          <w:sz w:val="28"/>
          <w:szCs w:val="28"/>
        </w:rPr>
        <w:t>A.  Justification</w:t>
      </w:r>
    </w:p>
    <w:p w:rsidRPr="006D1A78" w:rsidR="00B601AB" w:rsidRDefault="00B601AB" w14:paraId="6E2C2596" w14:textId="77777777">
      <w:pPr>
        <w:jc w:val="center"/>
        <w:rPr>
          <w:b/>
          <w:sz w:val="28"/>
          <w:szCs w:val="28"/>
        </w:rPr>
      </w:pPr>
    </w:p>
    <w:p w:rsidRPr="007F6199" w:rsidR="00902C0E" w:rsidP="00902C0E" w:rsidRDefault="00902C0E" w14:paraId="38DE09B9" w14:textId="06397737">
      <w:pPr>
        <w:numPr>
          <w:ilvl w:val="0"/>
          <w:numId w:val="12"/>
        </w:numPr>
        <w:spacing w:after="120"/>
        <w:rPr>
          <w:i/>
          <w:color w:val="000000" w:themeColor="text1"/>
          <w:sz w:val="28"/>
          <w:szCs w:val="28"/>
        </w:rPr>
      </w:pPr>
      <w:r w:rsidRPr="007F6199">
        <w:rPr>
          <w:i/>
          <w:color w:val="000000" w:themeColor="text1"/>
          <w:sz w:val="28"/>
          <w:szCs w:val="28"/>
        </w:rPr>
        <w:t>Why is this collection necessary and what are the legal statutes that allow this?</w:t>
      </w:r>
    </w:p>
    <w:p w:rsidR="00902C0E" w:rsidP="00C56E58" w:rsidRDefault="00902C0E" w14:paraId="5E90A189" w14:textId="77777777">
      <w:pPr>
        <w:pStyle w:val="BodyText2"/>
        <w:rPr>
          <w:szCs w:val="28"/>
        </w:rPr>
      </w:pPr>
    </w:p>
    <w:p w:rsidRPr="007F559F" w:rsidR="00C56E58" w:rsidP="00C56E58" w:rsidRDefault="00C56E58" w14:paraId="2EAADD62" w14:textId="4F327A74">
      <w:pPr>
        <w:pStyle w:val="BodyText2"/>
        <w:rPr>
          <w:szCs w:val="28"/>
        </w:rPr>
      </w:pPr>
      <w:r w:rsidRPr="00820E94">
        <w:rPr>
          <w:szCs w:val="28"/>
        </w:rPr>
        <w:t xml:space="preserve">The Directorate of Defense Trade Controls (DDTC), Bureau of Political-Military Affairs, U.S. Department of State, in accordance with the Arms Export Control Act (AECA) (22 U.S.C. 2751 </w:t>
      </w:r>
      <w:r w:rsidRPr="002414A6">
        <w:rPr>
          <w:i/>
          <w:szCs w:val="28"/>
        </w:rPr>
        <w:t>et seq</w:t>
      </w:r>
      <w:r w:rsidRPr="00820E94">
        <w:rPr>
          <w:szCs w:val="28"/>
        </w:rPr>
        <w:t>.)</w:t>
      </w:r>
      <w:r>
        <w:rPr>
          <w:szCs w:val="28"/>
        </w:rPr>
        <w:t>,</w:t>
      </w:r>
      <w:r w:rsidRPr="00820E94">
        <w:rPr>
          <w:szCs w:val="28"/>
        </w:rPr>
        <w:t xml:space="preserve"> the International Traffic in Arms Regulations (ITAR) (22 CFR </w:t>
      </w:r>
      <w:r>
        <w:rPr>
          <w:szCs w:val="28"/>
        </w:rPr>
        <w:t>p</w:t>
      </w:r>
      <w:r w:rsidRPr="00820E94">
        <w:rPr>
          <w:szCs w:val="28"/>
        </w:rPr>
        <w:t xml:space="preserve">arts 120-130), </w:t>
      </w:r>
      <w:r>
        <w:rPr>
          <w:szCs w:val="28"/>
        </w:rPr>
        <w:t xml:space="preserve">and associated delegations of authority, </w:t>
      </w:r>
      <w:r w:rsidRPr="00820E94">
        <w:rPr>
          <w:szCs w:val="28"/>
        </w:rPr>
        <w:t xml:space="preserve">has the principal missions of </w:t>
      </w:r>
      <w:r>
        <w:rPr>
          <w:szCs w:val="28"/>
        </w:rPr>
        <w:t xml:space="preserve">promulgating regulations for the import and export of defense articles and defense services; </w:t>
      </w:r>
      <w:r w:rsidRPr="00820E94">
        <w:rPr>
          <w:szCs w:val="28"/>
        </w:rPr>
        <w:t>taking final action on license applications and other requests for defense trade transactions via commercial channels</w:t>
      </w:r>
      <w:r>
        <w:rPr>
          <w:szCs w:val="28"/>
        </w:rPr>
        <w:t>;</w:t>
      </w:r>
      <w:r w:rsidRPr="00820E94">
        <w:rPr>
          <w:szCs w:val="28"/>
        </w:rPr>
        <w:t xml:space="preserve"> ensuring compliance with the statute and regulation</w:t>
      </w:r>
      <w:r>
        <w:rPr>
          <w:szCs w:val="28"/>
        </w:rPr>
        <w:t>s;</w:t>
      </w:r>
      <w:r w:rsidRPr="00820E94">
        <w:rPr>
          <w:szCs w:val="28"/>
        </w:rPr>
        <w:t xml:space="preserve"> and collecting </w:t>
      </w:r>
      <w:r>
        <w:rPr>
          <w:szCs w:val="28"/>
        </w:rPr>
        <w:t xml:space="preserve">information for </w:t>
      </w:r>
      <w:r w:rsidRPr="00820E94">
        <w:rPr>
          <w:szCs w:val="28"/>
        </w:rPr>
        <w:t>various types of reports</w:t>
      </w:r>
      <w:r>
        <w:rPr>
          <w:szCs w:val="28"/>
        </w:rPr>
        <w:t xml:space="preserve"> that are submitted to Congress</w:t>
      </w:r>
      <w:r w:rsidRPr="00820E94">
        <w:rPr>
          <w:szCs w:val="28"/>
        </w:rPr>
        <w:t xml:space="preserve">.  </w:t>
      </w:r>
    </w:p>
    <w:p w:rsidRPr="007F559F" w:rsidR="00C56E58" w:rsidP="00C56E58" w:rsidRDefault="00C56E58" w14:paraId="6BFBD609" w14:textId="77777777">
      <w:pPr>
        <w:rPr>
          <w:sz w:val="28"/>
          <w:szCs w:val="28"/>
        </w:rPr>
      </w:pPr>
    </w:p>
    <w:p w:rsidRPr="007F559F" w:rsidR="00C56E58" w:rsidP="00C56E58" w:rsidRDefault="00C56E58" w14:paraId="374F0484" w14:textId="6E1C3E2E">
      <w:pPr>
        <w:ind w:firstLine="720"/>
        <w:rPr>
          <w:sz w:val="28"/>
          <w:szCs w:val="28"/>
        </w:rPr>
      </w:pPr>
      <w:r w:rsidRPr="0055645F">
        <w:rPr>
          <w:sz w:val="28"/>
          <w:szCs w:val="28"/>
        </w:rPr>
        <w:t xml:space="preserve">The statutory authority of the President to promulgate regulations with respect to </w:t>
      </w:r>
      <w:r>
        <w:rPr>
          <w:sz w:val="28"/>
          <w:szCs w:val="28"/>
        </w:rPr>
        <w:t xml:space="preserve">the export and import </w:t>
      </w:r>
      <w:r w:rsidRPr="0055645F">
        <w:rPr>
          <w:sz w:val="28"/>
          <w:szCs w:val="28"/>
        </w:rPr>
        <w:t xml:space="preserve">of defense articles and </w:t>
      </w:r>
      <w:r>
        <w:rPr>
          <w:sz w:val="28"/>
          <w:szCs w:val="28"/>
        </w:rPr>
        <w:t xml:space="preserve">the provision of </w:t>
      </w:r>
      <w:r w:rsidRPr="0055645F">
        <w:rPr>
          <w:sz w:val="28"/>
          <w:szCs w:val="28"/>
        </w:rPr>
        <w:t xml:space="preserve">defense services was delegated to the Secretary of State by Executive Order </w:t>
      </w:r>
      <w:r>
        <w:rPr>
          <w:sz w:val="28"/>
          <w:szCs w:val="28"/>
        </w:rPr>
        <w:t>13637</w:t>
      </w:r>
      <w:r w:rsidRPr="0055645F">
        <w:rPr>
          <w:sz w:val="28"/>
          <w:szCs w:val="28"/>
        </w:rPr>
        <w:t xml:space="preserve">, as amended.  </w:t>
      </w:r>
      <w:r w:rsidRPr="00E40F42" w:rsidR="0029515D">
        <w:rPr>
          <w:sz w:val="28"/>
          <w:szCs w:val="28"/>
        </w:rPr>
        <w:t xml:space="preserve">By virtue of delegations of authority by the Secretary of State, </w:t>
      </w:r>
      <w:r w:rsidR="0029515D">
        <w:rPr>
          <w:sz w:val="28"/>
          <w:szCs w:val="28"/>
        </w:rPr>
        <w:t>t</w:t>
      </w:r>
      <w:r w:rsidRPr="0055645F">
        <w:rPr>
          <w:sz w:val="28"/>
          <w:szCs w:val="28"/>
        </w:rPr>
        <w:t xml:space="preserve">hese regulations are primarily administered by the Deputy Assistant Secretary </w:t>
      </w:r>
      <w:r>
        <w:rPr>
          <w:sz w:val="28"/>
          <w:szCs w:val="28"/>
        </w:rPr>
        <w:t xml:space="preserve">of State </w:t>
      </w:r>
      <w:r w:rsidRPr="0055645F">
        <w:rPr>
          <w:sz w:val="28"/>
          <w:szCs w:val="28"/>
        </w:rPr>
        <w:t xml:space="preserve">for </w:t>
      </w:r>
      <w:r>
        <w:rPr>
          <w:sz w:val="28"/>
          <w:szCs w:val="28"/>
        </w:rPr>
        <w:t>DDTC.</w:t>
      </w:r>
      <w:r w:rsidRPr="00E40F42" w:rsidR="00E40F42">
        <w:t xml:space="preserve"> </w:t>
      </w:r>
    </w:p>
    <w:p w:rsidRPr="007F559F" w:rsidR="00C56E58" w:rsidP="00C56E58" w:rsidRDefault="00C56E58" w14:paraId="6D6D0F7F" w14:textId="77777777">
      <w:pPr>
        <w:rPr>
          <w:sz w:val="28"/>
          <w:szCs w:val="28"/>
        </w:rPr>
      </w:pPr>
    </w:p>
    <w:p w:rsidRPr="007F559F" w:rsidR="00C56E58" w:rsidP="00C56E58" w:rsidRDefault="00C56E58" w14:paraId="0BF86949" w14:textId="77777777">
      <w:pPr>
        <w:rPr>
          <w:sz w:val="28"/>
          <w:szCs w:val="28"/>
        </w:rPr>
      </w:pPr>
      <w:r>
        <w:rPr>
          <w:sz w:val="28"/>
          <w:szCs w:val="28"/>
        </w:rPr>
        <w:tab/>
        <w:t>DDTC</w:t>
      </w:r>
      <w:r w:rsidRPr="00D81AD0">
        <w:rPr>
          <w:sz w:val="28"/>
          <w:szCs w:val="28"/>
        </w:rPr>
        <w:t xml:space="preserve"> review</w:t>
      </w:r>
      <w:r>
        <w:rPr>
          <w:sz w:val="28"/>
          <w:szCs w:val="28"/>
        </w:rPr>
        <w:t>s</w:t>
      </w:r>
      <w:r w:rsidRPr="00D81AD0">
        <w:rPr>
          <w:sz w:val="28"/>
          <w:szCs w:val="28"/>
        </w:rPr>
        <w:t xml:space="preserve"> license </w:t>
      </w:r>
      <w:r>
        <w:rPr>
          <w:sz w:val="28"/>
          <w:szCs w:val="28"/>
        </w:rPr>
        <w:t xml:space="preserve">applications </w:t>
      </w:r>
      <w:r w:rsidRPr="00D81AD0">
        <w:rPr>
          <w:sz w:val="28"/>
          <w:szCs w:val="28"/>
        </w:rPr>
        <w:t xml:space="preserve">and technical assistance and manufacturing license agreement </w:t>
      </w:r>
      <w:r>
        <w:rPr>
          <w:sz w:val="28"/>
          <w:szCs w:val="28"/>
        </w:rPr>
        <w:t>requests</w:t>
      </w:r>
      <w:r w:rsidRPr="00D81AD0">
        <w:rPr>
          <w:sz w:val="28"/>
          <w:szCs w:val="28"/>
        </w:rPr>
        <w:t xml:space="preserve"> to determine, </w:t>
      </w:r>
      <w:r w:rsidRPr="00D81AD0">
        <w:rPr>
          <w:i/>
          <w:sz w:val="28"/>
          <w:szCs w:val="28"/>
        </w:rPr>
        <w:t>inter alia</w:t>
      </w:r>
      <w:r w:rsidRPr="00D81AD0">
        <w:rPr>
          <w:sz w:val="28"/>
          <w:szCs w:val="28"/>
        </w:rPr>
        <w:t>:</w:t>
      </w:r>
    </w:p>
    <w:p w:rsidRPr="007F559F" w:rsidR="00C56E58" w:rsidP="00C56E58" w:rsidRDefault="00C56E58" w14:paraId="53EBC998" w14:textId="77777777">
      <w:pPr>
        <w:rPr>
          <w:sz w:val="28"/>
          <w:szCs w:val="28"/>
        </w:rPr>
      </w:pPr>
    </w:p>
    <w:p w:rsidRPr="007F559F" w:rsidR="00C56E58" w:rsidP="00C56E58" w:rsidRDefault="00C56E58" w14:paraId="17A1AF47" w14:textId="77777777">
      <w:pPr>
        <w:numPr>
          <w:ilvl w:val="0"/>
          <w:numId w:val="1"/>
        </w:numPr>
        <w:rPr>
          <w:sz w:val="28"/>
          <w:szCs w:val="28"/>
        </w:rPr>
      </w:pPr>
      <w:r w:rsidRPr="007F559F">
        <w:rPr>
          <w:sz w:val="28"/>
          <w:szCs w:val="28"/>
        </w:rPr>
        <w:t xml:space="preserve">Whether the transactions further </w:t>
      </w:r>
      <w:smartTag w:uri="urn:schemas-microsoft-com:office:smarttags" w:element="country-region">
        <w:smartTag w:uri="urn:schemas-microsoft-com:office:smarttags" w:element="place">
          <w:r w:rsidRPr="007F559F">
            <w:rPr>
              <w:sz w:val="28"/>
              <w:szCs w:val="28"/>
            </w:rPr>
            <w:t>U.S.</w:t>
          </w:r>
        </w:smartTag>
      </w:smartTag>
      <w:r w:rsidRPr="007F559F">
        <w:rPr>
          <w:sz w:val="28"/>
          <w:szCs w:val="28"/>
        </w:rPr>
        <w:t xml:space="preserve"> foreign policy objectives, national security interests, and world peace;</w:t>
      </w:r>
    </w:p>
    <w:p w:rsidRPr="007F559F" w:rsidR="00C56E58" w:rsidP="00C56E58" w:rsidRDefault="00C56E58" w14:paraId="30CDEF37" w14:textId="77777777">
      <w:pPr>
        <w:rPr>
          <w:sz w:val="28"/>
          <w:szCs w:val="28"/>
        </w:rPr>
      </w:pPr>
    </w:p>
    <w:p w:rsidRPr="007F559F" w:rsidR="00C56E58" w:rsidP="00C56E58" w:rsidRDefault="00C56E58" w14:paraId="675EE233" w14:textId="77777777">
      <w:pPr>
        <w:numPr>
          <w:ilvl w:val="0"/>
          <w:numId w:val="2"/>
        </w:numPr>
        <w:rPr>
          <w:sz w:val="28"/>
          <w:szCs w:val="28"/>
        </w:rPr>
      </w:pPr>
      <w:r w:rsidRPr="007F559F">
        <w:rPr>
          <w:sz w:val="28"/>
          <w:szCs w:val="28"/>
        </w:rPr>
        <w:t>Eligibility of parties (</w:t>
      </w:r>
      <w:r w:rsidRPr="007F559F">
        <w:rPr>
          <w:i/>
          <w:sz w:val="28"/>
          <w:szCs w:val="28"/>
        </w:rPr>
        <w:t>e.g.</w:t>
      </w:r>
      <w:r w:rsidRPr="007F559F">
        <w:rPr>
          <w:sz w:val="28"/>
          <w:szCs w:val="28"/>
        </w:rPr>
        <w:t xml:space="preserve">, applicants, consignees, end-users) to participate in </w:t>
      </w:r>
      <w:smartTag w:uri="urn:schemas-microsoft-com:office:smarttags" w:element="country-region">
        <w:smartTag w:uri="urn:schemas-microsoft-com:office:smarttags" w:element="place">
          <w:r w:rsidRPr="007F559F">
            <w:rPr>
              <w:sz w:val="28"/>
              <w:szCs w:val="28"/>
            </w:rPr>
            <w:t>U.S.</w:t>
          </w:r>
        </w:smartTag>
      </w:smartTag>
      <w:r w:rsidRPr="007F559F">
        <w:rPr>
          <w:sz w:val="28"/>
          <w:szCs w:val="28"/>
        </w:rPr>
        <w:t xml:space="preserve"> defense trade;</w:t>
      </w:r>
    </w:p>
    <w:p w:rsidRPr="007F559F" w:rsidR="00C56E58" w:rsidP="00C56E58" w:rsidRDefault="00C56E58" w14:paraId="3E18BAD5" w14:textId="77777777">
      <w:pPr>
        <w:rPr>
          <w:sz w:val="28"/>
          <w:szCs w:val="28"/>
        </w:rPr>
      </w:pPr>
    </w:p>
    <w:p w:rsidRPr="007F559F" w:rsidR="00C56E58" w:rsidP="00C56E58" w:rsidRDefault="00C56E58" w14:paraId="55C46454" w14:textId="77777777">
      <w:pPr>
        <w:numPr>
          <w:ilvl w:val="0"/>
          <w:numId w:val="3"/>
        </w:numPr>
        <w:rPr>
          <w:sz w:val="28"/>
          <w:szCs w:val="28"/>
        </w:rPr>
      </w:pPr>
      <w:r w:rsidRPr="007F559F">
        <w:rPr>
          <w:sz w:val="28"/>
          <w:szCs w:val="28"/>
        </w:rPr>
        <w:lastRenderedPageBreak/>
        <w:t xml:space="preserve">Appropriate end-use of commodities subject to U. S. Government approval of munitions exports and transfers; </w:t>
      </w:r>
    </w:p>
    <w:p w:rsidRPr="007F559F" w:rsidR="00C56E58" w:rsidP="00C56E58" w:rsidRDefault="00C56E58" w14:paraId="6A49DA62" w14:textId="77777777">
      <w:pPr>
        <w:rPr>
          <w:sz w:val="28"/>
          <w:szCs w:val="28"/>
        </w:rPr>
      </w:pPr>
    </w:p>
    <w:p w:rsidRPr="007F559F" w:rsidR="00C56E58" w:rsidP="00C56E58" w:rsidRDefault="00C56E58" w14:paraId="2E4BC2B6" w14:textId="77777777">
      <w:pPr>
        <w:numPr>
          <w:ilvl w:val="0"/>
          <w:numId w:val="9"/>
        </w:numPr>
        <w:rPr>
          <w:sz w:val="28"/>
          <w:szCs w:val="28"/>
        </w:rPr>
      </w:pPr>
      <w:r w:rsidRPr="007F559F">
        <w:rPr>
          <w:sz w:val="28"/>
          <w:szCs w:val="28"/>
        </w:rPr>
        <w:t>Whether law enforcement concerns have been adequately addressed; and</w:t>
      </w:r>
    </w:p>
    <w:p w:rsidRPr="007F559F" w:rsidR="00C56E58" w:rsidP="00C56E58" w:rsidRDefault="00C56E58" w14:paraId="2B79832E" w14:textId="77777777">
      <w:pPr>
        <w:rPr>
          <w:sz w:val="28"/>
          <w:szCs w:val="28"/>
        </w:rPr>
      </w:pPr>
    </w:p>
    <w:p w:rsidRPr="002B2345" w:rsidR="00C56E58" w:rsidP="00C56E58" w:rsidRDefault="00C56E58" w14:paraId="6FAA44FD" w14:textId="77777777">
      <w:pPr>
        <w:numPr>
          <w:ilvl w:val="0"/>
          <w:numId w:val="8"/>
        </w:numPr>
        <w:rPr>
          <w:sz w:val="28"/>
          <w:szCs w:val="28"/>
        </w:rPr>
      </w:pPr>
      <w:r w:rsidRPr="00D81AD0">
        <w:rPr>
          <w:sz w:val="28"/>
          <w:szCs w:val="28"/>
        </w:rPr>
        <w:t>Whether appropriate offers or payment of political contributions, gifts, commissions, and fees, have been adequately addressed.</w:t>
      </w:r>
    </w:p>
    <w:p w:rsidRPr="006D1A78" w:rsidR="00D72557" w:rsidP="00C56E58" w:rsidRDefault="00D72557" w14:paraId="72259079" w14:textId="77777777">
      <w:pPr>
        <w:pStyle w:val="BodyText2"/>
        <w:rPr>
          <w:szCs w:val="28"/>
        </w:rPr>
      </w:pPr>
    </w:p>
    <w:p w:rsidRPr="006D1A78" w:rsidR="00B176E1" w:rsidP="007714CA" w:rsidRDefault="00B141FA" w14:paraId="262467D2" w14:textId="77777777">
      <w:pPr>
        <w:ind w:firstLine="720"/>
        <w:rPr>
          <w:sz w:val="28"/>
          <w:szCs w:val="28"/>
        </w:rPr>
      </w:pPr>
      <w:r w:rsidRPr="006D1A78">
        <w:rPr>
          <w:sz w:val="28"/>
          <w:szCs w:val="28"/>
        </w:rPr>
        <w:t>The “Request to Change End-User, End-</w:t>
      </w:r>
      <w:r w:rsidRPr="006D1A78" w:rsidR="00B369C4">
        <w:rPr>
          <w:sz w:val="28"/>
          <w:szCs w:val="28"/>
        </w:rPr>
        <w:t>Use and/or Destination of Hardware” information collection is used to request DDTC approval prior to any sale, transfer, transshipment, or disposal, whether permanent or temporary, of classified or unclassif</w:t>
      </w:r>
      <w:r w:rsidRPr="006D1A78">
        <w:rPr>
          <w:sz w:val="28"/>
          <w:szCs w:val="28"/>
        </w:rPr>
        <w:t>ied defense articles to any end-user, end-</w:t>
      </w:r>
      <w:r w:rsidRPr="006D1A78" w:rsidR="00B369C4">
        <w:rPr>
          <w:sz w:val="28"/>
          <w:szCs w:val="28"/>
        </w:rPr>
        <w:t>use or destination other than as stated on a license or other approval.</w:t>
      </w:r>
    </w:p>
    <w:p w:rsidRPr="006D1A78" w:rsidR="00B601AB" w:rsidP="007714CA" w:rsidRDefault="00B601AB" w14:paraId="5DAFB27D" w14:textId="77777777">
      <w:pPr>
        <w:rPr>
          <w:sz w:val="28"/>
          <w:szCs w:val="28"/>
        </w:rPr>
      </w:pPr>
    </w:p>
    <w:p w:rsidR="00902C0E" w:rsidP="00902C0E" w:rsidRDefault="00902C0E" w14:paraId="2CB5B258" w14:textId="2C255573">
      <w:pPr>
        <w:numPr>
          <w:ilvl w:val="0"/>
          <w:numId w:val="12"/>
        </w:numPr>
        <w:spacing w:after="120"/>
        <w:rPr>
          <w:i/>
          <w:color w:val="000000" w:themeColor="text1"/>
          <w:sz w:val="28"/>
          <w:szCs w:val="28"/>
        </w:rPr>
      </w:pPr>
      <w:r w:rsidRPr="007F6199">
        <w:rPr>
          <w:i/>
          <w:color w:val="000000" w:themeColor="text1"/>
          <w:sz w:val="28"/>
          <w:szCs w:val="28"/>
        </w:rPr>
        <w:t>What business purpose is the information gathered going to be used for?</w:t>
      </w:r>
    </w:p>
    <w:p w:rsidR="00902C0E" w:rsidP="007714CA" w:rsidRDefault="00902C0E" w14:paraId="6CF986D2" w14:textId="77777777">
      <w:pPr>
        <w:rPr>
          <w:sz w:val="28"/>
          <w:szCs w:val="28"/>
        </w:rPr>
      </w:pPr>
    </w:p>
    <w:p w:rsidRPr="006D1A78" w:rsidR="00B601AB" w:rsidP="007714CA" w:rsidRDefault="0049041D" w14:paraId="385F3F06" w14:textId="5FE84705">
      <w:pPr>
        <w:rPr>
          <w:sz w:val="28"/>
          <w:szCs w:val="28"/>
        </w:rPr>
      </w:pPr>
      <w:r w:rsidRPr="0016287D">
        <w:rPr>
          <w:sz w:val="28"/>
          <w:szCs w:val="28"/>
        </w:rPr>
        <w:t>DDTC reviews the request to change end-user, end-use and/or destination of hardware to determine whether to approve the request in accordance with foreign policy and national security interests.</w:t>
      </w:r>
    </w:p>
    <w:p w:rsidRPr="006D1A78" w:rsidR="00B601AB" w:rsidP="00B176E1" w:rsidRDefault="00B601AB" w14:paraId="3901AC50" w14:textId="77777777">
      <w:pPr>
        <w:rPr>
          <w:sz w:val="28"/>
          <w:szCs w:val="28"/>
        </w:rPr>
      </w:pPr>
    </w:p>
    <w:p w:rsidRPr="00902C0E" w:rsidR="00902C0E" w:rsidP="00902C0E" w:rsidRDefault="00902C0E" w14:paraId="456884F8" w14:textId="46F6D565">
      <w:pPr>
        <w:pStyle w:val="ListParagraph"/>
        <w:numPr>
          <w:ilvl w:val="0"/>
          <w:numId w:val="12"/>
        </w:numPr>
        <w:rPr>
          <w:i/>
          <w:color w:val="000000" w:themeColor="text1"/>
          <w:sz w:val="28"/>
          <w:szCs w:val="28"/>
        </w:rPr>
      </w:pPr>
      <w:r w:rsidRPr="00902C0E">
        <w:rPr>
          <w:i/>
          <w:color w:val="000000" w:themeColor="text1"/>
          <w:sz w:val="28"/>
          <w:szCs w:val="28"/>
        </w:rPr>
        <w:t>Is this collection able to be completed electronically (e.g. through a website or application)?</w:t>
      </w:r>
    </w:p>
    <w:p w:rsidRPr="00902C0E" w:rsidR="00902C0E" w:rsidP="00902C0E" w:rsidRDefault="00902C0E" w14:paraId="25702D22" w14:textId="77777777">
      <w:pPr>
        <w:pStyle w:val="ListParagraph"/>
        <w:ind w:left="360"/>
        <w:rPr>
          <w:sz w:val="28"/>
          <w:szCs w:val="28"/>
        </w:rPr>
      </w:pPr>
    </w:p>
    <w:p w:rsidRPr="006D1A78" w:rsidR="00B601AB" w:rsidRDefault="001277FE" w14:paraId="103C3875" w14:textId="30A4533E">
      <w:pPr>
        <w:rPr>
          <w:sz w:val="28"/>
          <w:szCs w:val="28"/>
        </w:rPr>
      </w:pPr>
      <w:r w:rsidRPr="006D1A78">
        <w:rPr>
          <w:sz w:val="28"/>
          <w:szCs w:val="28"/>
        </w:rPr>
        <w:t>Applicants are referred to ITAR §12</w:t>
      </w:r>
      <w:r w:rsidRPr="006D1A78" w:rsidR="00B369C4">
        <w:rPr>
          <w:sz w:val="28"/>
          <w:szCs w:val="28"/>
        </w:rPr>
        <w:t>3</w:t>
      </w:r>
      <w:r w:rsidRPr="006D1A78">
        <w:rPr>
          <w:sz w:val="28"/>
          <w:szCs w:val="28"/>
        </w:rPr>
        <w:t xml:space="preserve">.9 for guidance on information to submit regarding the request </w:t>
      </w:r>
      <w:r w:rsidRPr="006D1A78" w:rsidR="00B369C4">
        <w:rPr>
          <w:sz w:val="28"/>
          <w:szCs w:val="28"/>
        </w:rPr>
        <w:t>to c</w:t>
      </w:r>
      <w:r w:rsidRPr="006D1A78" w:rsidR="00B141FA">
        <w:rPr>
          <w:sz w:val="28"/>
          <w:szCs w:val="28"/>
        </w:rPr>
        <w:t xml:space="preserve">hange </w:t>
      </w:r>
      <w:r w:rsidR="001D4D8D">
        <w:rPr>
          <w:sz w:val="28"/>
          <w:szCs w:val="28"/>
        </w:rPr>
        <w:t xml:space="preserve">the </w:t>
      </w:r>
      <w:r w:rsidRPr="006D1A78" w:rsidR="00B141FA">
        <w:rPr>
          <w:sz w:val="28"/>
          <w:szCs w:val="28"/>
        </w:rPr>
        <w:t xml:space="preserve">end-user, </w:t>
      </w:r>
      <w:r w:rsidR="00D52835">
        <w:rPr>
          <w:sz w:val="28"/>
          <w:szCs w:val="28"/>
        </w:rPr>
        <w:t xml:space="preserve">and to </w:t>
      </w:r>
      <w:r w:rsidR="0029515D">
        <w:rPr>
          <w:sz w:val="28"/>
          <w:szCs w:val="28"/>
        </w:rPr>
        <w:t xml:space="preserve">change </w:t>
      </w:r>
      <w:r w:rsidR="001D4D8D">
        <w:rPr>
          <w:sz w:val="28"/>
          <w:szCs w:val="28"/>
        </w:rPr>
        <w:t xml:space="preserve">the </w:t>
      </w:r>
      <w:r w:rsidRPr="006D1A78" w:rsidR="00B141FA">
        <w:rPr>
          <w:sz w:val="28"/>
          <w:szCs w:val="28"/>
        </w:rPr>
        <w:t>end-</w:t>
      </w:r>
      <w:r w:rsidRPr="006D1A78" w:rsidR="00B369C4">
        <w:rPr>
          <w:sz w:val="28"/>
          <w:szCs w:val="28"/>
        </w:rPr>
        <w:t>use and/or destination of hardware</w:t>
      </w:r>
      <w:r w:rsidRPr="006D1A78">
        <w:rPr>
          <w:sz w:val="28"/>
          <w:szCs w:val="28"/>
        </w:rPr>
        <w:t xml:space="preserve">.  </w:t>
      </w:r>
      <w:r w:rsidR="005B09F8">
        <w:rPr>
          <w:sz w:val="28"/>
          <w:szCs w:val="28"/>
        </w:rPr>
        <w:t xml:space="preserve">With the </w:t>
      </w:r>
      <w:r w:rsidRPr="00C56E58" w:rsidR="00C56E58">
        <w:rPr>
          <w:sz w:val="28"/>
          <w:szCs w:val="28"/>
        </w:rPr>
        <w:t xml:space="preserve">implementation of DDTC’s new case management system, </w:t>
      </w:r>
      <w:r w:rsidR="00D52835">
        <w:rPr>
          <w:sz w:val="28"/>
          <w:szCs w:val="28"/>
        </w:rPr>
        <w:t>t</w:t>
      </w:r>
      <w:r w:rsidRPr="00C56E58" w:rsidR="00C56E58">
        <w:rPr>
          <w:sz w:val="28"/>
          <w:szCs w:val="28"/>
        </w:rPr>
        <w:t>he Defense Export Control and Comp</w:t>
      </w:r>
      <w:r w:rsidR="00C56E58">
        <w:rPr>
          <w:sz w:val="28"/>
          <w:szCs w:val="28"/>
        </w:rPr>
        <w:t xml:space="preserve">liance System (DECCS), </w:t>
      </w:r>
      <w:r w:rsidR="00D818DD">
        <w:rPr>
          <w:sz w:val="28"/>
          <w:szCs w:val="28"/>
        </w:rPr>
        <w:t xml:space="preserve">applicants may provide this information electronically using </w:t>
      </w:r>
      <w:r w:rsidR="00D52835">
        <w:rPr>
          <w:sz w:val="28"/>
          <w:szCs w:val="28"/>
        </w:rPr>
        <w:t xml:space="preserve">form </w:t>
      </w:r>
      <w:r w:rsidR="00C56E58">
        <w:rPr>
          <w:sz w:val="28"/>
          <w:szCs w:val="28"/>
        </w:rPr>
        <w:t>DS-6004</w:t>
      </w:r>
      <w:r w:rsidRPr="00C56E58" w:rsidR="00C56E58">
        <w:rPr>
          <w:sz w:val="28"/>
          <w:szCs w:val="28"/>
        </w:rPr>
        <w:t xml:space="preserve">.  Applicants will be able to access the </w:t>
      </w:r>
      <w:r w:rsidR="00D52835">
        <w:rPr>
          <w:sz w:val="28"/>
          <w:szCs w:val="28"/>
        </w:rPr>
        <w:t xml:space="preserve">form </w:t>
      </w:r>
      <w:r w:rsidRPr="00C56E58" w:rsidR="00C56E58">
        <w:rPr>
          <w:sz w:val="28"/>
          <w:szCs w:val="28"/>
        </w:rPr>
        <w:t>DS-</w:t>
      </w:r>
      <w:r w:rsidR="00C56E58">
        <w:rPr>
          <w:sz w:val="28"/>
          <w:szCs w:val="28"/>
        </w:rPr>
        <w:t>6004</w:t>
      </w:r>
      <w:r w:rsidRPr="00C56E58" w:rsidR="00C56E58">
        <w:rPr>
          <w:sz w:val="28"/>
          <w:szCs w:val="28"/>
        </w:rPr>
        <w:t xml:space="preserve"> from DDTC’s website, complete it online, and submit it via the Internet.</w:t>
      </w:r>
    </w:p>
    <w:p w:rsidRPr="006D1A78" w:rsidR="00B601AB" w:rsidRDefault="00B601AB" w14:paraId="714E873D" w14:textId="77777777">
      <w:pPr>
        <w:rPr>
          <w:sz w:val="28"/>
          <w:szCs w:val="28"/>
        </w:rPr>
      </w:pPr>
    </w:p>
    <w:p w:rsidRPr="00902C0E" w:rsidR="00902C0E" w:rsidP="00902C0E" w:rsidRDefault="00902C0E" w14:paraId="3154054A" w14:textId="277FE85F">
      <w:pPr>
        <w:pStyle w:val="ListParagraph"/>
        <w:numPr>
          <w:ilvl w:val="0"/>
          <w:numId w:val="12"/>
        </w:numPr>
        <w:rPr>
          <w:i/>
          <w:color w:val="000000" w:themeColor="text1"/>
          <w:sz w:val="28"/>
          <w:szCs w:val="28"/>
        </w:rPr>
      </w:pPr>
      <w:r w:rsidRPr="00902C0E">
        <w:rPr>
          <w:i/>
          <w:color w:val="000000" w:themeColor="text1"/>
          <w:sz w:val="28"/>
          <w:szCs w:val="28"/>
        </w:rPr>
        <w:t>Does this collection duplicate any other collection of information?</w:t>
      </w:r>
    </w:p>
    <w:p w:rsidRPr="00902C0E" w:rsidR="00902C0E" w:rsidP="00902C0E" w:rsidRDefault="00902C0E" w14:paraId="39E34421" w14:textId="77777777">
      <w:pPr>
        <w:pStyle w:val="ListParagraph"/>
        <w:ind w:left="360"/>
        <w:rPr>
          <w:sz w:val="28"/>
          <w:szCs w:val="28"/>
        </w:rPr>
      </w:pPr>
    </w:p>
    <w:p w:rsidRPr="006D1A78" w:rsidR="00B601AB" w:rsidRDefault="00B601AB" w14:paraId="6CA72BD7" w14:textId="2279AFA5">
      <w:pPr>
        <w:rPr>
          <w:sz w:val="28"/>
          <w:szCs w:val="28"/>
        </w:rPr>
      </w:pPr>
      <w:r w:rsidRPr="006D1A78">
        <w:rPr>
          <w:sz w:val="28"/>
          <w:szCs w:val="28"/>
        </w:rPr>
        <w:t>The Department of State is unaware of any other U.S. Government requirements that would cause U.S. industry to duplicate this reporting requirement.</w:t>
      </w:r>
    </w:p>
    <w:p w:rsidRPr="006D1A78" w:rsidR="00B601AB" w:rsidRDefault="00B601AB" w14:paraId="6449BA89" w14:textId="77777777">
      <w:pPr>
        <w:rPr>
          <w:sz w:val="28"/>
          <w:szCs w:val="28"/>
        </w:rPr>
      </w:pPr>
    </w:p>
    <w:p w:rsidR="00902C0E" w:rsidP="00902C0E" w:rsidRDefault="00902C0E" w14:paraId="0F0AC675" w14:textId="056E5932">
      <w:pPr>
        <w:numPr>
          <w:ilvl w:val="0"/>
          <w:numId w:val="12"/>
        </w:numPr>
        <w:spacing w:after="120"/>
        <w:rPr>
          <w:i/>
          <w:color w:val="000000" w:themeColor="text1"/>
          <w:sz w:val="28"/>
          <w:szCs w:val="28"/>
        </w:rPr>
      </w:pPr>
      <w:r w:rsidRPr="007F6199">
        <w:rPr>
          <w:i/>
          <w:color w:val="000000" w:themeColor="text1"/>
          <w:sz w:val="28"/>
          <w:szCs w:val="28"/>
        </w:rPr>
        <w:t>Describe any i</w:t>
      </w:r>
      <w:bookmarkStart w:name="_GoBack" w:id="0"/>
      <w:bookmarkEnd w:id="0"/>
      <w:r w:rsidRPr="007F6199">
        <w:rPr>
          <w:i/>
          <w:color w:val="000000" w:themeColor="text1"/>
          <w:sz w:val="28"/>
          <w:szCs w:val="28"/>
        </w:rPr>
        <w:t>mpacts on small business</w:t>
      </w:r>
      <w:r>
        <w:rPr>
          <w:i/>
          <w:color w:val="000000" w:themeColor="text1"/>
          <w:sz w:val="28"/>
          <w:szCs w:val="28"/>
        </w:rPr>
        <w:t>.</w:t>
      </w:r>
    </w:p>
    <w:p w:rsidR="00902C0E" w:rsidP="00F036AC" w:rsidRDefault="00902C0E" w14:paraId="48E7AFEE" w14:textId="77777777">
      <w:pPr>
        <w:rPr>
          <w:sz w:val="28"/>
          <w:szCs w:val="28"/>
        </w:rPr>
      </w:pPr>
    </w:p>
    <w:p w:rsidRPr="006D1A78" w:rsidR="00F036AC" w:rsidP="00F036AC" w:rsidRDefault="006D1A78" w14:paraId="7B85F51B" w14:textId="2623DD26">
      <w:pPr>
        <w:rPr>
          <w:sz w:val="28"/>
          <w:szCs w:val="28"/>
        </w:rPr>
      </w:pPr>
      <w:r w:rsidRPr="006D1A78">
        <w:rPr>
          <w:sz w:val="28"/>
          <w:szCs w:val="28"/>
        </w:rPr>
        <w:lastRenderedPageBreak/>
        <w:t xml:space="preserve">Export control law and regulations are designed to safeguard U.S. Government foreign policy and national security interests and to further world peace.  The law and regulations are applicable equally to large and small businesses or entities.  </w:t>
      </w:r>
    </w:p>
    <w:p w:rsidRPr="006D1A78" w:rsidR="00B601AB" w:rsidRDefault="00B601AB" w14:paraId="5D18F6C1" w14:textId="77777777">
      <w:pPr>
        <w:rPr>
          <w:sz w:val="28"/>
          <w:szCs w:val="28"/>
        </w:rPr>
      </w:pPr>
    </w:p>
    <w:p w:rsidR="00902C0E" w:rsidP="00902C0E" w:rsidRDefault="00902C0E" w14:paraId="1855AAAD" w14:textId="50BEF5F5">
      <w:pPr>
        <w:pStyle w:val="BodyText2"/>
        <w:numPr>
          <w:ilvl w:val="0"/>
          <w:numId w:val="12"/>
        </w:numPr>
        <w:rPr>
          <w:i/>
          <w:color w:val="000000" w:themeColor="text1"/>
          <w:szCs w:val="28"/>
        </w:rPr>
      </w:pPr>
      <w:r w:rsidRPr="007F6199">
        <w:rPr>
          <w:i/>
          <w:color w:val="000000" w:themeColor="text1"/>
          <w:szCs w:val="28"/>
        </w:rPr>
        <w:t>What are consequences if this collection is not done?</w:t>
      </w:r>
    </w:p>
    <w:p w:rsidR="00902C0E" w:rsidP="00902C0E" w:rsidRDefault="00902C0E" w14:paraId="7389A402" w14:textId="77777777">
      <w:pPr>
        <w:pStyle w:val="BodyText2"/>
        <w:ind w:left="360"/>
        <w:rPr>
          <w:szCs w:val="28"/>
        </w:rPr>
      </w:pPr>
    </w:p>
    <w:p w:rsidRPr="006D1A78" w:rsidR="00B601AB" w:rsidP="00981A55" w:rsidRDefault="00FE01C2" w14:paraId="21BF4453" w14:textId="45040B79">
      <w:pPr>
        <w:pStyle w:val="BodyText2"/>
        <w:rPr>
          <w:szCs w:val="28"/>
        </w:rPr>
      </w:pPr>
      <w:r w:rsidRPr="006D1A78">
        <w:rPr>
          <w:szCs w:val="28"/>
        </w:rPr>
        <w:t xml:space="preserve">The AECA and the ITAR established the frequency of information collection.  The information required for the proper </w:t>
      </w:r>
      <w:r w:rsidRPr="006D1A78" w:rsidR="00BE745E">
        <w:rPr>
          <w:szCs w:val="28"/>
        </w:rPr>
        <w:t>assessment</w:t>
      </w:r>
      <w:r w:rsidRPr="006D1A78">
        <w:rPr>
          <w:szCs w:val="28"/>
        </w:rPr>
        <w:t xml:space="preserve"> of a propos</w:t>
      </w:r>
      <w:r w:rsidRPr="006D1A78" w:rsidR="006C27CF">
        <w:rPr>
          <w:szCs w:val="28"/>
        </w:rPr>
        <w:t>al</w:t>
      </w:r>
      <w:r w:rsidRPr="006D1A78">
        <w:rPr>
          <w:szCs w:val="28"/>
        </w:rPr>
        <w:t xml:space="preserve"> </w:t>
      </w:r>
      <w:r w:rsidRPr="006D1A78" w:rsidR="006C27CF">
        <w:rPr>
          <w:szCs w:val="28"/>
        </w:rPr>
        <w:t>to c</w:t>
      </w:r>
      <w:r w:rsidRPr="006D1A78" w:rsidR="00B141FA">
        <w:rPr>
          <w:szCs w:val="28"/>
        </w:rPr>
        <w:t xml:space="preserve">hange </w:t>
      </w:r>
      <w:r w:rsidR="001D4D8D">
        <w:rPr>
          <w:szCs w:val="28"/>
        </w:rPr>
        <w:t xml:space="preserve">the </w:t>
      </w:r>
      <w:r w:rsidRPr="006D1A78" w:rsidR="00B141FA">
        <w:rPr>
          <w:szCs w:val="28"/>
        </w:rPr>
        <w:t xml:space="preserve">end-user, </w:t>
      </w:r>
      <w:r w:rsidR="001D4D8D">
        <w:rPr>
          <w:szCs w:val="28"/>
        </w:rPr>
        <w:t xml:space="preserve">to change the </w:t>
      </w:r>
      <w:r w:rsidRPr="006D1A78" w:rsidR="00B141FA">
        <w:rPr>
          <w:szCs w:val="28"/>
        </w:rPr>
        <w:t>end-</w:t>
      </w:r>
      <w:r w:rsidRPr="006D1A78" w:rsidR="006C27CF">
        <w:rPr>
          <w:szCs w:val="28"/>
        </w:rPr>
        <w:t xml:space="preserve">use and/or destination of hardware </w:t>
      </w:r>
      <w:r w:rsidRPr="006D1A78">
        <w:rPr>
          <w:szCs w:val="28"/>
        </w:rPr>
        <w:t xml:space="preserve">is reviewed on a case-by-case basis and is specific to the transaction under consideration.  </w:t>
      </w:r>
      <w:r w:rsidRPr="006D1A78" w:rsidR="00B601AB">
        <w:rPr>
          <w:szCs w:val="28"/>
        </w:rPr>
        <w:t xml:space="preserve">Absent </w:t>
      </w:r>
      <w:r w:rsidRPr="006D1A78" w:rsidR="00061FA5">
        <w:rPr>
          <w:szCs w:val="28"/>
        </w:rPr>
        <w:t>this information</w:t>
      </w:r>
      <w:r w:rsidRPr="006D1A78" w:rsidR="00B601AB">
        <w:rPr>
          <w:szCs w:val="28"/>
        </w:rPr>
        <w:t xml:space="preserve">, </w:t>
      </w:r>
      <w:r w:rsidRPr="006D1A78" w:rsidR="005F4264">
        <w:rPr>
          <w:szCs w:val="28"/>
        </w:rPr>
        <w:t xml:space="preserve">the Department would not have </w:t>
      </w:r>
      <w:r w:rsidR="001D4D8D">
        <w:rPr>
          <w:szCs w:val="28"/>
        </w:rPr>
        <w:t xml:space="preserve">the information required for the </w:t>
      </w:r>
      <w:r w:rsidRPr="006D1A78" w:rsidR="005F4264">
        <w:rPr>
          <w:szCs w:val="28"/>
        </w:rPr>
        <w:t xml:space="preserve">process </w:t>
      </w:r>
      <w:r w:rsidR="001D4D8D">
        <w:rPr>
          <w:szCs w:val="28"/>
        </w:rPr>
        <w:t>of</w:t>
      </w:r>
      <w:r w:rsidRPr="006D1A78" w:rsidR="001D4D8D">
        <w:rPr>
          <w:szCs w:val="28"/>
        </w:rPr>
        <w:t xml:space="preserve"> </w:t>
      </w:r>
      <w:r w:rsidRPr="006D1A78" w:rsidR="006C27CF">
        <w:rPr>
          <w:szCs w:val="28"/>
        </w:rPr>
        <w:t>reviewing and responding t</w:t>
      </w:r>
      <w:r w:rsidRPr="006D1A78" w:rsidR="005F4264">
        <w:rPr>
          <w:szCs w:val="28"/>
        </w:rPr>
        <w:t xml:space="preserve">o </w:t>
      </w:r>
      <w:r w:rsidRPr="006D1A78" w:rsidR="006C27CF">
        <w:rPr>
          <w:szCs w:val="28"/>
        </w:rPr>
        <w:t>such requests</w:t>
      </w:r>
      <w:r w:rsidRPr="006D1A78" w:rsidR="00981A55">
        <w:rPr>
          <w:szCs w:val="28"/>
        </w:rPr>
        <w:t>.</w:t>
      </w:r>
    </w:p>
    <w:p w:rsidRPr="006D1A78" w:rsidR="00B601AB" w:rsidP="00981A55" w:rsidRDefault="00B601AB" w14:paraId="41ACE172" w14:textId="77777777">
      <w:pPr>
        <w:rPr>
          <w:sz w:val="28"/>
          <w:szCs w:val="28"/>
        </w:rPr>
      </w:pPr>
    </w:p>
    <w:p w:rsidRPr="00902C0E" w:rsidR="00902C0E" w:rsidP="00902C0E" w:rsidRDefault="00902C0E" w14:paraId="63D2BF04" w14:textId="493B2BDB">
      <w:pPr>
        <w:pStyle w:val="ListParagraph"/>
        <w:numPr>
          <w:ilvl w:val="0"/>
          <w:numId w:val="12"/>
        </w:numPr>
        <w:rPr>
          <w:i/>
          <w:color w:val="000000" w:themeColor="text1"/>
          <w:sz w:val="28"/>
          <w:szCs w:val="28"/>
        </w:rPr>
      </w:pPr>
      <w:r w:rsidRPr="00902C0E">
        <w:rPr>
          <w:i/>
          <w:color w:val="000000" w:themeColor="text1"/>
          <w:sz w:val="28"/>
          <w:szCs w:val="28"/>
        </w:rPr>
        <w:t>Are there any special collection circumstances?</w:t>
      </w:r>
    </w:p>
    <w:p w:rsidRPr="00902C0E" w:rsidR="00902C0E" w:rsidP="00902C0E" w:rsidRDefault="00902C0E" w14:paraId="6A778BC2" w14:textId="77777777">
      <w:pPr>
        <w:pStyle w:val="ListParagraph"/>
        <w:ind w:left="360"/>
        <w:rPr>
          <w:sz w:val="28"/>
          <w:szCs w:val="28"/>
        </w:rPr>
      </w:pPr>
    </w:p>
    <w:p w:rsidRPr="006D1A78" w:rsidR="00B601AB" w:rsidRDefault="00B601AB" w14:paraId="20519C38" w14:textId="661C3965">
      <w:pPr>
        <w:rPr>
          <w:sz w:val="28"/>
          <w:szCs w:val="28"/>
        </w:rPr>
      </w:pPr>
      <w:r w:rsidRPr="006D1A78">
        <w:rPr>
          <w:sz w:val="28"/>
          <w:szCs w:val="28"/>
        </w:rPr>
        <w:t>The ITAR requires maintenance of records for a minimum period of five years.</w:t>
      </w:r>
      <w:r w:rsidR="00376512">
        <w:rPr>
          <w:sz w:val="28"/>
          <w:szCs w:val="28"/>
        </w:rPr>
        <w:t xml:space="preserve">  </w:t>
      </w:r>
    </w:p>
    <w:p w:rsidRPr="006D1A78" w:rsidR="00B601AB" w:rsidRDefault="00B601AB" w14:paraId="75E2E6F5" w14:textId="77777777">
      <w:pPr>
        <w:rPr>
          <w:sz w:val="28"/>
          <w:szCs w:val="28"/>
        </w:rPr>
      </w:pPr>
    </w:p>
    <w:p w:rsidRPr="00902C0E" w:rsidR="00902C0E" w:rsidP="00902C0E" w:rsidRDefault="00902C0E" w14:paraId="3E62F15C" w14:textId="075768E4">
      <w:pPr>
        <w:pStyle w:val="ListParagraph"/>
        <w:numPr>
          <w:ilvl w:val="0"/>
          <w:numId w:val="12"/>
        </w:numPr>
        <w:rPr>
          <w:i/>
          <w:color w:val="000000" w:themeColor="text1"/>
          <w:sz w:val="28"/>
          <w:szCs w:val="28"/>
        </w:rPr>
      </w:pPr>
      <w:r w:rsidRPr="00902C0E">
        <w:rPr>
          <w:i/>
          <w:color w:val="000000" w:themeColor="text1"/>
          <w:sz w:val="28"/>
          <w:szCs w:val="28"/>
        </w:rPr>
        <w:t>Document publication (or intent to publish) a request for public comments in the Federal Register</w:t>
      </w:r>
    </w:p>
    <w:p w:rsidRPr="00902C0E" w:rsidR="00902C0E" w:rsidP="00902C0E" w:rsidRDefault="00902C0E" w14:paraId="5367B981" w14:textId="77777777">
      <w:pPr>
        <w:pStyle w:val="ListParagraph"/>
        <w:ind w:left="360"/>
        <w:rPr>
          <w:sz w:val="28"/>
          <w:szCs w:val="28"/>
        </w:rPr>
      </w:pPr>
    </w:p>
    <w:p w:rsidRPr="006D1A78" w:rsidR="000229A8" w:rsidP="000229A8" w:rsidRDefault="004E0C4A" w14:paraId="1CC3444F" w14:textId="3AB49FCB">
      <w:pPr>
        <w:rPr>
          <w:sz w:val="28"/>
          <w:szCs w:val="28"/>
        </w:rPr>
      </w:pPr>
      <w:r>
        <w:rPr>
          <w:sz w:val="28"/>
          <w:szCs w:val="28"/>
        </w:rPr>
        <w:t xml:space="preserve">The Department </w:t>
      </w:r>
      <w:r w:rsidR="005B09F8">
        <w:rPr>
          <w:sz w:val="28"/>
          <w:szCs w:val="28"/>
        </w:rPr>
        <w:t xml:space="preserve">will publish a notice in the Federal Register.  </w:t>
      </w:r>
    </w:p>
    <w:p w:rsidRPr="006D1A78" w:rsidR="00B601AB" w:rsidRDefault="00B601AB" w14:paraId="0A20558E" w14:textId="77777777">
      <w:pPr>
        <w:rPr>
          <w:sz w:val="28"/>
          <w:szCs w:val="28"/>
        </w:rPr>
      </w:pPr>
    </w:p>
    <w:p w:rsidRPr="00902C0E" w:rsidR="00902C0E" w:rsidP="00902C0E" w:rsidRDefault="00902C0E" w14:paraId="3A3DEA82" w14:textId="7FA69A3D">
      <w:pPr>
        <w:pStyle w:val="ListParagraph"/>
        <w:numPr>
          <w:ilvl w:val="0"/>
          <w:numId w:val="12"/>
        </w:numPr>
        <w:rPr>
          <w:i/>
          <w:color w:val="000000" w:themeColor="text1"/>
          <w:sz w:val="28"/>
          <w:szCs w:val="28"/>
        </w:rPr>
      </w:pPr>
      <w:r w:rsidRPr="00902C0E">
        <w:rPr>
          <w:i/>
          <w:color w:val="000000" w:themeColor="text1"/>
          <w:sz w:val="28"/>
          <w:szCs w:val="28"/>
        </w:rPr>
        <w:t>Are payments or gifts given to the respondents?</w:t>
      </w:r>
    </w:p>
    <w:p w:rsidRPr="00902C0E" w:rsidR="00902C0E" w:rsidP="00902C0E" w:rsidRDefault="00902C0E" w14:paraId="556A4CDB" w14:textId="77777777">
      <w:pPr>
        <w:pStyle w:val="ListParagraph"/>
        <w:ind w:left="360"/>
        <w:rPr>
          <w:sz w:val="28"/>
          <w:szCs w:val="28"/>
        </w:rPr>
      </w:pPr>
    </w:p>
    <w:p w:rsidRPr="006D1A78" w:rsidR="00B601AB" w:rsidRDefault="00B601AB" w14:paraId="157EEDAC" w14:textId="2283ED93">
      <w:pPr>
        <w:rPr>
          <w:sz w:val="28"/>
          <w:szCs w:val="28"/>
        </w:rPr>
      </w:pPr>
      <w:r w:rsidRPr="006D1A78">
        <w:rPr>
          <w:sz w:val="28"/>
          <w:szCs w:val="28"/>
        </w:rPr>
        <w:t>No payment or gift has been or will be provided to any respondent.</w:t>
      </w:r>
    </w:p>
    <w:p w:rsidRPr="006D1A78" w:rsidR="00B601AB" w:rsidRDefault="00B601AB" w14:paraId="4170A518" w14:textId="77777777">
      <w:pPr>
        <w:rPr>
          <w:sz w:val="28"/>
          <w:szCs w:val="28"/>
        </w:rPr>
      </w:pPr>
    </w:p>
    <w:p w:rsidRPr="00902C0E" w:rsidR="00902C0E" w:rsidP="00902C0E" w:rsidRDefault="00902C0E" w14:paraId="3A823191" w14:textId="2E33579E">
      <w:pPr>
        <w:pStyle w:val="ListParagraph"/>
        <w:numPr>
          <w:ilvl w:val="0"/>
          <w:numId w:val="12"/>
        </w:numPr>
        <w:rPr>
          <w:i/>
          <w:color w:val="000000" w:themeColor="text1"/>
          <w:sz w:val="28"/>
          <w:szCs w:val="28"/>
        </w:rPr>
      </w:pPr>
      <w:r w:rsidRPr="00902C0E">
        <w:rPr>
          <w:i/>
          <w:color w:val="000000" w:themeColor="text1"/>
          <w:sz w:val="28"/>
          <w:szCs w:val="28"/>
        </w:rPr>
        <w:t>Describe assurances of privacy/confidentiality</w:t>
      </w:r>
    </w:p>
    <w:p w:rsidRPr="00902C0E" w:rsidR="00902C0E" w:rsidP="00902C0E" w:rsidRDefault="00902C0E" w14:paraId="23F55C17" w14:textId="77777777">
      <w:pPr>
        <w:pStyle w:val="ListParagraph"/>
        <w:ind w:left="360"/>
        <w:rPr>
          <w:sz w:val="28"/>
          <w:szCs w:val="28"/>
        </w:rPr>
      </w:pPr>
    </w:p>
    <w:p w:rsidRPr="006D1A78" w:rsidR="00B601AB" w:rsidP="002B2345" w:rsidRDefault="00061FA5" w14:paraId="197A59BF" w14:textId="498CD2DD">
      <w:pPr>
        <w:rPr>
          <w:sz w:val="28"/>
          <w:szCs w:val="28"/>
        </w:rPr>
      </w:pPr>
      <w:r>
        <w:rPr>
          <w:sz w:val="28"/>
          <w:szCs w:val="28"/>
        </w:rPr>
        <w:t xml:space="preserve">A privacy impact assessment (PIA) was conducted in 2016 and can be viewed at </w:t>
      </w:r>
      <w:hyperlink w:history="1" r:id="rId7">
        <w:r w:rsidRPr="0078707C">
          <w:rPr>
            <w:rStyle w:val="Hyperlink"/>
            <w:sz w:val="28"/>
            <w:szCs w:val="28"/>
          </w:rPr>
          <w:t>https://www.state.gov/privacy</w:t>
        </w:r>
      </w:hyperlink>
      <w:r>
        <w:rPr>
          <w:sz w:val="28"/>
          <w:szCs w:val="28"/>
        </w:rPr>
        <w:t xml:space="preserve">.   This collection of information is covered under STATE-42, Munitions Control Records, which is also published on </w:t>
      </w:r>
      <w:hyperlink w:history="1" r:id="rId8">
        <w:r w:rsidRPr="00705331">
          <w:rPr>
            <w:rStyle w:val="Hyperlink"/>
            <w:sz w:val="28"/>
            <w:szCs w:val="28"/>
          </w:rPr>
          <w:t>https://www.state.gov/privacy</w:t>
        </w:r>
      </w:hyperlink>
      <w:r>
        <w:rPr>
          <w:sz w:val="28"/>
          <w:szCs w:val="28"/>
        </w:rPr>
        <w:t xml:space="preserve">.  </w:t>
      </w:r>
      <w:r w:rsidRPr="00BE4A03">
        <w:rPr>
          <w:sz w:val="28"/>
          <w:szCs w:val="28"/>
        </w:rPr>
        <w:t xml:space="preserve">Respondents to this collection </w:t>
      </w:r>
      <w:r>
        <w:rPr>
          <w:sz w:val="28"/>
          <w:szCs w:val="28"/>
        </w:rPr>
        <w:t>may</w:t>
      </w:r>
      <w:r w:rsidRPr="00BE4A03">
        <w:rPr>
          <w:sz w:val="28"/>
          <w:szCs w:val="28"/>
        </w:rPr>
        <w:t xml:space="preserve"> </w:t>
      </w:r>
      <w:r>
        <w:rPr>
          <w:sz w:val="28"/>
          <w:szCs w:val="28"/>
        </w:rPr>
        <w:t>review</w:t>
      </w:r>
      <w:r w:rsidRPr="00BE4A03">
        <w:rPr>
          <w:sz w:val="28"/>
          <w:szCs w:val="28"/>
        </w:rPr>
        <w:t xml:space="preserve"> ITAR § 126.10, which describes DDTC’s policy regarding </w:t>
      </w:r>
      <w:r>
        <w:rPr>
          <w:sz w:val="28"/>
          <w:szCs w:val="28"/>
        </w:rPr>
        <w:t>the disclosure of information.</w:t>
      </w:r>
    </w:p>
    <w:p w:rsidRPr="006D1A78" w:rsidR="002B2345" w:rsidP="002B2345" w:rsidRDefault="002B2345" w14:paraId="05D1A791" w14:textId="77777777">
      <w:pPr>
        <w:rPr>
          <w:sz w:val="28"/>
          <w:szCs w:val="28"/>
        </w:rPr>
      </w:pPr>
    </w:p>
    <w:p w:rsidRPr="00902C0E" w:rsidR="00902C0E" w:rsidP="00902C0E" w:rsidRDefault="00902C0E" w14:paraId="09D53878" w14:textId="08E4157D">
      <w:pPr>
        <w:pStyle w:val="ListParagraph"/>
        <w:numPr>
          <w:ilvl w:val="0"/>
          <w:numId w:val="12"/>
        </w:numPr>
        <w:rPr>
          <w:i/>
          <w:color w:val="000000" w:themeColor="text1"/>
          <w:sz w:val="28"/>
          <w:szCs w:val="28"/>
        </w:rPr>
      </w:pPr>
      <w:r w:rsidRPr="00902C0E">
        <w:rPr>
          <w:i/>
          <w:color w:val="000000" w:themeColor="text1"/>
          <w:sz w:val="28"/>
          <w:szCs w:val="28"/>
        </w:rPr>
        <w:t>Are any questions of a sensitive nature asked?</w:t>
      </w:r>
    </w:p>
    <w:p w:rsidRPr="00902C0E" w:rsidR="00902C0E" w:rsidP="00902C0E" w:rsidRDefault="00902C0E" w14:paraId="44415DB6" w14:textId="77777777">
      <w:pPr>
        <w:pStyle w:val="ListParagraph"/>
        <w:ind w:left="360"/>
        <w:rPr>
          <w:sz w:val="28"/>
          <w:szCs w:val="28"/>
        </w:rPr>
      </w:pPr>
    </w:p>
    <w:p w:rsidRPr="006D1A78" w:rsidR="00B601AB" w:rsidRDefault="00F44121" w14:paraId="57161B79" w14:textId="09FB5414">
      <w:pPr>
        <w:rPr>
          <w:sz w:val="28"/>
          <w:szCs w:val="28"/>
        </w:rPr>
      </w:pPr>
      <w:r w:rsidRPr="006D1A78">
        <w:rPr>
          <w:sz w:val="28"/>
          <w:szCs w:val="28"/>
        </w:rPr>
        <w:t xml:space="preserve">The Department of State is </w:t>
      </w:r>
      <w:r w:rsidRPr="006D1A78" w:rsidR="00B601AB">
        <w:rPr>
          <w:sz w:val="28"/>
          <w:szCs w:val="28"/>
        </w:rPr>
        <w:t>not solicit</w:t>
      </w:r>
      <w:r w:rsidRPr="006D1A78">
        <w:rPr>
          <w:sz w:val="28"/>
          <w:szCs w:val="28"/>
        </w:rPr>
        <w:t>ing</w:t>
      </w:r>
      <w:r w:rsidRPr="006D1A78" w:rsidR="00B601AB">
        <w:rPr>
          <w:sz w:val="28"/>
          <w:szCs w:val="28"/>
        </w:rPr>
        <w:t xml:space="preserve"> any information regarding questions of a sensitive nature or matters commonly considered private.</w:t>
      </w:r>
    </w:p>
    <w:p w:rsidRPr="006D1A78" w:rsidR="00B601AB" w:rsidRDefault="00B601AB" w14:paraId="0628DAD6" w14:textId="77777777">
      <w:pPr>
        <w:rPr>
          <w:sz w:val="28"/>
          <w:szCs w:val="28"/>
        </w:rPr>
      </w:pPr>
    </w:p>
    <w:p w:rsidRPr="00902C0E" w:rsidR="00902C0E" w:rsidP="00902C0E" w:rsidRDefault="00902C0E" w14:paraId="13C9678C" w14:textId="54EF3B42">
      <w:pPr>
        <w:pStyle w:val="ListParagraph"/>
        <w:numPr>
          <w:ilvl w:val="0"/>
          <w:numId w:val="12"/>
        </w:numPr>
        <w:rPr>
          <w:i/>
          <w:color w:val="000000" w:themeColor="text1"/>
          <w:sz w:val="28"/>
          <w:szCs w:val="28"/>
        </w:rPr>
      </w:pPr>
      <w:r w:rsidRPr="00902C0E">
        <w:rPr>
          <w:i/>
          <w:color w:val="000000" w:themeColor="text1"/>
          <w:sz w:val="28"/>
          <w:szCs w:val="28"/>
        </w:rPr>
        <w:lastRenderedPageBreak/>
        <w:t>Describe the hour time burden and the hour cost burden on the respondent needed to complete this collection</w:t>
      </w:r>
    </w:p>
    <w:p w:rsidRPr="00902C0E" w:rsidR="00902C0E" w:rsidP="00902C0E" w:rsidRDefault="00902C0E" w14:paraId="5BBE0799" w14:textId="77777777">
      <w:pPr>
        <w:pStyle w:val="ListParagraph"/>
        <w:ind w:left="360"/>
        <w:rPr>
          <w:sz w:val="28"/>
          <w:szCs w:val="28"/>
        </w:rPr>
      </w:pPr>
    </w:p>
    <w:p w:rsidRPr="006D1A78" w:rsidR="00B601AB" w:rsidRDefault="006D1A78" w14:paraId="685FEA1A" w14:textId="38724B8E">
      <w:pPr>
        <w:rPr>
          <w:sz w:val="28"/>
          <w:szCs w:val="28"/>
        </w:rPr>
      </w:pPr>
      <w:r w:rsidRPr="006D1A78">
        <w:rPr>
          <w:sz w:val="28"/>
          <w:szCs w:val="28"/>
        </w:rPr>
        <w:t xml:space="preserve">The Department of State has reason to believe that the information </w:t>
      </w:r>
      <w:r w:rsidR="00022254">
        <w:rPr>
          <w:sz w:val="28"/>
          <w:szCs w:val="28"/>
        </w:rPr>
        <w:t>required</w:t>
      </w:r>
      <w:r w:rsidRPr="006D1A78">
        <w:rPr>
          <w:sz w:val="28"/>
          <w:szCs w:val="28"/>
        </w:rPr>
        <w:t xml:space="preserve"> is already available to U.S. industry in some form due to other needs and requirements (e.g., business transactional records, tax records, quality assurance and productivity, and legal issues posed by other federal laws).  An estimated </w:t>
      </w:r>
      <w:r w:rsidR="00992DF1">
        <w:rPr>
          <w:sz w:val="28"/>
          <w:szCs w:val="28"/>
        </w:rPr>
        <w:t xml:space="preserve">1,563 </w:t>
      </w:r>
      <w:r w:rsidRPr="006D1A78">
        <w:rPr>
          <w:sz w:val="28"/>
          <w:szCs w:val="28"/>
        </w:rPr>
        <w:t xml:space="preserve">annual responses are </w:t>
      </w:r>
      <w:r w:rsidRPr="00022254">
        <w:rPr>
          <w:sz w:val="28"/>
          <w:szCs w:val="28"/>
        </w:rPr>
        <w:t xml:space="preserve">expected </w:t>
      </w:r>
      <w:r w:rsidRPr="00022254" w:rsidR="00022254">
        <w:rPr>
          <w:sz w:val="28"/>
          <w:szCs w:val="28"/>
        </w:rPr>
        <w:t xml:space="preserve">from </w:t>
      </w:r>
      <w:r w:rsidR="00992DF1">
        <w:rPr>
          <w:sz w:val="28"/>
          <w:szCs w:val="28"/>
        </w:rPr>
        <w:t xml:space="preserve">1,563 </w:t>
      </w:r>
      <w:r w:rsidRPr="00022254">
        <w:rPr>
          <w:sz w:val="28"/>
          <w:szCs w:val="28"/>
        </w:rPr>
        <w:t xml:space="preserve">respondents.  Frequency of response is on occasion.  The estimated time that </w:t>
      </w:r>
      <w:r w:rsidR="00376512">
        <w:rPr>
          <w:sz w:val="28"/>
          <w:szCs w:val="28"/>
        </w:rPr>
        <w:t xml:space="preserve">each </w:t>
      </w:r>
      <w:r w:rsidRPr="00022254">
        <w:rPr>
          <w:sz w:val="28"/>
          <w:szCs w:val="28"/>
        </w:rPr>
        <w:t xml:space="preserve">respondent devotes to each submission is approximately </w:t>
      </w:r>
      <w:r w:rsidR="00376512">
        <w:rPr>
          <w:sz w:val="28"/>
          <w:szCs w:val="28"/>
        </w:rPr>
        <w:t>one</w:t>
      </w:r>
      <w:r w:rsidRPr="00022254" w:rsidR="00376512">
        <w:rPr>
          <w:sz w:val="28"/>
          <w:szCs w:val="28"/>
        </w:rPr>
        <w:t xml:space="preserve"> </w:t>
      </w:r>
      <w:r w:rsidRPr="00022254">
        <w:rPr>
          <w:sz w:val="28"/>
          <w:szCs w:val="28"/>
        </w:rPr>
        <w:t xml:space="preserve">hour.  </w:t>
      </w:r>
      <w:r w:rsidRPr="006D1A78">
        <w:rPr>
          <w:sz w:val="28"/>
          <w:szCs w:val="28"/>
        </w:rPr>
        <w:t xml:space="preserve">The estimated annual hour burden is </w:t>
      </w:r>
      <w:r w:rsidR="00992DF1">
        <w:rPr>
          <w:sz w:val="28"/>
          <w:szCs w:val="28"/>
        </w:rPr>
        <w:t>1,563</w:t>
      </w:r>
      <w:r w:rsidRPr="006D1A78">
        <w:rPr>
          <w:sz w:val="28"/>
          <w:szCs w:val="28"/>
        </w:rPr>
        <w:t xml:space="preserve"> hours.</w:t>
      </w:r>
      <w:r w:rsidR="00DC1E3F">
        <w:rPr>
          <w:sz w:val="28"/>
          <w:szCs w:val="28"/>
        </w:rPr>
        <w:t xml:space="preserve"> </w:t>
      </w:r>
      <w:r w:rsidRPr="006D1A78">
        <w:rPr>
          <w:sz w:val="28"/>
          <w:szCs w:val="28"/>
        </w:rPr>
        <w:t xml:space="preserve"> </w:t>
      </w:r>
      <w:r w:rsidRPr="00992DF1" w:rsidR="00992DF1">
        <w:rPr>
          <w:sz w:val="28"/>
          <w:szCs w:val="28"/>
        </w:rPr>
        <w:t>According to the U.S. Department of Labor Bureau of Labor Statistics, the weighted median hourly wage for “Compliance Officers” in the United States is $69.72</w:t>
      </w:r>
      <w:r w:rsidRPr="00992DF1" w:rsidR="00992DF1">
        <w:rPr>
          <w:sz w:val="28"/>
          <w:szCs w:val="28"/>
          <w:vertAlign w:val="superscript"/>
        </w:rPr>
        <w:footnoteReference w:id="1"/>
      </w:r>
      <w:r w:rsidRPr="00992DF1" w:rsidR="00992DF1">
        <w:rPr>
          <w:sz w:val="28"/>
          <w:szCs w:val="28"/>
        </w:rPr>
        <w:t xml:space="preserve"> per hour ($34.86 hourly wage x 2 multiplier = $69.72)  </w:t>
      </w:r>
      <w:r w:rsidR="00DC1E3F">
        <w:rPr>
          <w:sz w:val="28"/>
          <w:szCs w:val="28"/>
        </w:rPr>
        <w:t>m</w:t>
      </w:r>
      <w:r w:rsidRPr="00992DF1" w:rsidR="00992DF1">
        <w:rPr>
          <w:sz w:val="28"/>
          <w:szCs w:val="28"/>
        </w:rPr>
        <w:t>ultiplied by the average annual hourly burden of</w:t>
      </w:r>
      <w:r w:rsidR="00992DF1">
        <w:rPr>
          <w:sz w:val="28"/>
          <w:szCs w:val="28"/>
        </w:rPr>
        <w:t xml:space="preserve"> 1,563</w:t>
      </w:r>
      <w:r w:rsidRPr="00992DF1" w:rsidR="00992DF1">
        <w:rPr>
          <w:sz w:val="28"/>
          <w:szCs w:val="28"/>
        </w:rPr>
        <w:t xml:space="preserve"> hours, the hour-cost burden for this information collection is $</w:t>
      </w:r>
      <w:r w:rsidR="00992DF1">
        <w:rPr>
          <w:sz w:val="28"/>
          <w:szCs w:val="28"/>
        </w:rPr>
        <w:t>108,972.36</w:t>
      </w:r>
      <w:r w:rsidRPr="00992DF1" w:rsidR="00992DF1">
        <w:rPr>
          <w:sz w:val="28"/>
          <w:szCs w:val="28"/>
        </w:rPr>
        <w:t xml:space="preserve"> per year</w:t>
      </w:r>
    </w:p>
    <w:p w:rsidRPr="006D1A78" w:rsidR="006D1A78" w:rsidRDefault="006D1A78" w14:paraId="42A4E7A6" w14:textId="77777777">
      <w:pPr>
        <w:rPr>
          <w:sz w:val="28"/>
          <w:szCs w:val="28"/>
        </w:rPr>
      </w:pPr>
    </w:p>
    <w:p w:rsidRPr="00902C0E" w:rsidR="00902C0E" w:rsidP="00902C0E" w:rsidRDefault="00902C0E" w14:paraId="781A0DAB" w14:textId="35FE675E">
      <w:pPr>
        <w:pStyle w:val="ListParagraph"/>
        <w:numPr>
          <w:ilvl w:val="0"/>
          <w:numId w:val="12"/>
        </w:numPr>
        <w:rPr>
          <w:i/>
          <w:color w:val="000000" w:themeColor="text1"/>
          <w:sz w:val="28"/>
          <w:szCs w:val="28"/>
        </w:rPr>
      </w:pPr>
      <w:r w:rsidRPr="00902C0E">
        <w:rPr>
          <w:i/>
          <w:color w:val="000000" w:themeColor="text1"/>
          <w:sz w:val="28"/>
          <w:szCs w:val="28"/>
        </w:rPr>
        <w:t>Describe the monetary burden to respondents (out of pocket costs) needed to complete this collection.</w:t>
      </w:r>
    </w:p>
    <w:p w:rsidRPr="00902C0E" w:rsidR="00902C0E" w:rsidP="00902C0E" w:rsidRDefault="00902C0E" w14:paraId="11EDDAC8" w14:textId="77777777">
      <w:pPr>
        <w:pStyle w:val="ListParagraph"/>
        <w:ind w:left="360"/>
        <w:rPr>
          <w:sz w:val="28"/>
          <w:szCs w:val="28"/>
        </w:rPr>
      </w:pPr>
    </w:p>
    <w:p w:rsidRPr="006D1A78" w:rsidR="00B601AB" w:rsidRDefault="00367B66" w14:paraId="4B579CFA" w14:textId="6D9B4103">
      <w:pPr>
        <w:rPr>
          <w:sz w:val="28"/>
          <w:szCs w:val="28"/>
        </w:rPr>
      </w:pPr>
      <w:r w:rsidRPr="006D1A78">
        <w:rPr>
          <w:sz w:val="28"/>
          <w:szCs w:val="28"/>
        </w:rPr>
        <w:t>There are no anticipated additional costs to respondents.</w:t>
      </w:r>
    </w:p>
    <w:p w:rsidRPr="006D1A78" w:rsidR="00367B66" w:rsidRDefault="00367B66" w14:paraId="7B2DFC35" w14:textId="77777777">
      <w:pPr>
        <w:rPr>
          <w:sz w:val="28"/>
          <w:szCs w:val="28"/>
          <w:u w:val="single"/>
        </w:rPr>
      </w:pPr>
    </w:p>
    <w:p w:rsidRPr="00902C0E" w:rsidR="00902C0E" w:rsidP="00902C0E" w:rsidRDefault="00902C0E" w14:paraId="0579AE19" w14:textId="6A3F6B74">
      <w:pPr>
        <w:pStyle w:val="ListParagraph"/>
        <w:numPr>
          <w:ilvl w:val="0"/>
          <w:numId w:val="12"/>
        </w:numPr>
        <w:rPr>
          <w:sz w:val="28"/>
          <w:szCs w:val="28"/>
        </w:rPr>
      </w:pPr>
      <w:r w:rsidRPr="00902C0E">
        <w:rPr>
          <w:i/>
          <w:color w:val="000000" w:themeColor="text1"/>
          <w:sz w:val="28"/>
          <w:szCs w:val="28"/>
        </w:rPr>
        <w:t>Describe the cost incurred by the Federal Government  to complete this collection.</w:t>
      </w:r>
    </w:p>
    <w:p w:rsidRPr="00902C0E" w:rsidR="00902C0E" w:rsidP="00902C0E" w:rsidRDefault="00902C0E" w14:paraId="1E0A3163" w14:textId="77777777">
      <w:pPr>
        <w:pStyle w:val="ListParagraph"/>
        <w:ind w:left="360"/>
        <w:rPr>
          <w:sz w:val="28"/>
          <w:szCs w:val="28"/>
        </w:rPr>
      </w:pPr>
    </w:p>
    <w:p w:rsidRPr="00992DF1" w:rsidR="00992DF1" w:rsidP="00992DF1" w:rsidRDefault="00992DF1" w14:paraId="0380A577" w14:textId="131D8CDE">
      <w:pPr>
        <w:rPr>
          <w:sz w:val="28"/>
          <w:szCs w:val="28"/>
        </w:rPr>
      </w:pPr>
      <w:r>
        <w:rPr>
          <w:sz w:val="28"/>
          <w:szCs w:val="28"/>
        </w:rPr>
        <w:t>Twelve Licensing Officers</w:t>
      </w:r>
      <w:r w:rsidRPr="00992DF1">
        <w:rPr>
          <w:sz w:val="28"/>
          <w:szCs w:val="28"/>
        </w:rPr>
        <w:t xml:space="preserve"> (GS-13 or equivalent) review and process </w:t>
      </w:r>
      <w:r>
        <w:rPr>
          <w:sz w:val="28"/>
          <w:szCs w:val="28"/>
        </w:rPr>
        <w:t xml:space="preserve">DS-6004 General </w:t>
      </w:r>
      <w:r w:rsidR="00591B7B">
        <w:rPr>
          <w:sz w:val="28"/>
          <w:szCs w:val="28"/>
        </w:rPr>
        <w:t xml:space="preserve">Correspondence, which account for 4.4% of the cases reviewed.  </w:t>
      </w:r>
      <w:r w:rsidRPr="00992DF1" w:rsidR="00591B7B">
        <w:rPr>
          <w:sz w:val="28"/>
          <w:szCs w:val="28"/>
        </w:rPr>
        <w:t>At</w:t>
      </w:r>
      <w:r w:rsidRPr="00992DF1">
        <w:rPr>
          <w:sz w:val="28"/>
          <w:szCs w:val="28"/>
        </w:rPr>
        <w:t xml:space="preserve"> an average annual cost of $116,353</w:t>
      </w:r>
      <w:r w:rsidRPr="00992DF1">
        <w:rPr>
          <w:sz w:val="28"/>
          <w:szCs w:val="28"/>
          <w:vertAlign w:val="superscript"/>
        </w:rPr>
        <w:footnoteReference w:id="2"/>
      </w:r>
      <w:r w:rsidRPr="00992DF1">
        <w:rPr>
          <w:sz w:val="28"/>
          <w:szCs w:val="28"/>
        </w:rPr>
        <w:t xml:space="preserve"> per employee, DDTC estimates the total cost to the Federal Government to be $</w:t>
      </w:r>
      <w:r w:rsidR="00591B7B">
        <w:rPr>
          <w:sz w:val="28"/>
          <w:szCs w:val="28"/>
        </w:rPr>
        <w:t>61,434.38</w:t>
      </w:r>
      <w:r w:rsidRPr="00992DF1">
        <w:rPr>
          <w:sz w:val="28"/>
          <w:szCs w:val="28"/>
        </w:rPr>
        <w:t>.</w:t>
      </w:r>
      <w:r w:rsidR="00591B7B">
        <w:rPr>
          <w:sz w:val="28"/>
          <w:szCs w:val="28"/>
        </w:rPr>
        <w:t xml:space="preserve">  (12 employees x $116,353 = 1,396,236 x 4.4% workload = $61,434.38)</w:t>
      </w:r>
      <w:r w:rsidR="00DC1E3F">
        <w:rPr>
          <w:sz w:val="28"/>
          <w:szCs w:val="28"/>
        </w:rPr>
        <w:t>.</w:t>
      </w:r>
      <w:r w:rsidRPr="00992DF1">
        <w:rPr>
          <w:sz w:val="28"/>
          <w:szCs w:val="28"/>
        </w:rPr>
        <w:t xml:space="preserve">  </w:t>
      </w:r>
    </w:p>
    <w:p w:rsidRPr="006D1A78" w:rsidR="00B601AB" w:rsidRDefault="00B601AB" w14:paraId="39E93739" w14:textId="77777777">
      <w:pPr>
        <w:rPr>
          <w:sz w:val="28"/>
          <w:szCs w:val="28"/>
          <w:highlight w:val="yellow"/>
        </w:rPr>
      </w:pPr>
    </w:p>
    <w:p w:rsidR="00902C0E" w:rsidP="00902C0E" w:rsidRDefault="00902C0E" w14:paraId="6CDCBE12" w14:textId="70D9E1C4">
      <w:pPr>
        <w:numPr>
          <w:ilvl w:val="0"/>
          <w:numId w:val="12"/>
        </w:numPr>
        <w:spacing w:after="120"/>
        <w:rPr>
          <w:i/>
          <w:color w:val="000000" w:themeColor="text1"/>
          <w:sz w:val="28"/>
          <w:szCs w:val="28"/>
        </w:rPr>
      </w:pPr>
      <w:r w:rsidRPr="007F6199">
        <w:rPr>
          <w:i/>
          <w:color w:val="000000" w:themeColor="text1"/>
          <w:sz w:val="28"/>
          <w:szCs w:val="28"/>
        </w:rPr>
        <w:t>Explain any changes/adjustments to this collection since the previous submission</w:t>
      </w:r>
    </w:p>
    <w:p w:rsidR="00902C0E" w:rsidP="00BB4C13" w:rsidRDefault="00902C0E" w14:paraId="77DAA0E3" w14:textId="77777777">
      <w:pPr>
        <w:rPr>
          <w:sz w:val="28"/>
          <w:szCs w:val="28"/>
        </w:rPr>
      </w:pPr>
    </w:p>
    <w:p w:rsidRPr="006D1A78" w:rsidR="00BB4C13" w:rsidP="00BB4C13" w:rsidRDefault="00B73296" w14:paraId="42F851AF" w14:textId="592F3E7B">
      <w:pPr>
        <w:rPr>
          <w:sz w:val="28"/>
          <w:szCs w:val="28"/>
        </w:rPr>
      </w:pPr>
      <w:r w:rsidRPr="00B73296">
        <w:rPr>
          <w:sz w:val="28"/>
          <w:szCs w:val="28"/>
        </w:rPr>
        <w:t xml:space="preserve">The number of respondents has been adjusted </w:t>
      </w:r>
      <w:r w:rsidRPr="006E5F18">
        <w:rPr>
          <w:sz w:val="28"/>
          <w:szCs w:val="28"/>
        </w:rPr>
        <w:t xml:space="preserve">from </w:t>
      </w:r>
      <w:r w:rsidR="00591B7B">
        <w:rPr>
          <w:sz w:val="28"/>
          <w:szCs w:val="28"/>
        </w:rPr>
        <w:t>500</w:t>
      </w:r>
      <w:r w:rsidRPr="006E5F18" w:rsidR="00022254">
        <w:rPr>
          <w:sz w:val="28"/>
          <w:szCs w:val="28"/>
        </w:rPr>
        <w:t xml:space="preserve"> to </w:t>
      </w:r>
      <w:r w:rsidR="00591B7B">
        <w:rPr>
          <w:sz w:val="28"/>
          <w:szCs w:val="28"/>
        </w:rPr>
        <w:t>1,563</w:t>
      </w:r>
      <w:r w:rsidRPr="00022254" w:rsidR="006D1A78">
        <w:rPr>
          <w:sz w:val="28"/>
          <w:szCs w:val="28"/>
        </w:rPr>
        <w:t xml:space="preserve"> </w:t>
      </w:r>
      <w:r w:rsidR="00376512">
        <w:rPr>
          <w:sz w:val="28"/>
          <w:szCs w:val="28"/>
        </w:rPr>
        <w:t xml:space="preserve">in </w:t>
      </w:r>
      <w:r w:rsidRPr="00022254" w:rsidR="006D1A78">
        <w:rPr>
          <w:sz w:val="28"/>
          <w:szCs w:val="28"/>
        </w:rPr>
        <w:t xml:space="preserve">the most recent estimate.  </w:t>
      </w:r>
      <w:r w:rsidRPr="00B73296">
        <w:rPr>
          <w:sz w:val="28"/>
          <w:szCs w:val="28"/>
        </w:rPr>
        <w:t xml:space="preserve">Total annual responses have been adjusted from </w:t>
      </w:r>
      <w:r w:rsidR="00591B7B">
        <w:rPr>
          <w:sz w:val="28"/>
          <w:szCs w:val="28"/>
        </w:rPr>
        <w:t xml:space="preserve">500 </w:t>
      </w:r>
      <w:r w:rsidRPr="00022254" w:rsidR="006D1A78">
        <w:rPr>
          <w:sz w:val="28"/>
          <w:szCs w:val="28"/>
        </w:rPr>
        <w:t xml:space="preserve">to </w:t>
      </w:r>
      <w:r w:rsidR="00591B7B">
        <w:rPr>
          <w:sz w:val="28"/>
          <w:szCs w:val="28"/>
        </w:rPr>
        <w:t>1,563</w:t>
      </w:r>
      <w:r w:rsidRPr="00022254" w:rsidR="006D1A78">
        <w:rPr>
          <w:sz w:val="28"/>
          <w:szCs w:val="28"/>
        </w:rPr>
        <w:t xml:space="preserve">.  </w:t>
      </w:r>
      <w:r w:rsidRPr="00B73296">
        <w:rPr>
          <w:sz w:val="28"/>
          <w:szCs w:val="28"/>
        </w:rPr>
        <w:t xml:space="preserve">Consequently, total annual hours </w:t>
      </w:r>
      <w:r w:rsidR="00591B7B">
        <w:rPr>
          <w:sz w:val="28"/>
          <w:szCs w:val="28"/>
        </w:rPr>
        <w:t>requested have been adjusted to 1,563</w:t>
      </w:r>
      <w:r w:rsidRPr="00022254" w:rsidR="006D1A78">
        <w:rPr>
          <w:sz w:val="28"/>
          <w:szCs w:val="28"/>
        </w:rPr>
        <w:t xml:space="preserve">.  The </w:t>
      </w:r>
      <w:r w:rsidRPr="00022254" w:rsidR="006D1A78">
        <w:rPr>
          <w:sz w:val="28"/>
          <w:szCs w:val="28"/>
        </w:rPr>
        <w:lastRenderedPageBreak/>
        <w:t xml:space="preserve">revised respondent number is </w:t>
      </w:r>
      <w:r w:rsidRPr="00022254" w:rsidR="00022254">
        <w:rPr>
          <w:sz w:val="28"/>
          <w:szCs w:val="28"/>
        </w:rPr>
        <w:t xml:space="preserve">based on the submissions identified </w:t>
      </w:r>
      <w:r w:rsidR="008B47B0">
        <w:rPr>
          <w:sz w:val="28"/>
          <w:szCs w:val="28"/>
        </w:rPr>
        <w:t>during a</w:t>
      </w:r>
      <w:r w:rsidRPr="00022254" w:rsidR="008B47B0">
        <w:rPr>
          <w:sz w:val="28"/>
          <w:szCs w:val="28"/>
        </w:rPr>
        <w:t xml:space="preserve"> </w:t>
      </w:r>
      <w:r w:rsidRPr="00022254" w:rsidR="00022254">
        <w:rPr>
          <w:sz w:val="28"/>
          <w:szCs w:val="28"/>
        </w:rPr>
        <w:t xml:space="preserve">review of </w:t>
      </w:r>
      <w:r w:rsidRPr="00022254" w:rsidR="006D1A78">
        <w:rPr>
          <w:sz w:val="28"/>
          <w:szCs w:val="28"/>
        </w:rPr>
        <w:t>the database.</w:t>
      </w:r>
      <w:r w:rsidR="00591B7B">
        <w:rPr>
          <w:sz w:val="28"/>
          <w:szCs w:val="28"/>
        </w:rPr>
        <w:t xml:space="preserve">  DDTC has added a submission type ‘Other’ to the DS-6004 and will allow for electronic upload of supporting documentation.  </w:t>
      </w:r>
    </w:p>
    <w:p w:rsidRPr="006D1A78" w:rsidR="00B601AB" w:rsidRDefault="00B601AB" w14:paraId="4B628775" w14:textId="77777777">
      <w:pPr>
        <w:rPr>
          <w:sz w:val="28"/>
          <w:szCs w:val="28"/>
        </w:rPr>
      </w:pPr>
    </w:p>
    <w:p w:rsidRPr="00902C0E" w:rsidR="00902C0E" w:rsidP="00902C0E" w:rsidRDefault="00902C0E" w14:paraId="222208DE" w14:textId="1A116035">
      <w:pPr>
        <w:pStyle w:val="ListParagraph"/>
        <w:numPr>
          <w:ilvl w:val="0"/>
          <w:numId w:val="12"/>
        </w:numPr>
        <w:rPr>
          <w:i/>
          <w:color w:val="000000" w:themeColor="text1"/>
          <w:sz w:val="28"/>
          <w:szCs w:val="28"/>
        </w:rPr>
      </w:pPr>
      <w:r w:rsidRPr="00902C0E">
        <w:rPr>
          <w:i/>
          <w:color w:val="000000" w:themeColor="text1"/>
          <w:sz w:val="28"/>
          <w:szCs w:val="28"/>
        </w:rPr>
        <w:t>Specify if the data gathered by this collection will be published.</w:t>
      </w:r>
    </w:p>
    <w:p w:rsidRPr="00902C0E" w:rsidR="00902C0E" w:rsidP="00902C0E" w:rsidRDefault="00902C0E" w14:paraId="39A74CBB" w14:textId="77777777">
      <w:pPr>
        <w:pStyle w:val="ListParagraph"/>
        <w:ind w:left="360"/>
        <w:rPr>
          <w:sz w:val="28"/>
          <w:szCs w:val="28"/>
        </w:rPr>
      </w:pPr>
    </w:p>
    <w:p w:rsidRPr="006D1A78" w:rsidR="006D1A78" w:rsidP="006D1A78" w:rsidRDefault="00E035B2" w14:paraId="1DF36807" w14:textId="0E22D4D5">
      <w:pPr>
        <w:rPr>
          <w:sz w:val="28"/>
          <w:szCs w:val="28"/>
        </w:rPr>
      </w:pPr>
      <w:r>
        <w:rPr>
          <w:sz w:val="28"/>
          <w:szCs w:val="28"/>
        </w:rPr>
        <w:t>The information collected will not be published</w:t>
      </w:r>
      <w:r w:rsidRPr="006D1A78" w:rsidR="006D1A78">
        <w:rPr>
          <w:sz w:val="28"/>
          <w:szCs w:val="28"/>
        </w:rPr>
        <w:t>.</w:t>
      </w:r>
    </w:p>
    <w:p w:rsidRPr="006D1A78" w:rsidR="006D1A78" w:rsidP="006D1A78" w:rsidRDefault="006D1A78" w14:paraId="1DEA83D3" w14:textId="77777777">
      <w:pPr>
        <w:rPr>
          <w:sz w:val="28"/>
          <w:szCs w:val="28"/>
        </w:rPr>
      </w:pPr>
    </w:p>
    <w:p w:rsidRPr="00902C0E" w:rsidR="00902C0E" w:rsidP="00902C0E" w:rsidRDefault="00902C0E" w14:paraId="75DA75E3" w14:textId="2DE30502">
      <w:pPr>
        <w:pStyle w:val="ListParagraph"/>
        <w:numPr>
          <w:ilvl w:val="0"/>
          <w:numId w:val="12"/>
        </w:numPr>
        <w:rPr>
          <w:i/>
          <w:color w:val="000000" w:themeColor="text1"/>
          <w:sz w:val="28"/>
          <w:szCs w:val="28"/>
        </w:rPr>
      </w:pPr>
      <w:r w:rsidRPr="00902C0E">
        <w:rPr>
          <w:i/>
          <w:color w:val="000000" w:themeColor="text1"/>
          <w:sz w:val="28"/>
          <w:szCs w:val="28"/>
        </w:rPr>
        <w:t>If applicable, explain the reason(s) for seeking approval to not display the OMB expiration date.</w:t>
      </w:r>
    </w:p>
    <w:p w:rsidRPr="00902C0E" w:rsidR="00902C0E" w:rsidP="00902C0E" w:rsidRDefault="00902C0E" w14:paraId="169994FA" w14:textId="77777777">
      <w:pPr>
        <w:pStyle w:val="ListParagraph"/>
        <w:ind w:left="360"/>
        <w:rPr>
          <w:sz w:val="28"/>
          <w:szCs w:val="28"/>
        </w:rPr>
      </w:pPr>
    </w:p>
    <w:p w:rsidRPr="006D1A78" w:rsidR="006D1A78" w:rsidP="006D1A78" w:rsidRDefault="006D1A78" w14:paraId="48D000BB" w14:textId="41654E10">
      <w:pPr>
        <w:rPr>
          <w:sz w:val="28"/>
          <w:szCs w:val="28"/>
        </w:rPr>
      </w:pPr>
      <w:r w:rsidRPr="006D1A78">
        <w:rPr>
          <w:sz w:val="28"/>
          <w:szCs w:val="28"/>
        </w:rPr>
        <w:t xml:space="preserve">DDTC </w:t>
      </w:r>
      <w:r w:rsidR="00A8482D">
        <w:rPr>
          <w:sz w:val="28"/>
          <w:szCs w:val="28"/>
        </w:rPr>
        <w:t>will</w:t>
      </w:r>
      <w:r w:rsidRPr="006D1A78">
        <w:rPr>
          <w:sz w:val="28"/>
          <w:szCs w:val="28"/>
        </w:rPr>
        <w:t xml:space="preserve"> display the expiration date for OMB approval of the information collection.</w:t>
      </w:r>
    </w:p>
    <w:p w:rsidRPr="006D1A78" w:rsidR="006D1A78" w:rsidP="006D1A78" w:rsidRDefault="006D1A78" w14:paraId="6EB8DFEC" w14:textId="77777777">
      <w:pPr>
        <w:rPr>
          <w:sz w:val="28"/>
          <w:szCs w:val="28"/>
        </w:rPr>
      </w:pPr>
    </w:p>
    <w:p w:rsidRPr="008C4BF2" w:rsidR="008C4BF2" w:rsidP="008C4BF2" w:rsidRDefault="008C4BF2" w14:paraId="7F4A5D59" w14:textId="1F13070A">
      <w:pPr>
        <w:pStyle w:val="ListParagraph"/>
        <w:numPr>
          <w:ilvl w:val="0"/>
          <w:numId w:val="12"/>
        </w:numPr>
        <w:rPr>
          <w:sz w:val="28"/>
          <w:szCs w:val="28"/>
        </w:rPr>
      </w:pPr>
      <w:r w:rsidRPr="007F6199">
        <w:rPr>
          <w:i/>
          <w:color w:val="000000" w:themeColor="text1"/>
          <w:sz w:val="28"/>
          <w:szCs w:val="28"/>
        </w:rPr>
        <w:t>Explain any exceptions to the OMB certification statement</w:t>
      </w:r>
      <w:r>
        <w:rPr>
          <w:i/>
          <w:color w:val="000000" w:themeColor="text1"/>
          <w:sz w:val="28"/>
          <w:szCs w:val="28"/>
        </w:rPr>
        <w:t xml:space="preserve"> below.</w:t>
      </w:r>
    </w:p>
    <w:p w:rsidRPr="008C4BF2" w:rsidR="008C4BF2" w:rsidP="008C4BF2" w:rsidRDefault="008C4BF2" w14:paraId="3801D749" w14:textId="77777777">
      <w:pPr>
        <w:pStyle w:val="ListParagraph"/>
        <w:ind w:left="360"/>
        <w:rPr>
          <w:sz w:val="28"/>
          <w:szCs w:val="28"/>
        </w:rPr>
      </w:pPr>
    </w:p>
    <w:p w:rsidR="00B601AB" w:rsidP="006D1A78" w:rsidRDefault="006D1A78" w14:paraId="45734058" w14:textId="49F5A6D3">
      <w:pPr>
        <w:rPr>
          <w:sz w:val="28"/>
          <w:szCs w:val="28"/>
        </w:rPr>
      </w:pPr>
      <w:r w:rsidRPr="006D1A78">
        <w:rPr>
          <w:sz w:val="28"/>
          <w:szCs w:val="28"/>
        </w:rPr>
        <w:t xml:space="preserve">The Department of State does not seek any exception to the </w:t>
      </w:r>
      <w:r w:rsidR="00B73296">
        <w:rPr>
          <w:sz w:val="28"/>
          <w:szCs w:val="28"/>
        </w:rPr>
        <w:t>certification statement.</w:t>
      </w:r>
    </w:p>
    <w:p w:rsidRPr="006D1A78" w:rsidR="006D1A78" w:rsidP="006D1A78" w:rsidRDefault="006D1A78" w14:paraId="7178411D" w14:textId="77777777">
      <w:pPr>
        <w:rPr>
          <w:sz w:val="28"/>
          <w:szCs w:val="28"/>
        </w:rPr>
      </w:pPr>
    </w:p>
    <w:p w:rsidRPr="006D1A78" w:rsidR="00B601AB" w:rsidRDefault="00B601AB" w14:paraId="2D66EAE0" w14:textId="77777777">
      <w:pPr>
        <w:pStyle w:val="Heading2"/>
        <w:jc w:val="left"/>
        <w:rPr>
          <w:color w:val="auto"/>
          <w:sz w:val="28"/>
          <w:szCs w:val="28"/>
        </w:rPr>
      </w:pPr>
      <w:r w:rsidRPr="006D1A78">
        <w:rPr>
          <w:color w:val="auto"/>
          <w:sz w:val="28"/>
          <w:szCs w:val="28"/>
        </w:rPr>
        <w:t>B.  Collections of Information Employing Statistical Methods</w:t>
      </w:r>
    </w:p>
    <w:p w:rsidRPr="006D1A78" w:rsidR="00B601AB" w:rsidRDefault="00B601AB" w14:paraId="604D583C" w14:textId="77777777">
      <w:pPr>
        <w:jc w:val="center"/>
        <w:rPr>
          <w:b/>
          <w:sz w:val="28"/>
          <w:szCs w:val="28"/>
        </w:rPr>
      </w:pPr>
    </w:p>
    <w:p w:rsidRPr="006D1A78" w:rsidR="00B601AB" w:rsidP="002C15BC" w:rsidRDefault="00367B66" w14:paraId="123ECCDE" w14:textId="77777777">
      <w:pPr>
        <w:rPr>
          <w:sz w:val="28"/>
          <w:szCs w:val="28"/>
        </w:rPr>
      </w:pPr>
      <w:r w:rsidRPr="006D1A78">
        <w:rPr>
          <w:sz w:val="28"/>
          <w:szCs w:val="28"/>
        </w:rPr>
        <w:tab/>
      </w:r>
      <w:r w:rsidRPr="006D1A78" w:rsidR="00B601AB">
        <w:rPr>
          <w:sz w:val="28"/>
          <w:szCs w:val="28"/>
        </w:rPr>
        <w:t>This collection of information does not employ statistical methods.</w:t>
      </w:r>
    </w:p>
    <w:sectPr w:rsidRPr="006D1A78" w:rsidR="00B601AB" w:rsidSect="00427A03">
      <w:headerReference w:type="even" r:id="rId9"/>
      <w:headerReference w:type="default" r:id="rId10"/>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2FADE" w14:textId="77777777" w:rsidR="009363BA" w:rsidRDefault="009363BA">
      <w:r>
        <w:separator/>
      </w:r>
    </w:p>
  </w:endnote>
  <w:endnote w:type="continuationSeparator" w:id="0">
    <w:p w14:paraId="37331429" w14:textId="77777777" w:rsidR="009363BA" w:rsidRDefault="0093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0548D" w14:textId="77777777" w:rsidR="00545138" w:rsidRDefault="00C173BB" w:rsidP="000D7488">
    <w:pPr>
      <w:pStyle w:val="Footer"/>
      <w:framePr w:wrap="around" w:vAnchor="text" w:hAnchor="margin" w:xAlign="center" w:y="1"/>
      <w:rPr>
        <w:rStyle w:val="PageNumber"/>
      </w:rPr>
    </w:pPr>
    <w:r>
      <w:rPr>
        <w:rStyle w:val="PageNumber"/>
      </w:rPr>
      <w:fldChar w:fldCharType="begin"/>
    </w:r>
    <w:r w:rsidR="00545138">
      <w:rPr>
        <w:rStyle w:val="PageNumber"/>
      </w:rPr>
      <w:instrText xml:space="preserve">PAGE  </w:instrText>
    </w:r>
    <w:r>
      <w:rPr>
        <w:rStyle w:val="PageNumber"/>
      </w:rPr>
      <w:fldChar w:fldCharType="end"/>
    </w:r>
  </w:p>
  <w:p w14:paraId="60B8704D" w14:textId="77777777" w:rsidR="00545138" w:rsidRDefault="00545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A3FA" w14:textId="207C17DF" w:rsidR="00545138" w:rsidRPr="00750B93" w:rsidRDefault="00C173BB" w:rsidP="000D7488">
    <w:pPr>
      <w:pStyle w:val="Footer"/>
      <w:framePr w:wrap="around" w:vAnchor="text" w:hAnchor="margin" w:xAlign="center" w:y="1"/>
      <w:rPr>
        <w:rStyle w:val="PageNumber"/>
        <w:sz w:val="28"/>
        <w:szCs w:val="28"/>
      </w:rPr>
    </w:pPr>
    <w:r w:rsidRPr="00750B93">
      <w:rPr>
        <w:rStyle w:val="PageNumber"/>
        <w:sz w:val="28"/>
        <w:szCs w:val="28"/>
      </w:rPr>
      <w:fldChar w:fldCharType="begin"/>
    </w:r>
    <w:r w:rsidR="00545138" w:rsidRPr="00750B93">
      <w:rPr>
        <w:rStyle w:val="PageNumber"/>
        <w:sz w:val="28"/>
        <w:szCs w:val="28"/>
      </w:rPr>
      <w:instrText xml:space="preserve">PAGE  </w:instrText>
    </w:r>
    <w:r w:rsidRPr="00750B93">
      <w:rPr>
        <w:rStyle w:val="PageNumber"/>
        <w:sz w:val="28"/>
        <w:szCs w:val="28"/>
      </w:rPr>
      <w:fldChar w:fldCharType="separate"/>
    </w:r>
    <w:r w:rsidR="008C4BF2">
      <w:rPr>
        <w:rStyle w:val="PageNumber"/>
        <w:noProof/>
        <w:sz w:val="28"/>
        <w:szCs w:val="28"/>
      </w:rPr>
      <w:t>3</w:t>
    </w:r>
    <w:r w:rsidRPr="00750B93">
      <w:rPr>
        <w:rStyle w:val="PageNumber"/>
        <w:sz w:val="28"/>
        <w:szCs w:val="28"/>
      </w:rPr>
      <w:fldChar w:fldCharType="end"/>
    </w:r>
  </w:p>
  <w:p w14:paraId="4D827EF8" w14:textId="77777777" w:rsidR="00545138" w:rsidRDefault="00545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A3483" w14:textId="77777777" w:rsidR="009363BA" w:rsidRDefault="009363BA">
      <w:r>
        <w:separator/>
      </w:r>
    </w:p>
  </w:footnote>
  <w:footnote w:type="continuationSeparator" w:id="0">
    <w:p w14:paraId="136FEC84" w14:textId="77777777" w:rsidR="009363BA" w:rsidRDefault="009363BA">
      <w:r>
        <w:continuationSeparator/>
      </w:r>
    </w:p>
  </w:footnote>
  <w:footnote w:id="1">
    <w:p w14:paraId="3DEF46F1" w14:textId="77777777" w:rsidR="00992DF1" w:rsidRDefault="00992DF1" w:rsidP="00992DF1">
      <w:pPr>
        <w:pStyle w:val="FootnoteText"/>
      </w:pPr>
      <w:r>
        <w:rPr>
          <w:rStyle w:val="FootnoteReference"/>
        </w:rPr>
        <w:footnoteRef/>
      </w:r>
      <w:r>
        <w:t xml:space="preserve"> Source: Bureau of Labor Statistics; Occupational Employment Statistics https://www.bls.gov/oes/current/oes131041.htm</w:t>
      </w:r>
    </w:p>
  </w:footnote>
  <w:footnote w:id="2">
    <w:p w14:paraId="795877E8" w14:textId="77777777" w:rsidR="00992DF1" w:rsidRDefault="00992DF1" w:rsidP="00992DF1">
      <w:pPr>
        <w:pStyle w:val="FootnoteText"/>
      </w:pPr>
      <w:r>
        <w:rPr>
          <w:rStyle w:val="FootnoteReference"/>
        </w:rPr>
        <w:footnoteRef/>
      </w:r>
      <w:r>
        <w:t xml:space="preserve"> </w:t>
      </w:r>
      <w:hyperlink r:id="rId1" w:history="1">
        <w:r w:rsidRPr="009F1731">
          <w:rPr>
            <w:color w:val="0000FF"/>
            <w:sz w:val="24"/>
            <w:u w:val="single"/>
          </w:rPr>
          <w:t>https://www.opm.gov/policy-data-oversight/pay-leave/salaries-wages/2020/general-schedule/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64021" w14:textId="77777777" w:rsidR="00545138" w:rsidRDefault="00C173BB">
    <w:pPr>
      <w:pStyle w:val="Header"/>
      <w:framePr w:wrap="around" w:vAnchor="text" w:hAnchor="margin" w:xAlign="center" w:y="1"/>
      <w:rPr>
        <w:rStyle w:val="PageNumber"/>
      </w:rPr>
    </w:pPr>
    <w:r>
      <w:rPr>
        <w:rStyle w:val="PageNumber"/>
      </w:rPr>
      <w:fldChar w:fldCharType="begin"/>
    </w:r>
    <w:r w:rsidR="00545138">
      <w:rPr>
        <w:rStyle w:val="PageNumber"/>
      </w:rPr>
      <w:instrText xml:space="preserve">PAGE  </w:instrText>
    </w:r>
    <w:r>
      <w:rPr>
        <w:rStyle w:val="PageNumber"/>
      </w:rPr>
      <w:fldChar w:fldCharType="separate"/>
    </w:r>
    <w:r w:rsidR="00545138">
      <w:rPr>
        <w:rStyle w:val="PageNumber"/>
        <w:noProof/>
      </w:rPr>
      <w:t>1</w:t>
    </w:r>
    <w:r>
      <w:rPr>
        <w:rStyle w:val="PageNumber"/>
      </w:rPr>
      <w:fldChar w:fldCharType="end"/>
    </w:r>
  </w:p>
  <w:p w14:paraId="62772839" w14:textId="77777777" w:rsidR="00545138" w:rsidRDefault="00545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8DEA1" w14:textId="77777777" w:rsidR="00545138" w:rsidRDefault="00545138">
    <w:pPr>
      <w:pStyle w:val="Header"/>
      <w:framePr w:wrap="around" w:vAnchor="text" w:hAnchor="margin" w:xAlign="center" w:y="1"/>
      <w:rPr>
        <w:rStyle w:val="PageNumber"/>
      </w:rPr>
    </w:pPr>
  </w:p>
  <w:p w14:paraId="3201A75F" w14:textId="47AE1219" w:rsidR="00545138" w:rsidRDefault="00545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BA46C75"/>
    <w:multiLevelType w:val="hybridMultilevel"/>
    <w:tmpl w:val="C95ED17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abstractNumId w:val="3"/>
  </w:num>
  <w:num w:numId="2">
    <w:abstractNumId w:val="6"/>
  </w:num>
  <w:num w:numId="3">
    <w:abstractNumId w:val="9"/>
  </w:num>
  <w:num w:numId="4">
    <w:abstractNumId w:val="5"/>
  </w:num>
  <w:num w:numId="5">
    <w:abstractNumId w:val="4"/>
  </w:num>
  <w:num w:numId="6">
    <w:abstractNumId w:val="1"/>
  </w:num>
  <w:num w:numId="7">
    <w:abstractNumId w:val="8"/>
  </w:num>
  <w:num w:numId="8">
    <w:abstractNumId w:val="10"/>
  </w:num>
  <w:num w:numId="9">
    <w:abstractNumId w:val="2"/>
  </w:num>
  <w:num w:numId="10">
    <w:abstractNumId w:val="1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8FA"/>
    <w:rsid w:val="00001A40"/>
    <w:rsid w:val="00022254"/>
    <w:rsid w:val="000229A8"/>
    <w:rsid w:val="00024497"/>
    <w:rsid w:val="00036EE2"/>
    <w:rsid w:val="00061FA5"/>
    <w:rsid w:val="00070125"/>
    <w:rsid w:val="000C413B"/>
    <w:rsid w:val="000D7488"/>
    <w:rsid w:val="000E2F81"/>
    <w:rsid w:val="00105979"/>
    <w:rsid w:val="00112BF4"/>
    <w:rsid w:val="001217D2"/>
    <w:rsid w:val="001277FE"/>
    <w:rsid w:val="0016287D"/>
    <w:rsid w:val="001743B0"/>
    <w:rsid w:val="001972F8"/>
    <w:rsid w:val="001C2065"/>
    <w:rsid w:val="001D4D8D"/>
    <w:rsid w:val="00202300"/>
    <w:rsid w:val="00236D22"/>
    <w:rsid w:val="002617D4"/>
    <w:rsid w:val="0029515D"/>
    <w:rsid w:val="002A146A"/>
    <w:rsid w:val="002B2345"/>
    <w:rsid w:val="002C15BC"/>
    <w:rsid w:val="002E65BB"/>
    <w:rsid w:val="00310AD3"/>
    <w:rsid w:val="003275FB"/>
    <w:rsid w:val="003368FA"/>
    <w:rsid w:val="00367B66"/>
    <w:rsid w:val="00376512"/>
    <w:rsid w:val="004265D7"/>
    <w:rsid w:val="00427A03"/>
    <w:rsid w:val="004314E2"/>
    <w:rsid w:val="00434CBB"/>
    <w:rsid w:val="0043637A"/>
    <w:rsid w:val="004541FE"/>
    <w:rsid w:val="00473054"/>
    <w:rsid w:val="0049041D"/>
    <w:rsid w:val="004B2241"/>
    <w:rsid w:val="004B51EC"/>
    <w:rsid w:val="004D153D"/>
    <w:rsid w:val="004E0C4A"/>
    <w:rsid w:val="004F5519"/>
    <w:rsid w:val="004F7E50"/>
    <w:rsid w:val="005103D1"/>
    <w:rsid w:val="00514F44"/>
    <w:rsid w:val="00525D3A"/>
    <w:rsid w:val="00536876"/>
    <w:rsid w:val="00545138"/>
    <w:rsid w:val="00551311"/>
    <w:rsid w:val="00577015"/>
    <w:rsid w:val="005830BA"/>
    <w:rsid w:val="00591B7B"/>
    <w:rsid w:val="005B09F8"/>
    <w:rsid w:val="005D471A"/>
    <w:rsid w:val="005E5350"/>
    <w:rsid w:val="005F4264"/>
    <w:rsid w:val="00636756"/>
    <w:rsid w:val="00645473"/>
    <w:rsid w:val="0065109C"/>
    <w:rsid w:val="00667898"/>
    <w:rsid w:val="006814EC"/>
    <w:rsid w:val="006C203B"/>
    <w:rsid w:val="006C27CF"/>
    <w:rsid w:val="006D1A78"/>
    <w:rsid w:val="006E5F18"/>
    <w:rsid w:val="00711B72"/>
    <w:rsid w:val="007171CB"/>
    <w:rsid w:val="00750B93"/>
    <w:rsid w:val="007714CA"/>
    <w:rsid w:val="00787FF6"/>
    <w:rsid w:val="00795067"/>
    <w:rsid w:val="007D06AA"/>
    <w:rsid w:val="007E3F9D"/>
    <w:rsid w:val="007F559F"/>
    <w:rsid w:val="00804F33"/>
    <w:rsid w:val="008209B0"/>
    <w:rsid w:val="008211E4"/>
    <w:rsid w:val="00827373"/>
    <w:rsid w:val="00831169"/>
    <w:rsid w:val="00843AA5"/>
    <w:rsid w:val="0084528B"/>
    <w:rsid w:val="008615CB"/>
    <w:rsid w:val="00896FD9"/>
    <w:rsid w:val="008B15D8"/>
    <w:rsid w:val="008B3F63"/>
    <w:rsid w:val="008B47B0"/>
    <w:rsid w:val="008C1CA9"/>
    <w:rsid w:val="008C4BF2"/>
    <w:rsid w:val="008C556E"/>
    <w:rsid w:val="008D5714"/>
    <w:rsid w:val="008D597E"/>
    <w:rsid w:val="008F35BA"/>
    <w:rsid w:val="008F79D4"/>
    <w:rsid w:val="00902C0E"/>
    <w:rsid w:val="00907589"/>
    <w:rsid w:val="009363BA"/>
    <w:rsid w:val="009672D8"/>
    <w:rsid w:val="00981988"/>
    <w:rsid w:val="00981A55"/>
    <w:rsid w:val="00981BD2"/>
    <w:rsid w:val="00992DF1"/>
    <w:rsid w:val="009A5553"/>
    <w:rsid w:val="009A7DCC"/>
    <w:rsid w:val="009B612D"/>
    <w:rsid w:val="009D52A6"/>
    <w:rsid w:val="009E01C5"/>
    <w:rsid w:val="00A2480D"/>
    <w:rsid w:val="00A407E0"/>
    <w:rsid w:val="00A70C7D"/>
    <w:rsid w:val="00A779C7"/>
    <w:rsid w:val="00A8482D"/>
    <w:rsid w:val="00AA11F9"/>
    <w:rsid w:val="00AC364C"/>
    <w:rsid w:val="00B025B4"/>
    <w:rsid w:val="00B120FE"/>
    <w:rsid w:val="00B141FA"/>
    <w:rsid w:val="00B176E1"/>
    <w:rsid w:val="00B233E8"/>
    <w:rsid w:val="00B33E34"/>
    <w:rsid w:val="00B369C4"/>
    <w:rsid w:val="00B40525"/>
    <w:rsid w:val="00B601AB"/>
    <w:rsid w:val="00B73296"/>
    <w:rsid w:val="00B9212F"/>
    <w:rsid w:val="00BA0413"/>
    <w:rsid w:val="00BA33D5"/>
    <w:rsid w:val="00BB4C13"/>
    <w:rsid w:val="00BE745E"/>
    <w:rsid w:val="00C173BB"/>
    <w:rsid w:val="00C459D3"/>
    <w:rsid w:val="00C56E58"/>
    <w:rsid w:val="00CA0A20"/>
    <w:rsid w:val="00CA65B0"/>
    <w:rsid w:val="00CE18D8"/>
    <w:rsid w:val="00CF7C84"/>
    <w:rsid w:val="00D25DAD"/>
    <w:rsid w:val="00D312A3"/>
    <w:rsid w:val="00D52835"/>
    <w:rsid w:val="00D72557"/>
    <w:rsid w:val="00D72DCB"/>
    <w:rsid w:val="00D818DD"/>
    <w:rsid w:val="00DC1E3F"/>
    <w:rsid w:val="00DD3C8C"/>
    <w:rsid w:val="00E017A8"/>
    <w:rsid w:val="00E035B2"/>
    <w:rsid w:val="00E11EF5"/>
    <w:rsid w:val="00E40F42"/>
    <w:rsid w:val="00E654F7"/>
    <w:rsid w:val="00E676F1"/>
    <w:rsid w:val="00E720B1"/>
    <w:rsid w:val="00EE251A"/>
    <w:rsid w:val="00EE2C33"/>
    <w:rsid w:val="00EF2D80"/>
    <w:rsid w:val="00F036AC"/>
    <w:rsid w:val="00F13BA4"/>
    <w:rsid w:val="00F178A7"/>
    <w:rsid w:val="00F24B83"/>
    <w:rsid w:val="00F30B5B"/>
    <w:rsid w:val="00F44121"/>
    <w:rsid w:val="00F81813"/>
    <w:rsid w:val="00FE01C2"/>
    <w:rsid w:val="00FE1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0D3877DF"/>
  <w15:docId w15:val="{17CD78DD-0EA9-4633-B7FB-F4E91A87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A03"/>
    <w:rPr>
      <w:sz w:val="24"/>
    </w:rPr>
  </w:style>
  <w:style w:type="paragraph" w:styleId="Heading1">
    <w:name w:val="heading 1"/>
    <w:basedOn w:val="Normal"/>
    <w:next w:val="Normal"/>
    <w:qFormat/>
    <w:rsid w:val="00427A03"/>
    <w:pPr>
      <w:keepNext/>
      <w:ind w:firstLine="360"/>
      <w:jc w:val="center"/>
      <w:outlineLvl w:val="0"/>
    </w:pPr>
    <w:rPr>
      <w:b/>
      <w:color w:val="0000FF"/>
      <w:u w:val="single"/>
    </w:rPr>
  </w:style>
  <w:style w:type="paragraph" w:styleId="Heading2">
    <w:name w:val="heading 2"/>
    <w:basedOn w:val="Normal"/>
    <w:next w:val="Normal"/>
    <w:qFormat/>
    <w:rsid w:val="00427A03"/>
    <w:pPr>
      <w:keepNext/>
      <w:jc w:val="center"/>
      <w:outlineLvl w:val="1"/>
    </w:pPr>
    <w:rPr>
      <w:b/>
      <w:color w:val="0000FF"/>
    </w:rPr>
  </w:style>
  <w:style w:type="paragraph" w:styleId="Heading3">
    <w:name w:val="heading 3"/>
    <w:basedOn w:val="Normal"/>
    <w:next w:val="Normal"/>
    <w:qFormat/>
    <w:rsid w:val="00427A03"/>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A03"/>
    <w:pPr>
      <w:ind w:firstLine="360"/>
    </w:pPr>
    <w:rPr>
      <w:color w:val="0000FF"/>
    </w:rPr>
  </w:style>
  <w:style w:type="paragraph" w:styleId="Header">
    <w:name w:val="header"/>
    <w:basedOn w:val="Normal"/>
    <w:rsid w:val="00427A03"/>
    <w:pPr>
      <w:tabs>
        <w:tab w:val="center" w:pos="4320"/>
        <w:tab w:val="right" w:pos="8640"/>
      </w:tabs>
    </w:pPr>
  </w:style>
  <w:style w:type="character" w:styleId="PageNumber">
    <w:name w:val="page number"/>
    <w:basedOn w:val="DefaultParagraphFont"/>
    <w:rsid w:val="00427A03"/>
  </w:style>
  <w:style w:type="character" w:styleId="Hyperlink">
    <w:name w:val="Hyperlink"/>
    <w:basedOn w:val="DefaultParagraphFont"/>
    <w:rsid w:val="00427A03"/>
    <w:rPr>
      <w:color w:val="0000FF"/>
      <w:u w:val="single"/>
    </w:rPr>
  </w:style>
  <w:style w:type="paragraph" w:styleId="BodyText">
    <w:name w:val="Body Text"/>
    <w:basedOn w:val="Normal"/>
    <w:rsid w:val="00427A03"/>
    <w:pPr>
      <w:jc w:val="center"/>
    </w:pPr>
  </w:style>
  <w:style w:type="paragraph" w:styleId="Title">
    <w:name w:val="Title"/>
    <w:basedOn w:val="Normal"/>
    <w:qFormat/>
    <w:rsid w:val="00427A03"/>
    <w:pPr>
      <w:ind w:firstLine="360"/>
      <w:jc w:val="center"/>
    </w:pPr>
    <w:rPr>
      <w:b/>
    </w:rPr>
  </w:style>
  <w:style w:type="paragraph" w:styleId="BodyText2">
    <w:name w:val="Body Text 2"/>
    <w:basedOn w:val="Normal"/>
    <w:link w:val="BodyText2Char"/>
    <w:rsid w:val="00427A03"/>
    <w:rPr>
      <w:sz w:val="28"/>
    </w:rPr>
  </w:style>
  <w:style w:type="paragraph" w:styleId="BodyTextIndent2">
    <w:name w:val="Body Text Indent 2"/>
    <w:basedOn w:val="Normal"/>
    <w:rsid w:val="00427A03"/>
    <w:pPr>
      <w:ind w:firstLine="720"/>
    </w:pPr>
    <w:rPr>
      <w:sz w:val="28"/>
    </w:rPr>
  </w:style>
  <w:style w:type="paragraph" w:styleId="BodyText3">
    <w:name w:val="Body Text 3"/>
    <w:basedOn w:val="Normal"/>
    <w:rsid w:val="00427A03"/>
    <w:pPr>
      <w:jc w:val="center"/>
    </w:pPr>
    <w:rPr>
      <w:b/>
      <w:sz w:val="28"/>
    </w:rPr>
  </w:style>
  <w:style w:type="paragraph" w:styleId="Footer">
    <w:name w:val="footer"/>
    <w:basedOn w:val="Normal"/>
    <w:rsid w:val="00907589"/>
    <w:pPr>
      <w:tabs>
        <w:tab w:val="center" w:pos="4320"/>
        <w:tab w:val="right" w:pos="8640"/>
      </w:tabs>
    </w:pPr>
  </w:style>
  <w:style w:type="paragraph" w:styleId="BalloonText">
    <w:name w:val="Balloon Text"/>
    <w:basedOn w:val="Normal"/>
    <w:link w:val="BalloonTextChar"/>
    <w:rsid w:val="002B2345"/>
    <w:rPr>
      <w:rFonts w:ascii="Tahoma" w:hAnsi="Tahoma" w:cs="Tahoma"/>
      <w:sz w:val="16"/>
      <w:szCs w:val="16"/>
    </w:rPr>
  </w:style>
  <w:style w:type="character" w:customStyle="1" w:styleId="BalloonTextChar">
    <w:name w:val="Balloon Text Char"/>
    <w:basedOn w:val="DefaultParagraphFont"/>
    <w:link w:val="BalloonText"/>
    <w:rsid w:val="002B2345"/>
    <w:rPr>
      <w:rFonts w:ascii="Tahoma" w:hAnsi="Tahoma" w:cs="Tahoma"/>
      <w:sz w:val="16"/>
      <w:szCs w:val="16"/>
    </w:rPr>
  </w:style>
  <w:style w:type="character" w:customStyle="1" w:styleId="BodyText2Char">
    <w:name w:val="Body Text 2 Char"/>
    <w:basedOn w:val="DefaultParagraphFont"/>
    <w:link w:val="BodyText2"/>
    <w:rsid w:val="00C56E58"/>
    <w:rPr>
      <w:sz w:val="28"/>
    </w:rPr>
  </w:style>
  <w:style w:type="character" w:styleId="CommentReference">
    <w:name w:val="annotation reference"/>
    <w:basedOn w:val="DefaultParagraphFont"/>
    <w:semiHidden/>
    <w:unhideWhenUsed/>
    <w:rsid w:val="00E017A8"/>
    <w:rPr>
      <w:sz w:val="16"/>
      <w:szCs w:val="16"/>
    </w:rPr>
  </w:style>
  <w:style w:type="paragraph" w:styleId="CommentText">
    <w:name w:val="annotation text"/>
    <w:basedOn w:val="Normal"/>
    <w:link w:val="CommentTextChar"/>
    <w:semiHidden/>
    <w:unhideWhenUsed/>
    <w:rsid w:val="00E017A8"/>
    <w:rPr>
      <w:sz w:val="20"/>
    </w:rPr>
  </w:style>
  <w:style w:type="character" w:customStyle="1" w:styleId="CommentTextChar">
    <w:name w:val="Comment Text Char"/>
    <w:basedOn w:val="DefaultParagraphFont"/>
    <w:link w:val="CommentText"/>
    <w:semiHidden/>
    <w:rsid w:val="00E017A8"/>
  </w:style>
  <w:style w:type="paragraph" w:styleId="CommentSubject">
    <w:name w:val="annotation subject"/>
    <w:basedOn w:val="CommentText"/>
    <w:next w:val="CommentText"/>
    <w:link w:val="CommentSubjectChar"/>
    <w:semiHidden/>
    <w:unhideWhenUsed/>
    <w:rsid w:val="00E017A8"/>
    <w:rPr>
      <w:b/>
      <w:bCs/>
    </w:rPr>
  </w:style>
  <w:style w:type="character" w:customStyle="1" w:styleId="CommentSubjectChar">
    <w:name w:val="Comment Subject Char"/>
    <w:basedOn w:val="CommentTextChar"/>
    <w:link w:val="CommentSubject"/>
    <w:semiHidden/>
    <w:rsid w:val="00E017A8"/>
    <w:rPr>
      <w:b/>
      <w:bCs/>
    </w:rPr>
  </w:style>
  <w:style w:type="paragraph" w:styleId="FootnoteText">
    <w:name w:val="footnote text"/>
    <w:basedOn w:val="Normal"/>
    <w:link w:val="FootnoteTextChar"/>
    <w:semiHidden/>
    <w:unhideWhenUsed/>
    <w:rsid w:val="00992DF1"/>
    <w:rPr>
      <w:sz w:val="20"/>
    </w:rPr>
  </w:style>
  <w:style w:type="character" w:customStyle="1" w:styleId="FootnoteTextChar">
    <w:name w:val="Footnote Text Char"/>
    <w:basedOn w:val="DefaultParagraphFont"/>
    <w:link w:val="FootnoteText"/>
    <w:semiHidden/>
    <w:rsid w:val="00992DF1"/>
  </w:style>
  <w:style w:type="character" w:styleId="FootnoteReference">
    <w:name w:val="footnote reference"/>
    <w:basedOn w:val="DefaultParagraphFont"/>
    <w:semiHidden/>
    <w:unhideWhenUsed/>
    <w:rsid w:val="00992DF1"/>
    <w:rPr>
      <w:vertAlign w:val="superscript"/>
    </w:rPr>
  </w:style>
  <w:style w:type="paragraph" w:styleId="ListParagraph">
    <w:name w:val="List Paragraph"/>
    <w:basedOn w:val="Normal"/>
    <w:uiPriority w:val="34"/>
    <w:qFormat/>
    <w:rsid w:val="00902C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te.gov/priva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ate.gov/privac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2020/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1187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Watkins, Pamela K</cp:lastModifiedBy>
  <cp:revision>3</cp:revision>
  <cp:lastPrinted>2018-08-15T15:31:00Z</cp:lastPrinted>
  <dcterms:created xsi:type="dcterms:W3CDTF">2020-04-15T16:21:00Z</dcterms:created>
  <dcterms:modified xsi:type="dcterms:W3CDTF">2020-04-29T19:22:00Z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BattistaAL@state.gov</vt:lpwstr>
  </property>
  <property fmtid="{D5CDD505-2E9C-101B-9397-08002B2CF9AE}" pid="5" name="MSIP_Label_1665d9ee-429a-4d5f-97cc-cfb56e044a6e_SetDate">
    <vt:lpwstr>2020-04-07T21:11:11.9360090Z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811fcaec-59c5-425f-83a5-3a936a9d226d</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