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5CA" w:rsidP="009F4D1C" w:rsidRDefault="00B50861" w14:paraId="6556D67E" w14:textId="36C68CD4">
      <w:pPr>
        <w:jc w:val="center"/>
      </w:pPr>
      <w:r w:rsidRPr="00EF2363">
        <w:t>Department of the Treasury</w:t>
      </w:r>
    </w:p>
    <w:p w:rsidR="00857B7C" w:rsidP="009F4D1C" w:rsidRDefault="00857B7C" w14:paraId="784806FB" w14:textId="2658E6BF">
      <w:pPr>
        <w:jc w:val="center"/>
      </w:pPr>
      <w:r>
        <w:t>Information Collection Request – Supporting Statement</w:t>
      </w:r>
    </w:p>
    <w:p w:rsidRPr="00EF2363" w:rsidR="00857B7C" w:rsidP="009F4D1C" w:rsidRDefault="00857B7C" w14:paraId="0E3B6460" w14:textId="77777777">
      <w:pPr>
        <w:jc w:val="center"/>
      </w:pPr>
    </w:p>
    <w:p w:rsidR="00605173" w:rsidP="00605173" w:rsidRDefault="004077B3" w14:paraId="0096AF95" w14:textId="65AC1C85">
      <w:pPr>
        <w:jc w:val="center"/>
      </w:pPr>
      <w:r>
        <w:t xml:space="preserve">CARES Act </w:t>
      </w:r>
      <w:r w:rsidR="000703E5">
        <w:t xml:space="preserve">Air Carrier </w:t>
      </w:r>
      <w:r>
        <w:t xml:space="preserve">Loan and </w:t>
      </w:r>
      <w:r w:rsidR="000703E5">
        <w:t>Payroll Support</w:t>
      </w:r>
      <w:r w:rsidR="00C21BCC">
        <w:t xml:space="preserve"> Programs</w:t>
      </w:r>
      <w:r w:rsidR="00605173">
        <w:t xml:space="preserve"> </w:t>
      </w:r>
    </w:p>
    <w:p w:rsidR="00110D39" w:rsidP="00512B62" w:rsidRDefault="00B601FF" w14:paraId="19A6AAA8" w14:textId="7B3CF251">
      <w:pPr>
        <w:jc w:val="center"/>
      </w:pPr>
      <w:r w:rsidRPr="00EF2363">
        <w:t>OMB No. 1505-</w:t>
      </w:r>
      <w:r w:rsidR="00753648">
        <w:t>0263</w:t>
      </w:r>
    </w:p>
    <w:p w:rsidRPr="00EF2363" w:rsidR="009E2FFF" w:rsidP="00512B62" w:rsidRDefault="009E2FFF" w14:paraId="0B765FC6" w14:textId="77777777">
      <w:pPr>
        <w:jc w:val="center"/>
      </w:pPr>
    </w:p>
    <w:p w:rsidRPr="009E2FFF" w:rsidR="00A73FE3" w:rsidP="00857B7C" w:rsidRDefault="00857B7C" w14:paraId="1DF2F638" w14:textId="2652775B">
      <w:pPr>
        <w:rPr>
          <w:b/>
        </w:rPr>
      </w:pPr>
      <w:r w:rsidRPr="009E2FFF">
        <w:rPr>
          <w:b/>
        </w:rPr>
        <w:t>A.  Justification</w:t>
      </w:r>
    </w:p>
    <w:p w:rsidRPr="00857B7C" w:rsidR="00857B7C" w:rsidP="009E2FFF" w:rsidRDefault="00857B7C" w14:paraId="6B22DF04" w14:textId="77777777">
      <w:pPr>
        <w:pStyle w:val="ListParagraph"/>
      </w:pPr>
    </w:p>
    <w:p w:rsidRPr="009E2FFF" w:rsidR="00B50861" w:rsidP="009E2FFF" w:rsidRDefault="00F41911" w14:paraId="0CDC7AD8" w14:textId="77777777">
      <w:pPr>
        <w:numPr>
          <w:ilvl w:val="0"/>
          <w:numId w:val="12"/>
        </w:numPr>
        <w:tabs>
          <w:tab w:val="clear" w:pos="720"/>
        </w:tabs>
        <w:ind w:left="270" w:hanging="270"/>
        <w:rPr>
          <w:u w:val="single"/>
        </w:rPr>
      </w:pPr>
      <w:r w:rsidRPr="009E2FFF">
        <w:t xml:space="preserve"> </w:t>
      </w:r>
      <w:r w:rsidRPr="009E2FFF" w:rsidR="00B50861">
        <w:rPr>
          <w:u w:val="single"/>
        </w:rPr>
        <w:t>Circumstances necessitating the collection of information</w:t>
      </w:r>
    </w:p>
    <w:p w:rsidRPr="00EF2363" w:rsidR="00990870" w:rsidP="00990870" w:rsidRDefault="00990870" w14:paraId="0161624D" w14:textId="77777777">
      <w:pPr>
        <w:ind w:left="360"/>
        <w:rPr>
          <w:u w:val="single"/>
        </w:rPr>
      </w:pPr>
    </w:p>
    <w:p w:rsidRPr="009B60FB" w:rsidR="003E53BD" w:rsidP="003E53BD" w:rsidRDefault="00717738" w14:paraId="7D0498CF" w14:textId="786B2097">
      <w:pPr>
        <w:rPr>
          <w:i/>
        </w:rPr>
      </w:pPr>
      <w:r w:rsidRPr="009B60FB">
        <w:rPr>
          <w:i/>
        </w:rPr>
        <w:t>Justification for Emergency Processing:</w:t>
      </w:r>
    </w:p>
    <w:p w:rsidR="009B60FB" w:rsidP="009B60FB" w:rsidRDefault="009B60FB" w14:paraId="2B9C6D06" w14:textId="77777777"/>
    <w:p w:rsidR="009B60FB" w:rsidP="009B60FB" w:rsidRDefault="009B60FB" w14:paraId="49C0B938" w14:textId="232896C6">
      <w:r>
        <w:t xml:space="preserve">On March 27, 2020, the President signed the </w:t>
      </w:r>
      <w:r w:rsidRPr="009B60FB">
        <w:t>“Coronavirus Aid, Relief, and Economic S</w:t>
      </w:r>
      <w:r>
        <w:t>ecurity Act” or the “CARES Act</w:t>
      </w:r>
      <w:r w:rsidR="00364995">
        <w:t>,</w:t>
      </w:r>
      <w:r>
        <w:t>”</w:t>
      </w:r>
      <w:r w:rsidR="00F6525E">
        <w:t xml:space="preserve"> (P.L. 116-136)</w:t>
      </w:r>
      <w:r>
        <w:t xml:space="preserve"> </w:t>
      </w:r>
      <w:r w:rsidRPr="009B60FB">
        <w:t>which provides emergency assistance and health care response for individuals, families and businesses affected by the COVID-19 pandemic, and provide</w:t>
      </w:r>
      <w:r w:rsidR="00AF7E11">
        <w:t>s</w:t>
      </w:r>
      <w:r w:rsidRPr="009B60FB">
        <w:t xml:space="preserve"> emerg</w:t>
      </w:r>
      <w:r>
        <w:t>ency appropriations to support executive b</w:t>
      </w:r>
      <w:r w:rsidRPr="009B60FB">
        <w:t>ranch agency operations during the COVID-19 pandemic.</w:t>
      </w:r>
    </w:p>
    <w:p w:rsidR="004077B3" w:rsidP="003E53BD" w:rsidRDefault="004077B3" w14:paraId="27E4B2BA" w14:textId="51EB871F"/>
    <w:p w:rsidR="004077B3" w:rsidP="003E53BD" w:rsidRDefault="00DA05AC" w14:paraId="53AB89F3" w14:textId="602D718C">
      <w:r>
        <w:t>The Act</w:t>
      </w:r>
      <w:r w:rsidR="002D5249">
        <w:t xml:space="preserve">, among other things, </w:t>
      </w:r>
      <w:r w:rsidRPr="00DA05AC">
        <w:t>authorizes the Secretary of the Treasury to make loans, loan guarantees, and other investments that do not exceed $500 billion in the aggregate to provide liquidity to eligible businesses</w:t>
      </w:r>
      <w:r w:rsidR="00404BAE">
        <w:rPr>
          <w:color w:val="333333"/>
          <w:shd w:val="clear" w:color="auto" w:fill="FFFFFF"/>
        </w:rPr>
        <w:t>, States, and municipalities</w:t>
      </w:r>
      <w:r w:rsidRPr="00DA05AC">
        <w:t xml:space="preserve"> related to losses incurred as a result of coronavirus.  </w:t>
      </w:r>
      <w:r w:rsidR="00C21BCC">
        <w:t>Section 4003(b)(1)-(3) authorize</w:t>
      </w:r>
      <w:r w:rsidR="00D24768">
        <w:t>s</w:t>
      </w:r>
      <w:r w:rsidR="00C21BCC">
        <w:t xml:space="preserve"> the Secretary to ma</w:t>
      </w:r>
      <w:r w:rsidR="00AF7E11">
        <w:t>k</w:t>
      </w:r>
      <w:r w:rsidR="00C21BCC">
        <w:t>e loans</w:t>
      </w:r>
      <w:r w:rsidR="004B59B5">
        <w:t xml:space="preserve"> and </w:t>
      </w:r>
      <w:r w:rsidR="00C21BCC">
        <w:t>loan guarantees available to passenger air carriers</w:t>
      </w:r>
      <w:r w:rsidR="00C63D9B">
        <w:t xml:space="preserve"> and </w:t>
      </w:r>
      <w:r w:rsidR="00C21BCC">
        <w:t xml:space="preserve">cargo air carriers, </w:t>
      </w:r>
      <w:r w:rsidR="00C63D9B">
        <w:t xml:space="preserve">as well as certain related businesses, </w:t>
      </w:r>
      <w:r w:rsidR="00C21BCC">
        <w:t xml:space="preserve">and businesses critical to maintaining national security.  </w:t>
      </w:r>
      <w:r w:rsidR="009B60FB">
        <w:t xml:space="preserve">Section 4003(c) of the Act requires the Department of the Treasury </w:t>
      </w:r>
      <w:r w:rsidR="00166EF4">
        <w:t xml:space="preserve">(“Department”) </w:t>
      </w:r>
      <w:r w:rsidR="009B60FB">
        <w:t xml:space="preserve">to </w:t>
      </w:r>
      <w:r w:rsidRPr="004077B3" w:rsidR="004077B3">
        <w:t>publish application procedures and minimum requirements for loans, loan gua</w:t>
      </w:r>
      <w:r w:rsidR="009B60FB">
        <w:t xml:space="preserve">rantees, or other investments </w:t>
      </w:r>
      <w:r w:rsidR="00C21BCC">
        <w:t xml:space="preserve">under Section 4003(b)(1)-(3) </w:t>
      </w:r>
      <w:r w:rsidR="009B60FB">
        <w:t xml:space="preserve">within </w:t>
      </w:r>
      <w:r w:rsidR="00051468">
        <w:t>ten</w:t>
      </w:r>
      <w:r w:rsidR="009B60FB">
        <w:t xml:space="preserve"> days after enactment.</w:t>
      </w:r>
    </w:p>
    <w:p w:rsidR="004077B3" w:rsidP="003E53BD" w:rsidRDefault="004077B3" w14:paraId="5B525981" w14:textId="77777777"/>
    <w:p w:rsidRPr="00D96EE2" w:rsidR="004077B3" w:rsidP="004077B3" w:rsidRDefault="00364995" w14:paraId="64759140" w14:textId="0E8CCA20">
      <w:r>
        <w:t xml:space="preserve">The Act also authorizes the Secretary of the Treasury to provide </w:t>
      </w:r>
      <w:r w:rsidR="00AF7E11">
        <w:t>payments</w:t>
      </w:r>
      <w:r>
        <w:t xml:space="preserve"> to passenger and cargo air carriers, as well as certain contractors</w:t>
      </w:r>
      <w:r w:rsidR="00AF7E11">
        <w:t>, which shall exclusively be used for the continuation of payment of employee wages, salaries, and benefits</w:t>
      </w:r>
      <w:r>
        <w:t xml:space="preserve">.  </w:t>
      </w:r>
      <w:r w:rsidR="009B60FB">
        <w:t>Section 411</w:t>
      </w:r>
      <w:r>
        <w:t>3</w:t>
      </w:r>
      <w:r w:rsidR="009B60FB">
        <w:t xml:space="preserve"> require</w:t>
      </w:r>
      <w:r>
        <w:t>s</w:t>
      </w:r>
      <w:r w:rsidR="009B60FB">
        <w:t xml:space="preserve"> the Department to</w:t>
      </w:r>
      <w:r w:rsidR="004077B3">
        <w:t xml:space="preserve"> publish streamlined a</w:t>
      </w:r>
      <w:r w:rsidR="00051468">
        <w:t>nd expedited procedures within five</w:t>
      </w:r>
      <w:r w:rsidR="004077B3">
        <w:t xml:space="preserve"> days of enactment of the Act for air carriers and contractors to submit re</w:t>
      </w:r>
      <w:r w:rsidR="009B60FB">
        <w:t xml:space="preserve">quests for </w:t>
      </w:r>
      <w:r w:rsidR="00AF7E11">
        <w:t>such payroll support</w:t>
      </w:r>
      <w:r w:rsidR="009B60FB">
        <w:t xml:space="preserve">.  </w:t>
      </w:r>
      <w:r w:rsidR="004B59B5">
        <w:t>Not later than ten days of enactment of the Act, t</w:t>
      </w:r>
      <w:r w:rsidR="009B60FB">
        <w:t xml:space="preserve">he </w:t>
      </w:r>
      <w:r w:rsidR="00051468">
        <w:t xml:space="preserve">Department is required to </w:t>
      </w:r>
      <w:r w:rsidR="004077B3">
        <w:t xml:space="preserve">make initial payments to air carriers and contractors </w:t>
      </w:r>
      <w:r w:rsidR="00C21BCC">
        <w:t>that submit requests approved by the Secretary</w:t>
      </w:r>
      <w:r>
        <w:t>.</w:t>
      </w:r>
    </w:p>
    <w:p w:rsidR="004077B3" w:rsidP="003E53BD" w:rsidRDefault="004077B3" w14:paraId="2EAFE3EC" w14:textId="11DB5B76"/>
    <w:p w:rsidR="009B60FB" w:rsidP="003E53BD" w:rsidRDefault="009B60FB" w14:paraId="275071DF" w14:textId="4A32EF56">
      <w:r>
        <w:t xml:space="preserve">Because of the </w:t>
      </w:r>
      <w:r w:rsidR="00DA05AC">
        <w:t xml:space="preserve">immediate need addressed by these programs and the Act’s </w:t>
      </w:r>
      <w:r w:rsidR="00AF7E11">
        <w:t>urgent</w:t>
      </w:r>
      <w:r>
        <w:t xml:space="preserve"> deadlines, the Department requests emergency processing for the applications and related reporting under these sections of the Act.</w:t>
      </w:r>
    </w:p>
    <w:p w:rsidR="00717738" w:rsidP="003E53BD" w:rsidRDefault="00717738" w14:paraId="56CCBF2E" w14:textId="372711AE"/>
    <w:p w:rsidRPr="00E35CD0" w:rsidR="00E73EC5" w:rsidP="00E73EC5" w:rsidRDefault="00E73EC5" w14:paraId="5DAE0B76" w14:textId="74A01383">
      <w:pPr>
        <w:rPr>
          <w:b/>
          <w:u w:val="single"/>
        </w:rPr>
      </w:pPr>
      <w:r w:rsidRPr="00E35CD0">
        <w:rPr>
          <w:b/>
          <w:u w:val="single"/>
        </w:rPr>
        <w:t>Applications for loans and loan guarantees under section 4003</w:t>
      </w:r>
      <w:r w:rsidR="00094CA2">
        <w:t>(b)(1)-(3)</w:t>
      </w:r>
    </w:p>
    <w:p w:rsidR="00E35CD0" w:rsidP="00E73EC5" w:rsidRDefault="00E35CD0" w14:paraId="3129BD91" w14:textId="0585BF54"/>
    <w:p w:rsidR="00E35CD0" w:rsidP="00E35CD0" w:rsidRDefault="00E35CD0" w14:paraId="3D178AFB" w14:textId="065B6C16">
      <w:r>
        <w:t xml:space="preserve">Section 4003 of the </w:t>
      </w:r>
      <w:r w:rsidR="003F129E">
        <w:t xml:space="preserve">CARES Act </w:t>
      </w:r>
      <w:r>
        <w:t>authorizes the Secretary of the Treasury to make loans, loan guarantees, and other investments that do not exceed $500 billion in the aggregate to provide liquidity to eligible businesses</w:t>
      </w:r>
      <w:r w:rsidR="00094CA2">
        <w:rPr>
          <w:color w:val="333333"/>
          <w:shd w:val="clear" w:color="auto" w:fill="FFFFFF"/>
        </w:rPr>
        <w:t>, States,</w:t>
      </w:r>
      <w:r w:rsidRPr="0015784C">
        <w:rPr>
          <w:color w:val="333333"/>
          <w:shd w:val="clear" w:color="auto" w:fill="FFFFFF"/>
        </w:rPr>
        <w:t xml:space="preserve"> </w:t>
      </w:r>
      <w:r w:rsidRPr="0015784C" w:rsidR="00C63D9B">
        <w:rPr>
          <w:color w:val="333333"/>
          <w:shd w:val="clear" w:color="auto" w:fill="FFFFFF"/>
        </w:rPr>
        <w:t xml:space="preserve">and </w:t>
      </w:r>
      <w:r w:rsidR="00094CA2">
        <w:rPr>
          <w:color w:val="333333"/>
          <w:shd w:val="clear" w:color="auto" w:fill="FFFFFF"/>
        </w:rPr>
        <w:t>municipalities</w:t>
      </w:r>
      <w:r w:rsidR="00C63D9B">
        <w:t xml:space="preserve"> </w:t>
      </w:r>
      <w:r>
        <w:t xml:space="preserve">related to losses incurred as a result of coronavirus.  </w:t>
      </w:r>
      <w:r w:rsidR="00C63D9B">
        <w:t xml:space="preserve">Potential borrowers </w:t>
      </w:r>
      <w:r w:rsidR="00094CA2">
        <w:t xml:space="preserve">under Section 4003(b)(1)-(3), for which loans, loan guarantees, </w:t>
      </w:r>
      <w:r w:rsidR="00094CA2">
        <w:lastRenderedPageBreak/>
        <w:t xml:space="preserve">and other investments may not exceed $46 billion is the aggregate, </w:t>
      </w:r>
      <w:r w:rsidR="00C63D9B">
        <w:t xml:space="preserve">include </w:t>
      </w:r>
      <w:r>
        <w:t xml:space="preserve">passenger and cargo air carriers, eligible businesses </w:t>
      </w:r>
      <w:r w:rsidRPr="00094CA2" w:rsidR="00094CA2">
        <w:t>certified under part 145 of title 14, Code of Federal Regulations, and approved to perform inspection, repair, replace, or overhaul services, and ticket agents (as defined in section 40102 of title 49, United States Code)</w:t>
      </w:r>
      <w:r>
        <w:t xml:space="preserve">, </w:t>
      </w:r>
      <w:r w:rsidR="00C63D9B">
        <w:t>and businesses critical to maintaining national security</w:t>
      </w:r>
      <w:r w:rsidR="00AC1EC6">
        <w:t>.</w:t>
      </w:r>
    </w:p>
    <w:p w:rsidR="00E35CD0" w:rsidP="00E35CD0" w:rsidRDefault="00E35CD0" w14:paraId="6A2CC825" w14:textId="2BAC618A"/>
    <w:p w:rsidR="00E35CD0" w:rsidP="00E35CD0" w:rsidRDefault="00AC1EC6" w14:paraId="7196132F" w14:textId="58EF6EFD">
      <w:r>
        <w:t>The</w:t>
      </w:r>
      <w:r w:rsidR="00E35CD0">
        <w:t xml:space="preserve"> application and minimum requirements are issued pursuant to Section 4003(c)(1)(B) of the Act, which requires the Secretary to publish </w:t>
      </w:r>
      <w:r w:rsidR="00012F7C">
        <w:t xml:space="preserve">application </w:t>
      </w:r>
      <w:r w:rsidR="00E35CD0">
        <w:t>procedures and minimum requirements</w:t>
      </w:r>
      <w:r w:rsidR="00012F7C">
        <w:t xml:space="preserve"> </w:t>
      </w:r>
      <w:r w:rsidR="00E35CD0">
        <w:t xml:space="preserve">for making loans, loan guarantees, and other investments </w:t>
      </w:r>
      <w:r w:rsidR="00863EEF">
        <w:t>under Section</w:t>
      </w:r>
      <w:r w:rsidR="00536F95">
        <w:t>s</w:t>
      </w:r>
      <w:r w:rsidR="00863EEF">
        <w:t xml:space="preserve"> 4003(b)(1)-(3) no </w:t>
      </w:r>
      <w:r w:rsidR="00E35CD0">
        <w:t xml:space="preserve">later than 10 days after the enactment of the Act.  </w:t>
      </w:r>
      <w:r w:rsidR="00012F7C">
        <w:t>The Secretary may supplement these procedures and requirements at a later date.</w:t>
      </w:r>
      <w:r w:rsidR="00E35CD0">
        <w:t xml:space="preserve">  </w:t>
      </w:r>
    </w:p>
    <w:p w:rsidR="00E35CD0" w:rsidP="00E73EC5" w:rsidRDefault="00E35CD0" w14:paraId="1137FB2C" w14:textId="513E3997"/>
    <w:p w:rsidRPr="00D96EE2" w:rsidR="00717738" w:rsidP="00E73EC5" w:rsidRDefault="00E73EC5" w14:paraId="70DDFFBF" w14:textId="736FF966">
      <w:pPr>
        <w:rPr>
          <w:b/>
          <w:u w:val="single"/>
        </w:rPr>
      </w:pPr>
      <w:r w:rsidRPr="00D96EE2">
        <w:rPr>
          <w:b/>
          <w:u w:val="single"/>
        </w:rPr>
        <w:t xml:space="preserve">Applications for </w:t>
      </w:r>
      <w:r w:rsidR="003A37CA">
        <w:rPr>
          <w:b/>
          <w:u w:val="single"/>
        </w:rPr>
        <w:t>payroll support</w:t>
      </w:r>
      <w:r w:rsidRPr="00D96EE2">
        <w:rPr>
          <w:b/>
          <w:u w:val="single"/>
        </w:rPr>
        <w:t xml:space="preserve"> under sections 4112 and 4113</w:t>
      </w:r>
      <w:r w:rsidR="00536F95">
        <w:rPr>
          <w:b/>
          <w:u w:val="single"/>
        </w:rPr>
        <w:t xml:space="preserve"> of the Act</w:t>
      </w:r>
    </w:p>
    <w:p w:rsidR="00E13A9C" w:rsidP="00B375A0" w:rsidRDefault="00E13A9C" w14:paraId="79C3B3A7" w14:textId="065DE8EF">
      <w:pPr>
        <w:rPr>
          <w:b/>
        </w:rPr>
      </w:pPr>
    </w:p>
    <w:p w:rsidR="00270CF4" w:rsidP="00F51FEB" w:rsidRDefault="00DA05AC" w14:paraId="1F1A54F4" w14:textId="5D4C4147">
      <w:r w:rsidRPr="00DA05AC">
        <w:t xml:space="preserve">Under </w:t>
      </w:r>
      <w:r>
        <w:t>s</w:t>
      </w:r>
      <w:r w:rsidRPr="00DA05AC">
        <w:t>ection 4112</w:t>
      </w:r>
      <w:r w:rsidR="00536F95">
        <w:t xml:space="preserve"> of the Act</w:t>
      </w:r>
      <w:r>
        <w:t xml:space="preserve">, </w:t>
      </w:r>
      <w:r w:rsidRPr="00DA05AC">
        <w:t xml:space="preserve">Treasury will provide </w:t>
      </w:r>
      <w:r w:rsidR="003A37CA">
        <w:t>payments</w:t>
      </w:r>
      <w:r w:rsidRPr="00DA05AC">
        <w:t xml:space="preserve"> to </w:t>
      </w:r>
      <w:r w:rsidR="00536F95">
        <w:t xml:space="preserve">passenger </w:t>
      </w:r>
      <w:r w:rsidRPr="00DA05AC">
        <w:t>air carriers</w:t>
      </w:r>
      <w:r w:rsidR="00536F95">
        <w:t>, cargo air carriers</w:t>
      </w:r>
      <w:r w:rsidRPr="00DA05AC">
        <w:t xml:space="preserve"> and contractors </w:t>
      </w:r>
      <w:r w:rsidR="00A40A6B">
        <w:t>(as defined under Section 4111 of the Act) exclusively for the continuation of payment of employee</w:t>
      </w:r>
      <w:r w:rsidRPr="00DA05AC">
        <w:t xml:space="preserve"> wages, salaries, and benefits</w:t>
      </w:r>
      <w:r>
        <w:t>.</w:t>
      </w:r>
      <w:r w:rsidRPr="00DA05AC">
        <w:t xml:space="preserve">  To carry out this responsibility, Treasury will </w:t>
      </w:r>
      <w:r>
        <w:t>issue</w:t>
      </w:r>
      <w:r w:rsidRPr="00DA05AC">
        <w:t xml:space="preserve"> applications,</w:t>
      </w:r>
      <w:r>
        <w:t xml:space="preserve"> forms, terms, and conditions</w:t>
      </w:r>
      <w:r w:rsidR="003A37CA">
        <w:t xml:space="preserve"> pursuant to Section 4113(b) of the Act, which authorizes the Secretary to establish terms and conditions and requires the Secretary to publish streamlined and expedited procedures </w:t>
      </w:r>
      <w:r w:rsidR="000703E5">
        <w:t xml:space="preserve">for applicants </w:t>
      </w:r>
      <w:r w:rsidR="003A37CA">
        <w:t>no</w:t>
      </w:r>
      <w:r w:rsidR="004B59B5">
        <w:t>t</w:t>
      </w:r>
      <w:r w:rsidR="003A37CA">
        <w:t xml:space="preserve"> later than 5 days after the date of enactment of the Act.</w:t>
      </w:r>
      <w:r w:rsidR="00A40A6B">
        <w:t xml:space="preserve"> </w:t>
      </w:r>
    </w:p>
    <w:p w:rsidR="00270CF4" w:rsidP="00F51FEB" w:rsidRDefault="00270CF4" w14:paraId="5770883E" w14:textId="77777777"/>
    <w:p w:rsidR="00B82803" w:rsidP="00B82803" w:rsidRDefault="00BA5C07" w14:paraId="361F2944" w14:textId="282AE370">
      <w:r>
        <w:t>A</w:t>
      </w:r>
      <w:r w:rsidR="00A40A6B">
        <w:t xml:space="preserve">ir carriers and contractors that </w:t>
      </w:r>
      <w:r>
        <w:t xml:space="preserve">receive </w:t>
      </w:r>
      <w:r w:rsidR="00A40A6B">
        <w:t xml:space="preserve">financial assistance </w:t>
      </w:r>
      <w:r w:rsidR="00270CF4">
        <w:t xml:space="preserve">agree to comply in a timely fashion with information requests by the Department or the Department of Transportation to verify compliance with statutory, regulatory, contractual or other requirements of applicants that receive assistance under this act, including (but not limited to) those specified under Sections 4113, 4114, 4115, 4116 and 4117 under the act.  Such requests may include any details related to compensation received by the Secretary pursuant to Section 4117. </w:t>
      </w:r>
    </w:p>
    <w:p w:rsidR="00BD5DD4" w:rsidP="00B82803" w:rsidRDefault="00BD5DD4" w14:paraId="2592B0BD" w14:textId="469B3212"/>
    <w:p w:rsidR="00490EE2" w:rsidP="00DF749E" w:rsidRDefault="00BD5DD4" w14:paraId="6A21FA66" w14:textId="77777777">
      <w:r>
        <w:t xml:space="preserve">Pursuant to agreements executed under the payroll support program, recipients will be required to report to the Department and keep records.  </w:t>
      </w:r>
    </w:p>
    <w:p w:rsidR="00490EE2" w:rsidP="00DF749E" w:rsidRDefault="00490EE2" w14:paraId="3BF4E6C1" w14:textId="43C25E5E"/>
    <w:p w:rsidR="00490EE2" w:rsidP="00DF749E" w:rsidRDefault="00931DC9" w14:paraId="12AB1B29" w14:textId="3507985E">
      <w:r>
        <w:t>R</w:t>
      </w:r>
      <w:r w:rsidR="00490EE2">
        <w:t xml:space="preserve">ecipients will submit </w:t>
      </w:r>
      <w:r w:rsidRPr="00490EE2" w:rsidR="00490EE2">
        <w:t>quarterly certifications and reports, including, among other things, copies of the recipient’s IRS Form 941, summaries of any changes in employee headcount, changes in the aggregate amount spent by the recipient on wages, salary, and benefits, changes in total compensation for, and any severance pay and benefits upon termination of, corporate</w:t>
      </w:r>
      <w:r w:rsidR="008C0EDB">
        <w:t xml:space="preserve"> officers and employees of the r</w:t>
      </w:r>
      <w:r w:rsidRPr="00490EE2" w:rsidR="00490EE2">
        <w:t>ecipient and any affiliate, and the reasons for any such changes. Recipients will also report on other matters that may materially affect the recipient’s compliance wi</w:t>
      </w:r>
      <w:r w:rsidR="008C0EDB">
        <w:t>th the program and</w:t>
      </w:r>
      <w:r w:rsidRPr="00490EE2" w:rsidR="00490EE2">
        <w:t xml:space="preserve"> also provide to Treasury other program compliance information t</w:t>
      </w:r>
      <w:r w:rsidR="008C0EDB">
        <w:t>hat Treasury may request.</w:t>
      </w:r>
      <w:r w:rsidRPr="00490EE2" w:rsidR="00490EE2">
        <w:t xml:space="preserve">  The recipient and affiliates will also provide Treasury, the Treasury Inspector General, and other entities as authorized by Treasury access to documents, papers, or other records, including electronic records, in connection with audits.</w:t>
      </w:r>
      <w:r w:rsidRPr="00931DC9">
        <w:t xml:space="preserve"> </w:t>
      </w:r>
      <w:r>
        <w:t xml:space="preserve">In addition, recipients will report </w:t>
      </w:r>
      <w:r w:rsidRPr="00490EE2">
        <w:t xml:space="preserve">any action to commence a bankruptcy or insolvency </w:t>
      </w:r>
      <w:r>
        <w:t xml:space="preserve">proceeding in any jurisdiction.  </w:t>
      </w:r>
    </w:p>
    <w:p w:rsidR="00490EE2" w:rsidP="00DF749E" w:rsidRDefault="00490EE2" w14:paraId="154F1238" w14:textId="5383D278"/>
    <w:p w:rsidRPr="00DF749E" w:rsidR="00DF749E" w:rsidP="00DF749E" w:rsidRDefault="00D74FFD" w14:paraId="20744776" w14:textId="6AA7480D">
      <w:r>
        <w:t>R</w:t>
      </w:r>
      <w:r w:rsidR="00DF749E">
        <w:t>ecipient</w:t>
      </w:r>
      <w:r>
        <w:t>s</w:t>
      </w:r>
      <w:r w:rsidR="00DF749E">
        <w:t xml:space="preserve"> and a</w:t>
      </w:r>
      <w:r w:rsidRPr="00DF749E" w:rsidR="00DF749E">
        <w:t xml:space="preserve">ffiliates </w:t>
      </w:r>
      <w:r w:rsidR="00DF749E">
        <w:t>will</w:t>
      </w:r>
      <w:r w:rsidRPr="00DF749E" w:rsidR="00DF749E">
        <w:t xml:space="preserve"> retain recor</w:t>
      </w:r>
      <w:r w:rsidR="00DF749E">
        <w:t>ds pertinent to the receipt of payroll s</w:t>
      </w:r>
      <w:r w:rsidRPr="00DF749E" w:rsidR="00DF749E">
        <w:t xml:space="preserve">upport and compliance with </w:t>
      </w:r>
      <w:r w:rsidR="00DF749E">
        <w:t>the program, including but not limited to</w:t>
      </w:r>
      <w:r w:rsidRPr="00DF749E" w:rsidR="00DF749E">
        <w:t xml:space="preserve"> information necessary to substantiate factu</w:t>
      </w:r>
      <w:r w:rsidR="00DF749E">
        <w:t>al representations made in the recipient’s application for payroll s</w:t>
      </w:r>
      <w:r w:rsidRPr="00DF749E" w:rsidR="00DF749E">
        <w:t>upport, including ledgers and sub-</w:t>
      </w:r>
      <w:r w:rsidR="00DF749E">
        <w:t>ledgers</w:t>
      </w:r>
      <w:r w:rsidRPr="00DF749E" w:rsidR="00DF749E">
        <w:t xml:space="preserve">.  While electronic storage of records (backed up as appropriate) is preferable, the </w:t>
      </w:r>
      <w:r w:rsidR="00DF749E">
        <w:t>recipient and a</w:t>
      </w:r>
      <w:r w:rsidRPr="00DF749E" w:rsidR="00DF749E">
        <w:t xml:space="preserve">ffiliates may store records in hardcopy (paper) format. </w:t>
      </w:r>
    </w:p>
    <w:p w:rsidR="00BD5DD4" w:rsidP="00B82803" w:rsidRDefault="00BD5DD4" w14:paraId="4ADCC19E" w14:textId="6911E77F"/>
    <w:p w:rsidRPr="003F129E" w:rsidR="00D96EE2" w:rsidP="00B375A0" w:rsidRDefault="00B82803" w14:paraId="0DAB50E9" w14:textId="384FF9A8">
      <w:r>
        <w:tab/>
      </w:r>
    </w:p>
    <w:p w:rsidRPr="009E2FFF" w:rsidR="003C1AB8" w:rsidP="000C6F26" w:rsidRDefault="00F72D0B" w14:paraId="29B40872" w14:textId="77777777">
      <w:pPr>
        <w:numPr>
          <w:ilvl w:val="0"/>
          <w:numId w:val="12"/>
        </w:numPr>
        <w:tabs>
          <w:tab w:val="clear" w:pos="720"/>
          <w:tab w:val="num" w:pos="270"/>
        </w:tabs>
        <w:ind w:hanging="720"/>
      </w:pPr>
      <w:r w:rsidRPr="009E2FFF">
        <w:rPr>
          <w:u w:val="single"/>
        </w:rPr>
        <w:t>U</w:t>
      </w:r>
      <w:r w:rsidRPr="009E2FFF" w:rsidR="003C1AB8">
        <w:rPr>
          <w:u w:val="single"/>
        </w:rPr>
        <w:t>se of the data</w:t>
      </w:r>
    </w:p>
    <w:p w:rsidR="003C1AB8" w:rsidP="003C1AB8" w:rsidRDefault="003C1AB8" w14:paraId="7AB4BFCC" w14:textId="7179509D">
      <w:pPr>
        <w:rPr>
          <w:u w:val="single"/>
        </w:rPr>
      </w:pPr>
    </w:p>
    <w:p w:rsidRPr="009B60FB" w:rsidR="009B60FB" w:rsidP="003C1AB8" w:rsidRDefault="009B60FB" w14:paraId="56168627" w14:textId="6A99EE65">
      <w:r>
        <w:t xml:space="preserve">The information reported to the Department will allow the Department to make decisions in connection with applications for loans, loan guarantees, and </w:t>
      </w:r>
      <w:r w:rsidR="000703E5">
        <w:t>payroll support</w:t>
      </w:r>
      <w:r w:rsidR="0041645E">
        <w:t xml:space="preserve">, as well as to comply with any reporting or transparency requirements under the CARES Act or other </w:t>
      </w:r>
      <w:r w:rsidR="00A118EF">
        <w:t xml:space="preserve">applicable </w:t>
      </w:r>
      <w:r w:rsidR="0041645E">
        <w:t xml:space="preserve">Federal statues, regulations, </w:t>
      </w:r>
      <w:r w:rsidR="00931DC9">
        <w:t xml:space="preserve">agreements, </w:t>
      </w:r>
      <w:r w:rsidR="0041645E">
        <w:t>or in response to inquiries by the Pandemic Response Accountability Committee established by the CARES Act</w:t>
      </w:r>
      <w:r w:rsidR="006E6033">
        <w:t>,</w:t>
      </w:r>
      <w:r w:rsidR="0041645E">
        <w:t xml:space="preserve"> or </w:t>
      </w:r>
      <w:r w:rsidR="00A118EF">
        <w:t xml:space="preserve">by </w:t>
      </w:r>
      <w:r w:rsidR="0041645E">
        <w:t xml:space="preserve">the </w:t>
      </w:r>
      <w:r w:rsidR="00D51E0C">
        <w:t>Department’s Inspector</w:t>
      </w:r>
      <w:r w:rsidR="0041645E">
        <w:t xml:space="preserve"> General</w:t>
      </w:r>
      <w:r w:rsidR="006E6033">
        <w:t xml:space="preserve"> for payroll support under sections 4112 and 4113 of the Act and by the Special Inspector General for Pandemic Recovery for loans and loan guarantees under section 4003 of the Act</w:t>
      </w:r>
      <w:r w:rsidR="000703E5">
        <w:t>.</w:t>
      </w:r>
      <w:r w:rsidR="00713122">
        <w:t xml:space="preserve">  The information reported will also enable the Department to audit recipients’ compliance with the statutory, regulatory, and contractual obligations under the program.</w:t>
      </w:r>
      <w:r>
        <w:t xml:space="preserve">  </w:t>
      </w:r>
    </w:p>
    <w:p w:rsidRPr="00EF2363" w:rsidR="00E13A9C" w:rsidP="003C1AB8" w:rsidRDefault="00E13A9C" w14:paraId="63D0161C" w14:textId="77777777"/>
    <w:p w:rsidRPr="009E2FFF" w:rsidR="003C1AB8" w:rsidP="000C6F26" w:rsidRDefault="003C1AB8" w14:paraId="72280846" w14:textId="2D2571ED">
      <w:pPr>
        <w:keepNext/>
        <w:ind w:left="360" w:hanging="360"/>
      </w:pPr>
      <w:r w:rsidRPr="009E2FFF">
        <w:t xml:space="preserve">3.  </w:t>
      </w:r>
      <w:r w:rsidRPr="009E2FFF" w:rsidR="00F72D0B">
        <w:rPr>
          <w:u w:val="single"/>
        </w:rPr>
        <w:t xml:space="preserve">Use of </w:t>
      </w:r>
      <w:r w:rsidR="000C6F26">
        <w:rPr>
          <w:u w:val="single"/>
        </w:rPr>
        <w:t>I</w:t>
      </w:r>
      <w:r w:rsidRPr="009E2FFF" w:rsidR="00F72D0B">
        <w:rPr>
          <w:u w:val="single"/>
        </w:rPr>
        <w:t xml:space="preserve">nformation </w:t>
      </w:r>
      <w:r w:rsidR="000C6F26">
        <w:rPr>
          <w:u w:val="single"/>
        </w:rPr>
        <w:t>T</w:t>
      </w:r>
      <w:r w:rsidRPr="009E2FFF" w:rsidR="00F72D0B">
        <w:rPr>
          <w:u w:val="single"/>
        </w:rPr>
        <w:t>echnology</w:t>
      </w:r>
      <w:r w:rsidRPr="009E2FFF">
        <w:t xml:space="preserve"> </w:t>
      </w:r>
    </w:p>
    <w:p w:rsidRPr="00EF2363" w:rsidR="003C1AB8" w:rsidP="00961823" w:rsidRDefault="003C1AB8" w14:paraId="04D2602B" w14:textId="77777777">
      <w:pPr>
        <w:keepNext/>
      </w:pPr>
    </w:p>
    <w:p w:rsidRPr="00EF2363" w:rsidR="00D24A88" w:rsidP="00F72D0B" w:rsidRDefault="001F31FB" w14:paraId="7FD8C10C" w14:textId="57C207CE">
      <w:r w:rsidRPr="00EF2363">
        <w:t xml:space="preserve">Treasury </w:t>
      </w:r>
      <w:r w:rsidRPr="00EF2363" w:rsidR="00B375A0">
        <w:t>will</w:t>
      </w:r>
      <w:r w:rsidRPr="00EF2363">
        <w:t xml:space="preserve"> manage the application submission process</w:t>
      </w:r>
      <w:r w:rsidRPr="00EF2363" w:rsidR="00DE76C6">
        <w:t xml:space="preserve"> with the use of </w:t>
      </w:r>
      <w:r w:rsidR="00605173">
        <w:t>existing</w:t>
      </w:r>
      <w:r w:rsidR="009B60FB">
        <w:t xml:space="preserve"> and widely</w:t>
      </w:r>
      <w:r w:rsidR="0028685C">
        <w:t xml:space="preserve"> </w:t>
      </w:r>
      <w:r w:rsidR="009B60FB">
        <w:t>available</w:t>
      </w:r>
      <w:r w:rsidR="00605173">
        <w:t xml:space="preserve"> technology </w:t>
      </w:r>
      <w:r w:rsidR="009B60FB">
        <w:t>such as</w:t>
      </w:r>
      <w:r w:rsidR="00605173">
        <w:t xml:space="preserve"> e</w:t>
      </w:r>
      <w:r w:rsidR="0028685C">
        <w:t>-</w:t>
      </w:r>
      <w:r w:rsidR="00605173">
        <w:t>mail</w:t>
      </w:r>
      <w:r w:rsidR="002F7B16">
        <w:t xml:space="preserve"> and web-based forms</w:t>
      </w:r>
      <w:r w:rsidR="00605173">
        <w:t xml:space="preserve">. </w:t>
      </w:r>
    </w:p>
    <w:p w:rsidRPr="00EF2363" w:rsidR="00E13A9C" w:rsidP="00F72D0B" w:rsidRDefault="00E13A9C" w14:paraId="428D358D" w14:textId="77777777"/>
    <w:p w:rsidRPr="009E2FFF" w:rsidR="00F72D0B" w:rsidP="000C6F26" w:rsidRDefault="00F72D0B" w14:paraId="3972E8F7" w14:textId="77777777">
      <w:pPr>
        <w:ind w:left="720" w:hanging="720"/>
      </w:pPr>
      <w:r w:rsidRPr="009E2FFF">
        <w:t xml:space="preserve">4.  </w:t>
      </w:r>
      <w:r w:rsidRPr="009E2FFF">
        <w:rPr>
          <w:u w:val="single"/>
        </w:rPr>
        <w:t>Efforts to identify duplication</w:t>
      </w:r>
      <w:r w:rsidRPr="009E2FFF">
        <w:t xml:space="preserve">   </w:t>
      </w:r>
    </w:p>
    <w:p w:rsidRPr="00EF2363" w:rsidR="00406DAA" w:rsidP="00CC4534" w:rsidRDefault="00406DAA" w14:paraId="08600C19" w14:textId="77777777"/>
    <w:p w:rsidRPr="00EF2363" w:rsidR="00A5370F" w:rsidP="00856DD0" w:rsidRDefault="009B60FB" w14:paraId="561048CE" w14:textId="3CA3DF27">
      <w:r>
        <w:t>The</w:t>
      </w:r>
      <w:r w:rsidRPr="00EF2363" w:rsidR="00B375A0">
        <w:t xml:space="preserve"> information colle</w:t>
      </w:r>
      <w:r w:rsidR="00BD0B65">
        <w:t>ction</w:t>
      </w:r>
      <w:r>
        <w:t>s are under new statutor</w:t>
      </w:r>
      <w:r w:rsidR="00012F7C">
        <w:t>y</w:t>
      </w:r>
      <w:r>
        <w:t xml:space="preserve"> mandate</w:t>
      </w:r>
      <w:r w:rsidR="00464E08">
        <w:t>s</w:t>
      </w:r>
      <w:r>
        <w:t xml:space="preserve">. </w:t>
      </w:r>
      <w:r w:rsidRPr="00EF2363" w:rsidR="00B375A0">
        <w:t xml:space="preserve"> Th</w:t>
      </w:r>
      <w:r w:rsidRPr="00EF2363" w:rsidR="00F72D0B">
        <w:t xml:space="preserve">e information </w:t>
      </w:r>
      <w:r w:rsidRPr="00EF2363" w:rsidR="002551F6">
        <w:t xml:space="preserve">is not known to </w:t>
      </w:r>
      <w:r w:rsidRPr="00EF2363" w:rsidR="005A5C1B">
        <w:t xml:space="preserve">overlap with </w:t>
      </w:r>
      <w:r w:rsidRPr="00EF2363" w:rsidR="002551F6">
        <w:t xml:space="preserve">any other </w:t>
      </w:r>
      <w:r w:rsidRPr="00EF2363" w:rsidR="005A5C1B">
        <w:t xml:space="preserve">data collected </w:t>
      </w:r>
      <w:r w:rsidRPr="00EF2363" w:rsidR="0054191E">
        <w:t xml:space="preserve">under </w:t>
      </w:r>
      <w:r w:rsidRPr="00EF2363" w:rsidR="00B375A0">
        <w:t xml:space="preserve">any other </w:t>
      </w:r>
      <w:r w:rsidRPr="00EF2363" w:rsidR="0054191E">
        <w:t>information</w:t>
      </w:r>
      <w:r w:rsidRPr="00EF2363" w:rsidR="00B375A0">
        <w:t xml:space="preserve"> collections at Treasury.</w:t>
      </w:r>
      <w:r w:rsidR="00A9305B">
        <w:t xml:space="preserve"> Furthermore, the information collection is tailored to leverage data that already exists at Department of Transportation and collect only the additional data that is necessary.</w:t>
      </w:r>
    </w:p>
    <w:p w:rsidRPr="00EF2363" w:rsidR="00D24A88" w:rsidP="00F72D0B" w:rsidRDefault="00D24A88" w14:paraId="517833AE" w14:textId="77777777"/>
    <w:p w:rsidRPr="009E2FFF" w:rsidR="00F72D0B" w:rsidP="009E2FFF" w:rsidRDefault="00F72D0B" w14:paraId="0B638284" w14:textId="77777777">
      <w:pPr>
        <w:rPr>
          <w:u w:val="single"/>
        </w:rPr>
      </w:pPr>
      <w:r w:rsidRPr="009E2FFF">
        <w:t xml:space="preserve">5.  </w:t>
      </w:r>
      <w:r w:rsidRPr="009E2FFF">
        <w:rPr>
          <w:u w:val="single"/>
        </w:rPr>
        <w:t xml:space="preserve">Impact on small </w:t>
      </w:r>
      <w:r w:rsidRPr="009E2FFF" w:rsidR="004B7407">
        <w:rPr>
          <w:u w:val="single"/>
        </w:rPr>
        <w:t xml:space="preserve">businesses and </w:t>
      </w:r>
      <w:r w:rsidRPr="009E2FFF">
        <w:rPr>
          <w:u w:val="single"/>
        </w:rPr>
        <w:t>entities</w:t>
      </w:r>
    </w:p>
    <w:p w:rsidRPr="00EF2363" w:rsidR="00F72D0B" w:rsidP="00F72D0B" w:rsidRDefault="00F72D0B" w14:paraId="0392AF70" w14:textId="77777777"/>
    <w:p w:rsidRPr="00EF2363" w:rsidR="00A9305B" w:rsidP="00A9305B" w:rsidRDefault="000C6F26" w14:paraId="50614F65" w14:textId="68D1609E">
      <w:r>
        <w:t xml:space="preserve">This collection of information </w:t>
      </w:r>
      <w:r w:rsidR="008956E9">
        <w:t>may affect</w:t>
      </w:r>
      <w:r>
        <w:t xml:space="preserve"> small entities</w:t>
      </w:r>
      <w:r w:rsidR="00A9305B">
        <w:t>.</w:t>
      </w:r>
      <w:r w:rsidR="008C332E">
        <w:t xml:space="preserve"> </w:t>
      </w:r>
      <w:r w:rsidR="00A9305B">
        <w:t xml:space="preserve">However, Treasury will attempt to minimize burden on small businesses and entities to the greatest extent practicable. </w:t>
      </w:r>
    </w:p>
    <w:p w:rsidRPr="00EF2363" w:rsidR="00F72D0B" w:rsidP="00F72D0B" w:rsidRDefault="008C332E" w14:paraId="2D6118FB" w14:textId="57576F9A">
      <w:r>
        <w:t xml:space="preserve"> </w:t>
      </w:r>
    </w:p>
    <w:p w:rsidRPr="00EF2363" w:rsidR="00D24A88" w:rsidP="00F72D0B" w:rsidRDefault="00D24A88" w14:paraId="01081EFE" w14:textId="77777777"/>
    <w:p w:rsidRPr="009E2FFF" w:rsidR="00F72D0B" w:rsidP="009E2FFF" w:rsidRDefault="00F72D0B" w14:paraId="2F99A687" w14:textId="002240ED">
      <w:pPr>
        <w:rPr>
          <w:u w:val="single"/>
        </w:rPr>
      </w:pPr>
      <w:r w:rsidRPr="009E2FFF">
        <w:t xml:space="preserve">6.  </w:t>
      </w:r>
      <w:r w:rsidRPr="009E2FFF">
        <w:rPr>
          <w:u w:val="single"/>
        </w:rPr>
        <w:t>Consequences of less frequent collection and obstacles to burden reduction</w:t>
      </w:r>
    </w:p>
    <w:p w:rsidRPr="00EF2363" w:rsidR="00F72D0B" w:rsidP="00F72D0B" w:rsidRDefault="00F72D0B" w14:paraId="349661FC" w14:textId="77777777"/>
    <w:p w:rsidRPr="00EF2363" w:rsidR="00A5370F" w:rsidP="00DD104D" w:rsidRDefault="009B60FB" w14:paraId="29C758ED" w14:textId="3A590134">
      <w:r>
        <w:t xml:space="preserve">Collection is at a minimum. </w:t>
      </w:r>
      <w:r w:rsidRPr="00EF2363" w:rsidR="004B7407">
        <w:t xml:space="preserve"> </w:t>
      </w:r>
      <w:r w:rsidR="004E60BD">
        <w:t xml:space="preserve">Applicants will submit </w:t>
      </w:r>
      <w:r w:rsidR="00BD0B65">
        <w:t>a limited amount of information that should be readily available to the applicant</w:t>
      </w:r>
      <w:r w:rsidR="00A645CE">
        <w:t xml:space="preserve"> in the ordinary course of business</w:t>
      </w:r>
      <w:r w:rsidR="00BD0B65">
        <w:t xml:space="preserve">. </w:t>
      </w:r>
      <w:r w:rsidR="00DD104D">
        <w:t xml:space="preserve">If the Department did not collect these </w:t>
      </w:r>
      <w:r w:rsidR="00BD5E56">
        <w:t>applications,</w:t>
      </w:r>
      <w:r w:rsidR="00DD104D">
        <w:t xml:space="preserve"> it would </w:t>
      </w:r>
      <w:r w:rsidR="00A5370F">
        <w:t xml:space="preserve">be unable to provide vital benefits to air carriers impacted by the COVID-19 pandemic. </w:t>
      </w:r>
    </w:p>
    <w:p w:rsidRPr="00EF2363" w:rsidR="00F72D0B" w:rsidP="00F72D0B" w:rsidRDefault="00A5370F" w14:paraId="2DF34FC8" w14:textId="5EE56716">
      <w:r w:rsidRPr="00EF2363">
        <w:t xml:space="preserve"> </w:t>
      </w:r>
      <w:r w:rsidRPr="00EF2363" w:rsidR="006B22D1">
        <w:t xml:space="preserve"> </w:t>
      </w:r>
    </w:p>
    <w:p w:rsidRPr="009E2FFF" w:rsidR="00F72D0B" w:rsidP="009E2FFF" w:rsidRDefault="00CB003A" w14:paraId="78DBF5E6" w14:textId="77777777">
      <w:pPr>
        <w:rPr>
          <w:u w:val="single"/>
        </w:rPr>
      </w:pPr>
      <w:r w:rsidRPr="009E2FFF">
        <w:t xml:space="preserve">7.  </w:t>
      </w:r>
      <w:r w:rsidRPr="009E2FFF">
        <w:rPr>
          <w:u w:val="single"/>
        </w:rPr>
        <w:t>Circumstances requiring special information collection</w:t>
      </w:r>
    </w:p>
    <w:p w:rsidRPr="00EF2363" w:rsidR="00FB7F1C" w:rsidP="00CB003A" w:rsidRDefault="00FB7F1C" w14:paraId="29757889" w14:textId="77777777">
      <w:pPr>
        <w:rPr>
          <w:u w:val="single"/>
        </w:rPr>
      </w:pPr>
    </w:p>
    <w:p w:rsidR="00E13A9C" w:rsidP="00CB003A" w:rsidRDefault="007B29AC" w14:paraId="209A2F66" w14:textId="3A0FDFAD">
      <w:r w:rsidRPr="007B29AC">
        <w:t>There are no special circumstances that require the collection to be conducted in a manner inconsistent with OMB guidelines.</w:t>
      </w:r>
    </w:p>
    <w:p w:rsidRPr="00EF2363" w:rsidR="007B29AC" w:rsidP="00CB003A" w:rsidRDefault="007B29AC" w14:paraId="0E04B4A3" w14:textId="77777777"/>
    <w:p w:rsidRPr="009E2FFF" w:rsidR="00CB003A" w:rsidP="00040666" w:rsidRDefault="00147A26" w14:paraId="01D136C9" w14:textId="6DFE1D67">
      <w:pPr>
        <w:rPr>
          <w:u w:val="single"/>
        </w:rPr>
      </w:pPr>
      <w:r w:rsidRPr="009E2FFF">
        <w:t xml:space="preserve">8.  </w:t>
      </w:r>
      <w:r w:rsidRPr="009E2FFF" w:rsidR="00CB003A">
        <w:rPr>
          <w:u w:val="single"/>
        </w:rPr>
        <w:t>Solicitation of comments on information collection</w:t>
      </w:r>
      <w:r w:rsidRPr="009E2FFF" w:rsidR="00040666">
        <w:rPr>
          <w:u w:val="single"/>
        </w:rPr>
        <w:t xml:space="preserve"> and justification for expedited processing pursuant to 5 CFR 1320.13</w:t>
      </w:r>
    </w:p>
    <w:p w:rsidRPr="00EF2363" w:rsidR="00CB003A" w:rsidP="00CB003A" w:rsidRDefault="00CB003A" w14:paraId="522F6CF9" w14:textId="77777777"/>
    <w:p w:rsidR="002551F6" w:rsidP="00CB003A" w:rsidRDefault="00C63A58" w14:paraId="5D22B1E3" w14:textId="17DDBAF2">
      <w:pPr>
        <w:rPr>
          <w:rStyle w:val="CommentReference"/>
          <w:sz w:val="24"/>
          <w:szCs w:val="24"/>
        </w:rPr>
      </w:pPr>
      <w:r w:rsidRPr="009E2FFF">
        <w:rPr>
          <w:rStyle w:val="CommentReference"/>
          <w:sz w:val="24"/>
          <w:szCs w:val="24"/>
        </w:rPr>
        <w:t xml:space="preserve">This ICR is </w:t>
      </w:r>
      <w:r w:rsidR="008C332E">
        <w:rPr>
          <w:rStyle w:val="CommentReference"/>
          <w:sz w:val="24"/>
          <w:szCs w:val="24"/>
        </w:rPr>
        <w:t xml:space="preserve">being </w:t>
      </w:r>
      <w:r w:rsidRPr="009E2FFF">
        <w:rPr>
          <w:rStyle w:val="CommentReference"/>
          <w:sz w:val="24"/>
          <w:szCs w:val="24"/>
        </w:rPr>
        <w:t xml:space="preserve">submitted </w:t>
      </w:r>
      <w:r w:rsidR="008C332E">
        <w:rPr>
          <w:rStyle w:val="CommentReference"/>
          <w:sz w:val="24"/>
          <w:szCs w:val="24"/>
        </w:rPr>
        <w:t xml:space="preserve">under </w:t>
      </w:r>
      <w:r w:rsidRPr="009E2FFF">
        <w:rPr>
          <w:rStyle w:val="CommentReference"/>
          <w:sz w:val="24"/>
          <w:szCs w:val="24"/>
        </w:rPr>
        <w:t xml:space="preserve">emergency clearance </w:t>
      </w:r>
      <w:r w:rsidR="008C332E">
        <w:rPr>
          <w:rStyle w:val="CommentReference"/>
          <w:sz w:val="24"/>
          <w:szCs w:val="24"/>
        </w:rPr>
        <w:t xml:space="preserve">procedures </w:t>
      </w:r>
      <w:r w:rsidRPr="009E2FFF">
        <w:rPr>
          <w:rStyle w:val="CommentReference"/>
          <w:sz w:val="24"/>
          <w:szCs w:val="24"/>
        </w:rPr>
        <w:t xml:space="preserve">in order to comply with </w:t>
      </w:r>
      <w:r>
        <w:rPr>
          <w:rStyle w:val="CommentReference"/>
          <w:sz w:val="24"/>
          <w:szCs w:val="24"/>
        </w:rPr>
        <w:t>s</w:t>
      </w:r>
      <w:r w:rsidR="00AC1EC6">
        <w:rPr>
          <w:rStyle w:val="CommentReference"/>
          <w:sz w:val="24"/>
          <w:szCs w:val="24"/>
        </w:rPr>
        <w:t xml:space="preserve">tatutory deadlines. </w:t>
      </w:r>
      <w:r w:rsidR="008C332E">
        <w:rPr>
          <w:rStyle w:val="CommentReference"/>
          <w:sz w:val="24"/>
          <w:szCs w:val="24"/>
        </w:rPr>
        <w:t>As such, advance public notice and comment is not possible.</w:t>
      </w:r>
    </w:p>
    <w:p w:rsidRPr="00EF2363" w:rsidR="00AC1EC6" w:rsidP="00CB003A" w:rsidRDefault="00AC1EC6" w14:paraId="23D6838A" w14:textId="77777777"/>
    <w:p w:rsidRPr="009E2FFF" w:rsidR="00147A26" w:rsidP="009E2FFF" w:rsidRDefault="00147A26" w14:paraId="170F2CD8" w14:textId="714A5E06">
      <w:pPr>
        <w:keepNext/>
      </w:pPr>
      <w:r w:rsidRPr="009E2FFF">
        <w:t xml:space="preserve">9.  </w:t>
      </w:r>
      <w:r w:rsidRPr="009E2FFF">
        <w:rPr>
          <w:u w:val="single"/>
        </w:rPr>
        <w:t>Provision of payments to record</w:t>
      </w:r>
      <w:r w:rsidRPr="009E2FFF" w:rsidR="0058262E">
        <w:rPr>
          <w:u w:val="single"/>
        </w:rPr>
        <w:t xml:space="preserve"> </w:t>
      </w:r>
      <w:r w:rsidRPr="009E2FFF">
        <w:rPr>
          <w:u w:val="single"/>
        </w:rPr>
        <w:t>keepers</w:t>
      </w:r>
    </w:p>
    <w:p w:rsidRPr="00EF2363" w:rsidR="00147A26" w:rsidP="00FB7F1C" w:rsidRDefault="00147A26" w14:paraId="3C380E65" w14:textId="77777777">
      <w:pPr>
        <w:keepNext/>
      </w:pPr>
    </w:p>
    <w:p w:rsidRPr="00EF2363" w:rsidR="00256911" w:rsidP="00CB003A" w:rsidRDefault="00E96BF2" w14:paraId="4D8D0DCF" w14:textId="77777777">
      <w:r w:rsidRPr="00EF2363">
        <w:t>No payments or gifts are provided to respondents</w:t>
      </w:r>
      <w:r w:rsidRPr="00EF2363" w:rsidR="009B6FA0">
        <w:t>.</w:t>
      </w:r>
    </w:p>
    <w:p w:rsidRPr="00EF2363" w:rsidR="00BA51F9" w:rsidP="00CB003A" w:rsidRDefault="00BA51F9" w14:paraId="7725F7F3" w14:textId="552D757A"/>
    <w:p w:rsidRPr="009E2FFF" w:rsidR="00147A26" w:rsidP="009E2FFF" w:rsidRDefault="00147A26" w14:paraId="386A728B" w14:textId="77777777">
      <w:pPr>
        <w:keepNext/>
      </w:pPr>
      <w:r w:rsidRPr="009E2FFF">
        <w:t xml:space="preserve">10.  </w:t>
      </w:r>
      <w:r w:rsidRPr="009E2FFF">
        <w:rPr>
          <w:u w:val="single"/>
        </w:rPr>
        <w:t>Assurance of confidentiality</w:t>
      </w:r>
    </w:p>
    <w:p w:rsidRPr="00EF2363" w:rsidR="00147A26" w:rsidP="00666B6D" w:rsidRDefault="00147A26" w14:paraId="66B91B7B" w14:textId="77777777">
      <w:pPr>
        <w:keepNext/>
      </w:pPr>
    </w:p>
    <w:p w:rsidRPr="00EF2363" w:rsidR="0035119A" w:rsidP="00E146F2" w:rsidRDefault="005F1EBD" w14:paraId="0E09F0C4" w14:textId="09C86AA1">
      <w:pPr>
        <w:autoSpaceDE w:val="0"/>
        <w:autoSpaceDN w:val="0"/>
      </w:pPr>
      <w:r>
        <w:t>Information collected will be confidential to the extent appropriate and consistent with the Freedom of Information Act and other applicable law.</w:t>
      </w:r>
    </w:p>
    <w:p w:rsidRPr="00EF2363" w:rsidR="00E13A9C" w:rsidP="00CB003A" w:rsidRDefault="00E13A9C" w14:paraId="5619105B" w14:textId="46EA4B5E"/>
    <w:p w:rsidRPr="009E2FFF" w:rsidR="00147A26" w:rsidP="009E2FFF" w:rsidRDefault="00147A26" w14:paraId="14350DCD" w14:textId="77777777">
      <w:pPr>
        <w:rPr>
          <w:u w:val="single"/>
        </w:rPr>
      </w:pPr>
      <w:r w:rsidRPr="009E2FFF">
        <w:t xml:space="preserve">11.  </w:t>
      </w:r>
      <w:r w:rsidRPr="009E2FFF">
        <w:rPr>
          <w:u w:val="single"/>
        </w:rPr>
        <w:t>Justification of sensitive questions</w:t>
      </w:r>
    </w:p>
    <w:p w:rsidR="004F6BB6" w:rsidP="00CB003A" w:rsidRDefault="004F6BB6" w14:paraId="07F51495" w14:textId="62098707"/>
    <w:p w:rsidRPr="00EF2363" w:rsidR="00147A26" w:rsidP="00CB003A" w:rsidRDefault="00B90CE9" w14:paraId="25D19EB2" w14:textId="38B75DD4">
      <w:r>
        <w:t xml:space="preserve">No sensitive questions are asked of respondents. </w:t>
      </w:r>
    </w:p>
    <w:p w:rsidRPr="00EF2363" w:rsidR="00A95A75" w:rsidP="00CB003A" w:rsidRDefault="00A95A75" w14:paraId="75C1CF21" w14:textId="77777777"/>
    <w:p w:rsidR="001F500A" w:rsidRDefault="001F500A" w14:paraId="7B626593" w14:textId="28066E16">
      <w:r>
        <w:br w:type="page"/>
      </w:r>
    </w:p>
    <w:p w:rsidR="0028091A" w:rsidP="009E2FFF" w:rsidRDefault="0028091A" w14:paraId="19BA0CD9" w14:textId="77777777"/>
    <w:p w:rsidR="00A95A75" w:rsidP="009E2FFF" w:rsidRDefault="00A95A75" w14:paraId="2734153C" w14:textId="4F5E9AB8">
      <w:pPr>
        <w:rPr>
          <w:u w:val="single"/>
        </w:rPr>
      </w:pPr>
      <w:r w:rsidRPr="0028091A">
        <w:t xml:space="preserve">12.  </w:t>
      </w:r>
      <w:r w:rsidRPr="0028091A" w:rsidR="00ED50C9">
        <w:rPr>
          <w:u w:val="single"/>
        </w:rPr>
        <w:t>Estimate of the hour burden of information collection.</w:t>
      </w:r>
      <w:r w:rsidRPr="009E2FFF" w:rsidR="00ED50C9">
        <w:rPr>
          <w:u w:val="single"/>
        </w:rPr>
        <w:t xml:space="preserve"> </w:t>
      </w:r>
    </w:p>
    <w:p w:rsidR="00ED50C9" w:rsidP="009E2FFF" w:rsidRDefault="00ED50C9" w14:paraId="4D9691C1" w14:textId="5523AA9D">
      <w:pPr>
        <w:rPr>
          <w:u w:val="single"/>
        </w:rPr>
      </w:pPr>
    </w:p>
    <w:p w:rsidRPr="009E2FFF" w:rsidR="00ED50C9" w:rsidP="009E2FFF" w:rsidRDefault="005F1EBD" w14:paraId="54552160" w14:textId="3CFC2F78">
      <w:pPr>
        <w:rPr>
          <w:color w:val="FF0000"/>
          <w:u w:val="single"/>
        </w:rPr>
      </w:pPr>
      <w:r>
        <w:t>The application and reporting burden estimates are as follows:</w:t>
      </w:r>
    </w:p>
    <w:p w:rsidRPr="00EF2363" w:rsidR="004063EA" w:rsidP="004B0AEF" w:rsidRDefault="004063EA" w14:paraId="141F5606" w14:textId="77777777">
      <w:pPr>
        <w:ind w:firstLine="360"/>
        <w:rPr>
          <w:b/>
          <w:u w:val="single"/>
        </w:rPr>
      </w:pPr>
    </w:p>
    <w:tbl>
      <w:tblPr>
        <w:tblW w:w="10923" w:type="dxa"/>
        <w:jc w:val="center"/>
        <w:tblLook w:val="04A0" w:firstRow="1" w:lastRow="0" w:firstColumn="1" w:lastColumn="0" w:noHBand="0" w:noVBand="1"/>
      </w:tblPr>
      <w:tblGrid>
        <w:gridCol w:w="2180"/>
        <w:gridCol w:w="1485"/>
        <w:gridCol w:w="1391"/>
        <w:gridCol w:w="1391"/>
        <w:gridCol w:w="1170"/>
        <w:gridCol w:w="1260"/>
        <w:gridCol w:w="2046"/>
      </w:tblGrid>
      <w:tr w:rsidRPr="00EF2363" w:rsidR="0089274A" w:rsidTr="008318BC" w14:paraId="4B362E6F" w14:textId="77777777">
        <w:trPr>
          <w:trHeight w:val="1110"/>
          <w:jc w:val="center"/>
        </w:trPr>
        <w:tc>
          <w:tcPr>
            <w:tcW w:w="2180"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EF2363" w:rsidR="00F23B72" w:rsidP="008318BC" w:rsidRDefault="00F23B72" w14:paraId="1133D2A3" w14:textId="77777777">
            <w:pPr>
              <w:jc w:val="center"/>
              <w:rPr>
                <w:rFonts w:ascii="Calibri" w:hAnsi="Calibri" w:cs="Calibri"/>
                <w:b/>
                <w:bCs/>
                <w:color w:val="000000"/>
              </w:rPr>
            </w:pPr>
            <w:bookmarkStart w:name="RANGE!A1:G18" w:id="0"/>
            <w:r w:rsidRPr="00EF2363">
              <w:rPr>
                <w:rFonts w:ascii="Calibri" w:hAnsi="Calibri" w:cs="Calibri"/>
                <w:b/>
                <w:bCs/>
                <w:color w:val="000000"/>
              </w:rPr>
              <w:t>Reporting</w:t>
            </w:r>
            <w:bookmarkEnd w:id="0"/>
          </w:p>
        </w:tc>
        <w:tc>
          <w:tcPr>
            <w:tcW w:w="1485" w:type="dxa"/>
            <w:tcBorders>
              <w:top w:val="single" w:color="auto" w:sz="8" w:space="0"/>
              <w:left w:val="nil"/>
              <w:bottom w:val="single" w:color="auto" w:sz="8" w:space="0"/>
              <w:right w:val="single" w:color="auto" w:sz="8" w:space="0"/>
            </w:tcBorders>
            <w:shd w:val="clear" w:color="000000" w:fill="FFFFFF"/>
            <w:vAlign w:val="center"/>
            <w:hideMark/>
          </w:tcPr>
          <w:p w:rsidRPr="00EF2363" w:rsidR="00F23B72" w:rsidP="008318BC" w:rsidRDefault="00F23B72" w14:paraId="0C24825F" w14:textId="77777777">
            <w:pPr>
              <w:jc w:val="center"/>
              <w:rPr>
                <w:rFonts w:ascii="Calibri" w:hAnsi="Calibri" w:cs="Calibri"/>
                <w:color w:val="000000"/>
              </w:rPr>
            </w:pPr>
            <w:r w:rsidRPr="00EF2363">
              <w:rPr>
                <w:rFonts w:ascii="Calibri" w:hAnsi="Calibri" w:cs="Calibri"/>
                <w:color w:val="000000"/>
              </w:rPr>
              <w:t># Respondents</w:t>
            </w: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EF2363" w:rsidR="00F23B72" w:rsidP="008318BC" w:rsidRDefault="00F23B72" w14:paraId="3D7D72BD" w14:textId="77777777">
            <w:pPr>
              <w:jc w:val="center"/>
              <w:rPr>
                <w:rFonts w:ascii="Calibri" w:hAnsi="Calibri" w:cs="Calibri"/>
                <w:color w:val="000000"/>
              </w:rPr>
            </w:pPr>
            <w:r w:rsidRPr="00EF2363">
              <w:rPr>
                <w:rFonts w:ascii="Calibri" w:hAnsi="Calibri" w:cs="Calibri"/>
                <w:color w:val="000000"/>
              </w:rPr>
              <w:t># Responses Per Respondent</w:t>
            </w:r>
          </w:p>
          <w:p w:rsidRPr="00EF2363" w:rsidR="00210608" w:rsidP="008318BC" w:rsidRDefault="00210608" w14:paraId="6FAA311A" w14:textId="390E61B7">
            <w:pPr>
              <w:jc w:val="center"/>
              <w:rPr>
                <w:rFonts w:ascii="Calibri" w:hAnsi="Calibri" w:cs="Calibri"/>
                <w:color w:val="000000"/>
              </w:rPr>
            </w:pP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EF2363" w:rsidR="00F23B72" w:rsidP="008318BC" w:rsidRDefault="00F23B72" w14:paraId="6F2AB44B" w14:textId="77777777">
            <w:pPr>
              <w:jc w:val="center"/>
              <w:rPr>
                <w:rFonts w:ascii="Calibri" w:hAnsi="Calibri" w:cs="Calibri"/>
                <w:color w:val="000000"/>
              </w:rPr>
            </w:pPr>
            <w:r w:rsidRPr="00EF2363">
              <w:rPr>
                <w:rFonts w:ascii="Calibri" w:hAnsi="Calibri" w:cs="Calibri"/>
                <w:color w:val="000000"/>
              </w:rPr>
              <w:t>Total annual Responses</w:t>
            </w:r>
          </w:p>
        </w:tc>
        <w:tc>
          <w:tcPr>
            <w:tcW w:w="1170" w:type="dxa"/>
            <w:tcBorders>
              <w:top w:val="single" w:color="auto" w:sz="8" w:space="0"/>
              <w:left w:val="nil"/>
              <w:bottom w:val="single" w:color="auto" w:sz="8" w:space="0"/>
              <w:right w:val="single" w:color="auto" w:sz="8" w:space="0"/>
            </w:tcBorders>
            <w:shd w:val="clear" w:color="000000" w:fill="FFFFFF"/>
            <w:vAlign w:val="center"/>
            <w:hideMark/>
          </w:tcPr>
          <w:p w:rsidRPr="00EF2363" w:rsidR="00F23B72" w:rsidP="008318BC" w:rsidRDefault="00F23B72" w14:paraId="54539935" w14:textId="77777777">
            <w:pPr>
              <w:jc w:val="center"/>
              <w:rPr>
                <w:rFonts w:ascii="Calibri" w:hAnsi="Calibri" w:cs="Calibri"/>
                <w:color w:val="000000"/>
              </w:rPr>
            </w:pPr>
            <w:r w:rsidRPr="00EF2363">
              <w:rPr>
                <w:rFonts w:ascii="Calibri" w:hAnsi="Calibri" w:cs="Calibri"/>
                <w:color w:val="000000"/>
              </w:rPr>
              <w:t>Hours per response</w:t>
            </w:r>
          </w:p>
        </w:tc>
        <w:tc>
          <w:tcPr>
            <w:tcW w:w="1260" w:type="dxa"/>
            <w:tcBorders>
              <w:top w:val="single" w:color="auto" w:sz="8" w:space="0"/>
              <w:left w:val="nil"/>
              <w:bottom w:val="single" w:color="auto" w:sz="8" w:space="0"/>
              <w:right w:val="single" w:color="auto" w:sz="8" w:space="0"/>
            </w:tcBorders>
            <w:shd w:val="clear" w:color="000000" w:fill="FFFFFF"/>
            <w:vAlign w:val="center"/>
            <w:hideMark/>
          </w:tcPr>
          <w:p w:rsidRPr="00EF2363" w:rsidR="00F23B72" w:rsidP="008318BC" w:rsidRDefault="00F23B72" w14:paraId="262958C0" w14:textId="5CF9C5B7">
            <w:pPr>
              <w:jc w:val="center"/>
              <w:rPr>
                <w:rFonts w:ascii="Calibri" w:hAnsi="Calibri" w:cs="Calibri"/>
                <w:color w:val="000000"/>
              </w:rPr>
            </w:pPr>
            <w:r w:rsidRPr="00EF2363">
              <w:rPr>
                <w:rFonts w:ascii="Calibri" w:hAnsi="Calibri" w:cs="Calibri"/>
                <w:color w:val="000000"/>
              </w:rPr>
              <w:t>Total Burden</w:t>
            </w:r>
            <w:r w:rsidRPr="00EF2363" w:rsidR="00DE76C6">
              <w:rPr>
                <w:rFonts w:ascii="Calibri" w:hAnsi="Calibri" w:cs="Calibri"/>
                <w:color w:val="000000"/>
              </w:rPr>
              <w:t xml:space="preserve"> in Hours</w:t>
            </w:r>
          </w:p>
        </w:tc>
        <w:tc>
          <w:tcPr>
            <w:tcW w:w="2046" w:type="dxa"/>
            <w:tcBorders>
              <w:top w:val="single" w:color="auto" w:sz="8" w:space="0"/>
              <w:left w:val="nil"/>
              <w:bottom w:val="single" w:color="auto" w:sz="8" w:space="0"/>
              <w:right w:val="single" w:color="auto" w:sz="8" w:space="0"/>
            </w:tcBorders>
            <w:shd w:val="clear" w:color="000000" w:fill="FFFFFF"/>
            <w:vAlign w:val="center"/>
            <w:hideMark/>
          </w:tcPr>
          <w:p w:rsidR="003C5B6F" w:rsidP="008318BC" w:rsidRDefault="00F23B72" w14:paraId="3530D715" w14:textId="77777777">
            <w:pPr>
              <w:jc w:val="center"/>
              <w:rPr>
                <w:rFonts w:ascii="Calibri" w:hAnsi="Calibri" w:cs="Calibri"/>
                <w:color w:val="000000"/>
              </w:rPr>
            </w:pPr>
            <w:r w:rsidRPr="00EF2363">
              <w:rPr>
                <w:rFonts w:ascii="Calibri" w:hAnsi="Calibri" w:cs="Calibri"/>
                <w:color w:val="000000"/>
              </w:rPr>
              <w:t>Cost to Respondent</w:t>
            </w:r>
          </w:p>
          <w:p w:rsidRPr="00EF2363" w:rsidR="00F23B72" w:rsidP="008318BC" w:rsidRDefault="003C5B6F" w14:paraId="1B3E9711" w14:textId="7B111D56">
            <w:pPr>
              <w:jc w:val="center"/>
              <w:rPr>
                <w:rFonts w:ascii="Calibri" w:hAnsi="Calibri" w:cs="Calibri"/>
                <w:color w:val="000000"/>
              </w:rPr>
            </w:pPr>
            <w:r>
              <w:rPr>
                <w:rFonts w:ascii="Calibri" w:hAnsi="Calibri" w:cs="Calibri"/>
                <w:color w:val="000000"/>
              </w:rPr>
              <w:t>(</w:t>
            </w:r>
            <w:r w:rsidRPr="003C5B6F">
              <w:rPr>
                <w:rFonts w:ascii="Calibri" w:hAnsi="Calibri" w:cs="Calibri"/>
                <w:color w:val="000000"/>
              </w:rPr>
              <w:t>$</w:t>
            </w:r>
            <w:r w:rsidR="00D03489">
              <w:rPr>
                <w:rFonts w:ascii="Calibri" w:hAnsi="Calibri" w:cs="Calibri"/>
                <w:color w:val="000000"/>
              </w:rPr>
              <w:t>48</w:t>
            </w:r>
            <w:r w:rsidRPr="003C5B6F">
              <w:rPr>
                <w:rFonts w:ascii="Calibri" w:hAnsi="Calibri" w:cs="Calibri"/>
                <w:color w:val="000000"/>
              </w:rPr>
              <w:t>.8</w:t>
            </w:r>
            <w:r w:rsidR="00D03489">
              <w:rPr>
                <w:rFonts w:ascii="Calibri" w:hAnsi="Calibri" w:cs="Calibri"/>
                <w:color w:val="000000"/>
              </w:rPr>
              <w:t>0</w:t>
            </w:r>
            <w:r w:rsidRPr="003C5B6F">
              <w:rPr>
                <w:rFonts w:ascii="Calibri" w:hAnsi="Calibri" w:cs="Calibri"/>
                <w:color w:val="000000"/>
              </w:rPr>
              <w:t xml:space="preserve"> per hour</w:t>
            </w:r>
            <w:r>
              <w:rPr>
                <w:rFonts w:ascii="Calibri" w:hAnsi="Calibri" w:cs="Calibri"/>
                <w:color w:val="000000"/>
              </w:rPr>
              <w:t>*)</w:t>
            </w:r>
          </w:p>
        </w:tc>
      </w:tr>
      <w:tr w:rsidRPr="00EF2363" w:rsidR="0089274A" w:rsidTr="008318BC" w14:paraId="0D68C26D" w14:textId="77777777">
        <w:trPr>
          <w:trHeight w:val="530"/>
          <w:jc w:val="center"/>
        </w:trPr>
        <w:tc>
          <w:tcPr>
            <w:tcW w:w="2180" w:type="dxa"/>
            <w:tcBorders>
              <w:top w:val="nil"/>
              <w:left w:val="single" w:color="auto" w:sz="8" w:space="0"/>
              <w:bottom w:val="single" w:color="auto" w:sz="8" w:space="0"/>
              <w:right w:val="single" w:color="auto" w:sz="8" w:space="0"/>
            </w:tcBorders>
            <w:shd w:val="clear" w:color="000000" w:fill="FFFFFF"/>
            <w:vAlign w:val="center"/>
          </w:tcPr>
          <w:p w:rsidRPr="00EF2363" w:rsidR="006A2D85" w:rsidP="008318BC" w:rsidRDefault="00A645CE" w14:paraId="4D02662D" w14:textId="6EF90D50">
            <w:pPr>
              <w:jc w:val="center"/>
              <w:rPr>
                <w:rFonts w:ascii="Calibri" w:hAnsi="Calibri" w:cs="Calibri"/>
                <w:color w:val="000000"/>
              </w:rPr>
            </w:pPr>
            <w:r>
              <w:rPr>
                <w:rFonts w:ascii="Calibri" w:hAnsi="Calibri" w:cs="Calibri"/>
                <w:color w:val="000000"/>
              </w:rPr>
              <w:t xml:space="preserve">Sec. 4003 </w:t>
            </w:r>
            <w:r w:rsidR="00753648">
              <w:rPr>
                <w:rFonts w:ascii="Calibri" w:hAnsi="Calibri" w:cs="Calibri"/>
                <w:color w:val="000000"/>
              </w:rPr>
              <w:t xml:space="preserve">Loan </w:t>
            </w:r>
            <w:r w:rsidR="005F1EBD">
              <w:rPr>
                <w:rFonts w:ascii="Calibri" w:hAnsi="Calibri" w:cs="Calibri"/>
                <w:color w:val="000000"/>
              </w:rPr>
              <w:t>Application</w:t>
            </w:r>
          </w:p>
        </w:tc>
        <w:tc>
          <w:tcPr>
            <w:tcW w:w="1485" w:type="dxa"/>
            <w:tcBorders>
              <w:top w:val="nil"/>
              <w:left w:val="nil"/>
              <w:bottom w:val="single" w:color="auto" w:sz="8" w:space="0"/>
              <w:right w:val="single" w:color="auto" w:sz="8" w:space="0"/>
            </w:tcBorders>
            <w:shd w:val="clear" w:color="000000" w:fill="FFFFFF"/>
            <w:vAlign w:val="center"/>
          </w:tcPr>
          <w:p w:rsidR="006A2D85" w:rsidP="008318BC" w:rsidRDefault="00ED6199" w14:paraId="7016BB50" w14:textId="6F03E058">
            <w:pPr>
              <w:jc w:val="center"/>
              <w:rPr>
                <w:rFonts w:ascii="Calibri" w:hAnsi="Calibri" w:cs="Calibri"/>
                <w:color w:val="000000"/>
              </w:rPr>
            </w:pPr>
            <w:r>
              <w:rPr>
                <w:rFonts w:ascii="Calibri" w:hAnsi="Calibri" w:cs="Calibri"/>
                <w:color w:val="000000"/>
              </w:rPr>
              <w:t>6,000</w:t>
            </w:r>
          </w:p>
        </w:tc>
        <w:tc>
          <w:tcPr>
            <w:tcW w:w="1391" w:type="dxa"/>
            <w:tcBorders>
              <w:top w:val="nil"/>
              <w:left w:val="nil"/>
              <w:bottom w:val="single" w:color="auto" w:sz="8" w:space="0"/>
              <w:right w:val="single" w:color="auto" w:sz="8" w:space="0"/>
            </w:tcBorders>
            <w:shd w:val="clear" w:color="000000" w:fill="FFFFFF"/>
            <w:noWrap/>
            <w:vAlign w:val="center"/>
          </w:tcPr>
          <w:p w:rsidRPr="00EF2363" w:rsidR="006A2D85" w:rsidP="008318BC" w:rsidRDefault="008956E9" w14:paraId="331CECA4" w14:textId="3CE8D2D1">
            <w:pPr>
              <w:jc w:val="center"/>
              <w:rPr>
                <w:rFonts w:ascii="Calibri" w:hAnsi="Calibri" w:cs="Calibri"/>
                <w:color w:val="000000"/>
              </w:rPr>
            </w:pPr>
            <w:r>
              <w:rPr>
                <w:rFonts w:ascii="Calibri" w:hAnsi="Calibri" w:cs="Calibri"/>
                <w:color w:val="000000"/>
              </w:rPr>
              <w:t>1</w:t>
            </w:r>
          </w:p>
        </w:tc>
        <w:tc>
          <w:tcPr>
            <w:tcW w:w="1391" w:type="dxa"/>
            <w:tcBorders>
              <w:top w:val="nil"/>
              <w:left w:val="nil"/>
              <w:bottom w:val="single" w:color="auto" w:sz="8" w:space="0"/>
              <w:right w:val="single" w:color="auto" w:sz="8" w:space="0"/>
            </w:tcBorders>
            <w:shd w:val="clear" w:color="000000" w:fill="FFFFFF"/>
            <w:noWrap/>
            <w:vAlign w:val="center"/>
          </w:tcPr>
          <w:p w:rsidR="006A2D85" w:rsidP="008318BC" w:rsidRDefault="00EE3088" w14:paraId="77AF1DBA" w14:textId="3800FEF4">
            <w:pPr>
              <w:jc w:val="center"/>
              <w:rPr>
                <w:rFonts w:ascii="Calibri" w:hAnsi="Calibri" w:cs="Calibri"/>
                <w:color w:val="000000"/>
              </w:rPr>
            </w:pPr>
            <w:r>
              <w:rPr>
                <w:rFonts w:ascii="Calibri" w:hAnsi="Calibri" w:cs="Calibri"/>
                <w:color w:val="000000"/>
              </w:rPr>
              <w:t>6,000</w:t>
            </w:r>
          </w:p>
        </w:tc>
        <w:tc>
          <w:tcPr>
            <w:tcW w:w="1170" w:type="dxa"/>
            <w:tcBorders>
              <w:top w:val="nil"/>
              <w:left w:val="nil"/>
              <w:bottom w:val="single" w:color="auto" w:sz="8" w:space="0"/>
              <w:right w:val="single" w:color="auto" w:sz="8" w:space="0"/>
            </w:tcBorders>
            <w:shd w:val="clear" w:color="000000" w:fill="FFFFFF"/>
            <w:noWrap/>
            <w:vAlign w:val="center"/>
          </w:tcPr>
          <w:p w:rsidRPr="00EF2363" w:rsidR="006A2D85" w:rsidP="008318BC" w:rsidRDefault="00ED6199" w14:paraId="141453B9" w14:textId="41FC6672">
            <w:pPr>
              <w:jc w:val="center"/>
              <w:rPr>
                <w:rFonts w:ascii="Calibri" w:hAnsi="Calibri" w:cs="Calibri"/>
                <w:color w:val="000000"/>
              </w:rPr>
            </w:pPr>
            <w:r>
              <w:rPr>
                <w:rFonts w:ascii="Calibri" w:hAnsi="Calibri" w:cs="Calibri"/>
                <w:color w:val="000000"/>
              </w:rPr>
              <w:t>2</w:t>
            </w:r>
          </w:p>
        </w:tc>
        <w:tc>
          <w:tcPr>
            <w:tcW w:w="1260" w:type="dxa"/>
            <w:tcBorders>
              <w:top w:val="nil"/>
              <w:left w:val="nil"/>
              <w:bottom w:val="single" w:color="auto" w:sz="8" w:space="0"/>
              <w:right w:val="single" w:color="auto" w:sz="8" w:space="0"/>
            </w:tcBorders>
            <w:shd w:val="clear" w:color="000000" w:fill="FFFFFF"/>
            <w:noWrap/>
            <w:vAlign w:val="center"/>
          </w:tcPr>
          <w:p w:rsidR="006A2D85" w:rsidP="008318BC" w:rsidRDefault="00ED6199" w14:paraId="6ADC8A17" w14:textId="13B6261D">
            <w:pPr>
              <w:jc w:val="center"/>
              <w:rPr>
                <w:rFonts w:ascii="Calibri" w:hAnsi="Calibri" w:cs="Calibri"/>
                <w:color w:val="000000"/>
              </w:rPr>
            </w:pPr>
            <w:r>
              <w:rPr>
                <w:rFonts w:ascii="Calibri" w:hAnsi="Calibri" w:cs="Calibri"/>
                <w:color w:val="000000"/>
              </w:rPr>
              <w:t>12,000</w:t>
            </w:r>
          </w:p>
        </w:tc>
        <w:tc>
          <w:tcPr>
            <w:tcW w:w="2046" w:type="dxa"/>
            <w:tcBorders>
              <w:top w:val="nil"/>
              <w:left w:val="nil"/>
              <w:bottom w:val="single" w:color="auto" w:sz="8" w:space="0"/>
              <w:right w:val="single" w:color="auto" w:sz="8" w:space="0"/>
            </w:tcBorders>
            <w:shd w:val="clear" w:color="000000" w:fill="FFFFFF"/>
            <w:noWrap/>
            <w:vAlign w:val="center"/>
          </w:tcPr>
          <w:p w:rsidRPr="00EF2363" w:rsidR="006A2D85" w:rsidP="008318BC" w:rsidRDefault="00D03489" w14:paraId="29AA82CD" w14:textId="11BBFE16">
            <w:pPr>
              <w:jc w:val="center"/>
              <w:rPr>
                <w:rFonts w:ascii="Calibri" w:hAnsi="Calibri" w:cs="Calibri"/>
                <w:color w:val="000000"/>
              </w:rPr>
            </w:pPr>
            <w:r>
              <w:rPr>
                <w:rFonts w:ascii="Calibri" w:hAnsi="Calibri" w:cs="Calibri"/>
                <w:color w:val="000000"/>
              </w:rPr>
              <w:t>$585,600</w:t>
            </w:r>
          </w:p>
        </w:tc>
      </w:tr>
      <w:tr w:rsidRPr="00EF2363" w:rsidR="0089274A" w:rsidTr="008318BC" w14:paraId="6BE17D18" w14:textId="77777777">
        <w:trPr>
          <w:trHeight w:val="830"/>
          <w:jc w:val="center"/>
        </w:trPr>
        <w:tc>
          <w:tcPr>
            <w:tcW w:w="2180" w:type="dxa"/>
            <w:tcBorders>
              <w:top w:val="nil"/>
              <w:left w:val="single" w:color="auto" w:sz="8" w:space="0"/>
              <w:bottom w:val="single" w:color="auto" w:sz="8" w:space="0"/>
              <w:right w:val="single" w:color="auto" w:sz="8" w:space="0"/>
            </w:tcBorders>
            <w:shd w:val="clear" w:color="000000" w:fill="FFFFFF"/>
            <w:vAlign w:val="center"/>
          </w:tcPr>
          <w:p w:rsidR="0057582F" w:rsidP="008318BC" w:rsidRDefault="0057582F" w14:paraId="770AE739" w14:textId="0648B630">
            <w:pPr>
              <w:jc w:val="center"/>
              <w:rPr>
                <w:rFonts w:ascii="Calibri" w:hAnsi="Calibri" w:cs="Calibri"/>
                <w:color w:val="000000"/>
              </w:rPr>
            </w:pPr>
            <w:r>
              <w:rPr>
                <w:rFonts w:ascii="Calibri" w:hAnsi="Calibri" w:cs="Calibri"/>
                <w:color w:val="000000"/>
              </w:rPr>
              <w:t>Sec. 4003 rep</w:t>
            </w:r>
            <w:r w:rsidR="009F477E">
              <w:rPr>
                <w:rFonts w:ascii="Calibri" w:hAnsi="Calibri" w:cs="Calibri"/>
                <w:color w:val="000000"/>
              </w:rPr>
              <w:t>o</w:t>
            </w:r>
            <w:r>
              <w:rPr>
                <w:rFonts w:ascii="Calibri" w:hAnsi="Calibri" w:cs="Calibri"/>
                <w:color w:val="000000"/>
              </w:rPr>
              <w:t>rting</w:t>
            </w:r>
          </w:p>
        </w:tc>
        <w:tc>
          <w:tcPr>
            <w:tcW w:w="1485" w:type="dxa"/>
            <w:tcBorders>
              <w:top w:val="nil"/>
              <w:left w:val="nil"/>
              <w:bottom w:val="single" w:color="auto" w:sz="8" w:space="0"/>
              <w:right w:val="single" w:color="auto" w:sz="8" w:space="0"/>
            </w:tcBorders>
            <w:shd w:val="clear" w:color="000000" w:fill="FFFFFF"/>
            <w:noWrap/>
            <w:vAlign w:val="center"/>
          </w:tcPr>
          <w:p w:rsidR="0057582F" w:rsidP="008318BC" w:rsidRDefault="00ED6199" w14:paraId="7855736F" w14:textId="44F8A490">
            <w:pPr>
              <w:jc w:val="center"/>
              <w:rPr>
                <w:rFonts w:ascii="Calibri" w:hAnsi="Calibri" w:cs="Calibri"/>
                <w:color w:val="000000"/>
              </w:rPr>
            </w:pPr>
            <w:r>
              <w:rPr>
                <w:rFonts w:ascii="Calibri" w:hAnsi="Calibri" w:cs="Calibri"/>
                <w:color w:val="000000"/>
              </w:rPr>
              <w:t>6,000</w:t>
            </w:r>
          </w:p>
        </w:tc>
        <w:tc>
          <w:tcPr>
            <w:tcW w:w="1391" w:type="dxa"/>
            <w:tcBorders>
              <w:top w:val="nil"/>
              <w:left w:val="nil"/>
              <w:bottom w:val="single" w:color="auto" w:sz="8" w:space="0"/>
              <w:right w:val="single" w:color="auto" w:sz="8" w:space="0"/>
            </w:tcBorders>
            <w:shd w:val="clear" w:color="000000" w:fill="FFFFFF"/>
            <w:noWrap/>
            <w:vAlign w:val="center"/>
          </w:tcPr>
          <w:p w:rsidR="0057582F" w:rsidP="008318BC" w:rsidRDefault="0057582F" w14:paraId="013A61BD" w14:textId="7AF64AFE">
            <w:pPr>
              <w:jc w:val="center"/>
              <w:rPr>
                <w:rFonts w:ascii="Calibri" w:hAnsi="Calibri" w:cs="Calibri"/>
                <w:color w:val="000000"/>
              </w:rPr>
            </w:pPr>
            <w:r>
              <w:rPr>
                <w:rFonts w:ascii="Calibri" w:hAnsi="Calibri" w:cs="Calibri"/>
                <w:color w:val="000000"/>
              </w:rPr>
              <w:t>1</w:t>
            </w:r>
          </w:p>
        </w:tc>
        <w:tc>
          <w:tcPr>
            <w:tcW w:w="1391" w:type="dxa"/>
            <w:tcBorders>
              <w:top w:val="nil"/>
              <w:left w:val="nil"/>
              <w:bottom w:val="single" w:color="auto" w:sz="8" w:space="0"/>
              <w:right w:val="single" w:color="auto" w:sz="8" w:space="0"/>
            </w:tcBorders>
            <w:shd w:val="clear" w:color="000000" w:fill="FFFFFF"/>
            <w:noWrap/>
            <w:vAlign w:val="center"/>
          </w:tcPr>
          <w:p w:rsidRPr="00EF2363" w:rsidR="0057582F" w:rsidP="008318BC" w:rsidRDefault="00EE3088" w14:paraId="37C43F3E" w14:textId="7560FA14">
            <w:pPr>
              <w:jc w:val="center"/>
              <w:rPr>
                <w:rFonts w:ascii="Calibri" w:hAnsi="Calibri" w:cs="Calibri"/>
                <w:color w:val="000000"/>
              </w:rPr>
            </w:pPr>
            <w:r>
              <w:rPr>
                <w:rFonts w:ascii="Calibri" w:hAnsi="Calibri" w:cs="Calibri"/>
                <w:color w:val="000000"/>
              </w:rPr>
              <w:t>6,000</w:t>
            </w:r>
          </w:p>
        </w:tc>
        <w:tc>
          <w:tcPr>
            <w:tcW w:w="1170" w:type="dxa"/>
            <w:tcBorders>
              <w:top w:val="nil"/>
              <w:left w:val="nil"/>
              <w:bottom w:val="single" w:color="auto" w:sz="8" w:space="0"/>
              <w:right w:val="single" w:color="auto" w:sz="8" w:space="0"/>
            </w:tcBorders>
            <w:shd w:val="clear" w:color="000000" w:fill="FFFFFF"/>
            <w:noWrap/>
            <w:vAlign w:val="center"/>
          </w:tcPr>
          <w:p w:rsidR="0057582F" w:rsidP="008318BC" w:rsidRDefault="00763C12" w14:paraId="7EBAEE1C" w14:textId="361947B1">
            <w:pPr>
              <w:jc w:val="center"/>
              <w:rPr>
                <w:rFonts w:ascii="Calibri" w:hAnsi="Calibri" w:cs="Calibri"/>
                <w:color w:val="000000"/>
              </w:rPr>
            </w:pPr>
            <w:r>
              <w:rPr>
                <w:rFonts w:ascii="Calibri" w:hAnsi="Calibri" w:cs="Calibri"/>
                <w:color w:val="000000"/>
              </w:rPr>
              <w:t>2</w:t>
            </w:r>
          </w:p>
        </w:tc>
        <w:tc>
          <w:tcPr>
            <w:tcW w:w="1260" w:type="dxa"/>
            <w:tcBorders>
              <w:top w:val="nil"/>
              <w:left w:val="nil"/>
              <w:bottom w:val="single" w:color="auto" w:sz="8" w:space="0"/>
              <w:right w:val="single" w:color="auto" w:sz="8" w:space="0"/>
            </w:tcBorders>
            <w:shd w:val="clear" w:color="000000" w:fill="FFFFFF"/>
            <w:noWrap/>
            <w:vAlign w:val="center"/>
          </w:tcPr>
          <w:p w:rsidRPr="00EF2363" w:rsidR="0057582F" w:rsidP="008318BC" w:rsidRDefault="00ED6199" w14:paraId="644DA381" w14:textId="279089E3">
            <w:pPr>
              <w:jc w:val="center"/>
              <w:rPr>
                <w:rFonts w:ascii="Calibri" w:hAnsi="Calibri" w:cs="Calibri"/>
                <w:color w:val="000000"/>
              </w:rPr>
            </w:pPr>
            <w:r>
              <w:rPr>
                <w:rFonts w:ascii="Calibri" w:hAnsi="Calibri" w:cs="Calibri"/>
                <w:color w:val="000000"/>
              </w:rPr>
              <w:t>12,000</w:t>
            </w:r>
          </w:p>
        </w:tc>
        <w:tc>
          <w:tcPr>
            <w:tcW w:w="2046" w:type="dxa"/>
            <w:tcBorders>
              <w:top w:val="nil"/>
              <w:left w:val="nil"/>
              <w:bottom w:val="single" w:color="auto" w:sz="8" w:space="0"/>
              <w:right w:val="single" w:color="auto" w:sz="8" w:space="0"/>
            </w:tcBorders>
            <w:shd w:val="clear" w:color="000000" w:fill="FFFFFF"/>
            <w:noWrap/>
            <w:vAlign w:val="center"/>
          </w:tcPr>
          <w:p w:rsidRPr="00EF2363" w:rsidR="0057582F" w:rsidP="008318BC" w:rsidRDefault="00D03489" w14:paraId="1186651B" w14:textId="74748A2A">
            <w:pPr>
              <w:jc w:val="center"/>
              <w:rPr>
                <w:rFonts w:ascii="Calibri" w:hAnsi="Calibri" w:cs="Calibri"/>
                <w:color w:val="000000"/>
              </w:rPr>
            </w:pPr>
            <w:r>
              <w:rPr>
                <w:rFonts w:ascii="Calibri" w:hAnsi="Calibri" w:cs="Calibri"/>
                <w:color w:val="000000"/>
              </w:rPr>
              <w:t>$585,600</w:t>
            </w:r>
          </w:p>
        </w:tc>
      </w:tr>
      <w:tr w:rsidRPr="00EF2363" w:rsidR="0089274A" w:rsidTr="008318BC" w14:paraId="043C3C2B" w14:textId="77777777">
        <w:trPr>
          <w:trHeight w:val="830"/>
          <w:jc w:val="center"/>
        </w:trPr>
        <w:tc>
          <w:tcPr>
            <w:tcW w:w="2180" w:type="dxa"/>
            <w:tcBorders>
              <w:top w:val="nil"/>
              <w:left w:val="single" w:color="auto" w:sz="8" w:space="0"/>
              <w:bottom w:val="single" w:color="auto" w:sz="8" w:space="0"/>
              <w:right w:val="single" w:color="auto" w:sz="8" w:space="0"/>
            </w:tcBorders>
            <w:shd w:val="clear" w:color="000000" w:fill="FFFFFF"/>
            <w:vAlign w:val="center"/>
          </w:tcPr>
          <w:p w:rsidRPr="009F477E" w:rsidR="009F477E" w:rsidP="008318BC" w:rsidRDefault="009F477E" w14:paraId="195E616A" w14:textId="6380A22F">
            <w:pPr>
              <w:jc w:val="center"/>
              <w:rPr>
                <w:rFonts w:ascii="Calibri" w:hAnsi="Calibri" w:cs="Calibri"/>
                <w:b/>
                <w:color w:val="000000"/>
              </w:rPr>
            </w:pPr>
            <w:r w:rsidRPr="009F477E">
              <w:rPr>
                <w:rFonts w:ascii="Calibri" w:hAnsi="Calibri" w:cs="Calibri"/>
                <w:b/>
                <w:color w:val="000000"/>
              </w:rPr>
              <w:t xml:space="preserve">Total </w:t>
            </w:r>
            <w:r>
              <w:rPr>
                <w:rFonts w:ascii="Calibri" w:hAnsi="Calibri" w:cs="Calibri"/>
                <w:b/>
                <w:color w:val="000000"/>
              </w:rPr>
              <w:t>Sec. 4003</w:t>
            </w:r>
          </w:p>
        </w:tc>
        <w:tc>
          <w:tcPr>
            <w:tcW w:w="1485" w:type="dxa"/>
            <w:tcBorders>
              <w:top w:val="nil"/>
              <w:left w:val="nil"/>
              <w:bottom w:val="single" w:color="auto" w:sz="8" w:space="0"/>
              <w:right w:val="single" w:color="auto" w:sz="8" w:space="0"/>
            </w:tcBorders>
            <w:shd w:val="clear" w:color="000000" w:fill="FFFFFF"/>
            <w:noWrap/>
            <w:vAlign w:val="center"/>
          </w:tcPr>
          <w:p w:rsidRPr="00BD5E56" w:rsidR="009F477E" w:rsidP="008318BC" w:rsidRDefault="00ED6199" w14:paraId="54CBE9FC" w14:textId="443E4107">
            <w:pPr>
              <w:jc w:val="center"/>
              <w:rPr>
                <w:rFonts w:ascii="Calibri" w:hAnsi="Calibri"/>
                <w:b/>
                <w:color w:val="000000"/>
              </w:rPr>
            </w:pPr>
            <w:r w:rsidRPr="00BD5E56">
              <w:rPr>
                <w:rFonts w:ascii="Calibri" w:hAnsi="Calibri"/>
                <w:b/>
                <w:color w:val="000000"/>
              </w:rPr>
              <w:t>6,000</w:t>
            </w:r>
          </w:p>
        </w:tc>
        <w:tc>
          <w:tcPr>
            <w:tcW w:w="1391" w:type="dxa"/>
            <w:tcBorders>
              <w:top w:val="nil"/>
              <w:left w:val="nil"/>
              <w:bottom w:val="single" w:color="auto" w:sz="8" w:space="0"/>
              <w:right w:val="single" w:color="auto" w:sz="8" w:space="0"/>
            </w:tcBorders>
            <w:shd w:val="clear" w:color="000000" w:fill="FFFFFF"/>
            <w:noWrap/>
            <w:vAlign w:val="center"/>
          </w:tcPr>
          <w:p w:rsidRPr="00BD5E56" w:rsidR="009F477E" w:rsidP="008318BC" w:rsidRDefault="009F477E" w14:paraId="2DDC5784" w14:textId="1E8D4E1F">
            <w:pPr>
              <w:jc w:val="center"/>
              <w:rPr>
                <w:rFonts w:ascii="Calibri" w:hAnsi="Calibri"/>
                <w:b/>
                <w:color w:val="000000"/>
              </w:rPr>
            </w:pPr>
            <w:r w:rsidRPr="00BD5E56">
              <w:rPr>
                <w:rFonts w:ascii="Calibri" w:hAnsi="Calibri"/>
                <w:b/>
                <w:color w:val="000000"/>
              </w:rPr>
              <w:t>2</w:t>
            </w:r>
          </w:p>
        </w:tc>
        <w:tc>
          <w:tcPr>
            <w:tcW w:w="1391" w:type="dxa"/>
            <w:tcBorders>
              <w:top w:val="nil"/>
              <w:left w:val="nil"/>
              <w:bottom w:val="single" w:color="auto" w:sz="8" w:space="0"/>
              <w:right w:val="single" w:color="auto" w:sz="8" w:space="0"/>
            </w:tcBorders>
            <w:shd w:val="clear" w:color="000000" w:fill="FFFFFF"/>
            <w:noWrap/>
            <w:vAlign w:val="center"/>
          </w:tcPr>
          <w:p w:rsidRPr="00BD5E56" w:rsidR="009F477E" w:rsidP="008318BC" w:rsidRDefault="00EE3088" w14:paraId="79163D2A" w14:textId="6801D143">
            <w:pPr>
              <w:jc w:val="center"/>
              <w:rPr>
                <w:rFonts w:ascii="Calibri" w:hAnsi="Calibri"/>
                <w:b/>
                <w:color w:val="000000"/>
              </w:rPr>
            </w:pPr>
            <w:r>
              <w:rPr>
                <w:rFonts w:ascii="Calibri" w:hAnsi="Calibri" w:cs="Calibri"/>
                <w:b/>
                <w:color w:val="000000"/>
              </w:rPr>
              <w:t>12,000</w:t>
            </w:r>
          </w:p>
        </w:tc>
        <w:tc>
          <w:tcPr>
            <w:tcW w:w="1170" w:type="dxa"/>
            <w:tcBorders>
              <w:top w:val="nil"/>
              <w:left w:val="nil"/>
              <w:bottom w:val="single" w:color="auto" w:sz="8" w:space="0"/>
              <w:right w:val="single" w:color="auto" w:sz="8" w:space="0"/>
            </w:tcBorders>
            <w:shd w:val="clear" w:color="000000" w:fill="FFFFFF"/>
            <w:noWrap/>
            <w:vAlign w:val="center"/>
          </w:tcPr>
          <w:p w:rsidRPr="00BD5E56" w:rsidR="009F477E" w:rsidP="008318BC" w:rsidRDefault="009F477E" w14:paraId="653568C5" w14:textId="1FE93DD6">
            <w:pPr>
              <w:jc w:val="center"/>
              <w:rPr>
                <w:rFonts w:ascii="Calibri" w:hAnsi="Calibri"/>
                <w:b/>
                <w:color w:val="000000"/>
              </w:rPr>
            </w:pPr>
          </w:p>
        </w:tc>
        <w:tc>
          <w:tcPr>
            <w:tcW w:w="1260" w:type="dxa"/>
            <w:tcBorders>
              <w:top w:val="nil"/>
              <w:left w:val="nil"/>
              <w:bottom w:val="single" w:color="auto" w:sz="8" w:space="0"/>
              <w:right w:val="single" w:color="auto" w:sz="8" w:space="0"/>
            </w:tcBorders>
            <w:shd w:val="clear" w:color="000000" w:fill="FFFFFF"/>
            <w:noWrap/>
            <w:vAlign w:val="center"/>
          </w:tcPr>
          <w:p w:rsidRPr="00BD5E56" w:rsidR="009F477E" w:rsidP="008318BC" w:rsidRDefault="00ED6199" w14:paraId="4D0138CA" w14:textId="36441213">
            <w:pPr>
              <w:jc w:val="center"/>
              <w:rPr>
                <w:rFonts w:ascii="Calibri" w:hAnsi="Calibri"/>
                <w:b/>
                <w:color w:val="000000"/>
              </w:rPr>
            </w:pPr>
            <w:r w:rsidRPr="00BD5E56">
              <w:rPr>
                <w:rFonts w:ascii="Calibri" w:hAnsi="Calibri"/>
                <w:b/>
                <w:color w:val="000000"/>
              </w:rPr>
              <w:t>24,000</w:t>
            </w:r>
          </w:p>
        </w:tc>
        <w:tc>
          <w:tcPr>
            <w:tcW w:w="2046" w:type="dxa"/>
            <w:tcBorders>
              <w:top w:val="nil"/>
              <w:left w:val="nil"/>
              <w:bottom w:val="single" w:color="auto" w:sz="8" w:space="0"/>
              <w:right w:val="single" w:color="auto" w:sz="8" w:space="0"/>
            </w:tcBorders>
            <w:shd w:val="clear" w:color="000000" w:fill="FFFFFF"/>
            <w:noWrap/>
            <w:vAlign w:val="center"/>
          </w:tcPr>
          <w:p w:rsidRPr="00BD5E56" w:rsidR="009F477E" w:rsidP="008318BC" w:rsidRDefault="00ED6199" w14:paraId="42EC7473" w14:textId="0EE1C360">
            <w:pPr>
              <w:jc w:val="center"/>
              <w:rPr>
                <w:rFonts w:ascii="Calibri" w:hAnsi="Calibri"/>
                <w:b/>
                <w:color w:val="000000"/>
              </w:rPr>
            </w:pPr>
            <w:r w:rsidRPr="00BD5E56">
              <w:rPr>
                <w:rFonts w:ascii="Calibri" w:hAnsi="Calibri"/>
                <w:b/>
                <w:color w:val="000000"/>
              </w:rPr>
              <w:t>$</w:t>
            </w:r>
            <w:r w:rsidR="00D03489">
              <w:rPr>
                <w:rFonts w:ascii="Calibri" w:hAnsi="Calibri" w:cs="Calibri"/>
                <w:b/>
                <w:color w:val="000000"/>
              </w:rPr>
              <w:t>1,171</w:t>
            </w:r>
            <w:r w:rsidRPr="001E0D39">
              <w:rPr>
                <w:rFonts w:ascii="Calibri" w:hAnsi="Calibri" w:cs="Calibri"/>
                <w:b/>
                <w:color w:val="000000"/>
              </w:rPr>
              <w:t>,</w:t>
            </w:r>
            <w:r w:rsidR="00D03489">
              <w:rPr>
                <w:rFonts w:ascii="Calibri" w:hAnsi="Calibri" w:cs="Calibri"/>
                <w:b/>
                <w:color w:val="000000"/>
              </w:rPr>
              <w:t>200</w:t>
            </w:r>
          </w:p>
        </w:tc>
      </w:tr>
      <w:tr w:rsidRPr="00EF2363" w:rsidR="009F477E" w:rsidTr="008318BC" w14:paraId="5A6157E8" w14:textId="77777777">
        <w:trPr>
          <w:trHeight w:val="394"/>
          <w:jc w:val="center"/>
        </w:trPr>
        <w:tc>
          <w:tcPr>
            <w:tcW w:w="10923" w:type="dxa"/>
            <w:gridSpan w:val="7"/>
            <w:tcBorders>
              <w:top w:val="nil"/>
              <w:left w:val="single" w:color="auto" w:sz="8" w:space="0"/>
              <w:bottom w:val="single" w:color="auto" w:sz="8" w:space="0"/>
              <w:right w:val="single" w:color="auto" w:sz="8" w:space="0"/>
            </w:tcBorders>
            <w:shd w:val="clear" w:color="000000" w:fill="FFFFFF"/>
            <w:vAlign w:val="center"/>
          </w:tcPr>
          <w:p w:rsidR="009F477E" w:rsidP="008318BC" w:rsidRDefault="009F477E" w14:paraId="3A5E9AB1" w14:textId="77777777">
            <w:pPr>
              <w:jc w:val="center"/>
              <w:rPr>
                <w:rFonts w:ascii="Calibri" w:hAnsi="Calibri" w:cs="Calibri"/>
                <w:color w:val="000000"/>
              </w:rPr>
            </w:pPr>
          </w:p>
        </w:tc>
      </w:tr>
      <w:tr w:rsidRPr="00EF2363" w:rsidR="0089274A" w:rsidTr="008318BC" w14:paraId="7E407944" w14:textId="77777777">
        <w:trPr>
          <w:trHeight w:val="830"/>
          <w:jc w:val="center"/>
        </w:trPr>
        <w:tc>
          <w:tcPr>
            <w:tcW w:w="2180" w:type="dxa"/>
            <w:tcBorders>
              <w:top w:val="nil"/>
              <w:left w:val="single" w:color="auto" w:sz="8" w:space="0"/>
              <w:bottom w:val="single" w:color="auto" w:sz="8" w:space="0"/>
              <w:right w:val="single" w:color="auto" w:sz="8" w:space="0"/>
            </w:tcBorders>
            <w:shd w:val="clear" w:color="000000" w:fill="FFFFFF"/>
            <w:vAlign w:val="center"/>
            <w:hideMark/>
          </w:tcPr>
          <w:p w:rsidRPr="00EF2363" w:rsidR="00F23B72" w:rsidP="008318BC" w:rsidRDefault="00A645CE" w14:paraId="7558CF95" w14:textId="44D0F435">
            <w:pPr>
              <w:jc w:val="center"/>
              <w:rPr>
                <w:rFonts w:ascii="Calibri" w:hAnsi="Calibri" w:cs="Calibri"/>
                <w:color w:val="000000"/>
              </w:rPr>
            </w:pPr>
            <w:r>
              <w:rPr>
                <w:rFonts w:ascii="Calibri" w:hAnsi="Calibri" w:cs="Calibri"/>
                <w:color w:val="000000"/>
              </w:rPr>
              <w:t xml:space="preserve">Secs 4112/4113 </w:t>
            </w:r>
            <w:r w:rsidR="00753648">
              <w:rPr>
                <w:rFonts w:ascii="Calibri" w:hAnsi="Calibri" w:cs="Calibri"/>
                <w:color w:val="000000"/>
              </w:rPr>
              <w:t xml:space="preserve">Payroll Support </w:t>
            </w:r>
            <w:r>
              <w:rPr>
                <w:rFonts w:ascii="Calibri" w:hAnsi="Calibri" w:cs="Calibri"/>
                <w:color w:val="000000"/>
              </w:rPr>
              <w:t>Application</w:t>
            </w:r>
          </w:p>
        </w:tc>
        <w:tc>
          <w:tcPr>
            <w:tcW w:w="1485" w:type="dxa"/>
            <w:tcBorders>
              <w:top w:val="nil"/>
              <w:left w:val="nil"/>
              <w:bottom w:val="single" w:color="auto" w:sz="8" w:space="0"/>
              <w:right w:val="single" w:color="auto" w:sz="8" w:space="0"/>
            </w:tcBorders>
            <w:shd w:val="clear" w:color="000000" w:fill="FFFFFF"/>
            <w:noWrap/>
            <w:vAlign w:val="center"/>
            <w:hideMark/>
          </w:tcPr>
          <w:p w:rsidRPr="00EF2363" w:rsidR="00F23B72" w:rsidP="008318BC" w:rsidRDefault="00ED6199" w14:paraId="6B208ED2" w14:textId="196D516D">
            <w:pPr>
              <w:jc w:val="center"/>
              <w:rPr>
                <w:rFonts w:ascii="Calibri" w:hAnsi="Calibri" w:cs="Calibri"/>
                <w:color w:val="000000"/>
              </w:rPr>
            </w:pPr>
            <w:r>
              <w:rPr>
                <w:rFonts w:ascii="Calibri" w:hAnsi="Calibri" w:cs="Calibri"/>
                <w:color w:val="000000"/>
              </w:rPr>
              <w:t>6,000</w:t>
            </w:r>
          </w:p>
        </w:tc>
        <w:tc>
          <w:tcPr>
            <w:tcW w:w="1391" w:type="dxa"/>
            <w:tcBorders>
              <w:top w:val="nil"/>
              <w:left w:val="nil"/>
              <w:bottom w:val="single" w:color="auto" w:sz="8" w:space="0"/>
              <w:right w:val="single" w:color="auto" w:sz="8" w:space="0"/>
            </w:tcBorders>
            <w:shd w:val="clear" w:color="000000" w:fill="FFFFFF"/>
            <w:noWrap/>
            <w:vAlign w:val="center"/>
            <w:hideMark/>
          </w:tcPr>
          <w:p w:rsidRPr="00EF2363" w:rsidR="00F23B72" w:rsidP="008318BC" w:rsidRDefault="003C5B6F" w14:paraId="5B140CB1" w14:textId="0E2075EE">
            <w:pPr>
              <w:jc w:val="center"/>
              <w:rPr>
                <w:rFonts w:ascii="Calibri" w:hAnsi="Calibri" w:cs="Calibri"/>
                <w:color w:val="000000"/>
              </w:rPr>
            </w:pPr>
            <w:r>
              <w:rPr>
                <w:rFonts w:ascii="Calibri" w:hAnsi="Calibri" w:cs="Calibri"/>
                <w:color w:val="000000"/>
              </w:rPr>
              <w:t>1</w:t>
            </w:r>
          </w:p>
        </w:tc>
        <w:tc>
          <w:tcPr>
            <w:tcW w:w="1391" w:type="dxa"/>
            <w:tcBorders>
              <w:top w:val="nil"/>
              <w:left w:val="nil"/>
              <w:bottom w:val="single" w:color="auto" w:sz="8" w:space="0"/>
              <w:right w:val="single" w:color="auto" w:sz="8" w:space="0"/>
            </w:tcBorders>
            <w:shd w:val="clear" w:color="000000" w:fill="FFFFFF"/>
            <w:noWrap/>
            <w:vAlign w:val="center"/>
            <w:hideMark/>
          </w:tcPr>
          <w:p w:rsidRPr="00EF2363" w:rsidR="00F23B72" w:rsidP="008318BC" w:rsidRDefault="00EE3088" w14:paraId="2B37CCA0" w14:textId="47AE6DB8">
            <w:pPr>
              <w:jc w:val="center"/>
              <w:rPr>
                <w:rFonts w:ascii="Calibri" w:hAnsi="Calibri" w:cs="Calibri"/>
                <w:color w:val="000000"/>
              </w:rPr>
            </w:pPr>
            <w:r>
              <w:rPr>
                <w:rFonts w:ascii="Calibri" w:hAnsi="Calibri" w:cs="Calibri"/>
                <w:color w:val="000000"/>
              </w:rPr>
              <w:t>6,000</w:t>
            </w:r>
          </w:p>
        </w:tc>
        <w:tc>
          <w:tcPr>
            <w:tcW w:w="1170" w:type="dxa"/>
            <w:tcBorders>
              <w:top w:val="nil"/>
              <w:left w:val="nil"/>
              <w:bottom w:val="single" w:color="auto" w:sz="8" w:space="0"/>
              <w:right w:val="single" w:color="auto" w:sz="8" w:space="0"/>
            </w:tcBorders>
            <w:shd w:val="clear" w:color="000000" w:fill="FFFFFF"/>
            <w:noWrap/>
            <w:vAlign w:val="center"/>
            <w:hideMark/>
          </w:tcPr>
          <w:p w:rsidRPr="00EF2363" w:rsidR="00F23B72" w:rsidP="008318BC" w:rsidRDefault="00ED6199" w14:paraId="16B1E64D" w14:textId="0C7BF891">
            <w:pPr>
              <w:jc w:val="center"/>
              <w:rPr>
                <w:rFonts w:ascii="Calibri" w:hAnsi="Calibri" w:cs="Calibri"/>
                <w:color w:val="000000"/>
              </w:rPr>
            </w:pPr>
            <w:r>
              <w:rPr>
                <w:rFonts w:ascii="Calibri" w:hAnsi="Calibri" w:cs="Calibri"/>
                <w:color w:val="000000"/>
              </w:rPr>
              <w:t>2</w:t>
            </w:r>
          </w:p>
        </w:tc>
        <w:tc>
          <w:tcPr>
            <w:tcW w:w="1260" w:type="dxa"/>
            <w:tcBorders>
              <w:top w:val="nil"/>
              <w:left w:val="nil"/>
              <w:bottom w:val="single" w:color="auto" w:sz="8" w:space="0"/>
              <w:right w:val="single" w:color="auto" w:sz="8" w:space="0"/>
            </w:tcBorders>
            <w:shd w:val="clear" w:color="000000" w:fill="FFFFFF"/>
            <w:noWrap/>
            <w:vAlign w:val="center"/>
            <w:hideMark/>
          </w:tcPr>
          <w:p w:rsidRPr="00EF2363" w:rsidR="00F23B72" w:rsidP="008318BC" w:rsidRDefault="00ED6199" w14:paraId="41DCD916" w14:textId="11C22C56">
            <w:pPr>
              <w:jc w:val="center"/>
              <w:rPr>
                <w:rFonts w:ascii="Calibri" w:hAnsi="Calibri" w:cs="Calibri"/>
                <w:color w:val="000000"/>
              </w:rPr>
            </w:pPr>
            <w:r>
              <w:rPr>
                <w:rFonts w:ascii="Calibri" w:hAnsi="Calibri" w:cs="Calibri"/>
                <w:color w:val="000000"/>
              </w:rPr>
              <w:t>12,000</w:t>
            </w:r>
          </w:p>
        </w:tc>
        <w:tc>
          <w:tcPr>
            <w:tcW w:w="2046" w:type="dxa"/>
            <w:tcBorders>
              <w:top w:val="nil"/>
              <w:left w:val="nil"/>
              <w:bottom w:val="single" w:color="auto" w:sz="8" w:space="0"/>
              <w:right w:val="single" w:color="auto" w:sz="8" w:space="0"/>
            </w:tcBorders>
            <w:shd w:val="clear" w:color="000000" w:fill="FFFFFF"/>
            <w:noWrap/>
            <w:vAlign w:val="center"/>
            <w:hideMark/>
          </w:tcPr>
          <w:p w:rsidRPr="00EF2363" w:rsidR="00F23B72" w:rsidP="008318BC" w:rsidRDefault="00D03489" w14:paraId="5080F4E9" w14:textId="64B9C6CC">
            <w:pPr>
              <w:jc w:val="center"/>
              <w:rPr>
                <w:rFonts w:ascii="Calibri" w:hAnsi="Calibri" w:cs="Calibri"/>
                <w:color w:val="000000"/>
              </w:rPr>
            </w:pPr>
            <w:r>
              <w:rPr>
                <w:rFonts w:ascii="Calibri" w:hAnsi="Calibri" w:cs="Calibri"/>
                <w:color w:val="000000"/>
              </w:rPr>
              <w:t>$585,600</w:t>
            </w:r>
          </w:p>
        </w:tc>
      </w:tr>
      <w:tr w:rsidRPr="00EF2363" w:rsidR="0089274A" w:rsidTr="008318BC" w14:paraId="63430861" w14:textId="77777777">
        <w:trPr>
          <w:trHeight w:val="270"/>
          <w:jc w:val="center"/>
        </w:trPr>
        <w:tc>
          <w:tcPr>
            <w:tcW w:w="2180" w:type="dxa"/>
            <w:tcBorders>
              <w:top w:val="nil"/>
              <w:left w:val="single" w:color="auto" w:sz="8" w:space="0"/>
              <w:bottom w:val="single" w:color="auto" w:sz="8" w:space="0"/>
              <w:right w:val="single" w:color="auto" w:sz="8" w:space="0"/>
            </w:tcBorders>
            <w:shd w:val="clear" w:color="000000" w:fill="FFFFFF"/>
            <w:noWrap/>
            <w:vAlign w:val="center"/>
          </w:tcPr>
          <w:p w:rsidRPr="0057582F" w:rsidR="0057582F" w:rsidP="008318BC" w:rsidRDefault="0057582F" w14:paraId="775C826F" w14:textId="4FB54179">
            <w:pPr>
              <w:jc w:val="center"/>
              <w:rPr>
                <w:rFonts w:ascii="Calibri" w:hAnsi="Calibri" w:cs="Calibri"/>
                <w:bCs/>
                <w:color w:val="000000"/>
              </w:rPr>
            </w:pPr>
            <w:r w:rsidRPr="0057582F">
              <w:rPr>
                <w:rFonts w:ascii="Calibri" w:hAnsi="Calibri" w:cs="Calibri"/>
                <w:bCs/>
                <w:color w:val="000000"/>
              </w:rPr>
              <w:t>Secs. 4112/4113 reporting</w:t>
            </w:r>
          </w:p>
        </w:tc>
        <w:tc>
          <w:tcPr>
            <w:tcW w:w="1485" w:type="dxa"/>
            <w:tcBorders>
              <w:top w:val="nil"/>
              <w:left w:val="nil"/>
              <w:bottom w:val="single" w:color="auto" w:sz="8" w:space="0"/>
              <w:right w:val="single" w:color="auto" w:sz="8" w:space="0"/>
            </w:tcBorders>
            <w:shd w:val="clear" w:color="000000" w:fill="FFFFFF"/>
            <w:noWrap/>
            <w:vAlign w:val="center"/>
          </w:tcPr>
          <w:p w:rsidRPr="00EF2363" w:rsidR="0057582F" w:rsidP="008318BC" w:rsidRDefault="00ED6199" w14:paraId="3304DFE6" w14:textId="288A5472">
            <w:pPr>
              <w:jc w:val="center"/>
              <w:rPr>
                <w:rFonts w:ascii="Calibri" w:hAnsi="Calibri" w:cs="Calibri"/>
                <w:color w:val="000000"/>
              </w:rPr>
            </w:pPr>
            <w:r>
              <w:rPr>
                <w:rFonts w:ascii="Calibri" w:hAnsi="Calibri" w:cs="Calibri"/>
                <w:color w:val="000000"/>
              </w:rPr>
              <w:t>6,00</w:t>
            </w:r>
            <w:r w:rsidR="0057582F">
              <w:rPr>
                <w:rFonts w:ascii="Calibri" w:hAnsi="Calibri" w:cs="Calibri"/>
                <w:color w:val="000000"/>
              </w:rPr>
              <w:t>0</w:t>
            </w:r>
          </w:p>
        </w:tc>
        <w:tc>
          <w:tcPr>
            <w:tcW w:w="1391" w:type="dxa"/>
            <w:tcBorders>
              <w:top w:val="nil"/>
              <w:left w:val="nil"/>
              <w:bottom w:val="single" w:color="auto" w:sz="8" w:space="0"/>
              <w:right w:val="single" w:color="auto" w:sz="8" w:space="0"/>
            </w:tcBorders>
            <w:shd w:val="clear" w:color="000000" w:fill="FFFFFF"/>
            <w:noWrap/>
            <w:vAlign w:val="center"/>
          </w:tcPr>
          <w:p w:rsidRPr="00EF2363" w:rsidR="0057582F" w:rsidP="008318BC" w:rsidRDefault="008C0EDB" w14:paraId="5D0E52E5" w14:textId="51F5EC92">
            <w:pPr>
              <w:jc w:val="center"/>
              <w:rPr>
                <w:rFonts w:ascii="Calibri" w:hAnsi="Calibri" w:cs="Calibri"/>
                <w:color w:val="000000"/>
              </w:rPr>
            </w:pPr>
            <w:r>
              <w:rPr>
                <w:rFonts w:ascii="Calibri" w:hAnsi="Calibri" w:cs="Calibri"/>
                <w:color w:val="000000"/>
              </w:rPr>
              <w:t>4</w:t>
            </w:r>
          </w:p>
        </w:tc>
        <w:tc>
          <w:tcPr>
            <w:tcW w:w="1391" w:type="dxa"/>
            <w:tcBorders>
              <w:top w:val="nil"/>
              <w:left w:val="nil"/>
              <w:bottom w:val="single" w:color="auto" w:sz="8" w:space="0"/>
              <w:right w:val="single" w:color="auto" w:sz="8" w:space="0"/>
            </w:tcBorders>
            <w:shd w:val="clear" w:color="000000" w:fill="FFFFFF"/>
            <w:noWrap/>
            <w:vAlign w:val="center"/>
          </w:tcPr>
          <w:p w:rsidRPr="00EF2363" w:rsidR="0057582F" w:rsidP="008318BC" w:rsidRDefault="008C0EDB" w14:paraId="098EFAF4" w14:textId="62816EDC">
            <w:pPr>
              <w:jc w:val="center"/>
              <w:rPr>
                <w:rFonts w:ascii="Calibri" w:hAnsi="Calibri" w:cs="Calibri"/>
                <w:color w:val="000000"/>
              </w:rPr>
            </w:pPr>
            <w:r>
              <w:rPr>
                <w:rFonts w:ascii="Calibri" w:hAnsi="Calibri" w:cs="Calibri"/>
                <w:color w:val="000000"/>
              </w:rPr>
              <w:t>24</w:t>
            </w:r>
            <w:r w:rsidR="00EE3088">
              <w:rPr>
                <w:rFonts w:ascii="Calibri" w:hAnsi="Calibri" w:cs="Calibri"/>
                <w:color w:val="000000"/>
              </w:rPr>
              <w:t>,000</w:t>
            </w:r>
          </w:p>
        </w:tc>
        <w:tc>
          <w:tcPr>
            <w:tcW w:w="1170" w:type="dxa"/>
            <w:tcBorders>
              <w:top w:val="nil"/>
              <w:left w:val="nil"/>
              <w:bottom w:val="single" w:color="auto" w:sz="8" w:space="0"/>
              <w:right w:val="single" w:color="auto" w:sz="8" w:space="0"/>
            </w:tcBorders>
            <w:shd w:val="clear" w:color="000000" w:fill="FFFFFF"/>
            <w:noWrap/>
            <w:vAlign w:val="center"/>
          </w:tcPr>
          <w:p w:rsidRPr="00EF2363" w:rsidR="0057582F" w:rsidP="008318BC" w:rsidRDefault="0089274A" w14:paraId="4D3E1B5C" w14:textId="41AFBE3C">
            <w:pPr>
              <w:jc w:val="center"/>
              <w:rPr>
                <w:rFonts w:ascii="Calibri" w:hAnsi="Calibri" w:cs="Calibri"/>
                <w:color w:val="000000"/>
              </w:rPr>
            </w:pPr>
            <w:r>
              <w:rPr>
                <w:rFonts w:ascii="Calibri" w:hAnsi="Calibri" w:cs="Calibri"/>
                <w:color w:val="000000"/>
              </w:rPr>
              <w:t>2</w:t>
            </w:r>
          </w:p>
        </w:tc>
        <w:tc>
          <w:tcPr>
            <w:tcW w:w="1260" w:type="dxa"/>
            <w:tcBorders>
              <w:top w:val="nil"/>
              <w:left w:val="nil"/>
              <w:bottom w:val="single" w:color="auto" w:sz="8" w:space="0"/>
              <w:right w:val="single" w:color="auto" w:sz="8" w:space="0"/>
            </w:tcBorders>
            <w:shd w:val="clear" w:color="000000" w:fill="FFFFFF"/>
            <w:noWrap/>
            <w:vAlign w:val="center"/>
          </w:tcPr>
          <w:p w:rsidRPr="00EF2363" w:rsidR="0057582F" w:rsidP="008318BC" w:rsidRDefault="0089274A" w14:paraId="62AC8584" w14:textId="4240DEE8">
            <w:pPr>
              <w:jc w:val="center"/>
              <w:rPr>
                <w:rFonts w:ascii="Calibri" w:hAnsi="Calibri" w:cs="Calibri"/>
                <w:color w:val="000000"/>
              </w:rPr>
            </w:pPr>
            <w:r>
              <w:rPr>
                <w:rFonts w:ascii="Calibri" w:hAnsi="Calibri" w:cs="Calibri"/>
                <w:color w:val="000000"/>
              </w:rPr>
              <w:t>48</w:t>
            </w:r>
            <w:r w:rsidR="00ED6199">
              <w:rPr>
                <w:rFonts w:ascii="Calibri" w:hAnsi="Calibri" w:cs="Calibri"/>
                <w:color w:val="000000"/>
              </w:rPr>
              <w:t>,000</w:t>
            </w:r>
          </w:p>
        </w:tc>
        <w:tc>
          <w:tcPr>
            <w:tcW w:w="2046" w:type="dxa"/>
            <w:tcBorders>
              <w:top w:val="nil"/>
              <w:left w:val="nil"/>
              <w:bottom w:val="single" w:color="auto" w:sz="8" w:space="0"/>
              <w:right w:val="single" w:color="auto" w:sz="8" w:space="0"/>
            </w:tcBorders>
            <w:shd w:val="clear" w:color="000000" w:fill="FFFFFF"/>
            <w:noWrap/>
            <w:vAlign w:val="center"/>
          </w:tcPr>
          <w:p w:rsidRPr="00EF2363" w:rsidR="0057582F" w:rsidP="008318BC" w:rsidRDefault="00D03489" w14:paraId="0F8B04C7" w14:textId="7C311616">
            <w:pPr>
              <w:jc w:val="center"/>
              <w:rPr>
                <w:rFonts w:ascii="Calibri" w:hAnsi="Calibri" w:cs="Calibri"/>
                <w:color w:val="000000"/>
              </w:rPr>
            </w:pPr>
            <w:r>
              <w:rPr>
                <w:rFonts w:ascii="Calibri" w:hAnsi="Calibri" w:cs="Calibri"/>
                <w:color w:val="000000"/>
              </w:rPr>
              <w:t>$</w:t>
            </w:r>
            <w:r w:rsidR="0089274A">
              <w:rPr>
                <w:rFonts w:ascii="Calibri" w:hAnsi="Calibri" w:cs="Calibri"/>
                <w:color w:val="000000"/>
              </w:rPr>
              <w:t>2,342,4</w:t>
            </w:r>
            <w:r w:rsidR="0074514C">
              <w:rPr>
                <w:rFonts w:ascii="Calibri" w:hAnsi="Calibri" w:cs="Calibri"/>
                <w:color w:val="000000"/>
              </w:rPr>
              <w:t>00</w:t>
            </w:r>
          </w:p>
        </w:tc>
      </w:tr>
      <w:tr w:rsidRPr="00EF2363" w:rsidR="0089274A" w:rsidTr="008318BC" w14:paraId="61143B67" w14:textId="77777777">
        <w:trPr>
          <w:trHeight w:val="270"/>
          <w:jc w:val="center"/>
        </w:trPr>
        <w:tc>
          <w:tcPr>
            <w:tcW w:w="2180" w:type="dxa"/>
            <w:tcBorders>
              <w:top w:val="nil"/>
              <w:left w:val="single" w:color="auto" w:sz="8" w:space="0"/>
              <w:bottom w:val="single" w:color="auto" w:sz="8" w:space="0"/>
              <w:right w:val="single" w:color="auto" w:sz="8" w:space="0"/>
            </w:tcBorders>
            <w:shd w:val="clear" w:color="000000" w:fill="FFFFFF"/>
            <w:noWrap/>
            <w:vAlign w:val="center"/>
          </w:tcPr>
          <w:p w:rsidRPr="0057582F" w:rsidR="008C0EDB" w:rsidP="008318BC" w:rsidRDefault="008C0EDB" w14:paraId="027BC6DC" w14:textId="66A64EBB">
            <w:pPr>
              <w:jc w:val="center"/>
              <w:rPr>
                <w:rFonts w:ascii="Calibri" w:hAnsi="Calibri" w:cs="Calibri"/>
                <w:bCs/>
                <w:color w:val="000000"/>
              </w:rPr>
            </w:pPr>
            <w:r>
              <w:rPr>
                <w:rFonts w:ascii="Calibri" w:hAnsi="Calibri" w:cs="Calibri"/>
                <w:bCs/>
                <w:color w:val="000000"/>
              </w:rPr>
              <w:t>Payroll Support Program Recordkeeping</w:t>
            </w:r>
          </w:p>
        </w:tc>
        <w:tc>
          <w:tcPr>
            <w:tcW w:w="1485" w:type="dxa"/>
            <w:tcBorders>
              <w:top w:val="nil"/>
              <w:left w:val="nil"/>
              <w:bottom w:val="single" w:color="auto" w:sz="8" w:space="0"/>
              <w:right w:val="single" w:color="auto" w:sz="8" w:space="0"/>
            </w:tcBorders>
            <w:shd w:val="clear" w:color="000000" w:fill="FFFFFF"/>
            <w:noWrap/>
            <w:vAlign w:val="center"/>
          </w:tcPr>
          <w:p w:rsidR="008C0EDB" w:rsidP="008318BC" w:rsidRDefault="008C0EDB" w14:paraId="6188A216" w14:textId="30AB0CC1">
            <w:pPr>
              <w:jc w:val="center"/>
              <w:rPr>
                <w:rFonts w:ascii="Calibri" w:hAnsi="Calibri" w:cs="Calibri"/>
                <w:color w:val="000000"/>
              </w:rPr>
            </w:pPr>
            <w:r>
              <w:rPr>
                <w:rFonts w:ascii="Calibri" w:hAnsi="Calibri" w:cs="Calibri"/>
                <w:color w:val="000000"/>
              </w:rPr>
              <w:t>6</w:t>
            </w:r>
            <w:r w:rsidR="0090425D">
              <w:rPr>
                <w:rFonts w:ascii="Calibri" w:hAnsi="Calibri" w:cs="Calibri"/>
                <w:color w:val="000000"/>
              </w:rPr>
              <w:t>,</w:t>
            </w:r>
            <w:r>
              <w:rPr>
                <w:rFonts w:ascii="Calibri" w:hAnsi="Calibri" w:cs="Calibri"/>
                <w:color w:val="000000"/>
              </w:rPr>
              <w:t>000</w:t>
            </w:r>
          </w:p>
        </w:tc>
        <w:tc>
          <w:tcPr>
            <w:tcW w:w="1391" w:type="dxa"/>
            <w:tcBorders>
              <w:top w:val="nil"/>
              <w:left w:val="nil"/>
              <w:bottom w:val="single" w:color="auto" w:sz="8" w:space="0"/>
              <w:right w:val="single" w:color="auto" w:sz="8" w:space="0"/>
            </w:tcBorders>
            <w:shd w:val="clear" w:color="000000" w:fill="FFFFFF"/>
            <w:noWrap/>
            <w:vAlign w:val="center"/>
          </w:tcPr>
          <w:p w:rsidR="008C0EDB" w:rsidP="008318BC" w:rsidRDefault="008C0EDB" w14:paraId="51BF20BA" w14:textId="0F42B72C">
            <w:pPr>
              <w:jc w:val="center"/>
              <w:rPr>
                <w:rFonts w:ascii="Calibri" w:hAnsi="Calibri" w:cs="Calibri"/>
                <w:color w:val="000000"/>
              </w:rPr>
            </w:pPr>
            <w:r>
              <w:rPr>
                <w:rFonts w:ascii="Calibri" w:hAnsi="Calibri" w:cs="Calibri"/>
                <w:color w:val="000000"/>
              </w:rPr>
              <w:t>1</w:t>
            </w:r>
          </w:p>
        </w:tc>
        <w:tc>
          <w:tcPr>
            <w:tcW w:w="1391" w:type="dxa"/>
            <w:tcBorders>
              <w:top w:val="nil"/>
              <w:left w:val="nil"/>
              <w:bottom w:val="single" w:color="auto" w:sz="8" w:space="0"/>
              <w:right w:val="single" w:color="auto" w:sz="8" w:space="0"/>
            </w:tcBorders>
            <w:shd w:val="clear" w:color="000000" w:fill="FFFFFF"/>
            <w:noWrap/>
            <w:vAlign w:val="center"/>
          </w:tcPr>
          <w:p w:rsidR="008C0EDB" w:rsidP="008318BC" w:rsidRDefault="008C0EDB" w14:paraId="2C575E48" w14:textId="63364237">
            <w:pPr>
              <w:jc w:val="center"/>
              <w:rPr>
                <w:rFonts w:ascii="Calibri" w:hAnsi="Calibri" w:cs="Calibri"/>
                <w:color w:val="000000"/>
              </w:rPr>
            </w:pPr>
            <w:r>
              <w:rPr>
                <w:rFonts w:ascii="Calibri" w:hAnsi="Calibri" w:cs="Calibri"/>
                <w:color w:val="000000"/>
              </w:rPr>
              <w:t>6</w:t>
            </w:r>
            <w:r w:rsidR="0090425D">
              <w:rPr>
                <w:rFonts w:ascii="Calibri" w:hAnsi="Calibri" w:cs="Calibri"/>
                <w:color w:val="000000"/>
              </w:rPr>
              <w:t>,</w:t>
            </w:r>
            <w:r>
              <w:rPr>
                <w:rFonts w:ascii="Calibri" w:hAnsi="Calibri" w:cs="Calibri"/>
                <w:color w:val="000000"/>
              </w:rPr>
              <w:t>000</w:t>
            </w:r>
          </w:p>
        </w:tc>
        <w:tc>
          <w:tcPr>
            <w:tcW w:w="1170" w:type="dxa"/>
            <w:tcBorders>
              <w:top w:val="nil"/>
              <w:left w:val="nil"/>
              <w:bottom w:val="single" w:color="auto" w:sz="8" w:space="0"/>
              <w:right w:val="single" w:color="auto" w:sz="8" w:space="0"/>
            </w:tcBorders>
            <w:shd w:val="clear" w:color="000000" w:fill="FFFFFF"/>
            <w:noWrap/>
            <w:vAlign w:val="center"/>
          </w:tcPr>
          <w:p w:rsidR="008C0EDB" w:rsidP="008318BC" w:rsidRDefault="008C0EDB" w14:paraId="2EC8BA69" w14:textId="2886AB37">
            <w:pPr>
              <w:jc w:val="center"/>
              <w:rPr>
                <w:rFonts w:ascii="Calibri" w:hAnsi="Calibri" w:cs="Calibri"/>
                <w:color w:val="000000"/>
              </w:rPr>
            </w:pPr>
            <w:r>
              <w:rPr>
                <w:rFonts w:ascii="Calibri" w:hAnsi="Calibri" w:cs="Calibri"/>
                <w:color w:val="000000"/>
              </w:rPr>
              <w:t>1</w:t>
            </w:r>
          </w:p>
        </w:tc>
        <w:tc>
          <w:tcPr>
            <w:tcW w:w="1260" w:type="dxa"/>
            <w:tcBorders>
              <w:top w:val="nil"/>
              <w:left w:val="nil"/>
              <w:bottom w:val="single" w:color="auto" w:sz="8" w:space="0"/>
              <w:right w:val="single" w:color="auto" w:sz="8" w:space="0"/>
            </w:tcBorders>
            <w:shd w:val="clear" w:color="000000" w:fill="FFFFFF"/>
            <w:noWrap/>
            <w:vAlign w:val="center"/>
          </w:tcPr>
          <w:p w:rsidR="008C0EDB" w:rsidP="008318BC" w:rsidRDefault="008C0EDB" w14:paraId="65A42835" w14:textId="6AD51854">
            <w:pPr>
              <w:jc w:val="center"/>
              <w:rPr>
                <w:rFonts w:ascii="Calibri" w:hAnsi="Calibri" w:cs="Calibri"/>
                <w:color w:val="000000"/>
              </w:rPr>
            </w:pPr>
            <w:r>
              <w:rPr>
                <w:rFonts w:ascii="Calibri" w:hAnsi="Calibri" w:cs="Calibri"/>
                <w:color w:val="000000"/>
              </w:rPr>
              <w:t>6</w:t>
            </w:r>
            <w:r w:rsidR="0090425D">
              <w:rPr>
                <w:rFonts w:ascii="Calibri" w:hAnsi="Calibri" w:cs="Calibri"/>
                <w:color w:val="000000"/>
              </w:rPr>
              <w:t>,</w:t>
            </w:r>
            <w:r>
              <w:rPr>
                <w:rFonts w:ascii="Calibri" w:hAnsi="Calibri" w:cs="Calibri"/>
                <w:color w:val="000000"/>
              </w:rPr>
              <w:t>000</w:t>
            </w:r>
          </w:p>
        </w:tc>
        <w:tc>
          <w:tcPr>
            <w:tcW w:w="2046" w:type="dxa"/>
            <w:tcBorders>
              <w:top w:val="nil"/>
              <w:left w:val="nil"/>
              <w:bottom w:val="single" w:color="auto" w:sz="8" w:space="0"/>
              <w:right w:val="single" w:color="auto" w:sz="8" w:space="0"/>
            </w:tcBorders>
            <w:shd w:val="clear" w:color="000000" w:fill="FFFFFF"/>
            <w:noWrap/>
            <w:vAlign w:val="center"/>
          </w:tcPr>
          <w:p w:rsidR="008C0EDB" w:rsidP="008318BC" w:rsidRDefault="008F1B45" w14:paraId="65A75FD4" w14:textId="7D26177B">
            <w:pPr>
              <w:jc w:val="center"/>
              <w:rPr>
                <w:rFonts w:ascii="Calibri" w:hAnsi="Calibri" w:cs="Calibri"/>
                <w:color w:val="000000"/>
              </w:rPr>
            </w:pPr>
            <w:r>
              <w:rPr>
                <w:rFonts w:ascii="Calibri" w:hAnsi="Calibri" w:cs="Calibri"/>
                <w:color w:val="000000"/>
              </w:rPr>
              <w:t>$292,800</w:t>
            </w:r>
          </w:p>
        </w:tc>
      </w:tr>
      <w:tr w:rsidRPr="00EF2363" w:rsidR="0089274A" w:rsidTr="008318BC" w14:paraId="65974FD4" w14:textId="77777777">
        <w:trPr>
          <w:trHeight w:val="270"/>
          <w:jc w:val="center"/>
        </w:trPr>
        <w:tc>
          <w:tcPr>
            <w:tcW w:w="2180" w:type="dxa"/>
            <w:tcBorders>
              <w:top w:val="nil"/>
              <w:left w:val="single" w:color="auto" w:sz="8" w:space="0"/>
              <w:bottom w:val="single" w:color="auto" w:sz="4" w:space="0"/>
              <w:right w:val="single" w:color="auto" w:sz="8" w:space="0"/>
            </w:tcBorders>
            <w:shd w:val="clear" w:color="000000" w:fill="FFFFFF"/>
            <w:noWrap/>
            <w:vAlign w:val="center"/>
            <w:hideMark/>
          </w:tcPr>
          <w:p w:rsidRPr="00EF2363" w:rsidR="00F23B72" w:rsidP="008318BC" w:rsidRDefault="00F23B72" w14:paraId="386EE889" w14:textId="58DAC31C">
            <w:pPr>
              <w:jc w:val="center"/>
              <w:rPr>
                <w:rFonts w:ascii="Calibri" w:hAnsi="Calibri" w:cs="Calibri"/>
                <w:b/>
                <w:bCs/>
                <w:color w:val="000000"/>
              </w:rPr>
            </w:pPr>
            <w:r w:rsidRPr="00EF2363">
              <w:rPr>
                <w:rFonts w:ascii="Calibri" w:hAnsi="Calibri" w:cs="Calibri"/>
                <w:b/>
                <w:bCs/>
                <w:color w:val="000000"/>
              </w:rPr>
              <w:t xml:space="preserve">Total </w:t>
            </w:r>
            <w:r w:rsidR="009F477E">
              <w:rPr>
                <w:rFonts w:ascii="Calibri" w:hAnsi="Calibri" w:cs="Calibri"/>
                <w:b/>
                <w:bCs/>
                <w:color w:val="000000"/>
              </w:rPr>
              <w:t>Sec.4112/4113</w:t>
            </w:r>
          </w:p>
        </w:tc>
        <w:tc>
          <w:tcPr>
            <w:tcW w:w="1485" w:type="dxa"/>
            <w:tcBorders>
              <w:top w:val="nil"/>
              <w:left w:val="nil"/>
              <w:bottom w:val="single" w:color="auto" w:sz="4" w:space="0"/>
              <w:right w:val="single" w:color="auto" w:sz="8" w:space="0"/>
            </w:tcBorders>
            <w:shd w:val="clear" w:color="000000" w:fill="FFFFFF"/>
            <w:noWrap/>
            <w:vAlign w:val="center"/>
            <w:hideMark/>
          </w:tcPr>
          <w:p w:rsidRPr="00BD5E56" w:rsidR="00F23B72" w:rsidP="008318BC" w:rsidRDefault="00ED6199" w14:paraId="11DBA56A" w14:textId="20013083">
            <w:pPr>
              <w:jc w:val="center"/>
              <w:rPr>
                <w:rFonts w:ascii="Calibri" w:hAnsi="Calibri"/>
                <w:b/>
                <w:color w:val="000000"/>
              </w:rPr>
            </w:pPr>
            <w:r w:rsidRPr="00BD5E56">
              <w:rPr>
                <w:rFonts w:ascii="Calibri" w:hAnsi="Calibri"/>
                <w:b/>
                <w:color w:val="000000"/>
              </w:rPr>
              <w:t>6,000</w:t>
            </w:r>
          </w:p>
        </w:tc>
        <w:tc>
          <w:tcPr>
            <w:tcW w:w="1391" w:type="dxa"/>
            <w:tcBorders>
              <w:top w:val="nil"/>
              <w:left w:val="nil"/>
              <w:bottom w:val="single" w:color="auto" w:sz="4" w:space="0"/>
              <w:right w:val="single" w:color="auto" w:sz="8" w:space="0"/>
            </w:tcBorders>
            <w:shd w:val="clear" w:color="000000" w:fill="FFFFFF"/>
            <w:noWrap/>
            <w:vAlign w:val="center"/>
            <w:hideMark/>
          </w:tcPr>
          <w:p w:rsidRPr="00BD5E56" w:rsidR="00F23B72" w:rsidP="008318BC" w:rsidRDefault="008F1B45" w14:paraId="32659E96" w14:textId="02295391">
            <w:pPr>
              <w:jc w:val="center"/>
              <w:rPr>
                <w:rFonts w:ascii="Calibri" w:hAnsi="Calibri"/>
                <w:b/>
                <w:color w:val="000000"/>
              </w:rPr>
            </w:pPr>
            <w:r>
              <w:rPr>
                <w:rFonts w:ascii="Calibri" w:hAnsi="Calibri"/>
                <w:b/>
                <w:color w:val="000000"/>
              </w:rPr>
              <w:t>6</w:t>
            </w:r>
          </w:p>
        </w:tc>
        <w:tc>
          <w:tcPr>
            <w:tcW w:w="1391" w:type="dxa"/>
            <w:tcBorders>
              <w:top w:val="nil"/>
              <w:left w:val="nil"/>
              <w:bottom w:val="single" w:color="auto" w:sz="4" w:space="0"/>
              <w:right w:val="single" w:color="auto" w:sz="8" w:space="0"/>
            </w:tcBorders>
            <w:shd w:val="clear" w:color="000000" w:fill="FFFFFF"/>
            <w:noWrap/>
            <w:vAlign w:val="center"/>
            <w:hideMark/>
          </w:tcPr>
          <w:p w:rsidRPr="00BD5E56" w:rsidR="00F23B72" w:rsidP="008318BC" w:rsidRDefault="008F1B45" w14:paraId="7F81BA7A" w14:textId="31B66C78">
            <w:pPr>
              <w:jc w:val="center"/>
              <w:rPr>
                <w:rFonts w:ascii="Calibri" w:hAnsi="Calibri"/>
                <w:b/>
                <w:color w:val="000000"/>
              </w:rPr>
            </w:pPr>
            <w:r>
              <w:rPr>
                <w:rFonts w:ascii="Calibri" w:hAnsi="Calibri" w:cs="Calibri"/>
                <w:b/>
                <w:color w:val="000000"/>
              </w:rPr>
              <w:t>36</w:t>
            </w:r>
            <w:r w:rsidR="00EE3088">
              <w:rPr>
                <w:rFonts w:ascii="Calibri" w:hAnsi="Calibri" w:cs="Calibri"/>
                <w:b/>
                <w:color w:val="000000"/>
              </w:rPr>
              <w:t>,000</w:t>
            </w:r>
          </w:p>
        </w:tc>
        <w:tc>
          <w:tcPr>
            <w:tcW w:w="1170" w:type="dxa"/>
            <w:tcBorders>
              <w:top w:val="nil"/>
              <w:left w:val="nil"/>
              <w:bottom w:val="single" w:color="auto" w:sz="4" w:space="0"/>
              <w:right w:val="single" w:color="auto" w:sz="8" w:space="0"/>
            </w:tcBorders>
            <w:shd w:val="clear" w:color="000000" w:fill="FFFFFF"/>
            <w:noWrap/>
            <w:vAlign w:val="center"/>
            <w:hideMark/>
          </w:tcPr>
          <w:p w:rsidRPr="00BD5E56" w:rsidR="00F23B72" w:rsidP="008318BC" w:rsidRDefault="00F23B72" w14:paraId="2EDBE04B" w14:textId="501F44F7">
            <w:pPr>
              <w:jc w:val="center"/>
              <w:rPr>
                <w:rFonts w:ascii="Calibri" w:hAnsi="Calibri"/>
                <w:b/>
                <w:color w:val="000000"/>
              </w:rPr>
            </w:pPr>
          </w:p>
        </w:tc>
        <w:tc>
          <w:tcPr>
            <w:tcW w:w="1260" w:type="dxa"/>
            <w:tcBorders>
              <w:top w:val="nil"/>
              <w:left w:val="nil"/>
              <w:bottom w:val="single" w:color="auto" w:sz="4" w:space="0"/>
              <w:right w:val="single" w:color="auto" w:sz="8" w:space="0"/>
            </w:tcBorders>
            <w:shd w:val="clear" w:color="000000" w:fill="FFFFFF"/>
            <w:noWrap/>
            <w:vAlign w:val="center"/>
            <w:hideMark/>
          </w:tcPr>
          <w:p w:rsidRPr="00BD5E56" w:rsidR="00F23B72" w:rsidP="008318BC" w:rsidRDefault="0074514C" w14:paraId="44386E65" w14:textId="3234A156">
            <w:pPr>
              <w:jc w:val="center"/>
              <w:rPr>
                <w:rFonts w:ascii="Calibri" w:hAnsi="Calibri"/>
                <w:b/>
                <w:color w:val="000000"/>
              </w:rPr>
            </w:pPr>
            <w:r>
              <w:rPr>
                <w:rFonts w:ascii="Calibri" w:hAnsi="Calibri"/>
                <w:b/>
                <w:color w:val="000000"/>
              </w:rPr>
              <w:t>6</w:t>
            </w:r>
            <w:r>
              <w:rPr>
                <w:rFonts w:ascii="Calibri" w:hAnsi="Calibri"/>
                <w:b/>
                <w:color w:val="000000"/>
              </w:rPr>
              <w:t>6</w:t>
            </w:r>
            <w:r w:rsidRPr="00BD5E56" w:rsidR="00ED6199">
              <w:rPr>
                <w:rFonts w:ascii="Calibri" w:hAnsi="Calibri"/>
                <w:b/>
                <w:color w:val="000000"/>
              </w:rPr>
              <w:t>,000</w:t>
            </w:r>
          </w:p>
        </w:tc>
        <w:tc>
          <w:tcPr>
            <w:tcW w:w="2046" w:type="dxa"/>
            <w:tcBorders>
              <w:top w:val="nil"/>
              <w:left w:val="nil"/>
              <w:bottom w:val="single" w:color="auto" w:sz="4" w:space="0"/>
              <w:right w:val="single" w:color="auto" w:sz="8" w:space="0"/>
            </w:tcBorders>
            <w:shd w:val="clear" w:color="000000" w:fill="FFFFFF"/>
            <w:noWrap/>
            <w:vAlign w:val="center"/>
            <w:hideMark/>
          </w:tcPr>
          <w:p w:rsidRPr="00BD5E56" w:rsidR="00F23B72" w:rsidP="008318BC" w:rsidRDefault="00ED6199" w14:paraId="43EFE7AA" w14:textId="2A8A4A98">
            <w:pPr>
              <w:jc w:val="center"/>
              <w:rPr>
                <w:rFonts w:ascii="Calibri" w:hAnsi="Calibri"/>
                <w:b/>
                <w:color w:val="000000"/>
              </w:rPr>
            </w:pPr>
            <w:r w:rsidRPr="00BD5E56">
              <w:rPr>
                <w:rFonts w:ascii="Calibri" w:hAnsi="Calibri"/>
                <w:b/>
                <w:color w:val="000000"/>
              </w:rPr>
              <w:t>$</w:t>
            </w:r>
            <w:r w:rsidR="0074514C">
              <w:rPr>
                <w:rFonts w:ascii="Calibri" w:hAnsi="Calibri" w:cs="Calibri"/>
                <w:b/>
                <w:color w:val="000000"/>
              </w:rPr>
              <w:t>3,220,800</w:t>
            </w:r>
          </w:p>
        </w:tc>
      </w:tr>
      <w:tr w:rsidRPr="00EF2363" w:rsidR="0089274A" w:rsidTr="008318BC" w14:paraId="6112787B" w14:textId="77777777">
        <w:trPr>
          <w:trHeight w:val="692"/>
          <w:jc w:val="center"/>
        </w:trPr>
        <w:tc>
          <w:tcPr>
            <w:tcW w:w="2180"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00D03489" w:rsidP="008318BC" w:rsidRDefault="00D03489" w14:paraId="7320EAC1" w14:textId="748DDA87">
            <w:pPr>
              <w:jc w:val="center"/>
              <w:rPr>
                <w:rFonts w:ascii="Calibri" w:hAnsi="Calibri" w:cs="Calibri"/>
                <w:b/>
                <w:bCs/>
                <w:color w:val="000000"/>
              </w:rPr>
            </w:pPr>
            <w:r>
              <w:rPr>
                <w:rFonts w:ascii="Calibri" w:hAnsi="Calibri" w:cs="Calibri"/>
                <w:b/>
                <w:bCs/>
                <w:color w:val="000000"/>
              </w:rPr>
              <w:t>TOTAL</w:t>
            </w:r>
          </w:p>
        </w:tc>
        <w:tc>
          <w:tcPr>
            <w:tcW w:w="1485"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1E0D39" w:rsidR="00D03489" w:rsidP="008318BC" w:rsidRDefault="00D03489" w14:paraId="50DAE88C" w14:textId="4411D08E">
            <w:pPr>
              <w:jc w:val="center"/>
              <w:rPr>
                <w:rFonts w:ascii="Calibri" w:hAnsi="Calibri" w:cs="Calibri"/>
                <w:b/>
                <w:color w:val="000000"/>
              </w:rPr>
            </w:pPr>
            <w:r>
              <w:rPr>
                <w:rFonts w:ascii="Calibri" w:hAnsi="Calibri" w:cs="Calibri"/>
                <w:b/>
                <w:color w:val="000000"/>
              </w:rPr>
              <w:t>6,000</w:t>
            </w:r>
          </w:p>
        </w:tc>
        <w:tc>
          <w:tcPr>
            <w:tcW w:w="1391"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1E0D39" w:rsidR="00D03489" w:rsidP="008318BC" w:rsidRDefault="008F1B45" w14:paraId="79181534" w14:textId="165C8575">
            <w:pPr>
              <w:jc w:val="center"/>
              <w:rPr>
                <w:rFonts w:ascii="Calibri" w:hAnsi="Calibri" w:cs="Calibri"/>
                <w:b/>
                <w:color w:val="000000"/>
              </w:rPr>
            </w:pPr>
            <w:r>
              <w:rPr>
                <w:rFonts w:ascii="Calibri" w:hAnsi="Calibri" w:cs="Calibri"/>
                <w:b/>
                <w:color w:val="000000"/>
              </w:rPr>
              <w:t>8</w:t>
            </w:r>
          </w:p>
        </w:tc>
        <w:tc>
          <w:tcPr>
            <w:tcW w:w="1391"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1E0D39" w:rsidR="00D03489" w:rsidP="008318BC" w:rsidRDefault="00931DC9" w14:paraId="2BF25DA2" w14:textId="7678A3FB">
            <w:pPr>
              <w:jc w:val="center"/>
              <w:rPr>
                <w:rFonts w:ascii="Calibri" w:hAnsi="Calibri" w:cs="Calibri"/>
                <w:b/>
                <w:color w:val="000000"/>
              </w:rPr>
            </w:pPr>
            <w:r>
              <w:rPr>
                <w:rFonts w:ascii="Calibri" w:hAnsi="Calibri" w:cs="Calibri"/>
                <w:b/>
                <w:color w:val="000000"/>
              </w:rPr>
              <w:t>48</w:t>
            </w:r>
            <w:r w:rsidR="00EE3088">
              <w:rPr>
                <w:rFonts w:ascii="Calibri" w:hAnsi="Calibri" w:cs="Calibri"/>
                <w:b/>
                <w:color w:val="000000"/>
              </w:rPr>
              <w:t>,000</w:t>
            </w:r>
          </w:p>
        </w:tc>
        <w:tc>
          <w:tcPr>
            <w:tcW w:w="1170"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1E0D39" w:rsidR="00D03489" w:rsidP="008318BC" w:rsidRDefault="00D03489" w14:paraId="0BFEDF81" w14:textId="77777777">
            <w:pPr>
              <w:jc w:val="center"/>
              <w:rPr>
                <w:rFonts w:ascii="Calibri" w:hAnsi="Calibri" w:cs="Calibri"/>
                <w:b/>
                <w:color w:val="000000"/>
              </w:rPr>
            </w:pPr>
          </w:p>
        </w:tc>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1E0D39" w:rsidR="00D03489" w:rsidP="008318BC" w:rsidRDefault="006372B4" w14:paraId="4BD10E8F" w14:textId="4F8E9B6C">
            <w:pPr>
              <w:jc w:val="center"/>
              <w:rPr>
                <w:rFonts w:ascii="Calibri" w:hAnsi="Calibri" w:cs="Calibri"/>
                <w:b/>
                <w:color w:val="000000"/>
              </w:rPr>
            </w:pPr>
            <w:r>
              <w:rPr>
                <w:rFonts w:ascii="Calibri" w:hAnsi="Calibri" w:cs="Calibri"/>
                <w:b/>
                <w:color w:val="000000"/>
              </w:rPr>
              <w:t>90</w:t>
            </w:r>
            <w:bookmarkStart w:name="_GoBack" w:id="1"/>
            <w:bookmarkEnd w:id="1"/>
            <w:r w:rsidR="00D03489">
              <w:rPr>
                <w:rFonts w:ascii="Calibri" w:hAnsi="Calibri" w:cs="Calibri"/>
                <w:b/>
                <w:color w:val="000000"/>
              </w:rPr>
              <w:t>,000</w:t>
            </w:r>
          </w:p>
        </w:tc>
        <w:tc>
          <w:tcPr>
            <w:tcW w:w="2046"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1E0D39" w:rsidR="00D03489" w:rsidP="008318BC" w:rsidRDefault="00D03489" w14:paraId="2E2874B8" w14:textId="4207D55F">
            <w:pPr>
              <w:jc w:val="center"/>
              <w:rPr>
                <w:rFonts w:ascii="Calibri" w:hAnsi="Calibri" w:cs="Calibri"/>
                <w:b/>
                <w:color w:val="000000"/>
              </w:rPr>
            </w:pPr>
            <w:r>
              <w:rPr>
                <w:rFonts w:ascii="Calibri" w:hAnsi="Calibri" w:cs="Calibri"/>
                <w:b/>
                <w:color w:val="000000"/>
              </w:rPr>
              <w:t>$</w:t>
            </w:r>
            <w:r w:rsidRPr="0074514C" w:rsidR="0074514C">
              <w:rPr>
                <w:rFonts w:ascii="Calibri" w:hAnsi="Calibri" w:cs="Calibri"/>
                <w:b/>
                <w:color w:val="000000"/>
              </w:rPr>
              <w:t>4</w:t>
            </w:r>
            <w:r w:rsidR="0074514C">
              <w:rPr>
                <w:rFonts w:ascii="Calibri" w:hAnsi="Calibri" w:cs="Calibri"/>
                <w:b/>
                <w:color w:val="000000"/>
              </w:rPr>
              <w:t>,</w:t>
            </w:r>
            <w:r w:rsidRPr="0074514C" w:rsidR="0074514C">
              <w:rPr>
                <w:rFonts w:ascii="Calibri" w:hAnsi="Calibri" w:cs="Calibri"/>
                <w:b/>
                <w:color w:val="000000"/>
              </w:rPr>
              <w:t>392</w:t>
            </w:r>
            <w:r w:rsidR="0074514C">
              <w:rPr>
                <w:rFonts w:ascii="Calibri" w:hAnsi="Calibri" w:cs="Calibri"/>
                <w:b/>
                <w:color w:val="000000"/>
              </w:rPr>
              <w:t>,</w:t>
            </w:r>
            <w:r w:rsidRPr="0074514C" w:rsidR="0074514C">
              <w:rPr>
                <w:rFonts w:ascii="Calibri" w:hAnsi="Calibri" w:cs="Calibri"/>
                <w:b/>
                <w:color w:val="000000"/>
              </w:rPr>
              <w:t>000</w:t>
            </w:r>
          </w:p>
        </w:tc>
      </w:tr>
    </w:tbl>
    <w:p w:rsidRPr="00BD5E56" w:rsidR="005A1476" w:rsidP="003C5B6F" w:rsidRDefault="003C5B6F" w14:paraId="1D6CCC0C" w14:textId="75419FBA">
      <w:pPr>
        <w:rPr>
          <w:sz w:val="20"/>
        </w:rPr>
      </w:pPr>
      <w:r w:rsidRPr="00BD5E56">
        <w:rPr>
          <w:sz w:val="20"/>
        </w:rPr>
        <w:t>* Bureau of Labor Statistics, U.S. Department of Labor, Occupational Outlook Handbook, Accountants and Auditors, on the Internet at https://www.bls.gov/ooh/business-and-financial/accountants-and-auditors.htm (visited March 28, 2020).</w:t>
      </w:r>
      <w:r w:rsidRPr="00753648" w:rsidR="00D03489">
        <w:rPr>
          <w:sz w:val="20"/>
          <w:szCs w:val="20"/>
        </w:rPr>
        <w:t xml:space="preserve"> Base wage of $33.89/hour increased by 44% to account for fully-loaded employer cost of employee compensation (benefits, etc.)</w:t>
      </w:r>
    </w:p>
    <w:p w:rsidRPr="009E2FFF" w:rsidR="00FB7F1C" w:rsidP="00B36755" w:rsidRDefault="00E13A9C" w14:paraId="3822291A" w14:textId="08EFE02E">
      <w:pPr>
        <w:keepNext/>
      </w:pPr>
      <w:r w:rsidRPr="00EF2363">
        <w:rPr>
          <w:b/>
        </w:rPr>
        <w:br w:type="page"/>
      </w:r>
      <w:r w:rsidRPr="009E2FFF" w:rsidR="00961823">
        <w:t xml:space="preserve">13.  </w:t>
      </w:r>
      <w:r w:rsidRPr="009E2FFF" w:rsidR="00961823">
        <w:rPr>
          <w:u w:val="single"/>
        </w:rPr>
        <w:t>Estimated total annual cost burden to respondents</w:t>
      </w:r>
      <w:r w:rsidRPr="009E2FFF" w:rsidR="00FB7F1C">
        <w:rPr>
          <w:u w:val="single"/>
        </w:rPr>
        <w:t> </w:t>
      </w:r>
      <w:r w:rsidRPr="009E2FFF" w:rsidR="00FB7F1C">
        <w:t> </w:t>
      </w:r>
    </w:p>
    <w:p w:rsidRPr="00EF2363" w:rsidR="00403DA0" w:rsidP="00CB003A" w:rsidRDefault="00403DA0" w14:paraId="118FAE07" w14:textId="77777777"/>
    <w:p w:rsidR="00E13A9C" w:rsidP="00AD55CE" w:rsidRDefault="004B7407" w14:paraId="3DF2F5DD" w14:textId="6178117B">
      <w:r w:rsidRPr="00EF2363">
        <w:t xml:space="preserve">There </w:t>
      </w:r>
      <w:r w:rsidRPr="00EF2363" w:rsidR="00A10CD2">
        <w:t>are</w:t>
      </w:r>
      <w:r w:rsidRPr="00EF2363" w:rsidR="00E13A9C">
        <w:t xml:space="preserve"> </w:t>
      </w:r>
      <w:r w:rsidRPr="00EF2363">
        <w:t xml:space="preserve">no annualized capital/startup costs for the </w:t>
      </w:r>
      <w:r w:rsidRPr="00EF2363" w:rsidR="00302265">
        <w:t xml:space="preserve">eligible recipients </w:t>
      </w:r>
      <w:r w:rsidRPr="00EF2363">
        <w:t>to provide th</w:t>
      </w:r>
      <w:r w:rsidR="00AD55CE">
        <w:t>e</w:t>
      </w:r>
      <w:r w:rsidRPr="00EF2363">
        <w:t xml:space="preserve"> information</w:t>
      </w:r>
      <w:r w:rsidR="005F1EBD">
        <w:t xml:space="preserve"> in the application</w:t>
      </w:r>
      <w:r w:rsidRPr="00EF2363" w:rsidR="00302265">
        <w:t xml:space="preserve">.  </w:t>
      </w:r>
    </w:p>
    <w:p w:rsidRPr="00EF2363" w:rsidR="00E03689" w:rsidP="00CB003A" w:rsidRDefault="00E03689" w14:paraId="335D0782" w14:textId="77777777"/>
    <w:p w:rsidRPr="009E2FFF" w:rsidR="00961823" w:rsidP="009E2FFF" w:rsidRDefault="00961823" w14:paraId="25002B44" w14:textId="77777777">
      <w:r w:rsidRPr="009E2FFF">
        <w:t xml:space="preserve">14.  </w:t>
      </w:r>
      <w:r w:rsidRPr="009E2FFF">
        <w:rPr>
          <w:u w:val="single"/>
        </w:rPr>
        <w:t>Estimated cost to the federal government</w:t>
      </w:r>
      <w:r w:rsidRPr="009E2FFF">
        <w:t>.</w:t>
      </w:r>
    </w:p>
    <w:p w:rsidRPr="00EF2363" w:rsidR="00961823" w:rsidP="00CB003A" w:rsidRDefault="00961823" w14:paraId="1288A26D" w14:textId="77777777"/>
    <w:p w:rsidRPr="00EF2363" w:rsidR="00961823" w:rsidP="00CB003A" w:rsidRDefault="008C332E" w14:paraId="1ECBF775" w14:textId="6640B555">
      <w:r>
        <w:t>As this is a new program being set up in response to emergency circumstances, Federal costs cannot reasonably be estimated yet.</w:t>
      </w:r>
    </w:p>
    <w:p w:rsidRPr="00EF2363" w:rsidR="00E13A9C" w:rsidP="00CB003A" w:rsidRDefault="00E13A9C" w14:paraId="2CCEF5C1" w14:textId="2D515445"/>
    <w:p w:rsidRPr="009E2FFF" w:rsidR="00961823" w:rsidP="009E2FFF" w:rsidRDefault="00961823" w14:paraId="7F8C600C" w14:textId="77777777">
      <w:pPr>
        <w:keepNext/>
      </w:pPr>
      <w:r w:rsidRPr="009E2FFF">
        <w:t xml:space="preserve">15.  </w:t>
      </w:r>
      <w:r w:rsidRPr="009E2FFF">
        <w:rPr>
          <w:u w:val="single"/>
        </w:rPr>
        <w:t>Reasons for change in burden</w:t>
      </w:r>
    </w:p>
    <w:p w:rsidRPr="00EF2363" w:rsidR="00961823" w:rsidP="00666B6D" w:rsidRDefault="00961823" w14:paraId="474DBA20" w14:textId="77777777">
      <w:pPr>
        <w:keepNext/>
      </w:pPr>
    </w:p>
    <w:p w:rsidRPr="00EF2363" w:rsidR="00403DA0" w:rsidP="00CB003A" w:rsidRDefault="00D851F7" w14:paraId="31703826" w14:textId="5926944C">
      <w:r>
        <w:t xml:space="preserve">This collection of information is </w:t>
      </w:r>
      <w:r w:rsidR="00717738">
        <w:t>a</w:t>
      </w:r>
      <w:r>
        <w:t xml:space="preserve"> new statutory requirement</w:t>
      </w:r>
      <w:r w:rsidR="00717738">
        <w:t xml:space="preserve"> and does not reflect a change in any previous burden.  </w:t>
      </w:r>
    </w:p>
    <w:p w:rsidRPr="00EF2363" w:rsidR="00E13A9C" w:rsidP="00CB003A" w:rsidRDefault="00E13A9C" w14:paraId="1AB6B81E" w14:textId="033D1698"/>
    <w:p w:rsidRPr="009E2FFF" w:rsidR="00961823" w:rsidP="009E2FFF" w:rsidRDefault="00961823" w14:paraId="3926CF1D" w14:textId="77777777">
      <w:pPr>
        <w:keepNext/>
      </w:pPr>
      <w:r w:rsidRPr="009E2FFF">
        <w:t xml:space="preserve">16.  </w:t>
      </w:r>
      <w:r w:rsidRPr="009E2FFF">
        <w:rPr>
          <w:u w:val="single"/>
        </w:rPr>
        <w:t>Plans for tabulation, statistical analysis</w:t>
      </w:r>
      <w:r w:rsidRPr="009E2FFF" w:rsidR="00A2596F">
        <w:rPr>
          <w:u w:val="single"/>
        </w:rPr>
        <w:t xml:space="preserve"> and publication</w:t>
      </w:r>
    </w:p>
    <w:p w:rsidRPr="00EF2363" w:rsidR="00A2596F" w:rsidP="00CB003A" w:rsidRDefault="00A2596F" w14:paraId="20E4660D" w14:textId="77777777"/>
    <w:p w:rsidRPr="00EF2363" w:rsidR="00717738" w:rsidP="00CB003A" w:rsidRDefault="006E6033" w14:paraId="7485135E" w14:textId="348EB04B">
      <w:r>
        <w:t xml:space="preserve">The 4003 programs are subject to review by the </w:t>
      </w:r>
      <w:r w:rsidR="008956E9">
        <w:t>Special Inspector General</w:t>
      </w:r>
      <w:r w:rsidRPr="008956E9" w:rsidR="008956E9">
        <w:t xml:space="preserve"> </w:t>
      </w:r>
      <w:r>
        <w:t>for Pandemic Recovery,</w:t>
      </w:r>
      <w:r w:rsidRPr="008956E9" w:rsidR="008956E9">
        <w:t xml:space="preserve"> GAO</w:t>
      </w:r>
      <w:r>
        <w:t>,</w:t>
      </w:r>
      <w:r w:rsidRPr="008956E9" w:rsidR="008956E9">
        <w:t xml:space="preserve"> a </w:t>
      </w:r>
      <w:r>
        <w:t>C</w:t>
      </w:r>
      <w:r w:rsidRPr="008956E9">
        <w:t>ongressio</w:t>
      </w:r>
      <w:r>
        <w:t>nal Oversight Commission</w:t>
      </w:r>
      <w:r w:rsidR="00105264">
        <w:t xml:space="preserve"> and mandated public reporting by Treasury</w:t>
      </w:r>
      <w:r w:rsidR="008956E9">
        <w:t>.  See s</w:t>
      </w:r>
      <w:r w:rsidRPr="008956E9" w:rsidR="008956E9">
        <w:t>ection</w:t>
      </w:r>
      <w:r w:rsidR="008956E9">
        <w:t>s</w:t>
      </w:r>
      <w:r w:rsidRPr="008956E9" w:rsidR="008956E9">
        <w:t xml:space="preserve"> 4018, 4020, and 4026</w:t>
      </w:r>
      <w:r w:rsidR="00A956B0">
        <w:t xml:space="preserve"> of the Act</w:t>
      </w:r>
      <w:r w:rsidRPr="008956E9" w:rsidR="008956E9">
        <w:t xml:space="preserve">.  </w:t>
      </w:r>
      <w:r>
        <w:t xml:space="preserve">The 4112/4113 programs are also subject to </w:t>
      </w:r>
      <w:r w:rsidR="00E92FD5">
        <w:t>reporting requirements including, but not limited to, those specified under Section 4118 of the Act.</w:t>
      </w:r>
    </w:p>
    <w:p w:rsidR="0028091A" w:rsidP="00060833" w:rsidRDefault="0028091A" w14:paraId="2FC5A1A5" w14:textId="77777777"/>
    <w:p w:rsidR="00060833" w:rsidP="00060833" w:rsidRDefault="00060833" w14:paraId="52B2D5F8" w14:textId="2D65A708">
      <w:r>
        <w:t xml:space="preserve">17. </w:t>
      </w:r>
      <w:r w:rsidRPr="009E2FFF">
        <w:rPr>
          <w:u w:val="single"/>
        </w:rPr>
        <w:t>Display of the expiration date for OMB approval</w:t>
      </w:r>
    </w:p>
    <w:p w:rsidR="00060833" w:rsidP="00060833" w:rsidRDefault="00060833" w14:paraId="7BB46A8E" w14:textId="3F3B6445"/>
    <w:p w:rsidR="00060833" w:rsidP="00060833" w:rsidRDefault="00060833" w14:paraId="648281FB" w14:textId="745EAFD0">
      <w:r>
        <w:t xml:space="preserve">Treasury </w:t>
      </w:r>
      <w:r w:rsidRPr="00060833">
        <w:t>plans to display the expiration date for OMB approval of the information collection on all instruments</w:t>
      </w:r>
      <w:r>
        <w:t>.</w:t>
      </w:r>
    </w:p>
    <w:p w:rsidR="00060833" w:rsidP="009E2FFF" w:rsidRDefault="00060833" w14:paraId="375EC69B" w14:textId="77777777"/>
    <w:p w:rsidRPr="009E2FFF" w:rsidR="004B7407" w:rsidP="009E2FFF" w:rsidRDefault="004B7407" w14:paraId="3B851276" w14:textId="6453CCD8">
      <w:r w:rsidRPr="009E2FFF">
        <w:t>1</w:t>
      </w:r>
      <w:r w:rsidR="00060833">
        <w:t>8</w:t>
      </w:r>
      <w:r w:rsidRPr="009E2FFF">
        <w:t xml:space="preserve">.  </w:t>
      </w:r>
      <w:r w:rsidRPr="009E2FFF">
        <w:rPr>
          <w:u w:val="single"/>
        </w:rPr>
        <w:t>Exceptions to c</w:t>
      </w:r>
      <w:r w:rsidRPr="009E2FFF" w:rsidR="00D97B1A">
        <w:rPr>
          <w:u w:val="single"/>
        </w:rPr>
        <w:t>er</w:t>
      </w:r>
      <w:r w:rsidRPr="009E2FFF">
        <w:rPr>
          <w:u w:val="single"/>
        </w:rPr>
        <w:t>tifica</w:t>
      </w:r>
      <w:r w:rsidRPr="009E2FFF" w:rsidR="00D97B1A">
        <w:rPr>
          <w:u w:val="single"/>
        </w:rPr>
        <w:t>ti</w:t>
      </w:r>
      <w:r w:rsidRPr="009E2FFF">
        <w:rPr>
          <w:u w:val="single"/>
        </w:rPr>
        <w:t>on requirement</w:t>
      </w:r>
    </w:p>
    <w:p w:rsidRPr="00EF2363" w:rsidR="004B7407" w:rsidP="00A90BAB" w:rsidRDefault="004B7407" w14:paraId="7B2203DE" w14:textId="77777777"/>
    <w:p w:rsidR="00156E23" w:rsidP="00A90BAB" w:rsidRDefault="008D0548" w14:paraId="62FB5508" w14:textId="59FE0B06">
      <w:r w:rsidRPr="00EF2363">
        <w:t>T</w:t>
      </w:r>
      <w:r w:rsidRPr="00EF2363" w:rsidR="000E1F44">
        <w:t>here are no exceptions to the certification statement.</w:t>
      </w:r>
    </w:p>
    <w:p w:rsidR="00E03689" w:rsidP="00A90BAB" w:rsidRDefault="00E03689" w14:paraId="33698729" w14:textId="1CF86246"/>
    <w:p w:rsidR="00E03689" w:rsidP="00A90BAB" w:rsidRDefault="00E03689" w14:paraId="7FDEEA5F" w14:textId="77777777"/>
    <w:p w:rsidRPr="00717738" w:rsidR="00717738" w:rsidP="00717738" w:rsidRDefault="00717738" w14:paraId="6E70E67B" w14:textId="77777777">
      <w:pPr>
        <w:rPr>
          <w:u w:val="single"/>
        </w:rPr>
      </w:pPr>
      <w:r w:rsidRPr="00717738">
        <w:rPr>
          <w:u w:val="single"/>
        </w:rPr>
        <w:t>Part B.  Describe the use of statistical methods such as sampling or imputation.</w:t>
      </w:r>
    </w:p>
    <w:p w:rsidRPr="00717738" w:rsidR="00717738" w:rsidP="00717738" w:rsidRDefault="00717738" w14:paraId="7C46EEDF" w14:textId="77777777">
      <w:pPr>
        <w:rPr>
          <w:u w:val="single"/>
        </w:rPr>
      </w:pPr>
    </w:p>
    <w:p w:rsidRPr="00717738" w:rsidR="007C7314" w:rsidP="00A90BAB" w:rsidRDefault="00717738" w14:paraId="3BC7C534" w14:textId="5217D929">
      <w:pPr>
        <w:rPr>
          <w:b/>
        </w:rPr>
      </w:pPr>
      <w:r w:rsidRPr="00717738">
        <w:t>This collection does not employ statistical methods.</w:t>
      </w:r>
    </w:p>
    <w:sectPr w:rsidRPr="00717738" w:rsidR="007C7314" w:rsidSect="00512B62">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6F06B" w14:textId="77777777" w:rsidR="0015784C" w:rsidRDefault="0015784C">
      <w:r>
        <w:separator/>
      </w:r>
    </w:p>
  </w:endnote>
  <w:endnote w:type="continuationSeparator" w:id="0">
    <w:p w14:paraId="7D6AC91A" w14:textId="77777777" w:rsidR="0015784C" w:rsidRDefault="0015784C">
      <w:r>
        <w:continuationSeparator/>
      </w:r>
    </w:p>
  </w:endnote>
  <w:endnote w:type="continuationNotice" w:id="1">
    <w:p w14:paraId="36788B97" w14:textId="77777777" w:rsidR="0015784C" w:rsidRDefault="00157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9F7A2"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9DF8FD"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27319" w14:textId="1B4B23B6"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72B4">
      <w:rPr>
        <w:rStyle w:val="PageNumber"/>
        <w:noProof/>
      </w:rPr>
      <w:t>5</w:t>
    </w:r>
    <w:r>
      <w:rPr>
        <w:rStyle w:val="PageNumber"/>
      </w:rPr>
      <w:fldChar w:fldCharType="end"/>
    </w:r>
  </w:p>
  <w:p w14:paraId="23564D57"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EFD43" w14:textId="77777777" w:rsidR="0015784C" w:rsidRDefault="0015784C">
      <w:r>
        <w:separator/>
      </w:r>
    </w:p>
  </w:footnote>
  <w:footnote w:type="continuationSeparator" w:id="0">
    <w:p w14:paraId="41C7E6D9" w14:textId="77777777" w:rsidR="0015784C" w:rsidRDefault="0015784C">
      <w:r>
        <w:continuationSeparator/>
      </w:r>
    </w:p>
  </w:footnote>
  <w:footnote w:type="continuationNotice" w:id="1">
    <w:p w14:paraId="0AC1DAE2" w14:textId="77777777" w:rsidR="0015784C" w:rsidRDefault="0015784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0"/>
  </w:num>
  <w:num w:numId="3">
    <w:abstractNumId w:val="24"/>
  </w:num>
  <w:num w:numId="4">
    <w:abstractNumId w:val="8"/>
  </w:num>
  <w:num w:numId="5">
    <w:abstractNumId w:val="23"/>
  </w:num>
  <w:num w:numId="6">
    <w:abstractNumId w:val="7"/>
  </w:num>
  <w:num w:numId="7">
    <w:abstractNumId w:val="2"/>
  </w:num>
  <w:num w:numId="8">
    <w:abstractNumId w:val="13"/>
  </w:num>
  <w:num w:numId="9">
    <w:abstractNumId w:val="12"/>
  </w:num>
  <w:num w:numId="10">
    <w:abstractNumId w:val="17"/>
  </w:num>
  <w:num w:numId="11">
    <w:abstractNumId w:val="4"/>
  </w:num>
  <w:num w:numId="12">
    <w:abstractNumId w:val="9"/>
  </w:num>
  <w:num w:numId="13">
    <w:abstractNumId w:val="15"/>
  </w:num>
  <w:num w:numId="14">
    <w:abstractNumId w:val="21"/>
  </w:num>
  <w:num w:numId="15">
    <w:abstractNumId w:val="0"/>
  </w:num>
  <w:num w:numId="16">
    <w:abstractNumId w:val="10"/>
  </w:num>
  <w:num w:numId="17">
    <w:abstractNumId w:val="22"/>
  </w:num>
  <w:num w:numId="18">
    <w:abstractNumId w:val="6"/>
  </w:num>
  <w:num w:numId="19">
    <w:abstractNumId w:val="16"/>
  </w:num>
  <w:num w:numId="20">
    <w:abstractNumId w:val="3"/>
  </w:num>
  <w:num w:numId="21">
    <w:abstractNumId w:val="1"/>
  </w:num>
  <w:num w:numId="22">
    <w:abstractNumId w:val="18"/>
  </w:num>
  <w:num w:numId="23">
    <w:abstractNumId w:val="19"/>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861"/>
    <w:rsid w:val="000047C3"/>
    <w:rsid w:val="000105BD"/>
    <w:rsid w:val="000117A5"/>
    <w:rsid w:val="00012F7C"/>
    <w:rsid w:val="000141C3"/>
    <w:rsid w:val="0001560A"/>
    <w:rsid w:val="00017845"/>
    <w:rsid w:val="000204E2"/>
    <w:rsid w:val="00021D40"/>
    <w:rsid w:val="00022F56"/>
    <w:rsid w:val="00032DA3"/>
    <w:rsid w:val="0004048C"/>
    <w:rsid w:val="00040666"/>
    <w:rsid w:val="00046B27"/>
    <w:rsid w:val="000505FB"/>
    <w:rsid w:val="00051468"/>
    <w:rsid w:val="00053EBD"/>
    <w:rsid w:val="00060833"/>
    <w:rsid w:val="00062B59"/>
    <w:rsid w:val="000703E5"/>
    <w:rsid w:val="00073704"/>
    <w:rsid w:val="000762A9"/>
    <w:rsid w:val="00083DB1"/>
    <w:rsid w:val="00090033"/>
    <w:rsid w:val="00093B1D"/>
    <w:rsid w:val="00094CA2"/>
    <w:rsid w:val="000A570C"/>
    <w:rsid w:val="000B0264"/>
    <w:rsid w:val="000C1553"/>
    <w:rsid w:val="000C3C83"/>
    <w:rsid w:val="000C6F26"/>
    <w:rsid w:val="000C7031"/>
    <w:rsid w:val="000E07A3"/>
    <w:rsid w:val="000E1D60"/>
    <w:rsid w:val="000E1F44"/>
    <w:rsid w:val="000E24F5"/>
    <w:rsid w:val="000E72A0"/>
    <w:rsid w:val="000F2AE6"/>
    <w:rsid w:val="000F53C2"/>
    <w:rsid w:val="001022FC"/>
    <w:rsid w:val="00105264"/>
    <w:rsid w:val="00105553"/>
    <w:rsid w:val="00105E4C"/>
    <w:rsid w:val="001065D8"/>
    <w:rsid w:val="00106A18"/>
    <w:rsid w:val="00110D39"/>
    <w:rsid w:val="001110E6"/>
    <w:rsid w:val="00112D71"/>
    <w:rsid w:val="001139DB"/>
    <w:rsid w:val="00113C21"/>
    <w:rsid w:val="00114490"/>
    <w:rsid w:val="00122583"/>
    <w:rsid w:val="00127B26"/>
    <w:rsid w:val="001374B1"/>
    <w:rsid w:val="0013796F"/>
    <w:rsid w:val="001438EE"/>
    <w:rsid w:val="00146E55"/>
    <w:rsid w:val="00147A26"/>
    <w:rsid w:val="00156E23"/>
    <w:rsid w:val="0015784C"/>
    <w:rsid w:val="00161711"/>
    <w:rsid w:val="001648D5"/>
    <w:rsid w:val="00165343"/>
    <w:rsid w:val="00166EF4"/>
    <w:rsid w:val="00166F8F"/>
    <w:rsid w:val="00170A86"/>
    <w:rsid w:val="00171230"/>
    <w:rsid w:val="001742C4"/>
    <w:rsid w:val="00174A47"/>
    <w:rsid w:val="0018027E"/>
    <w:rsid w:val="001819B9"/>
    <w:rsid w:val="001819F2"/>
    <w:rsid w:val="00181F21"/>
    <w:rsid w:val="0018375D"/>
    <w:rsid w:val="00186409"/>
    <w:rsid w:val="00187672"/>
    <w:rsid w:val="001945CA"/>
    <w:rsid w:val="001A1B5B"/>
    <w:rsid w:val="001A71B7"/>
    <w:rsid w:val="001A7272"/>
    <w:rsid w:val="001B591E"/>
    <w:rsid w:val="001D4D0C"/>
    <w:rsid w:val="001E0C02"/>
    <w:rsid w:val="001E0D39"/>
    <w:rsid w:val="001E4BCF"/>
    <w:rsid w:val="001F31FB"/>
    <w:rsid w:val="001F500A"/>
    <w:rsid w:val="00210608"/>
    <w:rsid w:val="0022132A"/>
    <w:rsid w:val="00225E39"/>
    <w:rsid w:val="002312D9"/>
    <w:rsid w:val="00237FAA"/>
    <w:rsid w:val="0024000F"/>
    <w:rsid w:val="002465AC"/>
    <w:rsid w:val="00250B5A"/>
    <w:rsid w:val="00252599"/>
    <w:rsid w:val="002551F6"/>
    <w:rsid w:val="0025604D"/>
    <w:rsid w:val="002561B1"/>
    <w:rsid w:val="00256911"/>
    <w:rsid w:val="00260CEB"/>
    <w:rsid w:val="0026158F"/>
    <w:rsid w:val="00270CF4"/>
    <w:rsid w:val="00271992"/>
    <w:rsid w:val="00275D84"/>
    <w:rsid w:val="00276E84"/>
    <w:rsid w:val="00277F1D"/>
    <w:rsid w:val="0028091A"/>
    <w:rsid w:val="0028499E"/>
    <w:rsid w:val="0028685C"/>
    <w:rsid w:val="002902D5"/>
    <w:rsid w:val="002920BD"/>
    <w:rsid w:val="00293974"/>
    <w:rsid w:val="002A1E1D"/>
    <w:rsid w:val="002B2EBC"/>
    <w:rsid w:val="002B6FA7"/>
    <w:rsid w:val="002C1CB0"/>
    <w:rsid w:val="002C2A5D"/>
    <w:rsid w:val="002C3FA6"/>
    <w:rsid w:val="002D268B"/>
    <w:rsid w:val="002D5249"/>
    <w:rsid w:val="002E4398"/>
    <w:rsid w:val="002F2729"/>
    <w:rsid w:val="002F4085"/>
    <w:rsid w:val="002F7B16"/>
    <w:rsid w:val="00302265"/>
    <w:rsid w:val="00304673"/>
    <w:rsid w:val="00314168"/>
    <w:rsid w:val="003265D6"/>
    <w:rsid w:val="00337AC1"/>
    <w:rsid w:val="00341CAF"/>
    <w:rsid w:val="003506E7"/>
    <w:rsid w:val="0035119A"/>
    <w:rsid w:val="00364995"/>
    <w:rsid w:val="00365005"/>
    <w:rsid w:val="00370853"/>
    <w:rsid w:val="00380639"/>
    <w:rsid w:val="00384175"/>
    <w:rsid w:val="00390A50"/>
    <w:rsid w:val="00394A61"/>
    <w:rsid w:val="003A0E21"/>
    <w:rsid w:val="003A37CA"/>
    <w:rsid w:val="003A52C5"/>
    <w:rsid w:val="003A59D2"/>
    <w:rsid w:val="003B6624"/>
    <w:rsid w:val="003B792F"/>
    <w:rsid w:val="003C068B"/>
    <w:rsid w:val="003C1272"/>
    <w:rsid w:val="003C1AB8"/>
    <w:rsid w:val="003C5B6F"/>
    <w:rsid w:val="003E53BD"/>
    <w:rsid w:val="003E59BE"/>
    <w:rsid w:val="003E641C"/>
    <w:rsid w:val="003F129E"/>
    <w:rsid w:val="003F3118"/>
    <w:rsid w:val="003F59C0"/>
    <w:rsid w:val="003F7AD4"/>
    <w:rsid w:val="004011B5"/>
    <w:rsid w:val="00403DA0"/>
    <w:rsid w:val="00404BAE"/>
    <w:rsid w:val="004063EA"/>
    <w:rsid w:val="00406C35"/>
    <w:rsid w:val="00406DAA"/>
    <w:rsid w:val="004077B3"/>
    <w:rsid w:val="0041645E"/>
    <w:rsid w:val="004267CE"/>
    <w:rsid w:val="004356D3"/>
    <w:rsid w:val="00437EDC"/>
    <w:rsid w:val="00443D4F"/>
    <w:rsid w:val="0044510E"/>
    <w:rsid w:val="004516C0"/>
    <w:rsid w:val="00451786"/>
    <w:rsid w:val="00460B20"/>
    <w:rsid w:val="00462AB0"/>
    <w:rsid w:val="00464E08"/>
    <w:rsid w:val="00474021"/>
    <w:rsid w:val="0047526A"/>
    <w:rsid w:val="00475731"/>
    <w:rsid w:val="00477EA1"/>
    <w:rsid w:val="0048426A"/>
    <w:rsid w:val="00490EE2"/>
    <w:rsid w:val="004A7CC6"/>
    <w:rsid w:val="004B06B5"/>
    <w:rsid w:val="004B0AEF"/>
    <w:rsid w:val="004B1400"/>
    <w:rsid w:val="004B32A0"/>
    <w:rsid w:val="004B59B5"/>
    <w:rsid w:val="004B7407"/>
    <w:rsid w:val="004E3665"/>
    <w:rsid w:val="004E60BD"/>
    <w:rsid w:val="004E6996"/>
    <w:rsid w:val="004F09CA"/>
    <w:rsid w:val="004F5145"/>
    <w:rsid w:val="004F6BB6"/>
    <w:rsid w:val="004F79CC"/>
    <w:rsid w:val="0050578F"/>
    <w:rsid w:val="00512B62"/>
    <w:rsid w:val="005214DD"/>
    <w:rsid w:val="005215C7"/>
    <w:rsid w:val="0052662E"/>
    <w:rsid w:val="00534EA9"/>
    <w:rsid w:val="00535AD0"/>
    <w:rsid w:val="005366FC"/>
    <w:rsid w:val="00536F95"/>
    <w:rsid w:val="0054191E"/>
    <w:rsid w:val="0054549F"/>
    <w:rsid w:val="00546D11"/>
    <w:rsid w:val="00555E2A"/>
    <w:rsid w:val="00561B6F"/>
    <w:rsid w:val="00565E3C"/>
    <w:rsid w:val="005678EC"/>
    <w:rsid w:val="00572D2C"/>
    <w:rsid w:val="005744E4"/>
    <w:rsid w:val="0057582F"/>
    <w:rsid w:val="00577B83"/>
    <w:rsid w:val="0058262E"/>
    <w:rsid w:val="0058297E"/>
    <w:rsid w:val="00586BF1"/>
    <w:rsid w:val="00587447"/>
    <w:rsid w:val="00587D50"/>
    <w:rsid w:val="00593C88"/>
    <w:rsid w:val="00597B8E"/>
    <w:rsid w:val="005A1476"/>
    <w:rsid w:val="005A1D4B"/>
    <w:rsid w:val="005A5C1B"/>
    <w:rsid w:val="005A7213"/>
    <w:rsid w:val="005B4124"/>
    <w:rsid w:val="005C533B"/>
    <w:rsid w:val="005C7887"/>
    <w:rsid w:val="005D099C"/>
    <w:rsid w:val="005D1D12"/>
    <w:rsid w:val="005E5A57"/>
    <w:rsid w:val="005E5B57"/>
    <w:rsid w:val="005F020C"/>
    <w:rsid w:val="005F1EBD"/>
    <w:rsid w:val="0060168D"/>
    <w:rsid w:val="006049CB"/>
    <w:rsid w:val="00605173"/>
    <w:rsid w:val="00610580"/>
    <w:rsid w:val="00612025"/>
    <w:rsid w:val="006137E1"/>
    <w:rsid w:val="00616A24"/>
    <w:rsid w:val="0063065F"/>
    <w:rsid w:val="00633442"/>
    <w:rsid w:val="006372B4"/>
    <w:rsid w:val="0064051D"/>
    <w:rsid w:val="0064314F"/>
    <w:rsid w:val="006536E9"/>
    <w:rsid w:val="00666B6D"/>
    <w:rsid w:val="006678F4"/>
    <w:rsid w:val="00676FFC"/>
    <w:rsid w:val="00680A45"/>
    <w:rsid w:val="00681FB6"/>
    <w:rsid w:val="00685C0A"/>
    <w:rsid w:val="00686921"/>
    <w:rsid w:val="00686C1F"/>
    <w:rsid w:val="00691B0E"/>
    <w:rsid w:val="006929AD"/>
    <w:rsid w:val="006A2D85"/>
    <w:rsid w:val="006B22D1"/>
    <w:rsid w:val="006B37E0"/>
    <w:rsid w:val="006B3E5B"/>
    <w:rsid w:val="006B47EB"/>
    <w:rsid w:val="006B6DF9"/>
    <w:rsid w:val="006C101A"/>
    <w:rsid w:val="006C2413"/>
    <w:rsid w:val="006D5504"/>
    <w:rsid w:val="006E02EB"/>
    <w:rsid w:val="006E6033"/>
    <w:rsid w:val="006F02DD"/>
    <w:rsid w:val="00705C2D"/>
    <w:rsid w:val="00707BDE"/>
    <w:rsid w:val="00713122"/>
    <w:rsid w:val="007156A7"/>
    <w:rsid w:val="00717380"/>
    <w:rsid w:val="00717738"/>
    <w:rsid w:val="0072166B"/>
    <w:rsid w:val="007313DF"/>
    <w:rsid w:val="00741F3C"/>
    <w:rsid w:val="00744AC4"/>
    <w:rsid w:val="0074514C"/>
    <w:rsid w:val="00753648"/>
    <w:rsid w:val="00756FAF"/>
    <w:rsid w:val="007614AA"/>
    <w:rsid w:val="00763C12"/>
    <w:rsid w:val="00764D4B"/>
    <w:rsid w:val="00771CD5"/>
    <w:rsid w:val="00774C7D"/>
    <w:rsid w:val="00775C08"/>
    <w:rsid w:val="00780878"/>
    <w:rsid w:val="00781EF6"/>
    <w:rsid w:val="00786629"/>
    <w:rsid w:val="00790848"/>
    <w:rsid w:val="00792F45"/>
    <w:rsid w:val="00795CCA"/>
    <w:rsid w:val="00795EFD"/>
    <w:rsid w:val="00797276"/>
    <w:rsid w:val="007A0410"/>
    <w:rsid w:val="007B29AC"/>
    <w:rsid w:val="007B7101"/>
    <w:rsid w:val="007C698F"/>
    <w:rsid w:val="007C7314"/>
    <w:rsid w:val="007D59EE"/>
    <w:rsid w:val="007E596A"/>
    <w:rsid w:val="007E69B3"/>
    <w:rsid w:val="007F0335"/>
    <w:rsid w:val="007F0AC9"/>
    <w:rsid w:val="0080016E"/>
    <w:rsid w:val="00802F36"/>
    <w:rsid w:val="00810E73"/>
    <w:rsid w:val="00811E1F"/>
    <w:rsid w:val="00821205"/>
    <w:rsid w:val="008318BC"/>
    <w:rsid w:val="00831D74"/>
    <w:rsid w:val="008475F5"/>
    <w:rsid w:val="00856B58"/>
    <w:rsid w:val="00856DD0"/>
    <w:rsid w:val="00857B7C"/>
    <w:rsid w:val="00860267"/>
    <w:rsid w:val="00861BDE"/>
    <w:rsid w:val="00863EEF"/>
    <w:rsid w:val="008668A0"/>
    <w:rsid w:val="0087613A"/>
    <w:rsid w:val="008821EF"/>
    <w:rsid w:val="00890D39"/>
    <w:rsid w:val="00891D3E"/>
    <w:rsid w:val="0089258D"/>
    <w:rsid w:val="0089274A"/>
    <w:rsid w:val="008956E9"/>
    <w:rsid w:val="00896264"/>
    <w:rsid w:val="00896327"/>
    <w:rsid w:val="008A5AEA"/>
    <w:rsid w:val="008A7CB6"/>
    <w:rsid w:val="008B55DF"/>
    <w:rsid w:val="008B64D0"/>
    <w:rsid w:val="008B7CB1"/>
    <w:rsid w:val="008C0EDB"/>
    <w:rsid w:val="008C31DD"/>
    <w:rsid w:val="008C332E"/>
    <w:rsid w:val="008D0548"/>
    <w:rsid w:val="008D211C"/>
    <w:rsid w:val="008D6002"/>
    <w:rsid w:val="008E5AF4"/>
    <w:rsid w:val="008F1B45"/>
    <w:rsid w:val="0090425D"/>
    <w:rsid w:val="00907541"/>
    <w:rsid w:val="00913A34"/>
    <w:rsid w:val="009175C3"/>
    <w:rsid w:val="00921EA8"/>
    <w:rsid w:val="009259D5"/>
    <w:rsid w:val="00926C7F"/>
    <w:rsid w:val="00931D87"/>
    <w:rsid w:val="00931DC9"/>
    <w:rsid w:val="00940B2A"/>
    <w:rsid w:val="009465F7"/>
    <w:rsid w:val="00950A9E"/>
    <w:rsid w:val="00952B31"/>
    <w:rsid w:val="00953166"/>
    <w:rsid w:val="00960D41"/>
    <w:rsid w:val="00961823"/>
    <w:rsid w:val="00963D0A"/>
    <w:rsid w:val="00964CC6"/>
    <w:rsid w:val="00970625"/>
    <w:rsid w:val="00976185"/>
    <w:rsid w:val="00977D3A"/>
    <w:rsid w:val="00983B56"/>
    <w:rsid w:val="00986077"/>
    <w:rsid w:val="00990870"/>
    <w:rsid w:val="009957B3"/>
    <w:rsid w:val="009A1A7C"/>
    <w:rsid w:val="009B60FB"/>
    <w:rsid w:val="009B6250"/>
    <w:rsid w:val="009B6FA0"/>
    <w:rsid w:val="009B7C7D"/>
    <w:rsid w:val="009C7335"/>
    <w:rsid w:val="009D1369"/>
    <w:rsid w:val="009D6D37"/>
    <w:rsid w:val="009E2385"/>
    <w:rsid w:val="009E2FFF"/>
    <w:rsid w:val="009E4CDC"/>
    <w:rsid w:val="009E5FD8"/>
    <w:rsid w:val="009F45CC"/>
    <w:rsid w:val="009F477E"/>
    <w:rsid w:val="009F4D1C"/>
    <w:rsid w:val="009F580D"/>
    <w:rsid w:val="009F5937"/>
    <w:rsid w:val="00A00740"/>
    <w:rsid w:val="00A014CE"/>
    <w:rsid w:val="00A06CB6"/>
    <w:rsid w:val="00A10A09"/>
    <w:rsid w:val="00A10CD2"/>
    <w:rsid w:val="00A118EF"/>
    <w:rsid w:val="00A137BE"/>
    <w:rsid w:val="00A14618"/>
    <w:rsid w:val="00A22870"/>
    <w:rsid w:val="00A2596F"/>
    <w:rsid w:val="00A3281A"/>
    <w:rsid w:val="00A34FE6"/>
    <w:rsid w:val="00A40A6B"/>
    <w:rsid w:val="00A41E99"/>
    <w:rsid w:val="00A51E18"/>
    <w:rsid w:val="00A5370F"/>
    <w:rsid w:val="00A6381F"/>
    <w:rsid w:val="00A645CE"/>
    <w:rsid w:val="00A67505"/>
    <w:rsid w:val="00A70FB9"/>
    <w:rsid w:val="00A73817"/>
    <w:rsid w:val="00A73FE3"/>
    <w:rsid w:val="00A75336"/>
    <w:rsid w:val="00A81BCB"/>
    <w:rsid w:val="00A83F90"/>
    <w:rsid w:val="00A90BAB"/>
    <w:rsid w:val="00A91377"/>
    <w:rsid w:val="00A91D99"/>
    <w:rsid w:val="00A922EF"/>
    <w:rsid w:val="00A9305B"/>
    <w:rsid w:val="00A954B0"/>
    <w:rsid w:val="00A956B0"/>
    <w:rsid w:val="00A95A75"/>
    <w:rsid w:val="00AA13C1"/>
    <w:rsid w:val="00AA65FC"/>
    <w:rsid w:val="00AB53B9"/>
    <w:rsid w:val="00AB5C61"/>
    <w:rsid w:val="00AB6D47"/>
    <w:rsid w:val="00AC1EC6"/>
    <w:rsid w:val="00AD55CE"/>
    <w:rsid w:val="00AE07D3"/>
    <w:rsid w:val="00AE7799"/>
    <w:rsid w:val="00AF0BF9"/>
    <w:rsid w:val="00AF115F"/>
    <w:rsid w:val="00AF7E11"/>
    <w:rsid w:val="00B002FE"/>
    <w:rsid w:val="00B10AC2"/>
    <w:rsid w:val="00B21358"/>
    <w:rsid w:val="00B31CDA"/>
    <w:rsid w:val="00B36755"/>
    <w:rsid w:val="00B3747A"/>
    <w:rsid w:val="00B375A0"/>
    <w:rsid w:val="00B50861"/>
    <w:rsid w:val="00B5127C"/>
    <w:rsid w:val="00B52D55"/>
    <w:rsid w:val="00B601FF"/>
    <w:rsid w:val="00B61494"/>
    <w:rsid w:val="00B645F0"/>
    <w:rsid w:val="00B64EA2"/>
    <w:rsid w:val="00B716A8"/>
    <w:rsid w:val="00B82803"/>
    <w:rsid w:val="00B90CE9"/>
    <w:rsid w:val="00BA0D32"/>
    <w:rsid w:val="00BA51F9"/>
    <w:rsid w:val="00BA59A6"/>
    <w:rsid w:val="00BA5A05"/>
    <w:rsid w:val="00BA5C07"/>
    <w:rsid w:val="00BA67F9"/>
    <w:rsid w:val="00BB4B8D"/>
    <w:rsid w:val="00BB4BD8"/>
    <w:rsid w:val="00BB766F"/>
    <w:rsid w:val="00BC0FDB"/>
    <w:rsid w:val="00BC16C0"/>
    <w:rsid w:val="00BC1BAC"/>
    <w:rsid w:val="00BD0B65"/>
    <w:rsid w:val="00BD2AE1"/>
    <w:rsid w:val="00BD5DD4"/>
    <w:rsid w:val="00BD5E56"/>
    <w:rsid w:val="00BE34DF"/>
    <w:rsid w:val="00BE4F64"/>
    <w:rsid w:val="00BF3A38"/>
    <w:rsid w:val="00BF4B97"/>
    <w:rsid w:val="00BF7366"/>
    <w:rsid w:val="00BF7B70"/>
    <w:rsid w:val="00C00259"/>
    <w:rsid w:val="00C0391A"/>
    <w:rsid w:val="00C03DAC"/>
    <w:rsid w:val="00C06D3B"/>
    <w:rsid w:val="00C21BCC"/>
    <w:rsid w:val="00C27183"/>
    <w:rsid w:val="00C27364"/>
    <w:rsid w:val="00C3022F"/>
    <w:rsid w:val="00C31808"/>
    <w:rsid w:val="00C34ABE"/>
    <w:rsid w:val="00C36F16"/>
    <w:rsid w:val="00C450BD"/>
    <w:rsid w:val="00C60DF5"/>
    <w:rsid w:val="00C6142D"/>
    <w:rsid w:val="00C632D7"/>
    <w:rsid w:val="00C63A58"/>
    <w:rsid w:val="00C63D9B"/>
    <w:rsid w:val="00C67D77"/>
    <w:rsid w:val="00C75252"/>
    <w:rsid w:val="00C81F65"/>
    <w:rsid w:val="00C8419D"/>
    <w:rsid w:val="00C954EA"/>
    <w:rsid w:val="00C9704D"/>
    <w:rsid w:val="00CA30F8"/>
    <w:rsid w:val="00CB003A"/>
    <w:rsid w:val="00CB3119"/>
    <w:rsid w:val="00CC0B33"/>
    <w:rsid w:val="00CC4534"/>
    <w:rsid w:val="00CD58CD"/>
    <w:rsid w:val="00CE2D06"/>
    <w:rsid w:val="00CE332E"/>
    <w:rsid w:val="00CE6F37"/>
    <w:rsid w:val="00CE78C0"/>
    <w:rsid w:val="00CF2CA4"/>
    <w:rsid w:val="00CF4A47"/>
    <w:rsid w:val="00CF6A78"/>
    <w:rsid w:val="00D01021"/>
    <w:rsid w:val="00D03489"/>
    <w:rsid w:val="00D116B1"/>
    <w:rsid w:val="00D12A06"/>
    <w:rsid w:val="00D20B1E"/>
    <w:rsid w:val="00D23D3E"/>
    <w:rsid w:val="00D24768"/>
    <w:rsid w:val="00D24A88"/>
    <w:rsid w:val="00D367C2"/>
    <w:rsid w:val="00D51E0C"/>
    <w:rsid w:val="00D568EF"/>
    <w:rsid w:val="00D71D19"/>
    <w:rsid w:val="00D74FFD"/>
    <w:rsid w:val="00D77556"/>
    <w:rsid w:val="00D84037"/>
    <w:rsid w:val="00D8477F"/>
    <w:rsid w:val="00D851F7"/>
    <w:rsid w:val="00D87D0B"/>
    <w:rsid w:val="00D905A2"/>
    <w:rsid w:val="00D96EE2"/>
    <w:rsid w:val="00D97B1A"/>
    <w:rsid w:val="00DA033B"/>
    <w:rsid w:val="00DA05AC"/>
    <w:rsid w:val="00DA35D5"/>
    <w:rsid w:val="00DA5F5B"/>
    <w:rsid w:val="00DB29A8"/>
    <w:rsid w:val="00DC5878"/>
    <w:rsid w:val="00DD050F"/>
    <w:rsid w:val="00DD104D"/>
    <w:rsid w:val="00DD6046"/>
    <w:rsid w:val="00DD6760"/>
    <w:rsid w:val="00DE76C6"/>
    <w:rsid w:val="00DE7858"/>
    <w:rsid w:val="00DF17C1"/>
    <w:rsid w:val="00DF3373"/>
    <w:rsid w:val="00DF749E"/>
    <w:rsid w:val="00E02D8C"/>
    <w:rsid w:val="00E03689"/>
    <w:rsid w:val="00E03DE3"/>
    <w:rsid w:val="00E04766"/>
    <w:rsid w:val="00E07A7C"/>
    <w:rsid w:val="00E11046"/>
    <w:rsid w:val="00E13A9C"/>
    <w:rsid w:val="00E146F2"/>
    <w:rsid w:val="00E20513"/>
    <w:rsid w:val="00E238E9"/>
    <w:rsid w:val="00E24973"/>
    <w:rsid w:val="00E3516F"/>
    <w:rsid w:val="00E35CD0"/>
    <w:rsid w:val="00E45587"/>
    <w:rsid w:val="00E45F6B"/>
    <w:rsid w:val="00E64CE5"/>
    <w:rsid w:val="00E71397"/>
    <w:rsid w:val="00E73EC5"/>
    <w:rsid w:val="00E77A64"/>
    <w:rsid w:val="00E8070F"/>
    <w:rsid w:val="00E80CE1"/>
    <w:rsid w:val="00E8245B"/>
    <w:rsid w:val="00E845BB"/>
    <w:rsid w:val="00E92231"/>
    <w:rsid w:val="00E92FD5"/>
    <w:rsid w:val="00E96BF2"/>
    <w:rsid w:val="00EA2F92"/>
    <w:rsid w:val="00EB21ED"/>
    <w:rsid w:val="00EB5A48"/>
    <w:rsid w:val="00EB5E62"/>
    <w:rsid w:val="00EC0DB0"/>
    <w:rsid w:val="00EC5FAF"/>
    <w:rsid w:val="00EC6749"/>
    <w:rsid w:val="00ED4EC9"/>
    <w:rsid w:val="00ED50C9"/>
    <w:rsid w:val="00ED6199"/>
    <w:rsid w:val="00EE0B0E"/>
    <w:rsid w:val="00EE3088"/>
    <w:rsid w:val="00EF2363"/>
    <w:rsid w:val="00EF71E5"/>
    <w:rsid w:val="00EF748D"/>
    <w:rsid w:val="00EF781C"/>
    <w:rsid w:val="00F004C2"/>
    <w:rsid w:val="00F02CD8"/>
    <w:rsid w:val="00F1757F"/>
    <w:rsid w:val="00F23B72"/>
    <w:rsid w:val="00F24F5A"/>
    <w:rsid w:val="00F265B4"/>
    <w:rsid w:val="00F27C5F"/>
    <w:rsid w:val="00F305F7"/>
    <w:rsid w:val="00F31337"/>
    <w:rsid w:val="00F41911"/>
    <w:rsid w:val="00F4591C"/>
    <w:rsid w:val="00F51DC7"/>
    <w:rsid w:val="00F51FEB"/>
    <w:rsid w:val="00F56D95"/>
    <w:rsid w:val="00F6095F"/>
    <w:rsid w:val="00F6525E"/>
    <w:rsid w:val="00F72D0B"/>
    <w:rsid w:val="00F7395C"/>
    <w:rsid w:val="00F75F2D"/>
    <w:rsid w:val="00F76131"/>
    <w:rsid w:val="00F77798"/>
    <w:rsid w:val="00F9526D"/>
    <w:rsid w:val="00FA30DB"/>
    <w:rsid w:val="00FA49D0"/>
    <w:rsid w:val="00FA6B23"/>
    <w:rsid w:val="00FB0552"/>
    <w:rsid w:val="00FB7F1C"/>
    <w:rsid w:val="00FC174E"/>
    <w:rsid w:val="00FC2B60"/>
    <w:rsid w:val="00FC33E4"/>
    <w:rsid w:val="00FC4D8E"/>
    <w:rsid w:val="00FD0BF8"/>
    <w:rsid w:val="00FD0D7E"/>
    <w:rsid w:val="00FD1539"/>
    <w:rsid w:val="00FD79FF"/>
    <w:rsid w:val="00FE3BAD"/>
    <w:rsid w:val="00FE40CB"/>
    <w:rsid w:val="00FE5155"/>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C38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967EF-6259-477C-8191-CC770A4E0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1714</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2020-04-14T13:24:00Z</dcterms:created>
  <dcterms:modified xsi:type="dcterms:W3CDTF">2020-04-14T15:55:00Z</dcterms:modified>
</cp:coreProperties>
</file>