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7A62A" w14:textId="77777777" w:rsidR="00833900" w:rsidRDefault="00833900">
      <w:pPr>
        <w:rPr>
          <w:rFonts w:ascii="Times New Roman" w:hAnsi="Times New Roman"/>
          <w:sz w:val="24"/>
        </w:rPr>
      </w:pPr>
      <w:bookmarkStart w:id="0" w:name="_GoBack"/>
      <w:bookmarkEnd w:id="0"/>
      <w:r>
        <w:rPr>
          <w:rFonts w:ascii="Times New Roman" w:hAnsi="Times New Roman"/>
          <w:sz w:val="24"/>
        </w:rPr>
        <w:t xml:space="preserve"> </w:t>
      </w:r>
    </w:p>
    <w:p w14:paraId="116E544E" w14:textId="77777777" w:rsidR="006D6EA5" w:rsidRDefault="00833900">
      <w:pPr>
        <w:jc w:val="center"/>
        <w:rPr>
          <w:rFonts w:ascii="Times New Roman" w:hAnsi="Times New Roman"/>
          <w:sz w:val="24"/>
          <w:u w:val="single"/>
        </w:rPr>
      </w:pPr>
      <w:r>
        <w:rPr>
          <w:rFonts w:ascii="Times New Roman" w:hAnsi="Times New Roman"/>
          <w:sz w:val="24"/>
          <w:u w:val="single"/>
        </w:rPr>
        <w:t xml:space="preserve"> </w:t>
      </w:r>
      <w:r w:rsidR="006D6EA5">
        <w:rPr>
          <w:rFonts w:ascii="Times New Roman" w:hAnsi="Times New Roman"/>
          <w:sz w:val="24"/>
          <w:u w:val="single"/>
        </w:rPr>
        <w:t xml:space="preserve">IMPOSITION OF SPECIAL MEASURE </w:t>
      </w:r>
      <w:r w:rsidR="009F499E">
        <w:rPr>
          <w:rFonts w:ascii="Times New Roman" w:hAnsi="Times New Roman"/>
          <w:sz w:val="24"/>
          <w:u w:val="single"/>
        </w:rPr>
        <w:t xml:space="preserve">RELATED TO </w:t>
      </w:r>
      <w:r w:rsidR="006D6EA5">
        <w:rPr>
          <w:rFonts w:ascii="Times New Roman" w:hAnsi="Times New Roman"/>
          <w:sz w:val="24"/>
          <w:u w:val="single"/>
        </w:rPr>
        <w:t>A</w:t>
      </w:r>
    </w:p>
    <w:p w14:paraId="50A4ECE8" w14:textId="77777777" w:rsidR="006D6EA5" w:rsidRDefault="009F499E">
      <w:pPr>
        <w:jc w:val="center"/>
        <w:rPr>
          <w:rFonts w:ascii="Times New Roman" w:hAnsi="Times New Roman"/>
          <w:sz w:val="24"/>
          <w:u w:val="single"/>
        </w:rPr>
      </w:pPr>
      <w:r>
        <w:rPr>
          <w:rFonts w:ascii="Times New Roman" w:hAnsi="Times New Roman"/>
          <w:sz w:val="24"/>
          <w:u w:val="single"/>
        </w:rPr>
        <w:t xml:space="preserve">FOREIGN </w:t>
      </w:r>
      <w:r w:rsidR="006D6EA5">
        <w:rPr>
          <w:rFonts w:ascii="Times New Roman" w:hAnsi="Times New Roman"/>
          <w:sz w:val="24"/>
          <w:u w:val="single"/>
        </w:rPr>
        <w:t>JURISDICTION OF PRIMARY MONEY LAUNDERING CONCERN,</w:t>
      </w:r>
    </w:p>
    <w:p w14:paraId="62215F70" w14:textId="11C8F370" w:rsidR="00833900" w:rsidRDefault="006D6EA5">
      <w:pPr>
        <w:jc w:val="center"/>
        <w:rPr>
          <w:rFonts w:ascii="Times New Roman" w:hAnsi="Times New Roman"/>
          <w:sz w:val="24"/>
          <w:u w:val="single"/>
        </w:rPr>
      </w:pPr>
      <w:r>
        <w:rPr>
          <w:rFonts w:ascii="Times New Roman" w:hAnsi="Times New Roman"/>
          <w:sz w:val="24"/>
          <w:u w:val="single"/>
        </w:rPr>
        <w:t xml:space="preserve"> 31 CFR CHAPTER</w:t>
      </w:r>
      <w:r w:rsidR="00B15C00">
        <w:rPr>
          <w:rFonts w:ascii="Times New Roman" w:hAnsi="Times New Roman"/>
          <w:sz w:val="24"/>
          <w:u w:val="single"/>
        </w:rPr>
        <w:t xml:space="preserve"> </w:t>
      </w:r>
      <w:r>
        <w:rPr>
          <w:rFonts w:ascii="Times New Roman" w:hAnsi="Times New Roman"/>
          <w:sz w:val="24"/>
          <w:u w:val="single"/>
        </w:rPr>
        <w:t xml:space="preserve">X, </w:t>
      </w:r>
      <w:r w:rsidR="00833900">
        <w:rPr>
          <w:rFonts w:ascii="Times New Roman" w:hAnsi="Times New Roman"/>
          <w:sz w:val="24"/>
          <w:u w:val="single"/>
        </w:rPr>
        <w:t>1506-</w:t>
      </w:r>
      <w:r w:rsidR="00AD3801">
        <w:rPr>
          <w:rFonts w:ascii="Times New Roman" w:hAnsi="Times New Roman"/>
          <w:sz w:val="24"/>
          <w:u w:val="single"/>
        </w:rPr>
        <w:t>0074</w:t>
      </w:r>
    </w:p>
    <w:p w14:paraId="35573FC1" w14:textId="77777777" w:rsidR="00833900" w:rsidRDefault="00833900">
      <w:pPr>
        <w:rPr>
          <w:rFonts w:ascii="Times New Roman" w:hAnsi="Times New Roman"/>
          <w:sz w:val="24"/>
        </w:rPr>
      </w:pPr>
    </w:p>
    <w:p w14:paraId="6F359073" w14:textId="77777777" w:rsidR="0024158F" w:rsidRDefault="00833900">
      <w:pPr>
        <w:tabs>
          <w:tab w:val="center" w:pos="4680"/>
        </w:tabs>
        <w:rPr>
          <w:rFonts w:ascii="Times New Roman" w:hAnsi="Times New Roman"/>
          <w:sz w:val="24"/>
          <w:u w:val="single"/>
        </w:rPr>
      </w:pPr>
      <w:r>
        <w:rPr>
          <w:rFonts w:ascii="Times New Roman" w:hAnsi="Times New Roman"/>
          <w:sz w:val="24"/>
        </w:rPr>
        <w:tab/>
      </w:r>
      <w:r>
        <w:rPr>
          <w:rFonts w:ascii="Times New Roman" w:hAnsi="Times New Roman"/>
          <w:sz w:val="24"/>
          <w:u w:val="single"/>
        </w:rPr>
        <w:t xml:space="preserve">SUPPORTING </w:t>
      </w:r>
      <w:r w:rsidR="00C0784D">
        <w:rPr>
          <w:rFonts w:ascii="Times New Roman" w:hAnsi="Times New Roman"/>
          <w:sz w:val="24"/>
          <w:u w:val="single"/>
        </w:rPr>
        <w:t>STATEMENT</w:t>
      </w:r>
      <w:r w:rsidR="0080659A">
        <w:rPr>
          <w:rFonts w:ascii="Times New Roman" w:hAnsi="Times New Roman"/>
          <w:sz w:val="24"/>
          <w:u w:val="single"/>
        </w:rPr>
        <w:t xml:space="preserve"> FOR EMERGENCY PROCESSING</w:t>
      </w:r>
    </w:p>
    <w:p w14:paraId="74F37499" w14:textId="77777777" w:rsidR="007503F8" w:rsidRDefault="007503F8">
      <w:pPr>
        <w:tabs>
          <w:tab w:val="center" w:pos="4680"/>
        </w:tabs>
        <w:rPr>
          <w:rFonts w:ascii="Times New Roman" w:hAnsi="Times New Roman"/>
          <w:sz w:val="24"/>
          <w:u w:val="single"/>
        </w:rPr>
      </w:pPr>
    </w:p>
    <w:p w14:paraId="3ACD1648" w14:textId="77777777" w:rsidR="007503F8" w:rsidRPr="00CE7419" w:rsidRDefault="007503F8" w:rsidP="007503F8">
      <w:pPr>
        <w:tabs>
          <w:tab w:val="center" w:pos="4680"/>
        </w:tabs>
        <w:rPr>
          <w:rFonts w:ascii="Times New Roman" w:hAnsi="Times New Roman"/>
          <w:sz w:val="24"/>
        </w:rPr>
      </w:pPr>
      <w:r w:rsidRPr="00CE7419">
        <w:rPr>
          <w:rFonts w:ascii="Times New Roman" w:hAnsi="Times New Roman"/>
          <w:sz w:val="24"/>
          <w:u w:val="single"/>
        </w:rPr>
        <w:t xml:space="preserve">Justification for Emergency </w:t>
      </w:r>
      <w:r w:rsidR="002B6B8E" w:rsidRPr="00CE7419">
        <w:rPr>
          <w:rFonts w:ascii="Times New Roman" w:hAnsi="Times New Roman"/>
          <w:sz w:val="24"/>
          <w:u w:val="single"/>
        </w:rPr>
        <w:t>Processing</w:t>
      </w:r>
      <w:r w:rsidR="006805C4" w:rsidRPr="00CE7419">
        <w:rPr>
          <w:rFonts w:ascii="Times New Roman" w:hAnsi="Times New Roman"/>
          <w:sz w:val="24"/>
          <w:u w:val="single"/>
        </w:rPr>
        <w:t>.</w:t>
      </w:r>
    </w:p>
    <w:p w14:paraId="68DC9601" w14:textId="77777777" w:rsidR="007503F8" w:rsidRPr="001B60C7" w:rsidRDefault="007503F8" w:rsidP="007503F8">
      <w:pPr>
        <w:tabs>
          <w:tab w:val="center" w:pos="4680"/>
        </w:tabs>
        <w:rPr>
          <w:rFonts w:ascii="Times New Roman" w:hAnsi="Times New Roman"/>
          <w:sz w:val="24"/>
        </w:rPr>
      </w:pPr>
    </w:p>
    <w:p w14:paraId="717399FF" w14:textId="33652E18" w:rsidR="001B60C7" w:rsidRPr="001B60C7" w:rsidRDefault="008C7FEF" w:rsidP="001B60C7">
      <w:pPr>
        <w:pStyle w:val="CommentText"/>
        <w:ind w:firstLine="720"/>
        <w:rPr>
          <w:rFonts w:ascii="Times New Roman" w:hAnsi="Times New Roman"/>
          <w:sz w:val="24"/>
          <w:szCs w:val="24"/>
        </w:rPr>
      </w:pPr>
      <w:r w:rsidRPr="001B60C7">
        <w:rPr>
          <w:rFonts w:ascii="Times New Roman" w:hAnsi="Times New Roman"/>
          <w:sz w:val="24"/>
          <w:szCs w:val="24"/>
        </w:rPr>
        <w:t>The Financial Crimes Enforcement Network (</w:t>
      </w:r>
      <w:r w:rsidR="007503F8" w:rsidRPr="001B60C7">
        <w:rPr>
          <w:rFonts w:ascii="Times New Roman" w:hAnsi="Times New Roman"/>
          <w:sz w:val="24"/>
          <w:szCs w:val="24"/>
        </w:rPr>
        <w:t>FinCEN</w:t>
      </w:r>
      <w:r w:rsidRPr="001B60C7">
        <w:rPr>
          <w:rFonts w:ascii="Times New Roman" w:hAnsi="Times New Roman"/>
          <w:sz w:val="24"/>
          <w:szCs w:val="24"/>
        </w:rPr>
        <w:t>)</w:t>
      </w:r>
      <w:r w:rsidR="007503F8" w:rsidRPr="001B60C7">
        <w:rPr>
          <w:rFonts w:ascii="Times New Roman" w:hAnsi="Times New Roman"/>
          <w:sz w:val="24"/>
          <w:szCs w:val="24"/>
        </w:rPr>
        <w:t xml:space="preserve"> is requesting immediate emergency </w:t>
      </w:r>
      <w:r w:rsidR="002B6B8E" w:rsidRPr="001B60C7">
        <w:rPr>
          <w:rFonts w:ascii="Times New Roman" w:hAnsi="Times New Roman"/>
          <w:sz w:val="24"/>
          <w:szCs w:val="24"/>
        </w:rPr>
        <w:t>process</w:t>
      </w:r>
      <w:r w:rsidR="00835D5E" w:rsidRPr="001B60C7">
        <w:rPr>
          <w:rFonts w:ascii="Times New Roman" w:hAnsi="Times New Roman"/>
          <w:sz w:val="24"/>
          <w:szCs w:val="24"/>
        </w:rPr>
        <w:t>ing</w:t>
      </w:r>
      <w:r w:rsidR="001B60C7">
        <w:rPr>
          <w:rFonts w:ascii="Times New Roman" w:hAnsi="Times New Roman"/>
          <w:sz w:val="24"/>
          <w:szCs w:val="24"/>
        </w:rPr>
        <w:t xml:space="preserve"> of a collection </w:t>
      </w:r>
      <w:r w:rsidR="00CA1844">
        <w:rPr>
          <w:rFonts w:ascii="Times New Roman" w:hAnsi="Times New Roman"/>
          <w:sz w:val="24"/>
          <w:szCs w:val="24"/>
        </w:rPr>
        <w:t xml:space="preserve"> concerning</w:t>
      </w:r>
      <w:r w:rsidR="001B60C7">
        <w:rPr>
          <w:rFonts w:ascii="Times New Roman" w:hAnsi="Times New Roman"/>
          <w:sz w:val="24"/>
          <w:szCs w:val="24"/>
        </w:rPr>
        <w:t xml:space="preserve"> </w:t>
      </w:r>
      <w:r w:rsidR="00887E19">
        <w:rPr>
          <w:rFonts w:ascii="Times New Roman" w:hAnsi="Times New Roman"/>
          <w:sz w:val="24"/>
          <w:szCs w:val="24"/>
        </w:rPr>
        <w:t xml:space="preserve">disclosure and </w:t>
      </w:r>
      <w:r w:rsidR="001B60C7">
        <w:rPr>
          <w:rFonts w:ascii="Times New Roman" w:hAnsi="Times New Roman"/>
          <w:sz w:val="24"/>
          <w:szCs w:val="24"/>
        </w:rPr>
        <w:t>recordkeeping requirement</w:t>
      </w:r>
      <w:r w:rsidR="00CA1844">
        <w:rPr>
          <w:rFonts w:ascii="Times New Roman" w:hAnsi="Times New Roman"/>
          <w:sz w:val="24"/>
          <w:szCs w:val="24"/>
        </w:rPr>
        <w:t>s created by the promulgation of the finale rule</w:t>
      </w:r>
      <w:r w:rsidR="001B60C7">
        <w:rPr>
          <w:rFonts w:ascii="Times New Roman" w:hAnsi="Times New Roman"/>
          <w:sz w:val="24"/>
          <w:szCs w:val="24"/>
        </w:rPr>
        <w:t xml:space="preserve">  – Imposition of </w:t>
      </w:r>
      <w:r w:rsidR="001B60C7" w:rsidRPr="001B60C7">
        <w:rPr>
          <w:rFonts w:ascii="Times New Roman" w:hAnsi="Times New Roman"/>
          <w:sz w:val="24"/>
          <w:szCs w:val="24"/>
        </w:rPr>
        <w:t xml:space="preserve">Special Measure </w:t>
      </w:r>
      <w:r w:rsidR="009F499E">
        <w:rPr>
          <w:rFonts w:ascii="Times New Roman" w:hAnsi="Times New Roman"/>
          <w:sz w:val="24"/>
          <w:szCs w:val="24"/>
        </w:rPr>
        <w:t>Related to a</w:t>
      </w:r>
      <w:r w:rsidR="001B60C7" w:rsidRPr="001B60C7">
        <w:rPr>
          <w:rFonts w:ascii="Times New Roman" w:hAnsi="Times New Roman"/>
          <w:sz w:val="24"/>
          <w:szCs w:val="24"/>
        </w:rPr>
        <w:t xml:space="preserve"> </w:t>
      </w:r>
      <w:r w:rsidR="001B60C7">
        <w:rPr>
          <w:rFonts w:ascii="Times New Roman" w:hAnsi="Times New Roman"/>
          <w:sz w:val="24"/>
          <w:szCs w:val="24"/>
        </w:rPr>
        <w:t xml:space="preserve">Foreign </w:t>
      </w:r>
      <w:r w:rsidR="009F499E">
        <w:rPr>
          <w:rFonts w:ascii="Times New Roman" w:hAnsi="Times New Roman"/>
          <w:sz w:val="24"/>
          <w:szCs w:val="24"/>
        </w:rPr>
        <w:t>Jurisdiction</w:t>
      </w:r>
      <w:r w:rsidR="001B60C7" w:rsidRPr="001B60C7">
        <w:rPr>
          <w:rFonts w:ascii="Times New Roman" w:hAnsi="Times New Roman"/>
          <w:sz w:val="24"/>
          <w:szCs w:val="24"/>
        </w:rPr>
        <w:t xml:space="preserve">  of Primary Money Laundering Concern, 31 CFR Chapter X.</w:t>
      </w:r>
      <w:r w:rsidR="00A900C9">
        <w:rPr>
          <w:rFonts w:ascii="Times New Roman" w:hAnsi="Times New Roman"/>
          <w:sz w:val="24"/>
          <w:szCs w:val="24"/>
        </w:rPr>
        <w:t xml:space="preserve">  FinCEN requests that emergency processing be concluded by Friday, September 27, 2019.</w:t>
      </w:r>
    </w:p>
    <w:p w14:paraId="7AE7D294" w14:textId="77777777" w:rsidR="00D57E08" w:rsidRPr="00CE7419" w:rsidRDefault="00D57E08" w:rsidP="00C55851">
      <w:pPr>
        <w:tabs>
          <w:tab w:val="center" w:pos="4680"/>
        </w:tabs>
        <w:rPr>
          <w:rFonts w:ascii="Times New Roman" w:hAnsi="Times New Roman"/>
          <w:sz w:val="24"/>
        </w:rPr>
      </w:pPr>
    </w:p>
    <w:p w14:paraId="2A867D37" w14:textId="342E08B7" w:rsidR="004A75F9" w:rsidRPr="00887E19" w:rsidRDefault="008F35CA" w:rsidP="008F35CA">
      <w:pPr>
        <w:tabs>
          <w:tab w:val="center" w:pos="4680"/>
        </w:tabs>
        <w:ind w:firstLine="720"/>
        <w:rPr>
          <w:rFonts w:ascii="Times New Roman" w:hAnsi="Times New Roman"/>
          <w:sz w:val="24"/>
        </w:rPr>
      </w:pPr>
      <w:r>
        <w:rPr>
          <w:rFonts w:ascii="Times New Roman" w:hAnsi="Times New Roman"/>
          <w:sz w:val="24"/>
          <w:lang w:val="en"/>
        </w:rPr>
        <w:tab/>
      </w:r>
      <w:r w:rsidR="00BA662D" w:rsidRPr="00887E19">
        <w:rPr>
          <w:rFonts w:ascii="Times New Roman" w:hAnsi="Times New Roman"/>
          <w:sz w:val="24"/>
          <w:lang w:val="en"/>
        </w:rPr>
        <w:t>FinCEN</w:t>
      </w:r>
      <w:r w:rsidR="00121C66" w:rsidRPr="00887E19">
        <w:rPr>
          <w:rFonts w:ascii="Times New Roman" w:hAnsi="Times New Roman"/>
          <w:sz w:val="24"/>
          <w:lang w:val="en"/>
        </w:rPr>
        <w:t>’s mission</w:t>
      </w:r>
      <w:r w:rsidR="00BA662D" w:rsidRPr="00887E19">
        <w:rPr>
          <w:rFonts w:ascii="Times New Roman" w:hAnsi="Times New Roman"/>
          <w:sz w:val="24"/>
          <w:lang w:val="en"/>
        </w:rPr>
        <w:t xml:space="preserve"> is to safeguard the financial system from illicit use</w:t>
      </w:r>
      <w:r w:rsidR="00121C66" w:rsidRPr="00887E19">
        <w:rPr>
          <w:rFonts w:ascii="Times New Roman" w:hAnsi="Times New Roman"/>
          <w:sz w:val="24"/>
          <w:lang w:val="en"/>
        </w:rPr>
        <w:t xml:space="preserve">, to </w:t>
      </w:r>
      <w:r w:rsidR="00BA662D" w:rsidRPr="00887E19">
        <w:rPr>
          <w:rFonts w:ascii="Times New Roman" w:hAnsi="Times New Roman"/>
          <w:sz w:val="24"/>
          <w:lang w:val="en"/>
        </w:rPr>
        <w:t>combat money laundering</w:t>
      </w:r>
      <w:r w:rsidR="00121C66" w:rsidRPr="00887E19">
        <w:rPr>
          <w:rFonts w:ascii="Times New Roman" w:hAnsi="Times New Roman"/>
          <w:sz w:val="24"/>
          <w:lang w:val="en"/>
        </w:rPr>
        <w:t>,</w:t>
      </w:r>
      <w:r w:rsidR="00BA662D" w:rsidRPr="00887E19">
        <w:rPr>
          <w:rFonts w:ascii="Times New Roman" w:hAnsi="Times New Roman"/>
          <w:sz w:val="24"/>
          <w:lang w:val="en"/>
        </w:rPr>
        <w:t xml:space="preserve"> and </w:t>
      </w:r>
      <w:r w:rsidR="00121C66" w:rsidRPr="00887E19">
        <w:rPr>
          <w:rFonts w:ascii="Times New Roman" w:hAnsi="Times New Roman"/>
          <w:sz w:val="24"/>
          <w:lang w:val="en"/>
        </w:rPr>
        <w:t xml:space="preserve">to </w:t>
      </w:r>
      <w:r w:rsidR="00BA662D" w:rsidRPr="00887E19">
        <w:rPr>
          <w:rFonts w:ascii="Times New Roman" w:hAnsi="Times New Roman"/>
          <w:sz w:val="24"/>
          <w:lang w:val="en"/>
        </w:rPr>
        <w:t xml:space="preserve">promote national security through the collection, analysis, and dissemination of financial intelligence and strategic use of financial authorities. </w:t>
      </w:r>
      <w:r w:rsidR="006D6EA5" w:rsidRPr="00887E19">
        <w:rPr>
          <w:rFonts w:ascii="Times New Roman" w:hAnsi="Times New Roman"/>
          <w:sz w:val="24"/>
          <w:lang w:val="en"/>
        </w:rPr>
        <w:t xml:space="preserve"> </w:t>
      </w:r>
      <w:r w:rsidR="00863B55" w:rsidRPr="00887E19">
        <w:rPr>
          <w:rFonts w:ascii="Times New Roman" w:hAnsi="Times New Roman"/>
          <w:sz w:val="24"/>
        </w:rPr>
        <w:t xml:space="preserve">The potential misuse of </w:t>
      </w:r>
      <w:r w:rsidR="006D6EA5" w:rsidRPr="00887E19">
        <w:rPr>
          <w:rFonts w:ascii="Times New Roman" w:hAnsi="Times New Roman"/>
          <w:sz w:val="24"/>
        </w:rPr>
        <w:t>the U.S. financial system</w:t>
      </w:r>
      <w:r w:rsidR="00863B55" w:rsidRPr="00887E19">
        <w:rPr>
          <w:rFonts w:ascii="Times New Roman" w:hAnsi="Times New Roman"/>
          <w:sz w:val="24"/>
        </w:rPr>
        <w:t xml:space="preserve"> to evade domestic criminal, tax, and regulatory laws has been a long-held congressional and law enforcement concern.</w:t>
      </w:r>
      <w:r w:rsidR="00CA1844">
        <w:rPr>
          <w:rFonts w:ascii="Times New Roman" w:hAnsi="Times New Roman"/>
          <w:sz w:val="24"/>
        </w:rPr>
        <w:t xml:space="preserve"> </w:t>
      </w:r>
      <w:r w:rsidR="00CA1844">
        <w:rPr>
          <w:rFonts w:ascii="Times New Roman" w:hAnsi="Times New Roman"/>
          <w:i/>
          <w:sz w:val="24"/>
        </w:rPr>
        <w:t>See</w:t>
      </w:r>
      <w:r w:rsidR="00CA1844">
        <w:rPr>
          <w:rFonts w:ascii="Times New Roman" w:hAnsi="Times New Roman"/>
          <w:sz w:val="24"/>
        </w:rPr>
        <w:t xml:space="preserve"> 31 U.S.C.</w:t>
      </w:r>
      <w:r w:rsidR="00CA1844" w:rsidRPr="00CA1844">
        <w:rPr>
          <w:rFonts w:ascii="Times New Roman" w:hAnsi="Times New Roman"/>
          <w:sz w:val="24"/>
        </w:rPr>
        <w:t xml:space="preserve"> § 5311</w:t>
      </w:r>
      <w:r w:rsidR="00A900C9">
        <w:rPr>
          <w:rFonts w:ascii="Times New Roman" w:hAnsi="Times New Roman"/>
          <w:sz w:val="24"/>
        </w:rPr>
        <w:t xml:space="preserve">  The instant matter involves a</w:t>
      </w:r>
      <w:r w:rsidR="00F00B10">
        <w:rPr>
          <w:rFonts w:ascii="Times New Roman" w:hAnsi="Times New Roman"/>
          <w:sz w:val="24"/>
        </w:rPr>
        <w:t xml:space="preserve"> top national security priority  and will further U.S. foreign policy goals.</w:t>
      </w:r>
      <w:r w:rsidR="00863B55" w:rsidRPr="00887E19">
        <w:rPr>
          <w:rFonts w:ascii="Times New Roman" w:hAnsi="Times New Roman"/>
          <w:sz w:val="24"/>
        </w:rPr>
        <w:t xml:space="preserve">   </w:t>
      </w:r>
      <w:r w:rsidR="00137535" w:rsidRPr="00887E19">
        <w:rPr>
          <w:rFonts w:ascii="Times New Roman" w:hAnsi="Times New Roman"/>
          <w:sz w:val="24"/>
        </w:rPr>
        <w:t xml:space="preserve"> </w:t>
      </w:r>
    </w:p>
    <w:p w14:paraId="047E6DCB" w14:textId="77777777" w:rsidR="004A75F9" w:rsidRDefault="004A75F9" w:rsidP="00CE7419">
      <w:pPr>
        <w:tabs>
          <w:tab w:val="center" w:pos="4680"/>
        </w:tabs>
        <w:rPr>
          <w:rFonts w:ascii="Times New Roman" w:hAnsi="Times New Roman"/>
          <w:sz w:val="24"/>
        </w:rPr>
      </w:pPr>
    </w:p>
    <w:p w14:paraId="0146AAD0" w14:textId="543977C6" w:rsidR="00887E19" w:rsidRDefault="00627180" w:rsidP="00887E19">
      <w:pPr>
        <w:spacing w:after="160"/>
        <w:ind w:firstLine="720"/>
        <w:contextualSpacing/>
        <w:rPr>
          <w:rFonts w:ascii="Times New Roman" w:hAnsi="Times New Roman"/>
          <w:sz w:val="24"/>
        </w:rPr>
      </w:pPr>
      <w:r w:rsidRPr="00654987">
        <w:rPr>
          <w:rFonts w:ascii="Times New Roman" w:hAnsi="Times New Roman"/>
          <w:sz w:val="24"/>
        </w:rPr>
        <w:t xml:space="preserve">FinCEN has determined that a </w:t>
      </w:r>
      <w:r w:rsidR="00B948AB">
        <w:rPr>
          <w:rFonts w:ascii="Times New Roman" w:hAnsi="Times New Roman"/>
          <w:sz w:val="24"/>
        </w:rPr>
        <w:t xml:space="preserve">foreign </w:t>
      </w:r>
      <w:r w:rsidRPr="00654987">
        <w:rPr>
          <w:rFonts w:ascii="Times New Roman" w:hAnsi="Times New Roman"/>
          <w:sz w:val="24"/>
        </w:rPr>
        <w:t xml:space="preserve">jurisdiction </w:t>
      </w:r>
      <w:r w:rsidR="00B948AB">
        <w:rPr>
          <w:rFonts w:ascii="Times New Roman" w:hAnsi="Times New Roman"/>
          <w:sz w:val="24"/>
        </w:rPr>
        <w:t xml:space="preserve">is </w:t>
      </w:r>
      <w:r w:rsidRPr="00654987">
        <w:rPr>
          <w:rFonts w:ascii="Times New Roman" w:hAnsi="Times New Roman"/>
          <w:sz w:val="24"/>
        </w:rPr>
        <w:t xml:space="preserve">of primary money laundering concern, and that the imposition of the special measure selected ‒ </w:t>
      </w:r>
      <w:r w:rsidR="00B948AB">
        <w:rPr>
          <w:rFonts w:ascii="Times New Roman" w:hAnsi="Times New Roman"/>
          <w:sz w:val="24"/>
        </w:rPr>
        <w:t xml:space="preserve">restricting </w:t>
      </w:r>
      <w:r w:rsidRPr="00654987">
        <w:rPr>
          <w:rFonts w:ascii="Times New Roman" w:hAnsi="Times New Roman"/>
          <w:sz w:val="24"/>
        </w:rPr>
        <w:t xml:space="preserve">domestic financial institutions from maintaining foreign correspondent accounts with </w:t>
      </w:r>
      <w:r w:rsidR="00B948AB">
        <w:rPr>
          <w:rFonts w:ascii="Times New Roman" w:hAnsi="Times New Roman"/>
          <w:sz w:val="24"/>
        </w:rPr>
        <w:t xml:space="preserve">the </w:t>
      </w:r>
      <w:r w:rsidRPr="00654987">
        <w:rPr>
          <w:rFonts w:ascii="Times New Roman" w:hAnsi="Times New Roman"/>
          <w:sz w:val="24"/>
        </w:rPr>
        <w:t xml:space="preserve">foreign </w:t>
      </w:r>
      <w:r w:rsidR="00B948AB">
        <w:rPr>
          <w:rFonts w:ascii="Times New Roman" w:hAnsi="Times New Roman"/>
          <w:sz w:val="24"/>
        </w:rPr>
        <w:t>jurisdiction</w:t>
      </w:r>
      <w:r w:rsidR="00EB5954">
        <w:rPr>
          <w:rFonts w:ascii="Times New Roman" w:hAnsi="Times New Roman"/>
          <w:sz w:val="24"/>
        </w:rPr>
        <w:t>’s financial institutions</w:t>
      </w:r>
      <w:r w:rsidR="00335A49">
        <w:rPr>
          <w:rFonts w:ascii="Times New Roman" w:hAnsi="Times New Roman"/>
          <w:sz w:val="24"/>
        </w:rPr>
        <w:t xml:space="preserve"> </w:t>
      </w:r>
      <w:r w:rsidR="00335A49" w:rsidRPr="00335A49">
        <w:rPr>
          <w:rFonts w:ascii="Times New Roman" w:hAnsi="Times New Roman"/>
          <w:sz w:val="24"/>
        </w:rPr>
        <w:t>31 U.S. Code § 5318A</w:t>
      </w:r>
      <w:r w:rsidR="00335A49">
        <w:rPr>
          <w:rFonts w:ascii="Times New Roman" w:hAnsi="Times New Roman"/>
          <w:sz w:val="24"/>
        </w:rPr>
        <w:t xml:space="preserve">(b)(5) </w:t>
      </w:r>
      <w:r w:rsidRPr="00654987">
        <w:rPr>
          <w:rFonts w:ascii="Times New Roman" w:hAnsi="Times New Roman"/>
          <w:sz w:val="24"/>
        </w:rPr>
        <w:t xml:space="preserve"> - is a necessary step to ensure it is not able to access the U.S. financial system for terrorist financing or money laundering, or for any other illicit purpose.  FinCEN has determined that this particular foreign </w:t>
      </w:r>
      <w:r w:rsidR="00B948AB">
        <w:rPr>
          <w:rFonts w:ascii="Times New Roman" w:hAnsi="Times New Roman"/>
          <w:sz w:val="24"/>
        </w:rPr>
        <w:t xml:space="preserve">jurisdiction </w:t>
      </w:r>
      <w:r w:rsidR="00654987" w:rsidRPr="00654987">
        <w:rPr>
          <w:rFonts w:ascii="Times New Roman" w:hAnsi="Times New Roman"/>
          <w:sz w:val="24"/>
        </w:rPr>
        <w:t xml:space="preserve">is </w:t>
      </w:r>
      <w:r w:rsidRPr="00654987">
        <w:rPr>
          <w:rFonts w:ascii="Times New Roman" w:hAnsi="Times New Roman"/>
          <w:sz w:val="24"/>
        </w:rPr>
        <w:t>of immediate concern, and ensuring</w:t>
      </w:r>
      <w:r w:rsidR="00EB5954">
        <w:rPr>
          <w:rFonts w:ascii="Times New Roman" w:hAnsi="Times New Roman"/>
          <w:sz w:val="24"/>
        </w:rPr>
        <w:t xml:space="preserve"> that</w:t>
      </w:r>
      <w:r w:rsidRPr="00654987">
        <w:rPr>
          <w:rFonts w:ascii="Times New Roman" w:hAnsi="Times New Roman"/>
          <w:sz w:val="24"/>
        </w:rPr>
        <w:t xml:space="preserve"> </w:t>
      </w:r>
      <w:r w:rsidR="00654987" w:rsidRPr="00654987">
        <w:rPr>
          <w:rFonts w:ascii="Times New Roman" w:hAnsi="Times New Roman"/>
          <w:sz w:val="24"/>
        </w:rPr>
        <w:t xml:space="preserve">the foreign </w:t>
      </w:r>
      <w:r w:rsidR="00B948AB">
        <w:rPr>
          <w:rFonts w:ascii="Times New Roman" w:hAnsi="Times New Roman"/>
          <w:sz w:val="24"/>
        </w:rPr>
        <w:t>jurisdiction</w:t>
      </w:r>
      <w:r w:rsidR="00EB5954">
        <w:rPr>
          <w:rFonts w:ascii="Times New Roman" w:hAnsi="Times New Roman"/>
          <w:sz w:val="24"/>
        </w:rPr>
        <w:t>’s financial institutions are</w:t>
      </w:r>
      <w:r w:rsidR="00654987" w:rsidRPr="00654987">
        <w:rPr>
          <w:rFonts w:ascii="Times New Roman" w:hAnsi="Times New Roman"/>
          <w:sz w:val="24"/>
        </w:rPr>
        <w:t xml:space="preserve"> denied access to the U.S. financial system must be done as soon as possible.  Public harm is reasonably likely if normal clearance procedures </w:t>
      </w:r>
      <w:r w:rsidR="00335A49">
        <w:rPr>
          <w:rFonts w:ascii="Times New Roman" w:hAnsi="Times New Roman"/>
          <w:sz w:val="24"/>
        </w:rPr>
        <w:t>were</w:t>
      </w:r>
      <w:r w:rsidR="00654987" w:rsidRPr="00654987">
        <w:rPr>
          <w:rFonts w:ascii="Times New Roman" w:hAnsi="Times New Roman"/>
          <w:sz w:val="24"/>
        </w:rPr>
        <w:t xml:space="preserve"> followed</w:t>
      </w:r>
      <w:r w:rsidR="00887E19">
        <w:rPr>
          <w:rFonts w:ascii="Times New Roman" w:hAnsi="Times New Roman"/>
          <w:sz w:val="24"/>
        </w:rPr>
        <w:t>.</w:t>
      </w:r>
    </w:p>
    <w:p w14:paraId="0F13AB88" w14:textId="77777777" w:rsidR="00627180" w:rsidRPr="00887E19" w:rsidRDefault="00654987" w:rsidP="00887E19">
      <w:pPr>
        <w:spacing w:after="160"/>
        <w:contextualSpacing/>
        <w:rPr>
          <w:rFonts w:ascii="Times New Roman" w:hAnsi="Times New Roman"/>
          <w:sz w:val="24"/>
        </w:rPr>
      </w:pPr>
      <w:r>
        <w:rPr>
          <w:sz w:val="24"/>
        </w:rPr>
        <w:tab/>
      </w:r>
    </w:p>
    <w:p w14:paraId="00A83C34" w14:textId="293FF418" w:rsidR="00627180" w:rsidRDefault="00627180" w:rsidP="00654987">
      <w:pPr>
        <w:widowControl/>
        <w:autoSpaceDE/>
        <w:autoSpaceDN/>
        <w:adjustRightInd/>
        <w:ind w:firstLine="720"/>
        <w:rPr>
          <w:rFonts w:ascii="Times New Roman" w:hAnsi="Times New Roman"/>
          <w:sz w:val="24"/>
        </w:rPr>
      </w:pPr>
      <w:r w:rsidRPr="00CE7419">
        <w:rPr>
          <w:rFonts w:ascii="Times New Roman" w:hAnsi="Times New Roman"/>
          <w:sz w:val="24"/>
        </w:rPr>
        <w:t xml:space="preserve">The collection of information in the rule relates to both disclosure and recordkeeping.  The information required to be disclosed by domestic financial institutions to a third-party‒i.e., a one-time notice to correspondent account holders‒is intended to ensure cooperation from correspondent account holders in denying access to the U.S. financial system, as well as to increase awareness within the international financial community of the anti-money laundering (AML) risks and deficiencies associated with </w:t>
      </w:r>
      <w:r w:rsidR="00B948AB">
        <w:rPr>
          <w:rFonts w:ascii="Times New Roman" w:hAnsi="Times New Roman"/>
          <w:sz w:val="24"/>
        </w:rPr>
        <w:t xml:space="preserve">the </w:t>
      </w:r>
      <w:r w:rsidRPr="00F14C0F">
        <w:rPr>
          <w:rFonts w:ascii="Times New Roman" w:hAnsi="Times New Roman"/>
          <w:sz w:val="24"/>
        </w:rPr>
        <w:t xml:space="preserve">foreign </w:t>
      </w:r>
      <w:r w:rsidR="00B948AB">
        <w:rPr>
          <w:rFonts w:ascii="Times New Roman" w:hAnsi="Times New Roman"/>
          <w:sz w:val="24"/>
        </w:rPr>
        <w:t>jurisdiction</w:t>
      </w:r>
      <w:r w:rsidR="00654987">
        <w:rPr>
          <w:rFonts w:ascii="Times New Roman" w:hAnsi="Times New Roman"/>
          <w:sz w:val="24"/>
        </w:rPr>
        <w:t xml:space="preserve">.  The inability to require financial institutions </w:t>
      </w:r>
      <w:r w:rsidRPr="00CE7419">
        <w:rPr>
          <w:rFonts w:ascii="Times New Roman" w:hAnsi="Times New Roman"/>
          <w:sz w:val="24"/>
        </w:rPr>
        <w:t>to t</w:t>
      </w:r>
      <w:r w:rsidR="00654987">
        <w:rPr>
          <w:rFonts w:ascii="Times New Roman" w:hAnsi="Times New Roman"/>
          <w:sz w:val="24"/>
        </w:rPr>
        <w:t>ransmit such notice</w:t>
      </w:r>
      <w:r w:rsidRPr="00CE7419">
        <w:rPr>
          <w:rFonts w:ascii="Times New Roman" w:hAnsi="Times New Roman"/>
          <w:sz w:val="24"/>
        </w:rPr>
        <w:t xml:space="preserve"> </w:t>
      </w:r>
      <w:r w:rsidR="00654987">
        <w:rPr>
          <w:rFonts w:ascii="Times New Roman" w:hAnsi="Times New Roman"/>
          <w:sz w:val="24"/>
        </w:rPr>
        <w:t xml:space="preserve">in a timely manner </w:t>
      </w:r>
      <w:r w:rsidR="00335A49">
        <w:rPr>
          <w:rFonts w:ascii="Times New Roman" w:hAnsi="Times New Roman"/>
          <w:sz w:val="24"/>
        </w:rPr>
        <w:t>would</w:t>
      </w:r>
      <w:r w:rsidR="00654987">
        <w:rPr>
          <w:rFonts w:ascii="Times New Roman" w:hAnsi="Times New Roman"/>
          <w:sz w:val="24"/>
        </w:rPr>
        <w:t xml:space="preserve"> delay</w:t>
      </w:r>
      <w:r w:rsidR="00887E19">
        <w:rPr>
          <w:rFonts w:ascii="Times New Roman" w:hAnsi="Times New Roman"/>
          <w:sz w:val="24"/>
        </w:rPr>
        <w:t xml:space="preserve"> </w:t>
      </w:r>
      <w:r w:rsidR="00B948AB">
        <w:rPr>
          <w:rFonts w:ascii="Times New Roman" w:hAnsi="Times New Roman"/>
          <w:sz w:val="24"/>
        </w:rPr>
        <w:t xml:space="preserve">FinCEN’s </w:t>
      </w:r>
      <w:r w:rsidR="00887E19">
        <w:rPr>
          <w:rFonts w:ascii="Times New Roman" w:hAnsi="Times New Roman"/>
          <w:sz w:val="24"/>
        </w:rPr>
        <w:t xml:space="preserve">ability to </w:t>
      </w:r>
      <w:r w:rsidR="00B948AB">
        <w:rPr>
          <w:rFonts w:ascii="Times New Roman" w:hAnsi="Times New Roman"/>
          <w:sz w:val="24"/>
        </w:rPr>
        <w:t xml:space="preserve">protect </w:t>
      </w:r>
      <w:r w:rsidR="00654987">
        <w:rPr>
          <w:rFonts w:ascii="Times New Roman" w:hAnsi="Times New Roman"/>
          <w:sz w:val="24"/>
        </w:rPr>
        <w:t>the U.S. financial system.  For th</w:t>
      </w:r>
      <w:r w:rsidR="00335A49">
        <w:rPr>
          <w:rFonts w:ascii="Times New Roman" w:hAnsi="Times New Roman"/>
          <w:sz w:val="24"/>
        </w:rPr>
        <w:t>is</w:t>
      </w:r>
      <w:r w:rsidR="00654987">
        <w:rPr>
          <w:rFonts w:ascii="Times New Roman" w:hAnsi="Times New Roman"/>
          <w:sz w:val="24"/>
        </w:rPr>
        <w:t xml:space="preserve"> reason, norm</w:t>
      </w:r>
      <w:r w:rsidR="00887E19">
        <w:rPr>
          <w:rFonts w:ascii="Times New Roman" w:hAnsi="Times New Roman"/>
          <w:sz w:val="24"/>
        </w:rPr>
        <w:t xml:space="preserve">al clearance procedures cannot </w:t>
      </w:r>
      <w:r w:rsidR="00654987">
        <w:rPr>
          <w:rFonts w:ascii="Times New Roman" w:hAnsi="Times New Roman"/>
          <w:sz w:val="24"/>
        </w:rPr>
        <w:t xml:space="preserve">be </w:t>
      </w:r>
      <w:r w:rsidR="00641D0D">
        <w:rPr>
          <w:rFonts w:ascii="Times New Roman" w:hAnsi="Times New Roman"/>
          <w:sz w:val="24"/>
        </w:rPr>
        <w:t>f</w:t>
      </w:r>
      <w:r w:rsidR="00654987">
        <w:rPr>
          <w:rFonts w:ascii="Times New Roman" w:hAnsi="Times New Roman"/>
          <w:sz w:val="24"/>
        </w:rPr>
        <w:t xml:space="preserve">ollowed.  </w:t>
      </w:r>
    </w:p>
    <w:p w14:paraId="511A53EB" w14:textId="77777777" w:rsidR="00627180" w:rsidRDefault="00627180" w:rsidP="00627180">
      <w:pPr>
        <w:pStyle w:val="CommentText"/>
        <w:ind w:firstLine="720"/>
        <w:rPr>
          <w:rFonts w:ascii="Times New Roman" w:hAnsi="Times New Roman"/>
          <w:sz w:val="24"/>
          <w:szCs w:val="24"/>
        </w:rPr>
      </w:pPr>
    </w:p>
    <w:p w14:paraId="7A124954" w14:textId="77777777" w:rsidR="00A473D7" w:rsidRPr="00627180" w:rsidRDefault="00627180" w:rsidP="00887E19">
      <w:pPr>
        <w:pStyle w:val="CommentText"/>
        <w:ind w:firstLine="720"/>
      </w:pPr>
      <w:r w:rsidRPr="00CE7419">
        <w:rPr>
          <w:rFonts w:ascii="Times New Roman" w:hAnsi="Times New Roman"/>
          <w:sz w:val="24"/>
          <w:szCs w:val="24"/>
        </w:rPr>
        <w:t xml:space="preserve"> </w:t>
      </w:r>
      <w:r w:rsidR="00835D5E" w:rsidRPr="00627180">
        <w:rPr>
          <w:rFonts w:ascii="Times New Roman" w:hAnsi="Times New Roman"/>
          <w:sz w:val="24"/>
        </w:rPr>
        <w:t>Because this rule involves a foreign affairs function, the provision</w:t>
      </w:r>
      <w:r w:rsidR="003436F1">
        <w:rPr>
          <w:rFonts w:ascii="Times New Roman" w:hAnsi="Times New Roman"/>
          <w:sz w:val="24"/>
        </w:rPr>
        <w:t>s</w:t>
      </w:r>
      <w:r w:rsidR="00835D5E" w:rsidRPr="00627180">
        <w:rPr>
          <w:rFonts w:ascii="Times New Roman" w:hAnsi="Times New Roman"/>
          <w:sz w:val="24"/>
        </w:rPr>
        <w:t xml:space="preserve"> of Executive Order 12866 and the Administrative Procedures Act (APA) requiring notice of proposed rulemaking, opportunity for public participation, and delay in effective date, as well as the provisions of </w:t>
      </w:r>
      <w:r w:rsidR="00835D5E" w:rsidRPr="00627180">
        <w:rPr>
          <w:rFonts w:ascii="Times New Roman" w:hAnsi="Times New Roman"/>
          <w:sz w:val="24"/>
        </w:rPr>
        <w:lastRenderedPageBreak/>
        <w:t xml:space="preserve">Executive Order 13771, are inapplicable.  Because no notice of proposed rulemaking is required for this rule, the Regulatory Flexibility Act (RFA) (5 U.S.C. 601-612) </w:t>
      </w:r>
      <w:r w:rsidR="00EA1572">
        <w:rPr>
          <w:rFonts w:ascii="Times New Roman" w:hAnsi="Times New Roman"/>
          <w:sz w:val="24"/>
        </w:rPr>
        <w:t xml:space="preserve">also </w:t>
      </w:r>
      <w:r w:rsidR="00835D5E" w:rsidRPr="00627180">
        <w:rPr>
          <w:rFonts w:ascii="Times New Roman" w:hAnsi="Times New Roman"/>
          <w:sz w:val="24"/>
        </w:rPr>
        <w:t>does not apply.</w:t>
      </w:r>
      <w:r w:rsidR="00547822" w:rsidRPr="00627180">
        <w:rPr>
          <w:rFonts w:ascii="Times New Roman" w:hAnsi="Times New Roman"/>
          <w:sz w:val="24"/>
        </w:rPr>
        <w:t xml:space="preserve"> </w:t>
      </w:r>
      <w:r w:rsidR="00863B55" w:rsidRPr="00627180">
        <w:t xml:space="preserve">  </w:t>
      </w:r>
    </w:p>
    <w:p w14:paraId="2A941F3E" w14:textId="77777777" w:rsidR="003436F1" w:rsidRDefault="003436F1" w:rsidP="00C55851">
      <w:pPr>
        <w:tabs>
          <w:tab w:val="center" w:pos="4680"/>
        </w:tabs>
        <w:rPr>
          <w:rFonts w:ascii="Times New Roman" w:hAnsi="Times New Roman"/>
          <w:sz w:val="24"/>
        </w:rPr>
      </w:pPr>
    </w:p>
    <w:p w14:paraId="0F7F4D97" w14:textId="77777777" w:rsidR="00F81301" w:rsidRPr="00CE7419" w:rsidRDefault="00E46B40" w:rsidP="00C55851">
      <w:pPr>
        <w:tabs>
          <w:tab w:val="center" w:pos="4680"/>
        </w:tabs>
        <w:rPr>
          <w:rFonts w:ascii="Times New Roman" w:hAnsi="Times New Roman"/>
          <w:sz w:val="24"/>
        </w:rPr>
      </w:pPr>
      <w:r w:rsidRPr="00CE7419">
        <w:rPr>
          <w:rFonts w:ascii="Times New Roman" w:hAnsi="Times New Roman"/>
          <w:sz w:val="24"/>
        </w:rPr>
        <w:t>1</w:t>
      </w:r>
      <w:r w:rsidR="003A48F5" w:rsidRPr="00CE7419">
        <w:rPr>
          <w:rFonts w:ascii="Times New Roman" w:hAnsi="Times New Roman"/>
          <w:sz w:val="24"/>
        </w:rPr>
        <w:t xml:space="preserve">. </w:t>
      </w:r>
      <w:r w:rsidR="00F81301" w:rsidRPr="00CE7419">
        <w:rPr>
          <w:rFonts w:ascii="Times New Roman" w:hAnsi="Times New Roman"/>
          <w:sz w:val="24"/>
          <w:u w:val="single"/>
        </w:rPr>
        <w:t>Circumstances Necessitating Collection of Information</w:t>
      </w:r>
      <w:r w:rsidR="006805C4" w:rsidRPr="00CE7419">
        <w:rPr>
          <w:rFonts w:ascii="Times New Roman" w:hAnsi="Times New Roman"/>
          <w:sz w:val="24"/>
          <w:u w:val="single"/>
        </w:rPr>
        <w:t>.</w:t>
      </w:r>
      <w:r w:rsidR="00F81301" w:rsidRPr="00CE7419">
        <w:rPr>
          <w:rFonts w:ascii="Times New Roman" w:hAnsi="Times New Roman"/>
          <w:sz w:val="24"/>
        </w:rPr>
        <w:t xml:space="preserve"> </w:t>
      </w:r>
    </w:p>
    <w:p w14:paraId="21D058F2" w14:textId="77777777" w:rsidR="00833900" w:rsidRPr="00CE7419" w:rsidRDefault="00833900" w:rsidP="00CE7419">
      <w:pPr>
        <w:rPr>
          <w:rFonts w:ascii="Times New Roman" w:hAnsi="Times New Roman"/>
          <w:sz w:val="24"/>
        </w:rPr>
      </w:pPr>
    </w:p>
    <w:p w14:paraId="50F11381" w14:textId="77777777" w:rsidR="00B15C00" w:rsidRPr="00CE7419" w:rsidRDefault="00B15C00" w:rsidP="00CE7419">
      <w:pPr>
        <w:pStyle w:val="BodyTextIndent2"/>
        <w:rPr>
          <w:sz w:val="24"/>
        </w:rPr>
      </w:pPr>
      <w:r w:rsidRPr="00CE7419">
        <w:rPr>
          <w:sz w:val="24"/>
        </w:rPr>
        <w:t xml:space="preserve">The BSA, Titles I and II of Pub. L. 91-508, as amended, codified at 12 U.S.C. 1829, 12 U.S.C. 1951-1959, and 31 U.S.C. 5311-5330, authorizes the Secretary of the Treasury (the Secretary), among other things, to issue regulations requiring records and reports that are determined to have a high degree of usefulness in criminal, tax, and regulatory investigations and proceedings.  Regulations implementing Title II of the BSA, (codified at 31 U.S.C. 5311-5330) appear at 31 CFR Chapter X.  The authority of the Secretary to administer the BSA has been delegated to the Director of FinCEN.  </w:t>
      </w:r>
    </w:p>
    <w:p w14:paraId="4B8622AA" w14:textId="77777777" w:rsidR="00B15C00" w:rsidRPr="00CE7419" w:rsidRDefault="00B15C00" w:rsidP="00CE7419">
      <w:pPr>
        <w:pStyle w:val="BodyTextIndent2"/>
        <w:rPr>
          <w:sz w:val="24"/>
        </w:rPr>
      </w:pPr>
    </w:p>
    <w:p w14:paraId="73ECB5B0" w14:textId="77777777" w:rsidR="00CE7419" w:rsidRPr="00CE7419" w:rsidRDefault="00CE7419" w:rsidP="00887E19">
      <w:pPr>
        <w:pStyle w:val="BodyTextIndent2"/>
        <w:rPr>
          <w:sz w:val="24"/>
        </w:rPr>
      </w:pPr>
      <w:r w:rsidRPr="00CE7419">
        <w:rPr>
          <w:sz w:val="24"/>
        </w:rPr>
        <w:t xml:space="preserve">FinCEN </w:t>
      </w:r>
      <w:r>
        <w:rPr>
          <w:sz w:val="24"/>
        </w:rPr>
        <w:t xml:space="preserve">is </w:t>
      </w:r>
      <w:r w:rsidRPr="00CE7419">
        <w:rPr>
          <w:sz w:val="24"/>
        </w:rPr>
        <w:t xml:space="preserve">issuing a final rule under the authority of section 5318A of Title 31, United States Code, to impose a special measure against a Jurisdiction of Primary Money Laundering Concern.  FinCEN has determined that a jurisdiction </w:t>
      </w:r>
      <w:r w:rsidR="004B303D">
        <w:rPr>
          <w:sz w:val="24"/>
        </w:rPr>
        <w:t xml:space="preserve">is </w:t>
      </w:r>
      <w:r w:rsidRPr="00CE7419">
        <w:rPr>
          <w:sz w:val="24"/>
        </w:rPr>
        <w:t xml:space="preserve">of primary money laundering concern, and that the imposition of the special measure selected ‒ </w:t>
      </w:r>
      <w:r w:rsidR="006F38A7">
        <w:rPr>
          <w:sz w:val="24"/>
        </w:rPr>
        <w:t>restricting</w:t>
      </w:r>
      <w:r w:rsidRPr="00CE7419">
        <w:rPr>
          <w:sz w:val="24"/>
        </w:rPr>
        <w:t xml:space="preserve"> domestic financial institutions from maintaining foreign correspondent accounts with </w:t>
      </w:r>
      <w:r w:rsidR="00F12FA3">
        <w:rPr>
          <w:sz w:val="24"/>
        </w:rPr>
        <w:t xml:space="preserve">a </w:t>
      </w:r>
      <w:r w:rsidR="001B60C7">
        <w:rPr>
          <w:sz w:val="24"/>
        </w:rPr>
        <w:t xml:space="preserve">foreign </w:t>
      </w:r>
      <w:r w:rsidR="00114949">
        <w:rPr>
          <w:sz w:val="24"/>
        </w:rPr>
        <w:t>juris</w:t>
      </w:r>
      <w:r w:rsidR="00A93238">
        <w:rPr>
          <w:sz w:val="24"/>
        </w:rPr>
        <w:t>diction</w:t>
      </w:r>
      <w:r w:rsidR="000E4695">
        <w:rPr>
          <w:sz w:val="24"/>
        </w:rPr>
        <w:t xml:space="preserve"> 31 U.S.C. 5318(b)(5)</w:t>
      </w:r>
      <w:r w:rsidRPr="00CE7419">
        <w:rPr>
          <w:sz w:val="24"/>
        </w:rPr>
        <w:t xml:space="preserve"> - is a necessary step to ensure it is not able to access the U.S. financial system for terrorist financing or money laundering, or for any other illicit purpose</w:t>
      </w:r>
    </w:p>
    <w:p w14:paraId="5B030A49" w14:textId="77777777" w:rsidR="00833900" w:rsidRPr="00CE7419" w:rsidRDefault="00833900" w:rsidP="00C55851">
      <w:pPr>
        <w:rPr>
          <w:rFonts w:ascii="Times New Roman" w:hAnsi="Times New Roman"/>
          <w:sz w:val="24"/>
        </w:rPr>
      </w:pPr>
    </w:p>
    <w:p w14:paraId="1EAE7B59" w14:textId="77777777" w:rsidR="00F81301" w:rsidRPr="00CE7419" w:rsidRDefault="00E46B40" w:rsidP="00C55851">
      <w:pPr>
        <w:rPr>
          <w:rFonts w:ascii="Times New Roman" w:hAnsi="Times New Roman"/>
          <w:sz w:val="24"/>
          <w:u w:val="single"/>
        </w:rPr>
      </w:pPr>
      <w:r w:rsidRPr="00CE7419">
        <w:rPr>
          <w:rFonts w:ascii="Times New Roman" w:hAnsi="Times New Roman"/>
          <w:sz w:val="24"/>
        </w:rPr>
        <w:t>2</w:t>
      </w:r>
      <w:r w:rsidR="00DC128E" w:rsidRPr="00CE7419">
        <w:rPr>
          <w:rFonts w:ascii="Times New Roman" w:hAnsi="Times New Roman"/>
          <w:sz w:val="24"/>
        </w:rPr>
        <w:t>.</w:t>
      </w:r>
      <w:r w:rsidR="00833900" w:rsidRPr="00CE7419">
        <w:rPr>
          <w:rFonts w:ascii="Times New Roman" w:hAnsi="Times New Roman"/>
          <w:sz w:val="24"/>
        </w:rPr>
        <w:t xml:space="preserve">  </w:t>
      </w:r>
      <w:r w:rsidR="00F81301" w:rsidRPr="00CE7419">
        <w:rPr>
          <w:rFonts w:ascii="Times New Roman" w:hAnsi="Times New Roman"/>
          <w:sz w:val="24"/>
          <w:u w:val="single"/>
        </w:rPr>
        <w:t>Method of Collection and Use of Data.</w:t>
      </w:r>
    </w:p>
    <w:p w14:paraId="26BEBD3B" w14:textId="77777777" w:rsidR="00F81301" w:rsidRPr="00CE7419" w:rsidRDefault="00F81301" w:rsidP="00CE7419">
      <w:pPr>
        <w:rPr>
          <w:rFonts w:ascii="Times New Roman" w:hAnsi="Times New Roman"/>
          <w:sz w:val="24"/>
          <w:u w:val="single"/>
        </w:rPr>
      </w:pPr>
    </w:p>
    <w:p w14:paraId="7E6E473D" w14:textId="5B307E97" w:rsidR="00EC272C" w:rsidRPr="00CE7419" w:rsidRDefault="00EC272C" w:rsidP="00CE7419">
      <w:pPr>
        <w:widowControl/>
        <w:autoSpaceDE/>
        <w:autoSpaceDN/>
        <w:adjustRightInd/>
        <w:ind w:firstLine="720"/>
        <w:rPr>
          <w:rFonts w:ascii="Times New Roman" w:hAnsi="Times New Roman"/>
          <w:sz w:val="24"/>
        </w:rPr>
      </w:pPr>
      <w:r w:rsidRPr="00CE7419">
        <w:rPr>
          <w:rFonts w:ascii="Times New Roman" w:hAnsi="Times New Roman"/>
          <w:sz w:val="24"/>
        </w:rPr>
        <w:t>The collection of information in the rule relates to both disclosure and recordkeeping</w:t>
      </w:r>
      <w:r w:rsidR="000E4695">
        <w:rPr>
          <w:rFonts w:ascii="Times New Roman" w:hAnsi="Times New Roman"/>
          <w:sz w:val="24"/>
        </w:rPr>
        <w:t xml:space="preserve"> requirements</w:t>
      </w:r>
      <w:r w:rsidRPr="00CE7419">
        <w:rPr>
          <w:rFonts w:ascii="Times New Roman" w:hAnsi="Times New Roman"/>
          <w:sz w:val="24"/>
        </w:rPr>
        <w:t>.  The information required to be disclosed by domestic financial institutions to a third-party‒i.e., a one-time notice to correspondent account holders‒is intended to ensure cooperation from correspondent account holders in denying</w:t>
      </w:r>
      <w:r w:rsidR="000E4695">
        <w:rPr>
          <w:rFonts w:ascii="Times New Roman" w:hAnsi="Times New Roman"/>
          <w:sz w:val="24"/>
        </w:rPr>
        <w:t xml:space="preserve"> the identified jurisdiction</w:t>
      </w:r>
      <w:r w:rsidRPr="00CE7419">
        <w:rPr>
          <w:rFonts w:ascii="Times New Roman" w:hAnsi="Times New Roman"/>
          <w:sz w:val="24"/>
        </w:rPr>
        <w:t xml:space="preserve"> access to the U.S. financial system, as well as to increase awareness within the international financial community of the anti-money laundering (AML) risks and deficiencies associated with </w:t>
      </w:r>
      <w:r w:rsidR="004B303D">
        <w:rPr>
          <w:rFonts w:ascii="Times New Roman" w:hAnsi="Times New Roman"/>
          <w:sz w:val="24"/>
        </w:rPr>
        <w:t>the jurisdiction</w:t>
      </w:r>
      <w:r w:rsidRPr="00CE7419">
        <w:rPr>
          <w:rFonts w:ascii="Times New Roman" w:hAnsi="Times New Roman"/>
          <w:sz w:val="24"/>
        </w:rPr>
        <w:t xml:space="preserve">.  The information required to be maintained by domestic financial institutions will be used by federal agencies and certain self-regulatory organizations to verify compliance with the requirement that a domestic financial institution notify its correspondent account holders that they may not provide </w:t>
      </w:r>
      <w:r w:rsidR="004B303D">
        <w:rPr>
          <w:rFonts w:ascii="Times New Roman" w:hAnsi="Times New Roman"/>
          <w:sz w:val="24"/>
        </w:rPr>
        <w:t xml:space="preserve">the </w:t>
      </w:r>
      <w:r w:rsidR="001B60C7">
        <w:rPr>
          <w:rFonts w:ascii="Times New Roman" w:hAnsi="Times New Roman"/>
          <w:sz w:val="24"/>
        </w:rPr>
        <w:t xml:space="preserve">foreign </w:t>
      </w:r>
      <w:r w:rsidR="004B303D">
        <w:rPr>
          <w:rFonts w:ascii="Times New Roman" w:hAnsi="Times New Roman"/>
          <w:sz w:val="24"/>
        </w:rPr>
        <w:t>jurisdiction</w:t>
      </w:r>
      <w:r w:rsidR="00EB5954">
        <w:rPr>
          <w:rFonts w:ascii="Times New Roman" w:hAnsi="Times New Roman"/>
          <w:sz w:val="24"/>
        </w:rPr>
        <w:t>’s financial institutions</w:t>
      </w:r>
      <w:r w:rsidRPr="00CE7419">
        <w:rPr>
          <w:rFonts w:ascii="Times New Roman" w:hAnsi="Times New Roman"/>
          <w:sz w:val="24"/>
        </w:rPr>
        <w:t xml:space="preserve"> with access to the correspondent account maintained at the institution.</w:t>
      </w:r>
    </w:p>
    <w:p w14:paraId="67AFE1F3" w14:textId="77777777" w:rsidR="009F39CE" w:rsidRPr="00CE7419" w:rsidRDefault="009F39CE" w:rsidP="00CE7419">
      <w:pPr>
        <w:rPr>
          <w:rFonts w:ascii="Times New Roman" w:hAnsi="Times New Roman"/>
          <w:sz w:val="24"/>
        </w:rPr>
      </w:pPr>
    </w:p>
    <w:p w14:paraId="617C0B9B" w14:textId="77777777" w:rsidR="00F81301" w:rsidRPr="00CE7419" w:rsidRDefault="00E46B40" w:rsidP="00CE7419">
      <w:pPr>
        <w:pStyle w:val="BodyTextIndent3"/>
        <w:ind w:left="0"/>
        <w:rPr>
          <w:u w:val="single"/>
        </w:rPr>
      </w:pPr>
      <w:r w:rsidRPr="00CE7419">
        <w:t>3</w:t>
      </w:r>
      <w:r w:rsidR="00833900" w:rsidRPr="00CE7419">
        <w:t xml:space="preserve">.  </w:t>
      </w:r>
      <w:r w:rsidR="00F81301" w:rsidRPr="00CE7419">
        <w:rPr>
          <w:u w:val="single"/>
        </w:rPr>
        <w:t>Use of Improved Information Technology to Reduce Burden.</w:t>
      </w:r>
    </w:p>
    <w:p w14:paraId="6ED61B76" w14:textId="77777777" w:rsidR="00F81301" w:rsidRPr="00CE7419" w:rsidRDefault="00F81301" w:rsidP="00CE7419">
      <w:pPr>
        <w:pStyle w:val="BodyTextIndent3"/>
        <w:ind w:left="0"/>
        <w:rPr>
          <w:u w:val="single"/>
        </w:rPr>
      </w:pPr>
    </w:p>
    <w:p w14:paraId="26E87C20" w14:textId="77777777" w:rsidR="00EC272C" w:rsidRPr="00CE7419" w:rsidRDefault="00EC272C" w:rsidP="00CE7419">
      <w:pPr>
        <w:ind w:firstLine="720"/>
        <w:rPr>
          <w:rFonts w:ascii="Times New Roman" w:hAnsi="Times New Roman"/>
          <w:sz w:val="24"/>
        </w:rPr>
      </w:pPr>
      <w:r w:rsidRPr="00CE7419">
        <w:rPr>
          <w:rFonts w:ascii="Times New Roman" w:hAnsi="Times New Roman"/>
          <w:sz w:val="24"/>
        </w:rPr>
        <w:t>Under the rule, satisfactory notice could be given by including a one-time notice by mail, fax, e-mail, or including the notice in the next regularly occurring transmittal from the covered financial institution to its correspondent account holders.  Financial institutions may use any method of improved information technology to document its compliance with the notice requirement in the rule, including keeping an electronic copy of the actual notice that is sent to financial institutions.</w:t>
      </w:r>
    </w:p>
    <w:p w14:paraId="3FEE8DA6" w14:textId="77777777" w:rsidR="00EC272C" w:rsidRPr="00CE7419" w:rsidRDefault="00EC272C" w:rsidP="00C55851">
      <w:pPr>
        <w:rPr>
          <w:rFonts w:ascii="Times New Roman" w:hAnsi="Times New Roman"/>
          <w:sz w:val="24"/>
        </w:rPr>
      </w:pPr>
    </w:p>
    <w:p w14:paraId="3DBCF1B8" w14:textId="77777777" w:rsidR="00E03DA3" w:rsidRPr="00CE7419" w:rsidRDefault="00E46B40" w:rsidP="00CE7419">
      <w:pPr>
        <w:rPr>
          <w:rFonts w:ascii="Times New Roman" w:hAnsi="Times New Roman"/>
          <w:sz w:val="24"/>
          <w:u w:val="single"/>
        </w:rPr>
      </w:pPr>
      <w:r w:rsidRPr="00CE7419">
        <w:rPr>
          <w:rFonts w:ascii="Times New Roman" w:hAnsi="Times New Roman"/>
          <w:sz w:val="24"/>
        </w:rPr>
        <w:t>4</w:t>
      </w:r>
      <w:r w:rsidR="00833900" w:rsidRPr="00CE7419">
        <w:rPr>
          <w:rFonts w:ascii="Times New Roman" w:hAnsi="Times New Roman"/>
          <w:sz w:val="24"/>
        </w:rPr>
        <w:t xml:space="preserve">.  </w:t>
      </w:r>
      <w:r w:rsidR="00E03DA3" w:rsidRPr="00CE7419">
        <w:rPr>
          <w:rFonts w:ascii="Times New Roman" w:hAnsi="Times New Roman"/>
          <w:sz w:val="24"/>
          <w:u w:val="single"/>
        </w:rPr>
        <w:t xml:space="preserve">Efforts to Identify Duplication. </w:t>
      </w:r>
    </w:p>
    <w:p w14:paraId="14920693" w14:textId="7E5EB50E" w:rsidR="00833900" w:rsidRPr="00CE7419" w:rsidRDefault="00EC272C" w:rsidP="00CE7419">
      <w:pPr>
        <w:spacing w:before="283"/>
        <w:ind w:firstLine="720"/>
        <w:rPr>
          <w:rFonts w:ascii="Times New Roman" w:hAnsi="Times New Roman"/>
          <w:sz w:val="24"/>
        </w:rPr>
      </w:pPr>
      <w:r w:rsidRPr="00CE7419">
        <w:rPr>
          <w:rFonts w:ascii="Times New Roman" w:hAnsi="Times New Roman"/>
          <w:sz w:val="24"/>
        </w:rPr>
        <w:lastRenderedPageBreak/>
        <w:t xml:space="preserve">The rule is unique in that it would be the only federal rule that explicitly </w:t>
      </w:r>
      <w:r w:rsidR="006F38A7">
        <w:rPr>
          <w:rFonts w:ascii="Times New Roman" w:hAnsi="Times New Roman"/>
          <w:sz w:val="24"/>
        </w:rPr>
        <w:t>restricts</w:t>
      </w:r>
      <w:r w:rsidRPr="00CE7419">
        <w:rPr>
          <w:rFonts w:ascii="Times New Roman" w:hAnsi="Times New Roman"/>
          <w:sz w:val="24"/>
        </w:rPr>
        <w:t xml:space="preserve"> domestic financial institutions from maintaining correspondent accounts for </w:t>
      </w:r>
      <w:r w:rsidR="00EB5954">
        <w:rPr>
          <w:rFonts w:ascii="Times New Roman" w:hAnsi="Times New Roman"/>
          <w:sz w:val="24"/>
        </w:rPr>
        <w:t>financial institutions in the</w:t>
      </w:r>
      <w:r w:rsidR="002B3774">
        <w:rPr>
          <w:rFonts w:ascii="Times New Roman" w:hAnsi="Times New Roman"/>
          <w:sz w:val="24"/>
        </w:rPr>
        <w:t xml:space="preserve"> </w:t>
      </w:r>
      <w:r w:rsidR="00A93238">
        <w:rPr>
          <w:rFonts w:ascii="Times New Roman" w:hAnsi="Times New Roman"/>
          <w:sz w:val="24"/>
        </w:rPr>
        <w:t>jurisdiction</w:t>
      </w:r>
      <w:r w:rsidRPr="00CE7419">
        <w:rPr>
          <w:rFonts w:ascii="Times New Roman" w:hAnsi="Times New Roman"/>
          <w:sz w:val="24"/>
        </w:rPr>
        <w:t xml:space="preserve"> and requir</w:t>
      </w:r>
      <w:r w:rsidR="004B303D">
        <w:rPr>
          <w:rFonts w:ascii="Times New Roman" w:hAnsi="Times New Roman"/>
          <w:sz w:val="24"/>
        </w:rPr>
        <w:t>es</w:t>
      </w:r>
      <w:r w:rsidRPr="00CE7419">
        <w:rPr>
          <w:rFonts w:ascii="Times New Roman" w:hAnsi="Times New Roman"/>
          <w:sz w:val="24"/>
        </w:rPr>
        <w:t xml:space="preserve"> them to conduct enhanced to due diligence on their foreign correspondent relationships to ensure that they do not indirectly process transactions involving</w:t>
      </w:r>
      <w:r w:rsidR="00A93238">
        <w:rPr>
          <w:rFonts w:ascii="Times New Roman" w:hAnsi="Times New Roman"/>
          <w:sz w:val="24"/>
        </w:rPr>
        <w:t xml:space="preserve"> the</w:t>
      </w:r>
      <w:r w:rsidR="002B3774">
        <w:rPr>
          <w:rFonts w:ascii="Times New Roman" w:hAnsi="Times New Roman"/>
          <w:sz w:val="24"/>
        </w:rPr>
        <w:t xml:space="preserve"> </w:t>
      </w:r>
      <w:r w:rsidR="00A93238">
        <w:rPr>
          <w:rFonts w:ascii="Times New Roman" w:hAnsi="Times New Roman"/>
          <w:sz w:val="24"/>
        </w:rPr>
        <w:t>jurisdiction</w:t>
      </w:r>
      <w:r w:rsidR="00EB5954">
        <w:rPr>
          <w:rFonts w:ascii="Times New Roman" w:hAnsi="Times New Roman"/>
          <w:sz w:val="24"/>
        </w:rPr>
        <w:t>’s financial institutions</w:t>
      </w:r>
      <w:r w:rsidRPr="00CE7419">
        <w:rPr>
          <w:rFonts w:ascii="Times New Roman" w:hAnsi="Times New Roman"/>
          <w:sz w:val="24"/>
        </w:rPr>
        <w:t>.</w:t>
      </w:r>
    </w:p>
    <w:p w14:paraId="4112EA01" w14:textId="77777777" w:rsidR="00E03DA3" w:rsidRPr="00CE7419" w:rsidRDefault="00E46B40" w:rsidP="00C55851">
      <w:pPr>
        <w:spacing w:before="283"/>
        <w:rPr>
          <w:rFonts w:ascii="Times New Roman" w:hAnsi="Times New Roman"/>
          <w:sz w:val="24"/>
        </w:rPr>
      </w:pPr>
      <w:r w:rsidRPr="00CE7419">
        <w:rPr>
          <w:rFonts w:ascii="Times New Roman" w:hAnsi="Times New Roman"/>
          <w:sz w:val="24"/>
        </w:rPr>
        <w:t>5</w:t>
      </w:r>
      <w:r w:rsidR="00833900" w:rsidRPr="00CE7419">
        <w:rPr>
          <w:rFonts w:ascii="Times New Roman" w:hAnsi="Times New Roman"/>
          <w:sz w:val="24"/>
        </w:rPr>
        <w:t xml:space="preserve">.  </w:t>
      </w:r>
      <w:r w:rsidR="00E03DA3" w:rsidRPr="00CE7419">
        <w:rPr>
          <w:rFonts w:ascii="Times New Roman" w:hAnsi="Times New Roman"/>
          <w:sz w:val="24"/>
          <w:u w:val="single"/>
        </w:rPr>
        <w:t>Methods to Minimize Burden on Small Businesses or Other Small Entities.</w:t>
      </w:r>
      <w:r w:rsidR="00E03DA3" w:rsidRPr="00CE7419">
        <w:rPr>
          <w:rFonts w:ascii="Times New Roman" w:hAnsi="Times New Roman"/>
          <w:sz w:val="24"/>
        </w:rPr>
        <w:t xml:space="preserve"> </w:t>
      </w:r>
    </w:p>
    <w:p w14:paraId="0DA7EF79" w14:textId="77777777" w:rsidR="00E03DA3" w:rsidRPr="00CE7419" w:rsidRDefault="00E03DA3" w:rsidP="00CE7419">
      <w:pPr>
        <w:ind w:left="720"/>
        <w:rPr>
          <w:rFonts w:ascii="Times New Roman" w:hAnsi="Times New Roman"/>
          <w:sz w:val="24"/>
        </w:rPr>
      </w:pPr>
    </w:p>
    <w:p w14:paraId="7E9AB6E4" w14:textId="77777777" w:rsidR="00EC272C" w:rsidRPr="00CE7419" w:rsidRDefault="00EC272C" w:rsidP="00CE7419">
      <w:pPr>
        <w:widowControl/>
        <w:autoSpaceDE/>
        <w:autoSpaceDN/>
        <w:adjustRightInd/>
        <w:ind w:firstLine="720"/>
        <w:rPr>
          <w:rFonts w:ascii="Times New Roman" w:hAnsi="Times New Roman"/>
          <w:sz w:val="24"/>
        </w:rPr>
      </w:pPr>
      <w:r w:rsidRPr="00CE7419">
        <w:rPr>
          <w:rFonts w:ascii="Times New Roman" w:hAnsi="Times New Roman"/>
          <w:sz w:val="24"/>
        </w:rPr>
        <w:t xml:space="preserve">The information requirements in the rule will not have a significant impact on a substantial number of small entities.  In addition, all U.S. persons, including U.S. financial institutions, currently exercise some degree of due diligence in order to comply with existing U.S. sanctions programs applicable to </w:t>
      </w:r>
      <w:r w:rsidR="00A93238">
        <w:rPr>
          <w:rFonts w:ascii="Times New Roman" w:hAnsi="Times New Roman"/>
          <w:sz w:val="24"/>
        </w:rPr>
        <w:t xml:space="preserve">the </w:t>
      </w:r>
      <w:r w:rsidR="001B60C7">
        <w:rPr>
          <w:rFonts w:ascii="Times New Roman" w:hAnsi="Times New Roman"/>
          <w:sz w:val="24"/>
        </w:rPr>
        <w:t xml:space="preserve">foreign </w:t>
      </w:r>
      <w:r w:rsidR="00A93238">
        <w:rPr>
          <w:rFonts w:ascii="Times New Roman" w:hAnsi="Times New Roman"/>
          <w:sz w:val="24"/>
        </w:rPr>
        <w:t>jurisdiction</w:t>
      </w:r>
      <w:r w:rsidRPr="00CE7419">
        <w:rPr>
          <w:rFonts w:ascii="Times New Roman" w:hAnsi="Times New Roman"/>
          <w:sz w:val="24"/>
        </w:rPr>
        <w:t>.  Thus, the one-time notice to correspondent account holders and the requirement to document compliance with that notice requirement are not expected to impose a significant additional economic burden upon small entities.</w:t>
      </w:r>
    </w:p>
    <w:p w14:paraId="1067430A" w14:textId="77777777" w:rsidR="00833900" w:rsidRPr="00CE7419" w:rsidRDefault="00833900" w:rsidP="00C55851">
      <w:pPr>
        <w:rPr>
          <w:rFonts w:ascii="Times New Roman" w:hAnsi="Times New Roman"/>
          <w:sz w:val="24"/>
        </w:rPr>
      </w:pPr>
    </w:p>
    <w:p w14:paraId="648393FF" w14:textId="77777777" w:rsidR="00EC272C" w:rsidRPr="00CE7419" w:rsidRDefault="00EC272C" w:rsidP="00CE7419">
      <w:pPr>
        <w:rPr>
          <w:rFonts w:ascii="Times New Roman" w:hAnsi="Times New Roman"/>
          <w:sz w:val="24"/>
        </w:rPr>
        <w:sectPr w:rsidR="00EC272C" w:rsidRPr="00CE7419" w:rsidSect="003932D2">
          <w:headerReference w:type="default" r:id="rId9"/>
          <w:footerReference w:type="default" r:id="rId10"/>
          <w:endnotePr>
            <w:numFmt w:val="decimal"/>
          </w:endnotePr>
          <w:type w:val="continuous"/>
          <w:pgSz w:w="12240" w:h="15840"/>
          <w:pgMar w:top="1440" w:right="1440" w:bottom="1440" w:left="1440" w:header="0" w:footer="1440" w:gutter="0"/>
          <w:cols w:space="720"/>
          <w:noEndnote/>
          <w:docGrid w:linePitch="272"/>
        </w:sectPr>
      </w:pPr>
    </w:p>
    <w:p w14:paraId="26D194C6" w14:textId="77777777" w:rsidR="009D107E" w:rsidRPr="00CE7419" w:rsidRDefault="00E46B40" w:rsidP="00CE7419">
      <w:pPr>
        <w:rPr>
          <w:rFonts w:ascii="Times New Roman" w:hAnsi="Times New Roman"/>
          <w:sz w:val="24"/>
          <w:u w:val="single"/>
        </w:rPr>
      </w:pPr>
      <w:r w:rsidRPr="00CE7419">
        <w:rPr>
          <w:rFonts w:ascii="Times New Roman" w:hAnsi="Times New Roman"/>
          <w:sz w:val="24"/>
        </w:rPr>
        <w:t>6</w:t>
      </w:r>
      <w:r w:rsidR="00833900" w:rsidRPr="00CE7419">
        <w:rPr>
          <w:rFonts w:ascii="Times New Roman" w:hAnsi="Times New Roman"/>
          <w:sz w:val="24"/>
        </w:rPr>
        <w:t xml:space="preserve">.  </w:t>
      </w:r>
      <w:r w:rsidR="009D107E" w:rsidRPr="00CE7419">
        <w:rPr>
          <w:rFonts w:ascii="Times New Roman" w:hAnsi="Times New Roman"/>
          <w:sz w:val="24"/>
          <w:u w:val="single"/>
        </w:rPr>
        <w:t>Consequences to the Federal Government of Not Collecting the Information.</w:t>
      </w:r>
    </w:p>
    <w:p w14:paraId="5145426D" w14:textId="77777777" w:rsidR="009D107E" w:rsidRPr="00CE7419" w:rsidRDefault="009D107E" w:rsidP="00CE7419">
      <w:pPr>
        <w:rPr>
          <w:rFonts w:ascii="Times New Roman" w:hAnsi="Times New Roman"/>
          <w:sz w:val="24"/>
        </w:rPr>
      </w:pPr>
    </w:p>
    <w:p w14:paraId="691228E9" w14:textId="3819E7D3" w:rsidR="00EC272C" w:rsidRPr="00CE7419" w:rsidRDefault="00EC272C" w:rsidP="00CE7419">
      <w:pPr>
        <w:pStyle w:val="CommentText"/>
        <w:ind w:firstLine="720"/>
        <w:rPr>
          <w:rFonts w:ascii="Times New Roman" w:hAnsi="Times New Roman"/>
          <w:sz w:val="24"/>
          <w:szCs w:val="24"/>
        </w:rPr>
      </w:pPr>
      <w:r w:rsidRPr="00CE7419">
        <w:rPr>
          <w:rFonts w:ascii="Times New Roman" w:hAnsi="Times New Roman"/>
          <w:sz w:val="24"/>
          <w:szCs w:val="24"/>
        </w:rPr>
        <w:t xml:space="preserve">Under the rule, a financial institution must notify its correspondent account holders that they may not provide </w:t>
      </w:r>
      <w:r w:rsidR="00A93238">
        <w:rPr>
          <w:rFonts w:ascii="Times New Roman" w:hAnsi="Times New Roman"/>
          <w:sz w:val="24"/>
          <w:szCs w:val="24"/>
        </w:rPr>
        <w:t>the</w:t>
      </w:r>
      <w:r w:rsidR="002B3774">
        <w:rPr>
          <w:rFonts w:ascii="Times New Roman" w:hAnsi="Times New Roman"/>
          <w:sz w:val="24"/>
          <w:szCs w:val="24"/>
        </w:rPr>
        <w:t xml:space="preserve"> </w:t>
      </w:r>
      <w:r w:rsidR="00A93238">
        <w:rPr>
          <w:rFonts w:ascii="Times New Roman" w:hAnsi="Times New Roman"/>
          <w:sz w:val="24"/>
          <w:szCs w:val="24"/>
        </w:rPr>
        <w:t>jurisdiction</w:t>
      </w:r>
      <w:r w:rsidR="00EB5954">
        <w:rPr>
          <w:rFonts w:ascii="Times New Roman" w:hAnsi="Times New Roman"/>
          <w:sz w:val="24"/>
          <w:szCs w:val="24"/>
        </w:rPr>
        <w:t>’s financial institutions</w:t>
      </w:r>
      <w:r w:rsidRPr="00CE7419">
        <w:rPr>
          <w:rFonts w:ascii="Times New Roman" w:hAnsi="Times New Roman"/>
          <w:sz w:val="24"/>
          <w:szCs w:val="24"/>
        </w:rPr>
        <w:t xml:space="preserve"> with access to the correspondent account maintained at the financial institution.  The failure to transmit such notice will make it more difficult for the special measure to achieve its goal of </w:t>
      </w:r>
      <w:r w:rsidR="003436F1">
        <w:rPr>
          <w:rFonts w:ascii="Times New Roman" w:hAnsi="Times New Roman"/>
          <w:sz w:val="24"/>
          <w:szCs w:val="24"/>
        </w:rPr>
        <w:t xml:space="preserve">protecting </w:t>
      </w:r>
      <w:r w:rsidRPr="00CE7419">
        <w:rPr>
          <w:rFonts w:ascii="Times New Roman" w:hAnsi="Times New Roman"/>
          <w:sz w:val="24"/>
          <w:szCs w:val="24"/>
        </w:rPr>
        <w:t xml:space="preserve">the U.S. financial system.  A financial institution further must document its compliance with the requirement that it notify its correspondent account holders that they may not provide </w:t>
      </w:r>
      <w:r w:rsidR="00A93238">
        <w:rPr>
          <w:rFonts w:ascii="Times New Roman" w:hAnsi="Times New Roman"/>
          <w:sz w:val="24"/>
          <w:szCs w:val="24"/>
        </w:rPr>
        <w:t>the</w:t>
      </w:r>
      <w:r w:rsidR="002B3774">
        <w:rPr>
          <w:rFonts w:ascii="Times New Roman" w:hAnsi="Times New Roman"/>
          <w:sz w:val="24"/>
          <w:szCs w:val="24"/>
        </w:rPr>
        <w:t xml:space="preserve"> </w:t>
      </w:r>
      <w:r w:rsidR="00A93238">
        <w:rPr>
          <w:rFonts w:ascii="Times New Roman" w:hAnsi="Times New Roman"/>
          <w:sz w:val="24"/>
          <w:szCs w:val="24"/>
        </w:rPr>
        <w:t>jurisdiction</w:t>
      </w:r>
      <w:r w:rsidR="00EB5954">
        <w:rPr>
          <w:rFonts w:ascii="Times New Roman" w:hAnsi="Times New Roman"/>
          <w:sz w:val="24"/>
          <w:szCs w:val="24"/>
        </w:rPr>
        <w:t>’s financial institutions</w:t>
      </w:r>
      <w:r w:rsidRPr="00CE7419">
        <w:rPr>
          <w:rFonts w:ascii="Times New Roman" w:hAnsi="Times New Roman"/>
          <w:sz w:val="24"/>
          <w:szCs w:val="24"/>
        </w:rPr>
        <w:t xml:space="preserve"> with access to the correspondent account maintained at the covered financial institution.  The failure to maintain such documentation will make it impossible to verify compliance with this notice requirement, and by extension, to guard against the </w:t>
      </w:r>
      <w:r w:rsidR="003436F1">
        <w:rPr>
          <w:rFonts w:ascii="Times New Roman" w:hAnsi="Times New Roman"/>
          <w:sz w:val="24"/>
          <w:szCs w:val="24"/>
        </w:rPr>
        <w:t xml:space="preserve">improper </w:t>
      </w:r>
      <w:r w:rsidRPr="00CE7419">
        <w:rPr>
          <w:rFonts w:ascii="Times New Roman" w:hAnsi="Times New Roman"/>
          <w:sz w:val="24"/>
          <w:szCs w:val="24"/>
        </w:rPr>
        <w:t xml:space="preserve">use of the U.S. financial </w:t>
      </w:r>
      <w:r w:rsidR="000E4695">
        <w:rPr>
          <w:rFonts w:ascii="Times New Roman" w:hAnsi="Times New Roman"/>
          <w:sz w:val="24"/>
          <w:szCs w:val="24"/>
        </w:rPr>
        <w:t xml:space="preserve">system </w:t>
      </w:r>
      <w:r w:rsidRPr="00CE7419">
        <w:rPr>
          <w:rFonts w:ascii="Times New Roman" w:hAnsi="Times New Roman"/>
          <w:sz w:val="24"/>
          <w:szCs w:val="24"/>
        </w:rPr>
        <w:t xml:space="preserve">by </w:t>
      </w:r>
      <w:r w:rsidR="000E4695">
        <w:rPr>
          <w:rFonts w:ascii="Times New Roman" w:hAnsi="Times New Roman"/>
          <w:sz w:val="24"/>
          <w:szCs w:val="24"/>
        </w:rPr>
        <w:t>the</w:t>
      </w:r>
      <w:r w:rsidRPr="00CE7419">
        <w:rPr>
          <w:rFonts w:ascii="Times New Roman" w:hAnsi="Times New Roman"/>
          <w:sz w:val="24"/>
          <w:szCs w:val="24"/>
        </w:rPr>
        <w:t xml:space="preserve"> jurisdiction found to be of primary money laundering concern.</w:t>
      </w:r>
    </w:p>
    <w:p w14:paraId="78B86043" w14:textId="77777777" w:rsidR="00833900" w:rsidRPr="00CE7419" w:rsidRDefault="00833900" w:rsidP="00CE7419">
      <w:pPr>
        <w:pStyle w:val="CommentText"/>
        <w:ind w:firstLine="720"/>
        <w:rPr>
          <w:rFonts w:ascii="Times New Roman" w:hAnsi="Times New Roman"/>
          <w:sz w:val="24"/>
          <w:szCs w:val="24"/>
        </w:rPr>
      </w:pPr>
    </w:p>
    <w:p w14:paraId="5451E093" w14:textId="77777777" w:rsidR="00E03DA3" w:rsidRPr="00CE7419" w:rsidRDefault="00E46B40" w:rsidP="00C55851">
      <w:pPr>
        <w:rPr>
          <w:rFonts w:ascii="Times New Roman" w:hAnsi="Times New Roman"/>
          <w:sz w:val="24"/>
          <w:u w:val="single"/>
        </w:rPr>
      </w:pPr>
      <w:r w:rsidRPr="00CE7419">
        <w:rPr>
          <w:rFonts w:ascii="Times New Roman" w:hAnsi="Times New Roman"/>
          <w:sz w:val="24"/>
        </w:rPr>
        <w:t>7</w:t>
      </w:r>
      <w:r w:rsidR="00833900" w:rsidRPr="00CE7419">
        <w:rPr>
          <w:rFonts w:ascii="Times New Roman" w:hAnsi="Times New Roman"/>
          <w:sz w:val="24"/>
        </w:rPr>
        <w:t xml:space="preserve">.  </w:t>
      </w:r>
      <w:r w:rsidR="009D107E" w:rsidRPr="00CE7419">
        <w:rPr>
          <w:rFonts w:ascii="Times New Roman" w:hAnsi="Times New Roman"/>
          <w:sz w:val="24"/>
          <w:u w:val="single"/>
        </w:rPr>
        <w:t>Special Circumstances Requiring Data Collection Inconsistent with Guidelines.</w:t>
      </w:r>
    </w:p>
    <w:p w14:paraId="64215984" w14:textId="77777777" w:rsidR="009D107E" w:rsidRPr="00CE7419" w:rsidRDefault="009D107E" w:rsidP="00CE7419">
      <w:pPr>
        <w:rPr>
          <w:rFonts w:ascii="Times New Roman" w:hAnsi="Times New Roman"/>
          <w:sz w:val="24"/>
        </w:rPr>
      </w:pPr>
    </w:p>
    <w:p w14:paraId="6E740F4B" w14:textId="77777777" w:rsidR="00EC272C" w:rsidRPr="00CE7419" w:rsidRDefault="00EC272C" w:rsidP="00CE7419">
      <w:pPr>
        <w:ind w:firstLine="720"/>
        <w:rPr>
          <w:rFonts w:ascii="Times New Roman" w:hAnsi="Times New Roman"/>
          <w:sz w:val="24"/>
        </w:rPr>
      </w:pPr>
      <w:r w:rsidRPr="00CE7419">
        <w:rPr>
          <w:rFonts w:ascii="Times New Roman" w:hAnsi="Times New Roman"/>
          <w:sz w:val="24"/>
        </w:rPr>
        <w:t>There are no special circumstances that will cause the information collection to be inconsistent with the guidelines in 5 CFR 1320.5(d)(2).</w:t>
      </w:r>
    </w:p>
    <w:p w14:paraId="757B9120" w14:textId="77777777" w:rsidR="00833900" w:rsidRPr="00CE7419" w:rsidRDefault="00833900" w:rsidP="00CE7419">
      <w:pPr>
        <w:ind w:firstLine="720"/>
        <w:rPr>
          <w:rFonts w:ascii="Times New Roman" w:hAnsi="Times New Roman"/>
          <w:sz w:val="24"/>
        </w:rPr>
      </w:pPr>
    </w:p>
    <w:p w14:paraId="207B7396" w14:textId="77777777" w:rsidR="009D107E" w:rsidRPr="00CE7419" w:rsidRDefault="00E46B40" w:rsidP="00C55851">
      <w:pPr>
        <w:rPr>
          <w:rFonts w:ascii="Times New Roman" w:hAnsi="Times New Roman"/>
          <w:sz w:val="24"/>
        </w:rPr>
      </w:pPr>
      <w:r w:rsidRPr="00CE7419">
        <w:rPr>
          <w:rFonts w:ascii="Times New Roman" w:hAnsi="Times New Roman"/>
          <w:sz w:val="24"/>
        </w:rPr>
        <w:t>8</w:t>
      </w:r>
      <w:r w:rsidR="00833900" w:rsidRPr="00CE7419">
        <w:rPr>
          <w:rFonts w:ascii="Times New Roman" w:hAnsi="Times New Roman"/>
          <w:sz w:val="24"/>
        </w:rPr>
        <w:t xml:space="preserve">.  </w:t>
      </w:r>
      <w:r w:rsidR="009D107E" w:rsidRPr="00CE7419">
        <w:rPr>
          <w:rFonts w:ascii="Times New Roman" w:hAnsi="Times New Roman"/>
          <w:sz w:val="24"/>
          <w:u w:val="single"/>
        </w:rPr>
        <w:t>Consultation with Individuals Outside of the Agency on Availability of Data, Frequency of Collection, Clarity of Instructions and Forms, and Data Elements.</w:t>
      </w:r>
      <w:r w:rsidR="009D107E" w:rsidRPr="00CE7419">
        <w:rPr>
          <w:rFonts w:ascii="Times New Roman" w:hAnsi="Times New Roman"/>
          <w:sz w:val="24"/>
        </w:rPr>
        <w:t xml:space="preserve"> </w:t>
      </w:r>
    </w:p>
    <w:p w14:paraId="3B0DF7D1" w14:textId="77777777" w:rsidR="009D107E" w:rsidRPr="00CE7419" w:rsidRDefault="009D107E" w:rsidP="00CE7419">
      <w:pPr>
        <w:rPr>
          <w:rFonts w:ascii="Times New Roman" w:hAnsi="Times New Roman"/>
          <w:sz w:val="24"/>
        </w:rPr>
      </w:pPr>
    </w:p>
    <w:p w14:paraId="21E8DADA" w14:textId="77777777" w:rsidR="00EC272C" w:rsidRPr="00CE7419" w:rsidRDefault="00EC272C" w:rsidP="00CE7419">
      <w:pPr>
        <w:ind w:firstLine="720"/>
        <w:rPr>
          <w:rFonts w:ascii="Times New Roman" w:hAnsi="Times New Roman"/>
          <w:sz w:val="24"/>
        </w:rPr>
      </w:pPr>
      <w:r w:rsidRPr="00CE7419">
        <w:rPr>
          <w:rFonts w:ascii="Times New Roman" w:hAnsi="Times New Roman"/>
          <w:sz w:val="24"/>
        </w:rPr>
        <w:t>As required by 31 U.S.C. § 5318A</w:t>
      </w:r>
      <w:r w:rsidR="00183A70">
        <w:rPr>
          <w:rFonts w:ascii="Times New Roman" w:hAnsi="Times New Roman"/>
          <w:sz w:val="24"/>
        </w:rPr>
        <w:t>(b)(5)</w:t>
      </w:r>
      <w:r w:rsidRPr="00CE7419">
        <w:rPr>
          <w:rFonts w:ascii="Times New Roman" w:hAnsi="Times New Roman"/>
          <w:sz w:val="24"/>
        </w:rPr>
        <w:t xml:space="preserve"> (Section 311 of the USA PATRIOT Act), prior to publication of the final rule, FinCEN</w:t>
      </w:r>
      <w:r w:rsidR="000E4695">
        <w:rPr>
          <w:rFonts w:ascii="Times New Roman" w:hAnsi="Times New Roman"/>
          <w:sz w:val="24"/>
        </w:rPr>
        <w:t xml:space="preserve"> has</w:t>
      </w:r>
      <w:r w:rsidRPr="00CE7419">
        <w:rPr>
          <w:rFonts w:ascii="Times New Roman" w:hAnsi="Times New Roman"/>
          <w:sz w:val="24"/>
        </w:rPr>
        <w:t xml:space="preserve"> consulted with the State Department, the Justice Department, and the </w:t>
      </w:r>
      <w:r w:rsidR="0083638C">
        <w:rPr>
          <w:rFonts w:ascii="Times New Roman" w:hAnsi="Times New Roman"/>
          <w:sz w:val="24"/>
        </w:rPr>
        <w:t>Federal Reserve</w:t>
      </w:r>
      <w:r w:rsidRPr="00CE7419">
        <w:rPr>
          <w:rFonts w:ascii="Times New Roman" w:hAnsi="Times New Roman"/>
          <w:sz w:val="24"/>
        </w:rPr>
        <w:t xml:space="preserve">.  </w:t>
      </w:r>
    </w:p>
    <w:p w14:paraId="7D20B36F" w14:textId="77777777" w:rsidR="00833900" w:rsidRPr="00CE7419" w:rsidRDefault="00833900" w:rsidP="00CE7419">
      <w:pPr>
        <w:ind w:firstLine="720"/>
        <w:rPr>
          <w:rFonts w:ascii="Times New Roman" w:hAnsi="Times New Roman"/>
          <w:sz w:val="24"/>
        </w:rPr>
      </w:pPr>
    </w:p>
    <w:p w14:paraId="6A90AC26" w14:textId="77777777" w:rsidR="00196C55" w:rsidRPr="00CE7419" w:rsidRDefault="00833900" w:rsidP="00C55851">
      <w:pPr>
        <w:rPr>
          <w:rFonts w:ascii="Times New Roman" w:hAnsi="Times New Roman"/>
          <w:sz w:val="24"/>
        </w:rPr>
      </w:pPr>
      <w:r w:rsidRPr="00CE7419">
        <w:rPr>
          <w:rFonts w:ascii="Times New Roman" w:hAnsi="Times New Roman"/>
          <w:sz w:val="24"/>
        </w:rPr>
        <w:t xml:space="preserve">9.  </w:t>
      </w:r>
      <w:r w:rsidR="00196C55" w:rsidRPr="00CE7419">
        <w:rPr>
          <w:rFonts w:ascii="Times New Roman" w:hAnsi="Times New Roman"/>
          <w:sz w:val="24"/>
          <w:u w:val="single"/>
        </w:rPr>
        <w:t>Payments and Gifts.</w:t>
      </w:r>
      <w:r w:rsidR="00196C55" w:rsidRPr="00CE7419">
        <w:rPr>
          <w:rFonts w:ascii="Times New Roman" w:hAnsi="Times New Roman"/>
          <w:sz w:val="24"/>
        </w:rPr>
        <w:t xml:space="preserve"> </w:t>
      </w:r>
    </w:p>
    <w:p w14:paraId="4B290D57" w14:textId="77777777" w:rsidR="00196C55" w:rsidRPr="00CE7419" w:rsidRDefault="00196C55" w:rsidP="00CE7419">
      <w:pPr>
        <w:rPr>
          <w:rFonts w:ascii="Times New Roman" w:hAnsi="Times New Roman"/>
          <w:sz w:val="24"/>
        </w:rPr>
      </w:pPr>
    </w:p>
    <w:p w14:paraId="00F18CCA" w14:textId="77777777" w:rsidR="00833900" w:rsidRPr="00CE7419" w:rsidRDefault="0080659A" w:rsidP="00CE7419">
      <w:pPr>
        <w:rPr>
          <w:rFonts w:ascii="Times New Roman" w:hAnsi="Times New Roman"/>
          <w:sz w:val="24"/>
        </w:rPr>
      </w:pPr>
      <w:r w:rsidRPr="00CE7419">
        <w:rPr>
          <w:rFonts w:ascii="Times New Roman" w:hAnsi="Times New Roman"/>
          <w:sz w:val="24"/>
        </w:rPr>
        <w:tab/>
      </w:r>
      <w:r w:rsidR="00196C55" w:rsidRPr="00CE7419">
        <w:rPr>
          <w:rFonts w:ascii="Times New Roman" w:hAnsi="Times New Roman"/>
          <w:sz w:val="24"/>
        </w:rPr>
        <w:t>No payments or gifts are made to respondents.</w:t>
      </w:r>
    </w:p>
    <w:p w14:paraId="4DB2CE1D" w14:textId="77777777" w:rsidR="00196C55" w:rsidRPr="00CE7419" w:rsidRDefault="00196C55" w:rsidP="00CE7419">
      <w:pPr>
        <w:tabs>
          <w:tab w:val="left" w:pos="0"/>
        </w:tabs>
        <w:rPr>
          <w:rFonts w:ascii="Times New Roman" w:hAnsi="Times New Roman"/>
          <w:sz w:val="24"/>
        </w:rPr>
      </w:pPr>
    </w:p>
    <w:p w14:paraId="5F9A193C" w14:textId="77777777" w:rsidR="00196C55" w:rsidRPr="00CE7419" w:rsidRDefault="00833900" w:rsidP="00CE7419">
      <w:pPr>
        <w:tabs>
          <w:tab w:val="left" w:pos="0"/>
        </w:tabs>
        <w:rPr>
          <w:rFonts w:ascii="Times New Roman" w:hAnsi="Times New Roman"/>
          <w:sz w:val="24"/>
          <w:u w:val="single"/>
        </w:rPr>
      </w:pPr>
      <w:r w:rsidRPr="00CE7419">
        <w:rPr>
          <w:rFonts w:ascii="Times New Roman" w:hAnsi="Times New Roman"/>
          <w:sz w:val="24"/>
        </w:rPr>
        <w:t xml:space="preserve">10.  </w:t>
      </w:r>
      <w:r w:rsidR="00196C55" w:rsidRPr="00CE7419">
        <w:rPr>
          <w:rFonts w:ascii="Times New Roman" w:hAnsi="Times New Roman"/>
          <w:sz w:val="24"/>
          <w:u w:val="single"/>
        </w:rPr>
        <w:t>Assurance of Confidentiality of Responses.</w:t>
      </w:r>
    </w:p>
    <w:p w14:paraId="35C6EAEA" w14:textId="77777777" w:rsidR="00EC272C" w:rsidRPr="00CE7419" w:rsidRDefault="00EC272C" w:rsidP="00CE7419">
      <w:pPr>
        <w:widowControl/>
        <w:autoSpaceDE/>
        <w:autoSpaceDN/>
        <w:adjustRightInd/>
        <w:rPr>
          <w:rFonts w:ascii="Times New Roman" w:hAnsi="Times New Roman"/>
          <w:sz w:val="24"/>
        </w:rPr>
      </w:pPr>
    </w:p>
    <w:p w14:paraId="2B2EDDDD" w14:textId="77777777" w:rsidR="00EC272C" w:rsidRPr="00CE7419" w:rsidRDefault="00EC272C" w:rsidP="00CE7419">
      <w:pPr>
        <w:widowControl/>
        <w:autoSpaceDE/>
        <w:autoSpaceDN/>
        <w:adjustRightInd/>
        <w:ind w:firstLine="720"/>
        <w:rPr>
          <w:rFonts w:ascii="Times New Roman" w:hAnsi="Times New Roman"/>
          <w:sz w:val="24"/>
        </w:rPr>
      </w:pPr>
      <w:r w:rsidRPr="00CE7419">
        <w:rPr>
          <w:rFonts w:ascii="Times New Roman" w:hAnsi="Times New Roman"/>
          <w:sz w:val="24"/>
        </w:rPr>
        <w:t>The information collected would be available to Treasury or its designee to verify compliance with the notice requirement; all such information collections under the BSA must further a criminal, tax, regulatory, or intelligence purpose, in accordance with 31 U.S.C. 5311.</w:t>
      </w:r>
    </w:p>
    <w:p w14:paraId="40022C5F" w14:textId="77777777" w:rsidR="00196C55" w:rsidRPr="00CE7419" w:rsidRDefault="00833900" w:rsidP="00CE7419">
      <w:pPr>
        <w:spacing w:before="264"/>
        <w:rPr>
          <w:rFonts w:ascii="Times New Roman" w:hAnsi="Times New Roman"/>
          <w:sz w:val="24"/>
        </w:rPr>
      </w:pPr>
      <w:r w:rsidRPr="00CE7419">
        <w:rPr>
          <w:rFonts w:ascii="Times New Roman" w:hAnsi="Times New Roman"/>
          <w:sz w:val="24"/>
        </w:rPr>
        <w:t xml:space="preserve">11.  </w:t>
      </w:r>
      <w:r w:rsidR="00196C55" w:rsidRPr="00CE7419">
        <w:rPr>
          <w:rFonts w:ascii="Times New Roman" w:hAnsi="Times New Roman"/>
          <w:sz w:val="24"/>
          <w:u w:val="single"/>
        </w:rPr>
        <w:t>Justification of Sensitive Questions.</w:t>
      </w:r>
      <w:r w:rsidR="00196C55" w:rsidRPr="00CE7419">
        <w:rPr>
          <w:rFonts w:ascii="Times New Roman" w:hAnsi="Times New Roman"/>
          <w:sz w:val="24"/>
        </w:rPr>
        <w:t xml:space="preserve"> </w:t>
      </w:r>
    </w:p>
    <w:p w14:paraId="2E6CFE1F" w14:textId="77777777" w:rsidR="002E56DE" w:rsidRPr="00CE7419" w:rsidRDefault="002E56DE" w:rsidP="00CE7419">
      <w:pPr>
        <w:tabs>
          <w:tab w:val="left" w:pos="0"/>
        </w:tabs>
        <w:rPr>
          <w:rFonts w:ascii="Times New Roman" w:hAnsi="Times New Roman"/>
          <w:sz w:val="24"/>
        </w:rPr>
      </w:pPr>
    </w:p>
    <w:p w14:paraId="265DBB49" w14:textId="77777777" w:rsidR="00196C55" w:rsidRPr="00CE7419" w:rsidRDefault="002E56DE" w:rsidP="00CE7419">
      <w:pPr>
        <w:tabs>
          <w:tab w:val="left" w:pos="0"/>
        </w:tabs>
        <w:rPr>
          <w:rFonts w:ascii="Times New Roman" w:hAnsi="Times New Roman"/>
          <w:sz w:val="24"/>
        </w:rPr>
      </w:pPr>
      <w:r w:rsidRPr="00CE7419">
        <w:rPr>
          <w:rFonts w:ascii="Times New Roman" w:hAnsi="Times New Roman"/>
          <w:sz w:val="24"/>
        </w:rPr>
        <w:tab/>
        <w:t>There are no questions of a sensitive nature in the collection of this information.  Any personally identifiable information collected under the Bank Secrecy Act is strictly controlled as outlined in FinCEN’s Systems of Records Notice:</w:t>
      </w:r>
      <w:r w:rsidRPr="00CE7419">
        <w:rPr>
          <w:rFonts w:ascii="Times New Roman" w:hAnsi="Times New Roman"/>
          <w:color w:val="1F497D"/>
          <w:sz w:val="24"/>
        </w:rPr>
        <w:t xml:space="preserve"> </w:t>
      </w:r>
      <w:hyperlink r:id="rId11" w:history="1">
        <w:r w:rsidRPr="00CE7419">
          <w:rPr>
            <w:rStyle w:val="Hyperlink"/>
            <w:rFonts w:ascii="Times New Roman" w:hAnsi="Times New Roman"/>
            <w:sz w:val="24"/>
          </w:rPr>
          <w:t>http://www.fincen.gov/foia/files/FinCEN_79_FR_20969.pdf</w:t>
        </w:r>
      </w:hyperlink>
      <w:r w:rsidRPr="00CE7419">
        <w:rPr>
          <w:rFonts w:ascii="Times New Roman" w:hAnsi="Times New Roman"/>
          <w:sz w:val="24"/>
        </w:rPr>
        <w:t>.</w:t>
      </w:r>
    </w:p>
    <w:p w14:paraId="74E6B90E" w14:textId="77777777" w:rsidR="00196C55" w:rsidRPr="00CE7419" w:rsidRDefault="00833900" w:rsidP="00CE7419">
      <w:pPr>
        <w:spacing w:before="254"/>
        <w:rPr>
          <w:rFonts w:ascii="Times New Roman" w:hAnsi="Times New Roman"/>
          <w:sz w:val="24"/>
        </w:rPr>
      </w:pPr>
      <w:r w:rsidRPr="00CE7419">
        <w:rPr>
          <w:rFonts w:ascii="Times New Roman" w:hAnsi="Times New Roman"/>
          <w:sz w:val="24"/>
        </w:rPr>
        <w:t>12.</w:t>
      </w:r>
      <w:r w:rsidR="00995367" w:rsidRPr="00CE7419">
        <w:rPr>
          <w:rFonts w:ascii="Times New Roman" w:hAnsi="Times New Roman"/>
          <w:sz w:val="24"/>
        </w:rPr>
        <w:t xml:space="preserve"> &amp; 13.</w:t>
      </w:r>
      <w:r w:rsidRPr="00CE7419">
        <w:rPr>
          <w:rFonts w:ascii="Times New Roman" w:hAnsi="Times New Roman"/>
          <w:sz w:val="24"/>
        </w:rPr>
        <w:t xml:space="preserve">  </w:t>
      </w:r>
      <w:r w:rsidR="00196C55" w:rsidRPr="00CE7419">
        <w:rPr>
          <w:rFonts w:ascii="Times New Roman" w:hAnsi="Times New Roman"/>
          <w:sz w:val="24"/>
          <w:u w:val="single"/>
        </w:rPr>
        <w:t xml:space="preserve">Estimated </w:t>
      </w:r>
      <w:r w:rsidR="00995367" w:rsidRPr="00CE7419">
        <w:rPr>
          <w:rFonts w:ascii="Times New Roman" w:hAnsi="Times New Roman"/>
          <w:sz w:val="24"/>
          <w:u w:val="single"/>
        </w:rPr>
        <w:t>Burden &amp; Cost of Information Collection</w:t>
      </w:r>
      <w:r w:rsidR="00196C55" w:rsidRPr="00CE7419">
        <w:rPr>
          <w:rFonts w:ascii="Times New Roman" w:hAnsi="Times New Roman"/>
          <w:sz w:val="24"/>
          <w:u w:val="single"/>
        </w:rPr>
        <w:t>.</w:t>
      </w:r>
      <w:r w:rsidR="00196C55" w:rsidRPr="00CE7419">
        <w:rPr>
          <w:rFonts w:ascii="Times New Roman" w:hAnsi="Times New Roman"/>
          <w:sz w:val="24"/>
        </w:rPr>
        <w:t xml:space="preserve"> </w:t>
      </w:r>
    </w:p>
    <w:p w14:paraId="5256509C" w14:textId="77777777" w:rsidR="005C53CC" w:rsidRDefault="005C53CC" w:rsidP="00CE7419">
      <w:pPr>
        <w:widowControl/>
        <w:autoSpaceDE/>
        <w:autoSpaceDN/>
        <w:adjustRightInd/>
        <w:ind w:firstLine="720"/>
        <w:rPr>
          <w:rFonts w:ascii="Times New Roman" w:hAnsi="Times New Roman"/>
          <w:sz w:val="24"/>
        </w:rPr>
      </w:pPr>
    </w:p>
    <w:p w14:paraId="545F5AB2" w14:textId="77777777" w:rsidR="002E56DE" w:rsidRPr="00CE7419" w:rsidRDefault="002E56DE" w:rsidP="00CE7419">
      <w:pPr>
        <w:widowControl/>
        <w:autoSpaceDE/>
        <w:autoSpaceDN/>
        <w:adjustRightInd/>
        <w:ind w:firstLine="720"/>
        <w:rPr>
          <w:rFonts w:ascii="Times New Roman" w:hAnsi="Times New Roman"/>
          <w:sz w:val="24"/>
        </w:rPr>
      </w:pPr>
      <w:r w:rsidRPr="00CE7419">
        <w:rPr>
          <w:rFonts w:ascii="Times New Roman" w:hAnsi="Times New Roman"/>
          <w:sz w:val="24"/>
        </w:rPr>
        <w:t>The rule requires a financial institution to provide notice to its correspondent account holders and to document its compliance with that notice requirement.</w:t>
      </w:r>
    </w:p>
    <w:p w14:paraId="69273953" w14:textId="77777777" w:rsidR="002E56DE" w:rsidRPr="00CE7419" w:rsidRDefault="002E56DE" w:rsidP="00C55851">
      <w:pPr>
        <w:widowControl/>
        <w:autoSpaceDE/>
        <w:autoSpaceDN/>
        <w:adjustRightInd/>
        <w:rPr>
          <w:rFonts w:ascii="Times New Roman" w:hAnsi="Times New Roman"/>
          <w:sz w:val="24"/>
        </w:rPr>
      </w:pPr>
    </w:p>
    <w:p w14:paraId="20CF1D1D" w14:textId="77777777" w:rsidR="002E56DE" w:rsidRPr="00CE7419" w:rsidRDefault="002E56DE" w:rsidP="00CE7419">
      <w:pPr>
        <w:widowControl/>
        <w:autoSpaceDE/>
        <w:autoSpaceDN/>
        <w:adjustRightInd/>
        <w:rPr>
          <w:rFonts w:ascii="Times New Roman" w:hAnsi="Times New Roman"/>
          <w:sz w:val="24"/>
        </w:rPr>
      </w:pPr>
      <w:r w:rsidRPr="00CE7419">
        <w:rPr>
          <w:rFonts w:ascii="Times New Roman" w:hAnsi="Times New Roman"/>
          <w:sz w:val="24"/>
        </w:rPr>
        <w:t>Estimated number of affected financial institutions:  23,615.</w:t>
      </w:r>
      <w:r w:rsidRPr="00CE7419">
        <w:rPr>
          <w:rFonts w:ascii="Times New Roman" w:hAnsi="Times New Roman"/>
          <w:sz w:val="24"/>
          <w:vertAlign w:val="superscript"/>
        </w:rPr>
        <w:footnoteReference w:id="1"/>
      </w:r>
    </w:p>
    <w:p w14:paraId="449CB3F5" w14:textId="77777777" w:rsidR="002E56DE" w:rsidRPr="00CE7419" w:rsidRDefault="002E56DE" w:rsidP="00CE7419">
      <w:pPr>
        <w:widowControl/>
        <w:autoSpaceDE/>
        <w:autoSpaceDN/>
        <w:adjustRightInd/>
        <w:rPr>
          <w:rFonts w:ascii="Times New Roman" w:hAnsi="Times New Roman"/>
          <w:sz w:val="24"/>
          <w:vertAlign w:val="superscript"/>
        </w:rPr>
      </w:pPr>
    </w:p>
    <w:p w14:paraId="4AB0905A" w14:textId="66218260" w:rsidR="002E56DE" w:rsidRPr="00D22A3C" w:rsidRDefault="002E56DE" w:rsidP="00CE7419">
      <w:pPr>
        <w:widowControl/>
        <w:autoSpaceDE/>
        <w:autoSpaceDN/>
        <w:adjustRightInd/>
        <w:rPr>
          <w:rFonts w:ascii="Times New Roman" w:hAnsi="Times New Roman"/>
          <w:sz w:val="24"/>
          <w:vertAlign w:val="superscript"/>
        </w:rPr>
      </w:pPr>
      <w:r w:rsidRPr="00CE7419">
        <w:rPr>
          <w:rFonts w:ascii="Times New Roman" w:hAnsi="Times New Roman"/>
          <w:sz w:val="24"/>
        </w:rPr>
        <w:t xml:space="preserve">Estimated average annual burden per affected financial institution:  </w:t>
      </w:r>
      <w:r w:rsidR="00183A70">
        <w:rPr>
          <w:rFonts w:ascii="Times New Roman" w:hAnsi="Times New Roman"/>
          <w:sz w:val="24"/>
        </w:rPr>
        <w:t>2 hours</w:t>
      </w:r>
      <w:r w:rsidR="0072673D">
        <w:rPr>
          <w:rFonts w:ascii="Times New Roman" w:hAnsi="Times New Roman"/>
          <w:sz w:val="24"/>
        </w:rPr>
        <w:t>.</w:t>
      </w:r>
      <w:r w:rsidR="00787DA4" w:rsidRPr="00D22A3C">
        <w:rPr>
          <w:rStyle w:val="FootnoteReference"/>
          <w:rFonts w:ascii="Times New Roman" w:hAnsi="Times New Roman"/>
          <w:sz w:val="24"/>
          <w:vertAlign w:val="superscript"/>
        </w:rPr>
        <w:footnoteReference w:id="2"/>
      </w:r>
    </w:p>
    <w:p w14:paraId="729E9812" w14:textId="77777777" w:rsidR="002E56DE" w:rsidRPr="00CE7419" w:rsidRDefault="002E56DE" w:rsidP="00CE7419">
      <w:pPr>
        <w:widowControl/>
        <w:autoSpaceDE/>
        <w:autoSpaceDN/>
        <w:adjustRightInd/>
        <w:rPr>
          <w:rFonts w:ascii="Times New Roman" w:hAnsi="Times New Roman"/>
          <w:sz w:val="24"/>
        </w:rPr>
      </w:pPr>
    </w:p>
    <w:p w14:paraId="493CE067" w14:textId="4D95EB6B" w:rsidR="002E56DE" w:rsidRPr="00CE7419" w:rsidRDefault="002E56DE" w:rsidP="00CE7419">
      <w:pPr>
        <w:widowControl/>
        <w:autoSpaceDE/>
        <w:autoSpaceDN/>
        <w:adjustRightInd/>
        <w:rPr>
          <w:rFonts w:ascii="Times New Roman" w:hAnsi="Times New Roman"/>
          <w:sz w:val="24"/>
        </w:rPr>
      </w:pPr>
      <w:r w:rsidRPr="00CE7419">
        <w:rPr>
          <w:rFonts w:ascii="Times New Roman" w:hAnsi="Times New Roman"/>
          <w:sz w:val="24"/>
        </w:rPr>
        <w:t xml:space="preserve">Estimated annual burden hours:  </w:t>
      </w:r>
      <w:r w:rsidR="00C134EC">
        <w:rPr>
          <w:rFonts w:ascii="Times New Roman" w:hAnsi="Times New Roman"/>
          <w:sz w:val="24"/>
        </w:rPr>
        <w:t>47,230</w:t>
      </w:r>
      <w:r w:rsidRPr="00CE7419">
        <w:rPr>
          <w:rFonts w:ascii="Times New Roman" w:hAnsi="Times New Roman"/>
          <w:sz w:val="24"/>
        </w:rPr>
        <w:t xml:space="preserve"> hours.</w:t>
      </w:r>
    </w:p>
    <w:p w14:paraId="3F799E9E" w14:textId="77777777" w:rsidR="002E56DE" w:rsidRPr="00CE7419" w:rsidRDefault="002E56DE" w:rsidP="00CE7419">
      <w:pPr>
        <w:widowControl/>
        <w:autoSpaceDE/>
        <w:autoSpaceDN/>
        <w:adjustRightInd/>
        <w:rPr>
          <w:rFonts w:ascii="Times New Roman" w:hAnsi="Times New Roman"/>
          <w:sz w:val="24"/>
        </w:rPr>
      </w:pPr>
    </w:p>
    <w:p w14:paraId="37C6ED03" w14:textId="77777777" w:rsidR="002E56DE" w:rsidRPr="00CE7419" w:rsidRDefault="002E56DE" w:rsidP="00CE7419">
      <w:pPr>
        <w:widowControl/>
        <w:autoSpaceDE/>
        <w:autoSpaceDN/>
        <w:adjustRightInd/>
        <w:rPr>
          <w:rFonts w:ascii="Times New Roman" w:hAnsi="Times New Roman"/>
          <w:sz w:val="24"/>
        </w:rPr>
      </w:pPr>
      <w:r w:rsidRPr="00CE7419">
        <w:rPr>
          <w:rFonts w:ascii="Times New Roman" w:hAnsi="Times New Roman"/>
          <w:sz w:val="24"/>
        </w:rPr>
        <w:tab/>
        <w:t xml:space="preserve">The rule applies to all domestic financial institutions that maintain correspondent accounts for foreign banks.  There are approximately 23,615 such financial institutions doing business in the United States.  </w:t>
      </w:r>
    </w:p>
    <w:p w14:paraId="657F6F38" w14:textId="77777777" w:rsidR="002E56DE" w:rsidRPr="00CE7419" w:rsidRDefault="002E56DE" w:rsidP="00CE7419">
      <w:pPr>
        <w:widowControl/>
        <w:autoSpaceDE/>
        <w:autoSpaceDN/>
        <w:adjustRightInd/>
        <w:rPr>
          <w:rFonts w:ascii="Times New Roman" w:hAnsi="Times New Roman"/>
          <w:sz w:val="24"/>
        </w:rPr>
      </w:pPr>
    </w:p>
    <w:p w14:paraId="64DA9D18" w14:textId="77777777" w:rsidR="00183A70" w:rsidRDefault="00183A70">
      <w:pPr>
        <w:widowControl/>
        <w:autoSpaceDE/>
        <w:autoSpaceDN/>
        <w:adjustRightInd/>
        <w:rPr>
          <w:rFonts w:ascii="Times New Roman" w:hAnsi="Times New Roman"/>
          <w:sz w:val="24"/>
          <w:u w:val="single"/>
        </w:rPr>
      </w:pPr>
      <w:r>
        <w:rPr>
          <w:rFonts w:ascii="Times New Roman" w:hAnsi="Times New Roman"/>
          <w:sz w:val="24"/>
          <w:u w:val="single"/>
        </w:rPr>
        <w:br w:type="page"/>
      </w:r>
    </w:p>
    <w:p w14:paraId="31C9952F" w14:textId="77777777" w:rsidR="002E56DE" w:rsidRPr="00CE7419" w:rsidRDefault="002E56DE" w:rsidP="00CE7419">
      <w:pPr>
        <w:widowControl/>
        <w:autoSpaceDE/>
        <w:autoSpaceDN/>
        <w:adjustRightInd/>
        <w:rPr>
          <w:rFonts w:ascii="Times New Roman" w:hAnsi="Times New Roman"/>
          <w:sz w:val="24"/>
        </w:rPr>
      </w:pPr>
      <w:r w:rsidRPr="00CE7419">
        <w:rPr>
          <w:rFonts w:ascii="Times New Roman" w:hAnsi="Times New Roman"/>
          <w:sz w:val="24"/>
          <w:u w:val="single"/>
        </w:rPr>
        <w:t>Estimated total annual cost burden</w:t>
      </w:r>
      <w:r w:rsidRPr="00CE7419">
        <w:rPr>
          <w:rFonts w:ascii="Times New Roman" w:hAnsi="Times New Roman"/>
          <w:sz w:val="24"/>
        </w:rPr>
        <w:t>:</w:t>
      </w:r>
    </w:p>
    <w:p w14:paraId="1D6D0265" w14:textId="77777777" w:rsidR="002E56DE" w:rsidRPr="00CE7419" w:rsidRDefault="002E56DE" w:rsidP="00CE7419">
      <w:pPr>
        <w:widowControl/>
        <w:autoSpaceDE/>
        <w:autoSpaceDN/>
        <w:adjustRightInd/>
        <w:rPr>
          <w:rFonts w:ascii="Times New Roman" w:hAnsi="Times New Roman"/>
          <w:sz w:val="24"/>
        </w:rPr>
      </w:pPr>
    </w:p>
    <w:p w14:paraId="7A0199C1" w14:textId="3F4E31BB" w:rsidR="002E56DE" w:rsidRDefault="002E56DE" w:rsidP="00CE7419">
      <w:pPr>
        <w:widowControl/>
        <w:autoSpaceDE/>
        <w:autoSpaceDN/>
        <w:adjustRightInd/>
        <w:ind w:firstLine="720"/>
        <w:rPr>
          <w:rFonts w:ascii="Times New Roman" w:hAnsi="Times New Roman"/>
          <w:sz w:val="24"/>
        </w:rPr>
      </w:pPr>
      <w:r w:rsidRPr="00CE7419">
        <w:rPr>
          <w:rFonts w:ascii="Times New Roman" w:hAnsi="Times New Roman"/>
          <w:sz w:val="24"/>
        </w:rPr>
        <w:t xml:space="preserve">23,615 hours X </w:t>
      </w:r>
      <w:r w:rsidR="005C53CC">
        <w:rPr>
          <w:rFonts w:ascii="Times New Roman" w:hAnsi="Times New Roman"/>
          <w:sz w:val="24"/>
        </w:rPr>
        <w:t>50.20</w:t>
      </w:r>
      <w:r w:rsidRPr="00CE7419">
        <w:rPr>
          <w:rFonts w:ascii="Times New Roman" w:hAnsi="Times New Roman"/>
          <w:sz w:val="24"/>
          <w:vertAlign w:val="superscript"/>
        </w:rPr>
        <w:footnoteReference w:id="3"/>
      </w:r>
      <w:r w:rsidRPr="00CE7419">
        <w:rPr>
          <w:rFonts w:ascii="Times New Roman" w:hAnsi="Times New Roman"/>
          <w:sz w:val="24"/>
        </w:rPr>
        <w:t xml:space="preserve"> per hour = </w:t>
      </w:r>
      <w:r w:rsidR="00C134EC">
        <w:rPr>
          <w:rFonts w:ascii="Times New Roman" w:hAnsi="Times New Roman"/>
          <w:sz w:val="24"/>
        </w:rPr>
        <w:tab/>
      </w:r>
      <w:r w:rsidRPr="00CE7419">
        <w:rPr>
          <w:rFonts w:ascii="Times New Roman" w:hAnsi="Times New Roman"/>
          <w:sz w:val="24"/>
        </w:rPr>
        <w:t>$</w:t>
      </w:r>
      <w:r w:rsidR="005C53CC">
        <w:rPr>
          <w:rFonts w:ascii="Times New Roman" w:hAnsi="Times New Roman"/>
          <w:sz w:val="24"/>
        </w:rPr>
        <w:t>1,185,473</w:t>
      </w:r>
    </w:p>
    <w:p w14:paraId="2A7482BE" w14:textId="78E8FDC7" w:rsidR="00183A70" w:rsidRPr="00D22A3C" w:rsidRDefault="00D810FD" w:rsidP="00CE7419">
      <w:pPr>
        <w:widowControl/>
        <w:autoSpaceDE/>
        <w:autoSpaceDN/>
        <w:adjustRightInd/>
        <w:ind w:firstLine="720"/>
        <w:rPr>
          <w:rFonts w:ascii="Times New Roman" w:hAnsi="Times New Roman"/>
          <w:sz w:val="24"/>
          <w:u w:val="single"/>
        </w:rPr>
      </w:pPr>
      <w:r w:rsidRPr="00D22A3C">
        <w:rPr>
          <w:rFonts w:ascii="Times New Roman" w:hAnsi="Times New Roman"/>
          <w:sz w:val="24"/>
          <w:u w:val="single"/>
        </w:rPr>
        <w:t>23,</w:t>
      </w:r>
      <w:r w:rsidR="00183A70" w:rsidRPr="00D22A3C">
        <w:rPr>
          <w:rFonts w:ascii="Times New Roman" w:hAnsi="Times New Roman"/>
          <w:sz w:val="24"/>
          <w:u w:val="single"/>
        </w:rPr>
        <w:t xml:space="preserve">615 hours X </w:t>
      </w:r>
      <w:r w:rsidRPr="00D22A3C">
        <w:rPr>
          <w:rFonts w:ascii="Times New Roman" w:hAnsi="Times New Roman"/>
          <w:sz w:val="24"/>
          <w:u w:val="single"/>
        </w:rPr>
        <w:t>$101.65</w:t>
      </w:r>
      <w:r w:rsidR="002B3774" w:rsidRPr="00D22A3C">
        <w:rPr>
          <w:rStyle w:val="FootnoteReference"/>
          <w:rFonts w:ascii="Times New Roman" w:hAnsi="Times New Roman"/>
          <w:sz w:val="24"/>
          <w:szCs w:val="16"/>
          <w:u w:val="single"/>
          <w:vertAlign w:val="superscript"/>
        </w:rPr>
        <w:footnoteReference w:id="4"/>
      </w:r>
      <w:r w:rsidR="006643F5" w:rsidRPr="00D22A3C">
        <w:rPr>
          <w:rFonts w:ascii="Times New Roman" w:hAnsi="Times New Roman"/>
          <w:sz w:val="24"/>
          <w:u w:val="single"/>
        </w:rPr>
        <w:t xml:space="preserve"> </w:t>
      </w:r>
      <w:r w:rsidRPr="00D22A3C">
        <w:rPr>
          <w:rFonts w:ascii="Times New Roman" w:hAnsi="Times New Roman"/>
          <w:sz w:val="24"/>
          <w:u w:val="single"/>
        </w:rPr>
        <w:t xml:space="preserve">per hour = </w:t>
      </w:r>
      <w:r w:rsidR="00C134EC" w:rsidRPr="00D22A3C">
        <w:rPr>
          <w:rFonts w:ascii="Times New Roman" w:hAnsi="Times New Roman"/>
          <w:sz w:val="24"/>
          <w:u w:val="single"/>
        </w:rPr>
        <w:tab/>
      </w:r>
      <w:r w:rsidRPr="00D22A3C">
        <w:rPr>
          <w:rFonts w:ascii="Times New Roman" w:hAnsi="Times New Roman"/>
          <w:sz w:val="24"/>
          <w:u w:val="single"/>
        </w:rPr>
        <w:t>$2</w:t>
      </w:r>
      <w:r w:rsidR="002B3774" w:rsidRPr="00D22A3C">
        <w:rPr>
          <w:rFonts w:ascii="Times New Roman" w:hAnsi="Times New Roman"/>
          <w:sz w:val="24"/>
          <w:u w:val="single"/>
        </w:rPr>
        <w:t>,</w:t>
      </w:r>
      <w:r w:rsidRPr="00D22A3C">
        <w:rPr>
          <w:rFonts w:ascii="Times New Roman" w:hAnsi="Times New Roman"/>
          <w:sz w:val="24"/>
          <w:u w:val="single"/>
        </w:rPr>
        <w:t>400,464</w:t>
      </w:r>
    </w:p>
    <w:p w14:paraId="7EDA31F7" w14:textId="25E1D3CA" w:rsidR="00C134EC" w:rsidRDefault="00C134EC" w:rsidP="00CE7419">
      <w:pPr>
        <w:widowControl/>
        <w:autoSpaceDE/>
        <w:autoSpaceDN/>
        <w:adjustRightInd/>
        <w:ind w:firstLine="720"/>
        <w:rPr>
          <w:rFonts w:ascii="Times New Roman" w:hAnsi="Times New Roman"/>
          <w:sz w:val="24"/>
        </w:rPr>
      </w:pPr>
      <w:r>
        <w:rPr>
          <w:rFonts w:ascii="Times New Roman" w:hAnsi="Times New Roman"/>
          <w:sz w:val="24"/>
        </w:rPr>
        <w:t>47,230 hours total</w:t>
      </w:r>
      <w:r>
        <w:rPr>
          <w:rFonts w:ascii="Times New Roman" w:hAnsi="Times New Roman"/>
          <w:sz w:val="24"/>
        </w:rPr>
        <w:tab/>
      </w:r>
      <w:r>
        <w:rPr>
          <w:rFonts w:ascii="Times New Roman" w:hAnsi="Times New Roman"/>
          <w:sz w:val="24"/>
        </w:rPr>
        <w:tab/>
      </w:r>
      <w:r>
        <w:rPr>
          <w:rFonts w:ascii="Times New Roman" w:hAnsi="Times New Roman"/>
          <w:sz w:val="24"/>
        </w:rPr>
        <w:tab/>
        <w:t>$3,585,937</w:t>
      </w:r>
    </w:p>
    <w:p w14:paraId="52C86FCA" w14:textId="77777777" w:rsidR="00183A70" w:rsidRPr="00CE7419" w:rsidRDefault="00183A70" w:rsidP="00CE7419">
      <w:pPr>
        <w:widowControl/>
        <w:autoSpaceDE/>
        <w:autoSpaceDN/>
        <w:adjustRightInd/>
        <w:ind w:firstLine="720"/>
        <w:rPr>
          <w:rFonts w:ascii="Times New Roman" w:hAnsi="Times New Roman"/>
          <w:sz w:val="24"/>
        </w:rPr>
      </w:pPr>
    </w:p>
    <w:p w14:paraId="6E757E22" w14:textId="77777777" w:rsidR="002E56DE" w:rsidRPr="00CE7419" w:rsidRDefault="002E56DE" w:rsidP="00C55851">
      <w:pPr>
        <w:spacing w:before="254"/>
        <w:rPr>
          <w:rFonts w:ascii="Times New Roman" w:hAnsi="Times New Roman"/>
          <w:sz w:val="24"/>
        </w:rPr>
      </w:pPr>
    </w:p>
    <w:p w14:paraId="2C74D1D1" w14:textId="77777777" w:rsidR="00EB2554" w:rsidRPr="00CE7419" w:rsidRDefault="00833900" w:rsidP="00CE7419">
      <w:pPr>
        <w:rPr>
          <w:rFonts w:ascii="Times New Roman" w:hAnsi="Times New Roman"/>
          <w:sz w:val="24"/>
        </w:rPr>
      </w:pPr>
      <w:r w:rsidRPr="00CE7419">
        <w:rPr>
          <w:rFonts w:ascii="Times New Roman" w:hAnsi="Times New Roman"/>
          <w:sz w:val="24"/>
        </w:rPr>
        <w:t xml:space="preserve">14.  </w:t>
      </w:r>
      <w:r w:rsidR="00EB2554" w:rsidRPr="00CE7419">
        <w:rPr>
          <w:rFonts w:ascii="Times New Roman" w:hAnsi="Times New Roman"/>
          <w:sz w:val="24"/>
          <w:u w:val="single"/>
        </w:rPr>
        <w:t>Estimated Annual Cost to the Federal Government.</w:t>
      </w:r>
      <w:r w:rsidR="00EB2554" w:rsidRPr="00CE7419">
        <w:rPr>
          <w:rFonts w:ascii="Times New Roman" w:hAnsi="Times New Roman"/>
          <w:sz w:val="24"/>
        </w:rPr>
        <w:t xml:space="preserve"> </w:t>
      </w:r>
    </w:p>
    <w:p w14:paraId="18A21552" w14:textId="77777777" w:rsidR="00EB2554" w:rsidRPr="00CE7419" w:rsidRDefault="00EB2554" w:rsidP="00CE7419">
      <w:pPr>
        <w:rPr>
          <w:rFonts w:ascii="Times New Roman" w:hAnsi="Times New Roman"/>
          <w:sz w:val="24"/>
        </w:rPr>
      </w:pPr>
    </w:p>
    <w:p w14:paraId="1D18AED4" w14:textId="77777777" w:rsidR="002E56DE" w:rsidRPr="00CE7419" w:rsidRDefault="002E56DE" w:rsidP="00CE7419">
      <w:pPr>
        <w:widowControl/>
        <w:autoSpaceDE/>
        <w:autoSpaceDN/>
        <w:adjustRightInd/>
        <w:ind w:firstLine="720"/>
        <w:rPr>
          <w:rFonts w:ascii="Times New Roman" w:hAnsi="Times New Roman"/>
          <w:sz w:val="24"/>
        </w:rPr>
      </w:pPr>
      <w:r w:rsidRPr="00CE7419">
        <w:rPr>
          <w:rFonts w:ascii="Times New Roman" w:hAnsi="Times New Roman"/>
          <w:sz w:val="24"/>
        </w:rPr>
        <w:t>There is no estimated annualized cost to the Federal Government.</w:t>
      </w:r>
    </w:p>
    <w:p w14:paraId="56F7ABCB" w14:textId="77777777" w:rsidR="002E56DE" w:rsidRPr="00CE7419" w:rsidRDefault="002E56DE" w:rsidP="00C55851">
      <w:pPr>
        <w:widowControl/>
        <w:autoSpaceDE/>
        <w:autoSpaceDN/>
        <w:adjustRightInd/>
        <w:rPr>
          <w:rFonts w:ascii="Times New Roman" w:hAnsi="Times New Roman"/>
          <w:sz w:val="24"/>
        </w:rPr>
      </w:pPr>
    </w:p>
    <w:p w14:paraId="76866E19" w14:textId="77777777" w:rsidR="00EB2554" w:rsidRPr="00CE7419" w:rsidRDefault="00833900" w:rsidP="00CE7419">
      <w:pPr>
        <w:rPr>
          <w:rFonts w:ascii="Times New Roman" w:hAnsi="Times New Roman"/>
          <w:sz w:val="24"/>
        </w:rPr>
      </w:pPr>
      <w:r w:rsidRPr="00CE7419">
        <w:rPr>
          <w:rFonts w:ascii="Times New Roman" w:hAnsi="Times New Roman"/>
          <w:sz w:val="24"/>
        </w:rPr>
        <w:t xml:space="preserve">15.  </w:t>
      </w:r>
      <w:r w:rsidR="00EB2554" w:rsidRPr="00CE7419">
        <w:rPr>
          <w:rFonts w:ascii="Times New Roman" w:hAnsi="Times New Roman"/>
          <w:sz w:val="24"/>
          <w:u w:val="single"/>
        </w:rPr>
        <w:t>Change in Burden.</w:t>
      </w:r>
      <w:r w:rsidR="00EB2554" w:rsidRPr="00CE7419">
        <w:rPr>
          <w:rFonts w:ascii="Times New Roman" w:hAnsi="Times New Roman"/>
          <w:sz w:val="24"/>
        </w:rPr>
        <w:t xml:space="preserve"> </w:t>
      </w:r>
    </w:p>
    <w:p w14:paraId="1E3AAFBE" w14:textId="77777777" w:rsidR="00EB2554" w:rsidRPr="00CE7419" w:rsidRDefault="00EB2554" w:rsidP="00CE7419">
      <w:pPr>
        <w:rPr>
          <w:rFonts w:ascii="Times New Roman" w:hAnsi="Times New Roman"/>
          <w:sz w:val="24"/>
        </w:rPr>
      </w:pPr>
    </w:p>
    <w:p w14:paraId="4C74CCD6" w14:textId="77777777" w:rsidR="00DC128E" w:rsidRPr="00CE7419" w:rsidRDefault="002E56DE" w:rsidP="00CE7419">
      <w:pPr>
        <w:rPr>
          <w:rFonts w:ascii="Times New Roman" w:hAnsi="Times New Roman"/>
          <w:sz w:val="24"/>
        </w:rPr>
      </w:pPr>
      <w:r w:rsidRPr="00CE7419">
        <w:rPr>
          <w:rFonts w:ascii="Times New Roman" w:hAnsi="Times New Roman"/>
          <w:sz w:val="24"/>
        </w:rPr>
        <w:tab/>
        <w:t>None.</w:t>
      </w:r>
    </w:p>
    <w:p w14:paraId="37E30C27" w14:textId="77777777" w:rsidR="003972E9" w:rsidRPr="00CE7419" w:rsidRDefault="003972E9" w:rsidP="00CE7419">
      <w:pPr>
        <w:rPr>
          <w:rFonts w:ascii="Times New Roman" w:hAnsi="Times New Roman"/>
          <w:sz w:val="24"/>
        </w:rPr>
      </w:pPr>
    </w:p>
    <w:p w14:paraId="1C5608EA" w14:textId="77777777" w:rsidR="00EB2554" w:rsidRPr="00CE7419" w:rsidRDefault="00833900" w:rsidP="00CE7419">
      <w:pPr>
        <w:rPr>
          <w:rFonts w:ascii="Times New Roman" w:hAnsi="Times New Roman"/>
          <w:sz w:val="24"/>
        </w:rPr>
      </w:pPr>
      <w:r w:rsidRPr="00CE7419">
        <w:rPr>
          <w:rFonts w:ascii="Times New Roman" w:hAnsi="Times New Roman"/>
          <w:sz w:val="24"/>
        </w:rPr>
        <w:t xml:space="preserve">16.  </w:t>
      </w:r>
      <w:r w:rsidR="00EB2554" w:rsidRPr="00CE7419">
        <w:rPr>
          <w:rFonts w:ascii="Times New Roman" w:hAnsi="Times New Roman"/>
          <w:sz w:val="24"/>
          <w:u w:val="single"/>
        </w:rPr>
        <w:t>Plans for Tabulation, Statistical Analysis, and Publication.</w:t>
      </w:r>
      <w:r w:rsidR="00EB2554" w:rsidRPr="00CE7419">
        <w:rPr>
          <w:rFonts w:ascii="Times New Roman" w:hAnsi="Times New Roman"/>
          <w:sz w:val="24"/>
        </w:rPr>
        <w:t xml:space="preserve"> </w:t>
      </w:r>
    </w:p>
    <w:p w14:paraId="2BA0BD32" w14:textId="77777777" w:rsidR="00EB2554" w:rsidRPr="00CE7419" w:rsidRDefault="00EB2554" w:rsidP="00CE7419">
      <w:pPr>
        <w:rPr>
          <w:rFonts w:ascii="Times New Roman" w:hAnsi="Times New Roman"/>
          <w:sz w:val="24"/>
        </w:rPr>
      </w:pPr>
    </w:p>
    <w:p w14:paraId="5086E5E1" w14:textId="77777777" w:rsidR="00833900" w:rsidRPr="00CE7419" w:rsidRDefault="0050299C" w:rsidP="00CE7419">
      <w:pPr>
        <w:ind w:firstLine="720"/>
        <w:rPr>
          <w:rFonts w:ascii="Times New Roman" w:hAnsi="Times New Roman"/>
          <w:sz w:val="24"/>
        </w:rPr>
      </w:pPr>
      <w:r w:rsidRPr="00CE7419">
        <w:rPr>
          <w:rFonts w:ascii="Times New Roman" w:hAnsi="Times New Roman"/>
          <w:sz w:val="24"/>
        </w:rPr>
        <w:t>The</w:t>
      </w:r>
      <w:r w:rsidR="002E56DE" w:rsidRPr="00CE7419">
        <w:rPr>
          <w:rFonts w:ascii="Times New Roman" w:hAnsi="Times New Roman"/>
          <w:sz w:val="24"/>
        </w:rPr>
        <w:t xml:space="preserve">re are no plans for </w:t>
      </w:r>
      <w:r w:rsidRPr="00CE7419">
        <w:rPr>
          <w:rFonts w:ascii="Times New Roman" w:hAnsi="Times New Roman"/>
          <w:sz w:val="24"/>
        </w:rPr>
        <w:t>tabulat</w:t>
      </w:r>
      <w:r w:rsidR="002E56DE" w:rsidRPr="00CE7419">
        <w:rPr>
          <w:rFonts w:ascii="Times New Roman" w:hAnsi="Times New Roman"/>
          <w:sz w:val="24"/>
        </w:rPr>
        <w:t>ion or</w:t>
      </w:r>
      <w:r w:rsidRPr="00CE7419">
        <w:rPr>
          <w:rFonts w:ascii="Times New Roman" w:hAnsi="Times New Roman"/>
          <w:sz w:val="24"/>
        </w:rPr>
        <w:t xml:space="preserve"> publication.</w:t>
      </w:r>
    </w:p>
    <w:p w14:paraId="622DC3D9" w14:textId="77777777" w:rsidR="00EB2554" w:rsidRPr="00CE7419" w:rsidRDefault="00833900" w:rsidP="00C55851">
      <w:pPr>
        <w:spacing w:before="283"/>
        <w:rPr>
          <w:rFonts w:ascii="Times New Roman" w:hAnsi="Times New Roman"/>
          <w:sz w:val="24"/>
        </w:rPr>
      </w:pPr>
      <w:r w:rsidRPr="00CE7419">
        <w:rPr>
          <w:rFonts w:ascii="Times New Roman" w:hAnsi="Times New Roman"/>
          <w:sz w:val="24"/>
        </w:rPr>
        <w:t xml:space="preserve">17.  </w:t>
      </w:r>
      <w:r w:rsidR="00EB2554" w:rsidRPr="00CE7419">
        <w:rPr>
          <w:rFonts w:ascii="Times New Roman" w:hAnsi="Times New Roman"/>
          <w:sz w:val="24"/>
          <w:u w:val="single"/>
        </w:rPr>
        <w:t>Request Not To Display Expiration Date of the Office of Management and Budget Control Number.</w:t>
      </w:r>
      <w:r w:rsidR="00EB2554" w:rsidRPr="00CE7419">
        <w:rPr>
          <w:rFonts w:ascii="Times New Roman" w:hAnsi="Times New Roman"/>
          <w:sz w:val="24"/>
        </w:rPr>
        <w:t xml:space="preserve"> </w:t>
      </w:r>
    </w:p>
    <w:p w14:paraId="10BF573E" w14:textId="77777777" w:rsidR="00EB2554" w:rsidRPr="00CE7419" w:rsidRDefault="00EB2554" w:rsidP="00CE7419">
      <w:pPr>
        <w:rPr>
          <w:rFonts w:ascii="Times New Roman" w:hAnsi="Times New Roman"/>
          <w:sz w:val="24"/>
        </w:rPr>
      </w:pPr>
    </w:p>
    <w:p w14:paraId="17829F39" w14:textId="77777777" w:rsidR="002E56DE" w:rsidRPr="00CE7419" w:rsidRDefault="002E56DE" w:rsidP="00CE7419">
      <w:pPr>
        <w:ind w:firstLine="720"/>
        <w:rPr>
          <w:rFonts w:ascii="Times New Roman" w:hAnsi="Times New Roman"/>
          <w:bCs/>
          <w:sz w:val="24"/>
        </w:rPr>
      </w:pPr>
      <w:r w:rsidRPr="00CE7419">
        <w:rPr>
          <w:rFonts w:ascii="Times New Roman" w:hAnsi="Times New Roman"/>
          <w:bCs/>
          <w:sz w:val="24"/>
        </w:rPr>
        <w:t>FinCEN requests that it not be required to display the expiration date, in order to avoid amending the regulation every three years.</w:t>
      </w:r>
    </w:p>
    <w:p w14:paraId="0922FBF1" w14:textId="77777777" w:rsidR="00833900" w:rsidRPr="00CE7419" w:rsidRDefault="00833900" w:rsidP="00CE7419">
      <w:pPr>
        <w:ind w:firstLine="720"/>
        <w:rPr>
          <w:rFonts w:ascii="Times New Roman" w:hAnsi="Times New Roman"/>
          <w:sz w:val="24"/>
        </w:rPr>
      </w:pPr>
    </w:p>
    <w:p w14:paraId="1E2802CD" w14:textId="77777777" w:rsidR="00EB2554" w:rsidRPr="00CE7419" w:rsidRDefault="00833900" w:rsidP="00C55851">
      <w:pPr>
        <w:rPr>
          <w:rFonts w:ascii="Times New Roman" w:hAnsi="Times New Roman"/>
          <w:sz w:val="24"/>
        </w:rPr>
      </w:pPr>
      <w:r w:rsidRPr="00CE7419">
        <w:rPr>
          <w:rFonts w:ascii="Times New Roman" w:hAnsi="Times New Roman"/>
          <w:sz w:val="24"/>
        </w:rPr>
        <w:t xml:space="preserve">18.  </w:t>
      </w:r>
      <w:r w:rsidR="00EB2554" w:rsidRPr="00CE7419">
        <w:rPr>
          <w:rFonts w:ascii="Times New Roman" w:hAnsi="Times New Roman"/>
          <w:sz w:val="24"/>
          <w:u w:val="single"/>
        </w:rPr>
        <w:t>Exceptions.</w:t>
      </w:r>
      <w:r w:rsidR="00EB2554" w:rsidRPr="00CE7419">
        <w:rPr>
          <w:rFonts w:ascii="Times New Roman" w:hAnsi="Times New Roman"/>
          <w:sz w:val="24"/>
        </w:rPr>
        <w:t xml:space="preserve"> </w:t>
      </w:r>
    </w:p>
    <w:p w14:paraId="0000396F" w14:textId="77777777" w:rsidR="00EB2554" w:rsidRPr="00CE7419" w:rsidRDefault="00EB2554" w:rsidP="00CE7419">
      <w:pPr>
        <w:rPr>
          <w:rFonts w:ascii="Times New Roman" w:hAnsi="Times New Roman"/>
          <w:sz w:val="24"/>
        </w:rPr>
      </w:pPr>
    </w:p>
    <w:p w14:paraId="23A80B54" w14:textId="77777777" w:rsidR="002E56DE" w:rsidRPr="00CE7419" w:rsidRDefault="002E56DE" w:rsidP="00CE7419">
      <w:pPr>
        <w:ind w:firstLine="720"/>
        <w:rPr>
          <w:rFonts w:ascii="Times New Roman" w:hAnsi="Times New Roman"/>
          <w:sz w:val="24"/>
        </w:rPr>
      </w:pPr>
      <w:r w:rsidRPr="00CE7419">
        <w:rPr>
          <w:rFonts w:ascii="Times New Roman" w:hAnsi="Times New Roman"/>
          <w:sz w:val="24"/>
        </w:rPr>
        <w:t xml:space="preserve">This collection will not have a significant impact on a substantial number of small entities, for the reasons discussed above in item 5.  The collection also does not employ statistical survey methodology. </w:t>
      </w:r>
    </w:p>
    <w:p w14:paraId="00C74B3F" w14:textId="77777777" w:rsidR="002E56DE" w:rsidRPr="00CE7419" w:rsidRDefault="002E56DE" w:rsidP="00EB2554">
      <w:pPr>
        <w:rPr>
          <w:rFonts w:ascii="Times New Roman" w:hAnsi="Times New Roman"/>
          <w:sz w:val="24"/>
        </w:rPr>
      </w:pPr>
    </w:p>
    <w:p w14:paraId="789E53D9" w14:textId="77777777" w:rsidR="00833900" w:rsidRPr="00CE7419" w:rsidRDefault="00833900" w:rsidP="00CE7419">
      <w:pPr>
        <w:ind w:firstLine="720"/>
        <w:rPr>
          <w:rFonts w:ascii="Times New Roman" w:hAnsi="Times New Roman"/>
          <w:sz w:val="24"/>
        </w:rPr>
      </w:pPr>
    </w:p>
    <w:sectPr w:rsidR="00833900" w:rsidRPr="00CE7419" w:rsidSect="009D107E">
      <w:endnotePr>
        <w:numFmt w:val="decimal"/>
      </w:endnotePr>
      <w:type w:val="continuous"/>
      <w:pgSz w:w="12240" w:h="15840"/>
      <w:pgMar w:top="1440" w:right="117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DCC96" w14:textId="77777777" w:rsidR="0032323A" w:rsidRDefault="0032323A">
      <w:r>
        <w:separator/>
      </w:r>
    </w:p>
  </w:endnote>
  <w:endnote w:type="continuationSeparator" w:id="0">
    <w:p w14:paraId="05865BB1" w14:textId="77777777" w:rsidR="0032323A" w:rsidRDefault="0032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C3AF6" w14:textId="37FF97C5" w:rsidR="003932D2" w:rsidRPr="008F743C" w:rsidRDefault="003932D2">
    <w:pPr>
      <w:pStyle w:val="Footer"/>
      <w:jc w:val="center"/>
      <w:rPr>
        <w:rFonts w:ascii="Times New Roman" w:hAnsi="Times New Roman"/>
        <w:szCs w:val="20"/>
      </w:rPr>
    </w:pPr>
    <w:r w:rsidRPr="008F743C">
      <w:rPr>
        <w:rFonts w:ascii="Times New Roman" w:hAnsi="Times New Roman"/>
        <w:szCs w:val="20"/>
      </w:rPr>
      <w:fldChar w:fldCharType="begin"/>
    </w:r>
    <w:r w:rsidRPr="008F743C">
      <w:rPr>
        <w:rFonts w:ascii="Times New Roman" w:hAnsi="Times New Roman"/>
        <w:szCs w:val="20"/>
      </w:rPr>
      <w:instrText xml:space="preserve"> PAGE   \* MERGEFORMAT </w:instrText>
    </w:r>
    <w:r w:rsidRPr="008F743C">
      <w:rPr>
        <w:rFonts w:ascii="Times New Roman" w:hAnsi="Times New Roman"/>
        <w:szCs w:val="20"/>
      </w:rPr>
      <w:fldChar w:fldCharType="separate"/>
    </w:r>
    <w:r w:rsidR="002D06DD">
      <w:rPr>
        <w:rFonts w:ascii="Times New Roman" w:hAnsi="Times New Roman"/>
        <w:noProof/>
        <w:szCs w:val="20"/>
      </w:rPr>
      <w:t>1</w:t>
    </w:r>
    <w:r w:rsidRPr="008F743C">
      <w:rPr>
        <w:rFonts w:ascii="Times New Roman" w:hAnsi="Times New Roman"/>
        <w:noProof/>
        <w:szCs w:val="20"/>
      </w:rPr>
      <w:fldChar w:fldCharType="end"/>
    </w:r>
  </w:p>
  <w:p w14:paraId="5C6EF0EB" w14:textId="77777777" w:rsidR="003932D2" w:rsidRPr="008F743C" w:rsidRDefault="003932D2">
    <w:pPr>
      <w:pStyle w:val="Footer"/>
      <w:rPr>
        <w:rFonts w:ascii="Times New Roman" w:hAnsi="Times New Roman"/>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277C6" w14:textId="77777777" w:rsidR="0032323A" w:rsidRDefault="0032323A">
      <w:r>
        <w:separator/>
      </w:r>
    </w:p>
  </w:footnote>
  <w:footnote w:type="continuationSeparator" w:id="0">
    <w:p w14:paraId="297A3B65" w14:textId="77777777" w:rsidR="0032323A" w:rsidRDefault="0032323A">
      <w:r>
        <w:continuationSeparator/>
      </w:r>
    </w:p>
  </w:footnote>
  <w:footnote w:id="1">
    <w:p w14:paraId="467C06FE" w14:textId="77777777" w:rsidR="002E56DE" w:rsidRPr="008F35CA" w:rsidRDefault="002E56DE" w:rsidP="002E56DE">
      <w:pPr>
        <w:pStyle w:val="FootnoteText"/>
        <w:rPr>
          <w:rFonts w:ascii="Times New Roman" w:hAnsi="Times New Roman"/>
        </w:rPr>
      </w:pPr>
      <w:r w:rsidRPr="008F35CA">
        <w:rPr>
          <w:rStyle w:val="FootnoteReference"/>
          <w:rFonts w:ascii="Times New Roman" w:hAnsi="Times New Roman"/>
        </w:rPr>
        <w:footnoteRef/>
      </w:r>
      <w:r w:rsidRPr="008F35CA">
        <w:rPr>
          <w:rFonts w:ascii="Times New Roman" w:hAnsi="Times New Roman"/>
        </w:rPr>
        <w:t xml:space="preserve"> The above Estimated Number of Affected Financial Institutions is based on sum of the following numbers:</w:t>
      </w:r>
    </w:p>
    <w:p w14:paraId="1F2517BD" w14:textId="77777777" w:rsidR="002E56DE" w:rsidRPr="008F35CA" w:rsidRDefault="002E56DE" w:rsidP="002E56DE">
      <w:pPr>
        <w:pStyle w:val="FootnoteText"/>
        <w:numPr>
          <w:ilvl w:val="0"/>
          <w:numId w:val="11"/>
        </w:numPr>
        <w:rPr>
          <w:rFonts w:ascii="Times New Roman" w:hAnsi="Times New Roman"/>
        </w:rPr>
      </w:pPr>
      <w:r w:rsidRPr="008F35CA">
        <w:rPr>
          <w:rFonts w:ascii="Times New Roman" w:hAnsi="Times New Roman"/>
        </w:rPr>
        <w:t xml:space="preserve">5,358 banks [Federal Deposit Insurance Corporation, </w:t>
      </w:r>
      <w:r w:rsidRPr="008F35CA">
        <w:rPr>
          <w:rFonts w:ascii="Times New Roman" w:hAnsi="Times New Roman"/>
          <w:i/>
        </w:rPr>
        <w:t>Key Statistics</w:t>
      </w:r>
      <w:r w:rsidRPr="008F35CA">
        <w:rPr>
          <w:rFonts w:ascii="Times New Roman" w:hAnsi="Times New Roman"/>
        </w:rPr>
        <w:t xml:space="preserve"> webpage, April 25, 2019];</w:t>
      </w:r>
    </w:p>
    <w:p w14:paraId="6D0C82DA" w14:textId="77777777" w:rsidR="002E56DE" w:rsidRPr="008F35CA" w:rsidRDefault="002E56DE" w:rsidP="002E56DE">
      <w:pPr>
        <w:pStyle w:val="FootnoteText"/>
        <w:numPr>
          <w:ilvl w:val="0"/>
          <w:numId w:val="11"/>
        </w:numPr>
        <w:rPr>
          <w:rFonts w:ascii="Times New Roman" w:hAnsi="Times New Roman"/>
        </w:rPr>
      </w:pPr>
      <w:r w:rsidRPr="008F35CA">
        <w:rPr>
          <w:rFonts w:ascii="Times New Roman" w:hAnsi="Times New Roman"/>
        </w:rPr>
        <w:t xml:space="preserve">5,375 federally-insured credit unions [National Credit Union Administration, </w:t>
      </w:r>
      <w:r w:rsidRPr="008F35CA">
        <w:rPr>
          <w:rFonts w:ascii="Times New Roman" w:hAnsi="Times New Roman"/>
          <w:i/>
        </w:rPr>
        <w:t>Quarterly Credit Union Data Summary</w:t>
      </w:r>
      <w:r w:rsidRPr="008F35CA">
        <w:rPr>
          <w:rFonts w:ascii="Times New Roman" w:hAnsi="Times New Roman"/>
        </w:rPr>
        <w:t>, December 31, 2018];</w:t>
      </w:r>
    </w:p>
    <w:p w14:paraId="1404D331" w14:textId="77777777" w:rsidR="002E56DE" w:rsidRPr="008F35CA" w:rsidRDefault="002E56DE" w:rsidP="002E56DE">
      <w:pPr>
        <w:pStyle w:val="FootnoteText"/>
        <w:numPr>
          <w:ilvl w:val="0"/>
          <w:numId w:val="11"/>
        </w:numPr>
        <w:rPr>
          <w:rFonts w:ascii="Times New Roman" w:hAnsi="Times New Roman"/>
        </w:rPr>
      </w:pPr>
      <w:r w:rsidRPr="008F35CA">
        <w:rPr>
          <w:rFonts w:ascii="Times New Roman" w:hAnsi="Times New Roman"/>
        </w:rPr>
        <w:t>125 privately-insured credit unions [General Accountability Office</w:t>
      </w:r>
      <w:r w:rsidRPr="008F35CA">
        <w:rPr>
          <w:rFonts w:ascii="Times New Roman" w:hAnsi="Times New Roman"/>
          <w:i/>
        </w:rPr>
        <w:t>, PRIVATE DEPOSIT INUSRANCE: Credit Unions Largely Complied with Disclosure Rules, but Rules Should Be Clarified</w:t>
      </w:r>
      <w:r w:rsidRPr="008F35CA">
        <w:rPr>
          <w:rFonts w:ascii="Times New Roman" w:hAnsi="Times New Roman"/>
        </w:rPr>
        <w:t>, March 2017];</w:t>
      </w:r>
    </w:p>
    <w:p w14:paraId="1826CB28" w14:textId="77777777" w:rsidR="002E56DE" w:rsidRPr="008F35CA" w:rsidRDefault="002E56DE" w:rsidP="002E56DE">
      <w:pPr>
        <w:pStyle w:val="FootnoteText"/>
        <w:numPr>
          <w:ilvl w:val="0"/>
          <w:numId w:val="11"/>
        </w:numPr>
        <w:rPr>
          <w:rFonts w:ascii="Times New Roman" w:hAnsi="Times New Roman"/>
        </w:rPr>
      </w:pPr>
      <w:r w:rsidRPr="008F35CA">
        <w:rPr>
          <w:rFonts w:ascii="Times New Roman" w:hAnsi="Times New Roman"/>
        </w:rPr>
        <w:t>1,130 introducing brokers [National Futures Association website, March 31, 2019];</w:t>
      </w:r>
    </w:p>
    <w:p w14:paraId="234C7488" w14:textId="77777777" w:rsidR="002E56DE" w:rsidRPr="008F35CA" w:rsidRDefault="002E56DE" w:rsidP="002E56DE">
      <w:pPr>
        <w:pStyle w:val="FootnoteText"/>
        <w:numPr>
          <w:ilvl w:val="0"/>
          <w:numId w:val="11"/>
        </w:numPr>
        <w:rPr>
          <w:rFonts w:ascii="Times New Roman" w:hAnsi="Times New Roman"/>
        </w:rPr>
      </w:pPr>
      <w:r w:rsidRPr="008F35CA">
        <w:rPr>
          <w:rFonts w:ascii="Times New Roman" w:hAnsi="Times New Roman"/>
        </w:rPr>
        <w:t>64 futures commission merchants [National Futures Association website, March 31, 2019];</w:t>
      </w:r>
    </w:p>
    <w:p w14:paraId="471F4552" w14:textId="77777777" w:rsidR="002E56DE" w:rsidRPr="008F35CA" w:rsidRDefault="002E56DE" w:rsidP="002E56DE">
      <w:pPr>
        <w:pStyle w:val="FootnoteText"/>
        <w:numPr>
          <w:ilvl w:val="0"/>
          <w:numId w:val="11"/>
        </w:numPr>
        <w:rPr>
          <w:rFonts w:ascii="Times New Roman" w:hAnsi="Times New Roman"/>
        </w:rPr>
      </w:pPr>
      <w:r w:rsidRPr="008F35CA">
        <w:rPr>
          <w:rFonts w:ascii="Times New Roman" w:hAnsi="Times New Roman"/>
        </w:rPr>
        <w:t>3,607 securities firms [Financial Industry Regulatory Authority website, December 31, 2018]; and,</w:t>
      </w:r>
    </w:p>
    <w:p w14:paraId="15B3324F" w14:textId="77777777" w:rsidR="002E56DE" w:rsidRPr="008F35CA" w:rsidRDefault="002E56DE" w:rsidP="002E56DE">
      <w:pPr>
        <w:pStyle w:val="FootnoteText"/>
        <w:numPr>
          <w:ilvl w:val="0"/>
          <w:numId w:val="11"/>
        </w:numPr>
        <w:rPr>
          <w:rFonts w:ascii="Times New Roman" w:hAnsi="Times New Roman"/>
        </w:rPr>
      </w:pPr>
      <w:r w:rsidRPr="008F35CA">
        <w:rPr>
          <w:rFonts w:ascii="Times New Roman" w:hAnsi="Times New Roman"/>
        </w:rPr>
        <w:t xml:space="preserve">7,956 U.S. mutual funds [Investment Company Institute, </w:t>
      </w:r>
      <w:r w:rsidRPr="008F35CA">
        <w:rPr>
          <w:rFonts w:ascii="Times New Roman" w:hAnsi="Times New Roman"/>
          <w:i/>
        </w:rPr>
        <w:t>2018 Factbook</w:t>
      </w:r>
      <w:r w:rsidRPr="008F35CA">
        <w:rPr>
          <w:rFonts w:ascii="Times New Roman" w:hAnsi="Times New Roman"/>
        </w:rPr>
        <w:t>, 2018].</w:t>
      </w:r>
    </w:p>
  </w:footnote>
  <w:footnote w:id="2">
    <w:p w14:paraId="1484F9D6" w14:textId="4B2878C3" w:rsidR="00787DA4" w:rsidRPr="00D22A3C" w:rsidRDefault="00787DA4">
      <w:pPr>
        <w:pStyle w:val="FootnoteText"/>
        <w:rPr>
          <w:rFonts w:ascii="Times New Roman" w:hAnsi="Times New Roman"/>
        </w:rPr>
      </w:pPr>
      <w:r w:rsidRPr="00D22A3C">
        <w:rPr>
          <w:rStyle w:val="FootnoteReference"/>
          <w:rFonts w:ascii="Times New Roman" w:hAnsi="Times New Roman"/>
        </w:rPr>
        <w:footnoteRef/>
      </w:r>
      <w:r w:rsidRPr="00D22A3C">
        <w:rPr>
          <w:rFonts w:ascii="Times New Roman" w:hAnsi="Times New Roman"/>
        </w:rPr>
        <w:t xml:space="preserve"> </w:t>
      </w:r>
      <w:r>
        <w:rPr>
          <w:rFonts w:ascii="Times New Roman" w:hAnsi="Times New Roman"/>
        </w:rPr>
        <w:t>The estimated burden is two hours per financial institution- On</w:t>
      </w:r>
      <w:r w:rsidR="0072673D">
        <w:rPr>
          <w:rFonts w:ascii="Times New Roman" w:hAnsi="Times New Roman"/>
        </w:rPr>
        <w:t>e hour for a</w:t>
      </w:r>
      <w:r>
        <w:rPr>
          <w:rFonts w:ascii="Times New Roman" w:hAnsi="Times New Roman"/>
        </w:rPr>
        <w:t xml:space="preserve"> senior executive of the financial institution to</w:t>
      </w:r>
      <w:r w:rsidR="0072673D">
        <w:rPr>
          <w:rFonts w:ascii="Times New Roman" w:hAnsi="Times New Roman"/>
        </w:rPr>
        <w:t xml:space="preserve"> review and approve the notice to be provide to correspondent account holders</w:t>
      </w:r>
      <w:r>
        <w:rPr>
          <w:rFonts w:ascii="Times New Roman" w:hAnsi="Times New Roman"/>
        </w:rPr>
        <w:t xml:space="preserve"> and one hour for a compliance of</w:t>
      </w:r>
      <w:r w:rsidR="0072673D">
        <w:rPr>
          <w:rFonts w:ascii="Times New Roman" w:hAnsi="Times New Roman"/>
        </w:rPr>
        <w:t>ficer to provide notice to co</w:t>
      </w:r>
      <w:r>
        <w:rPr>
          <w:rFonts w:ascii="Times New Roman" w:hAnsi="Times New Roman"/>
        </w:rPr>
        <w:t>rrespondent</w:t>
      </w:r>
      <w:r w:rsidR="0072673D">
        <w:rPr>
          <w:rFonts w:ascii="Times New Roman" w:hAnsi="Times New Roman"/>
        </w:rPr>
        <w:t xml:space="preserve"> account holders</w:t>
      </w:r>
      <w:r>
        <w:rPr>
          <w:rFonts w:ascii="Times New Roman" w:hAnsi="Times New Roman"/>
        </w:rPr>
        <w:t>.</w:t>
      </w:r>
    </w:p>
  </w:footnote>
  <w:footnote w:id="3">
    <w:p w14:paraId="169DBA2C" w14:textId="34F459C8" w:rsidR="002E56DE" w:rsidRDefault="002E56DE" w:rsidP="002E56DE">
      <w:pPr>
        <w:pStyle w:val="FootnoteText"/>
      </w:pPr>
      <w:r w:rsidRPr="008F35CA">
        <w:rPr>
          <w:rStyle w:val="FootnoteReference"/>
          <w:rFonts w:ascii="Times New Roman" w:hAnsi="Times New Roman"/>
        </w:rPr>
        <w:footnoteRef/>
      </w:r>
      <w:r w:rsidRPr="008F35CA">
        <w:rPr>
          <w:rFonts w:ascii="Times New Roman" w:hAnsi="Times New Roman"/>
        </w:rPr>
        <w:t xml:space="preserve"> </w:t>
      </w:r>
      <w:r w:rsidR="002B3774">
        <w:rPr>
          <w:rFonts w:ascii="Times New Roman" w:hAnsi="Times New Roman"/>
        </w:rPr>
        <w:t xml:space="preserve"> </w:t>
      </w:r>
      <w:r w:rsidR="005C53CC" w:rsidRPr="0083638C">
        <w:rPr>
          <w:rFonts w:ascii="Times New Roman" w:hAnsi="Times New Roman"/>
          <w:iCs/>
        </w:rPr>
        <w:t>The above Average Hourly Wage Rate is calculated from the May 2018 Bureau of Labor Statistics average hourly wage for</w:t>
      </w:r>
      <w:r w:rsidR="005C53CC" w:rsidRPr="00EA1572">
        <w:rPr>
          <w:rFonts w:ascii="Times New Roman" w:hAnsi="Times New Roman"/>
          <w:i/>
          <w:iCs/>
        </w:rPr>
        <w:t xml:space="preserve"> “</w:t>
      </w:r>
      <w:r w:rsidR="005C53CC" w:rsidRPr="00EA1572">
        <w:rPr>
          <w:rFonts w:ascii="Times New Roman" w:hAnsi="Times New Roman"/>
        </w:rPr>
        <w:t>13-1041 Compliance Officer</w:t>
      </w:r>
      <w:r w:rsidR="005C53CC" w:rsidRPr="00EA1572">
        <w:rPr>
          <w:rFonts w:ascii="Times New Roman" w:hAnsi="Times New Roman"/>
          <w:i/>
          <w:iCs/>
        </w:rPr>
        <w:t xml:space="preserve">” </w:t>
      </w:r>
      <w:r w:rsidR="005C53CC" w:rsidRPr="00EA1572">
        <w:rPr>
          <w:rFonts w:ascii="Times New Roman" w:hAnsi="Times New Roman"/>
          <w:iCs/>
        </w:rPr>
        <w:t>of $34.86, plus an additional 44% for benefits to produce a fully-loaded rate of $50.20.</w:t>
      </w:r>
      <w:r w:rsidR="005C53CC" w:rsidRPr="00383E6D">
        <w:rPr>
          <w:i/>
          <w:iCs/>
        </w:rPr>
        <w:t xml:space="preserve"> </w:t>
      </w:r>
    </w:p>
  </w:footnote>
  <w:footnote w:id="4">
    <w:p w14:paraId="6FCFD21F" w14:textId="66B40F74" w:rsidR="002B3774" w:rsidRPr="005E5A13" w:rsidRDefault="002B3774" w:rsidP="002B3774">
      <w:pPr>
        <w:pStyle w:val="FootnoteText"/>
        <w:rPr>
          <w:rFonts w:ascii="Times New Roman" w:hAnsi="Times New Roman"/>
        </w:rPr>
      </w:pPr>
      <w:r w:rsidRPr="00D22A3C">
        <w:rPr>
          <w:rStyle w:val="FootnoteReference"/>
          <w:rFonts w:ascii="Times New Roman" w:hAnsi="Times New Roman"/>
        </w:rPr>
        <w:footnoteRef/>
      </w:r>
      <w:r>
        <w:t xml:space="preserve"> </w:t>
      </w:r>
      <w:r>
        <w:rPr>
          <w:rFonts w:ascii="Times New Roman" w:hAnsi="Times New Roman"/>
        </w:rPr>
        <w:t>The above Average Hourly Wage Rate is calculated from the May 2018 Bureau of Labor Statistics average hourly wage for “11-3031 Financial Manager” of $70.59, plus an additional 44% for benefits to prod</w:t>
      </w:r>
      <w:r w:rsidR="00AB026D">
        <w:rPr>
          <w:rFonts w:ascii="Times New Roman" w:hAnsi="Times New Roman"/>
        </w:rPr>
        <w:t>uce a fully-loaded rate of $101.</w:t>
      </w:r>
      <w:r>
        <w:rPr>
          <w:rFonts w:ascii="Times New Roman" w:hAnsi="Times New Roman"/>
        </w:rPr>
        <w:t>65.</w:t>
      </w:r>
    </w:p>
    <w:p w14:paraId="399D829E" w14:textId="65F33F60" w:rsidR="002B3774" w:rsidRDefault="002B377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D45C8" w14:textId="77777777" w:rsidR="000C318D" w:rsidRDefault="000C318D">
    <w:pPr>
      <w:pStyle w:val="Header"/>
    </w:pPr>
  </w:p>
  <w:p w14:paraId="35DB15C6" w14:textId="77777777" w:rsidR="00833900" w:rsidRDefault="00833900" w:rsidP="003932D2">
    <w:pPr>
      <w:tabs>
        <w:tab w:val="center" w:pos="4680"/>
      </w:tabs>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5FC7"/>
    <w:multiLevelType w:val="hybridMultilevel"/>
    <w:tmpl w:val="F57C515A"/>
    <w:lvl w:ilvl="0" w:tplc="3A5411CA">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46479"/>
    <w:multiLevelType w:val="hybridMultilevel"/>
    <w:tmpl w:val="A00C96CE"/>
    <w:lvl w:ilvl="0" w:tplc="7CB8231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0C31CC"/>
    <w:multiLevelType w:val="hybridMultilevel"/>
    <w:tmpl w:val="DF0422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1571FC"/>
    <w:multiLevelType w:val="hybridMultilevel"/>
    <w:tmpl w:val="4012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F7B48"/>
    <w:multiLevelType w:val="hybridMultilevel"/>
    <w:tmpl w:val="9E6869FA"/>
    <w:lvl w:ilvl="0" w:tplc="46049C4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FB44A2"/>
    <w:multiLevelType w:val="hybridMultilevel"/>
    <w:tmpl w:val="A38A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F15EF"/>
    <w:multiLevelType w:val="hybridMultilevel"/>
    <w:tmpl w:val="693EC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CC69A2"/>
    <w:multiLevelType w:val="hybridMultilevel"/>
    <w:tmpl w:val="D794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85E76"/>
    <w:multiLevelType w:val="hybridMultilevel"/>
    <w:tmpl w:val="52D6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D0281D"/>
    <w:multiLevelType w:val="hybridMultilevel"/>
    <w:tmpl w:val="635AE456"/>
    <w:lvl w:ilvl="0" w:tplc="60FE8804">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7412A2"/>
    <w:multiLevelType w:val="hybridMultilevel"/>
    <w:tmpl w:val="5E6263BA"/>
    <w:lvl w:ilvl="0" w:tplc="55F2B67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9"/>
  </w:num>
  <w:num w:numId="6">
    <w:abstractNumId w:val="10"/>
  </w:num>
  <w:num w:numId="7">
    <w:abstractNumId w:val="5"/>
  </w:num>
  <w:num w:numId="8">
    <w:abstractNumId w:val="7"/>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9B"/>
    <w:rsid w:val="00010124"/>
    <w:rsid w:val="000102BF"/>
    <w:rsid w:val="000134BE"/>
    <w:rsid w:val="00056432"/>
    <w:rsid w:val="0009547A"/>
    <w:rsid w:val="000960EF"/>
    <w:rsid w:val="000A0977"/>
    <w:rsid w:val="000A2B1A"/>
    <w:rsid w:val="000B0702"/>
    <w:rsid w:val="000C1923"/>
    <w:rsid w:val="000C318D"/>
    <w:rsid w:val="000D08CD"/>
    <w:rsid w:val="000E4695"/>
    <w:rsid w:val="000E51B0"/>
    <w:rsid w:val="000F779D"/>
    <w:rsid w:val="001126F6"/>
    <w:rsid w:val="00114949"/>
    <w:rsid w:val="0012078F"/>
    <w:rsid w:val="00121C66"/>
    <w:rsid w:val="00125F02"/>
    <w:rsid w:val="00130C5E"/>
    <w:rsid w:val="00137535"/>
    <w:rsid w:val="001502F8"/>
    <w:rsid w:val="001533B3"/>
    <w:rsid w:val="00166D29"/>
    <w:rsid w:val="001811F1"/>
    <w:rsid w:val="00183A70"/>
    <w:rsid w:val="00190673"/>
    <w:rsid w:val="00193521"/>
    <w:rsid w:val="001961B9"/>
    <w:rsid w:val="00196C55"/>
    <w:rsid w:val="001B01A3"/>
    <w:rsid w:val="001B0A87"/>
    <w:rsid w:val="001B36C0"/>
    <w:rsid w:val="001B5276"/>
    <w:rsid w:val="001B60C7"/>
    <w:rsid w:val="001B77B9"/>
    <w:rsid w:val="001D703A"/>
    <w:rsid w:val="001D7D79"/>
    <w:rsid w:val="001D7E2B"/>
    <w:rsid w:val="001F3BD4"/>
    <w:rsid w:val="00203330"/>
    <w:rsid w:val="0021050D"/>
    <w:rsid w:val="00214559"/>
    <w:rsid w:val="002152F5"/>
    <w:rsid w:val="0022491B"/>
    <w:rsid w:val="0024158F"/>
    <w:rsid w:val="002464DE"/>
    <w:rsid w:val="0024749A"/>
    <w:rsid w:val="00250BD6"/>
    <w:rsid w:val="0026086D"/>
    <w:rsid w:val="002737C6"/>
    <w:rsid w:val="00286F38"/>
    <w:rsid w:val="002879FB"/>
    <w:rsid w:val="002A62BE"/>
    <w:rsid w:val="002A76F9"/>
    <w:rsid w:val="002B066C"/>
    <w:rsid w:val="002B3774"/>
    <w:rsid w:val="002B6690"/>
    <w:rsid w:val="002B6B8E"/>
    <w:rsid w:val="002D06DD"/>
    <w:rsid w:val="002D3B20"/>
    <w:rsid w:val="002E1E50"/>
    <w:rsid w:val="002E212E"/>
    <w:rsid w:val="002E56DE"/>
    <w:rsid w:val="002E7B1E"/>
    <w:rsid w:val="00305ADE"/>
    <w:rsid w:val="003125CE"/>
    <w:rsid w:val="00317AE0"/>
    <w:rsid w:val="0032323A"/>
    <w:rsid w:val="00327B9F"/>
    <w:rsid w:val="00333B3D"/>
    <w:rsid w:val="00335A49"/>
    <w:rsid w:val="003436F1"/>
    <w:rsid w:val="003448B1"/>
    <w:rsid w:val="0035058C"/>
    <w:rsid w:val="00360110"/>
    <w:rsid w:val="00371FE9"/>
    <w:rsid w:val="003738FA"/>
    <w:rsid w:val="00376CF5"/>
    <w:rsid w:val="00391172"/>
    <w:rsid w:val="003932D2"/>
    <w:rsid w:val="003944C2"/>
    <w:rsid w:val="00394D7F"/>
    <w:rsid w:val="003972E9"/>
    <w:rsid w:val="003A33D9"/>
    <w:rsid w:val="003A48F5"/>
    <w:rsid w:val="003A65EE"/>
    <w:rsid w:val="003B0A49"/>
    <w:rsid w:val="003B1AC3"/>
    <w:rsid w:val="003E4B63"/>
    <w:rsid w:val="003F7465"/>
    <w:rsid w:val="0040596A"/>
    <w:rsid w:val="00411E9C"/>
    <w:rsid w:val="00416E16"/>
    <w:rsid w:val="00435DDB"/>
    <w:rsid w:val="004371E5"/>
    <w:rsid w:val="00447B84"/>
    <w:rsid w:val="00465680"/>
    <w:rsid w:val="00482604"/>
    <w:rsid w:val="004A17F6"/>
    <w:rsid w:val="004A5A9C"/>
    <w:rsid w:val="004A75F9"/>
    <w:rsid w:val="004B303D"/>
    <w:rsid w:val="004D5DE9"/>
    <w:rsid w:val="0050299C"/>
    <w:rsid w:val="00525A2A"/>
    <w:rsid w:val="00526EE5"/>
    <w:rsid w:val="00547822"/>
    <w:rsid w:val="00557DBB"/>
    <w:rsid w:val="005A53AC"/>
    <w:rsid w:val="005B0E61"/>
    <w:rsid w:val="005C53CC"/>
    <w:rsid w:val="005E2A24"/>
    <w:rsid w:val="00600A14"/>
    <w:rsid w:val="00605F37"/>
    <w:rsid w:val="00627180"/>
    <w:rsid w:val="00633CF0"/>
    <w:rsid w:val="00641D0D"/>
    <w:rsid w:val="00650AD9"/>
    <w:rsid w:val="00654987"/>
    <w:rsid w:val="006643F5"/>
    <w:rsid w:val="00675A90"/>
    <w:rsid w:val="006805C4"/>
    <w:rsid w:val="006859A9"/>
    <w:rsid w:val="00693509"/>
    <w:rsid w:val="00693FDE"/>
    <w:rsid w:val="00697928"/>
    <w:rsid w:val="006A3C3B"/>
    <w:rsid w:val="006C37F0"/>
    <w:rsid w:val="006D6EA5"/>
    <w:rsid w:val="006F38A7"/>
    <w:rsid w:val="00711B7B"/>
    <w:rsid w:val="007139BF"/>
    <w:rsid w:val="00720501"/>
    <w:rsid w:val="00723AD6"/>
    <w:rsid w:val="00725E5A"/>
    <w:rsid w:val="0072673D"/>
    <w:rsid w:val="007334E9"/>
    <w:rsid w:val="00750304"/>
    <w:rsid w:val="007503F8"/>
    <w:rsid w:val="00750973"/>
    <w:rsid w:val="00760173"/>
    <w:rsid w:val="00762AB2"/>
    <w:rsid w:val="00783C6C"/>
    <w:rsid w:val="00787DA4"/>
    <w:rsid w:val="007929DB"/>
    <w:rsid w:val="007A3172"/>
    <w:rsid w:val="007C2365"/>
    <w:rsid w:val="00802A5C"/>
    <w:rsid w:val="0080589E"/>
    <w:rsid w:val="0080659A"/>
    <w:rsid w:val="00813E08"/>
    <w:rsid w:val="008247D2"/>
    <w:rsid w:val="00833900"/>
    <w:rsid w:val="00835D5E"/>
    <w:rsid w:val="0083638C"/>
    <w:rsid w:val="008365B7"/>
    <w:rsid w:val="00846282"/>
    <w:rsid w:val="00852EFC"/>
    <w:rsid w:val="00857D75"/>
    <w:rsid w:val="00863B55"/>
    <w:rsid w:val="00870698"/>
    <w:rsid w:val="00870FC1"/>
    <w:rsid w:val="00872F4C"/>
    <w:rsid w:val="008759FF"/>
    <w:rsid w:val="00887E19"/>
    <w:rsid w:val="00897825"/>
    <w:rsid w:val="008A0389"/>
    <w:rsid w:val="008C5A5D"/>
    <w:rsid w:val="008C7FEF"/>
    <w:rsid w:val="008D4E74"/>
    <w:rsid w:val="008E54DD"/>
    <w:rsid w:val="008E6FE2"/>
    <w:rsid w:val="008F35CA"/>
    <w:rsid w:val="008F743C"/>
    <w:rsid w:val="009219DF"/>
    <w:rsid w:val="00921E64"/>
    <w:rsid w:val="00931D7A"/>
    <w:rsid w:val="00950394"/>
    <w:rsid w:val="0097143D"/>
    <w:rsid w:val="009715F7"/>
    <w:rsid w:val="00982F73"/>
    <w:rsid w:val="00983FDF"/>
    <w:rsid w:val="00995367"/>
    <w:rsid w:val="009B4C94"/>
    <w:rsid w:val="009D107E"/>
    <w:rsid w:val="009D78DB"/>
    <w:rsid w:val="009E1B10"/>
    <w:rsid w:val="009F39CE"/>
    <w:rsid w:val="009F499E"/>
    <w:rsid w:val="00A00E8B"/>
    <w:rsid w:val="00A028E3"/>
    <w:rsid w:val="00A05D10"/>
    <w:rsid w:val="00A1354B"/>
    <w:rsid w:val="00A143AA"/>
    <w:rsid w:val="00A224B3"/>
    <w:rsid w:val="00A26D4C"/>
    <w:rsid w:val="00A473D7"/>
    <w:rsid w:val="00A52ABE"/>
    <w:rsid w:val="00A552FA"/>
    <w:rsid w:val="00A577FF"/>
    <w:rsid w:val="00A671D4"/>
    <w:rsid w:val="00A71C92"/>
    <w:rsid w:val="00A8241E"/>
    <w:rsid w:val="00A8609C"/>
    <w:rsid w:val="00A900C9"/>
    <w:rsid w:val="00A93238"/>
    <w:rsid w:val="00AA3654"/>
    <w:rsid w:val="00AA77B3"/>
    <w:rsid w:val="00AB026D"/>
    <w:rsid w:val="00AC1D2E"/>
    <w:rsid w:val="00AC792B"/>
    <w:rsid w:val="00AD308C"/>
    <w:rsid w:val="00AD3801"/>
    <w:rsid w:val="00AD5D3B"/>
    <w:rsid w:val="00AE2849"/>
    <w:rsid w:val="00AE685D"/>
    <w:rsid w:val="00B0490C"/>
    <w:rsid w:val="00B15C00"/>
    <w:rsid w:val="00B21B04"/>
    <w:rsid w:val="00B251AC"/>
    <w:rsid w:val="00B31408"/>
    <w:rsid w:val="00B4078F"/>
    <w:rsid w:val="00B44F9C"/>
    <w:rsid w:val="00B4535D"/>
    <w:rsid w:val="00B46CFF"/>
    <w:rsid w:val="00B54F65"/>
    <w:rsid w:val="00B63759"/>
    <w:rsid w:val="00B6716E"/>
    <w:rsid w:val="00B948AB"/>
    <w:rsid w:val="00BA0408"/>
    <w:rsid w:val="00BA3413"/>
    <w:rsid w:val="00BA662D"/>
    <w:rsid w:val="00BB208E"/>
    <w:rsid w:val="00BB2DB6"/>
    <w:rsid w:val="00BB42C6"/>
    <w:rsid w:val="00BC230D"/>
    <w:rsid w:val="00BD686B"/>
    <w:rsid w:val="00BE3E92"/>
    <w:rsid w:val="00C0784D"/>
    <w:rsid w:val="00C134EC"/>
    <w:rsid w:val="00C13516"/>
    <w:rsid w:val="00C303D7"/>
    <w:rsid w:val="00C366C7"/>
    <w:rsid w:val="00C55851"/>
    <w:rsid w:val="00C56133"/>
    <w:rsid w:val="00C617EB"/>
    <w:rsid w:val="00C7437C"/>
    <w:rsid w:val="00C84010"/>
    <w:rsid w:val="00C85EB4"/>
    <w:rsid w:val="00C86816"/>
    <w:rsid w:val="00C97807"/>
    <w:rsid w:val="00CA1844"/>
    <w:rsid w:val="00CB6B0A"/>
    <w:rsid w:val="00CB7AC7"/>
    <w:rsid w:val="00CE15D4"/>
    <w:rsid w:val="00CE1692"/>
    <w:rsid w:val="00CE7419"/>
    <w:rsid w:val="00CF0204"/>
    <w:rsid w:val="00CF27AF"/>
    <w:rsid w:val="00CF4F2F"/>
    <w:rsid w:val="00CF7E29"/>
    <w:rsid w:val="00D013F2"/>
    <w:rsid w:val="00D018A1"/>
    <w:rsid w:val="00D07E10"/>
    <w:rsid w:val="00D1757B"/>
    <w:rsid w:val="00D2150E"/>
    <w:rsid w:val="00D22A3C"/>
    <w:rsid w:val="00D35341"/>
    <w:rsid w:val="00D368B1"/>
    <w:rsid w:val="00D36EAC"/>
    <w:rsid w:val="00D40B4A"/>
    <w:rsid w:val="00D40EE1"/>
    <w:rsid w:val="00D45031"/>
    <w:rsid w:val="00D57E08"/>
    <w:rsid w:val="00D6579A"/>
    <w:rsid w:val="00D67E95"/>
    <w:rsid w:val="00D7687B"/>
    <w:rsid w:val="00D810FD"/>
    <w:rsid w:val="00D841E6"/>
    <w:rsid w:val="00D952B0"/>
    <w:rsid w:val="00DA6EAB"/>
    <w:rsid w:val="00DC128E"/>
    <w:rsid w:val="00DC149F"/>
    <w:rsid w:val="00DC7862"/>
    <w:rsid w:val="00DD2B5B"/>
    <w:rsid w:val="00DD3B2B"/>
    <w:rsid w:val="00DE363F"/>
    <w:rsid w:val="00DE5A1D"/>
    <w:rsid w:val="00DF20F2"/>
    <w:rsid w:val="00DF7492"/>
    <w:rsid w:val="00E01973"/>
    <w:rsid w:val="00E03DA3"/>
    <w:rsid w:val="00E060CE"/>
    <w:rsid w:val="00E21017"/>
    <w:rsid w:val="00E4035F"/>
    <w:rsid w:val="00E46B40"/>
    <w:rsid w:val="00E63C2C"/>
    <w:rsid w:val="00E65A20"/>
    <w:rsid w:val="00E74A2B"/>
    <w:rsid w:val="00EA1572"/>
    <w:rsid w:val="00EB2554"/>
    <w:rsid w:val="00EB41A1"/>
    <w:rsid w:val="00EB5954"/>
    <w:rsid w:val="00EC272C"/>
    <w:rsid w:val="00EC5332"/>
    <w:rsid w:val="00ED1BE5"/>
    <w:rsid w:val="00ED3C4C"/>
    <w:rsid w:val="00ED4979"/>
    <w:rsid w:val="00EE2D9B"/>
    <w:rsid w:val="00EF1260"/>
    <w:rsid w:val="00EF455F"/>
    <w:rsid w:val="00EF4BDA"/>
    <w:rsid w:val="00EF4EC9"/>
    <w:rsid w:val="00F00B10"/>
    <w:rsid w:val="00F03372"/>
    <w:rsid w:val="00F12FA3"/>
    <w:rsid w:val="00F34915"/>
    <w:rsid w:val="00F41162"/>
    <w:rsid w:val="00F5617B"/>
    <w:rsid w:val="00F60ABB"/>
    <w:rsid w:val="00F61523"/>
    <w:rsid w:val="00F777BF"/>
    <w:rsid w:val="00F81301"/>
    <w:rsid w:val="00F851B9"/>
    <w:rsid w:val="00F85590"/>
    <w:rsid w:val="00F91EE5"/>
    <w:rsid w:val="00F92BD4"/>
    <w:rsid w:val="00FB7A02"/>
    <w:rsid w:val="00FD2D5C"/>
    <w:rsid w:val="00FD5976"/>
    <w:rsid w:val="00FE2CAC"/>
    <w:rsid w:val="00FE5F36"/>
    <w:rsid w:val="00FE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137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Indent3">
    <w:name w:val="Body Text Indent 3"/>
    <w:basedOn w:val="Normal"/>
    <w:pPr>
      <w:ind w:left="720"/>
    </w:pPr>
    <w:rPr>
      <w:rFonts w:ascii="Times New Roman" w:hAnsi="Times New Roman"/>
      <w:sz w:val="24"/>
    </w:rPr>
  </w:style>
  <w:style w:type="paragraph" w:styleId="FootnoteText">
    <w:name w:val="footnote text"/>
    <w:basedOn w:val="Normal"/>
    <w:link w:val="FootnoteTextChar"/>
    <w:rsid w:val="002B6690"/>
    <w:rPr>
      <w:szCs w:val="20"/>
    </w:rPr>
  </w:style>
  <w:style w:type="paragraph" w:styleId="BalloonText">
    <w:name w:val="Balloon Text"/>
    <w:basedOn w:val="Normal"/>
    <w:link w:val="BalloonTextChar"/>
    <w:rsid w:val="00DD3B2B"/>
    <w:rPr>
      <w:rFonts w:ascii="Tahoma" w:hAnsi="Tahoma" w:cs="Tahoma"/>
      <w:sz w:val="16"/>
      <w:szCs w:val="16"/>
    </w:rPr>
  </w:style>
  <w:style w:type="character" w:customStyle="1" w:styleId="BalloonTextChar">
    <w:name w:val="Balloon Text Char"/>
    <w:link w:val="BalloonText"/>
    <w:rsid w:val="00DD3B2B"/>
    <w:rPr>
      <w:rFonts w:ascii="Tahoma" w:hAnsi="Tahoma" w:cs="Tahoma"/>
      <w:sz w:val="16"/>
      <w:szCs w:val="16"/>
    </w:rPr>
  </w:style>
  <w:style w:type="paragraph" w:styleId="Header">
    <w:name w:val="header"/>
    <w:basedOn w:val="Normal"/>
    <w:link w:val="HeaderChar"/>
    <w:uiPriority w:val="99"/>
    <w:rsid w:val="003932D2"/>
    <w:pPr>
      <w:tabs>
        <w:tab w:val="center" w:pos="4680"/>
        <w:tab w:val="right" w:pos="9360"/>
      </w:tabs>
    </w:pPr>
  </w:style>
  <w:style w:type="character" w:customStyle="1" w:styleId="HeaderChar">
    <w:name w:val="Header Char"/>
    <w:link w:val="Header"/>
    <w:uiPriority w:val="99"/>
    <w:rsid w:val="003932D2"/>
    <w:rPr>
      <w:rFonts w:ascii="Courier" w:hAnsi="Courier"/>
      <w:szCs w:val="24"/>
    </w:rPr>
  </w:style>
  <w:style w:type="paragraph" w:styleId="Footer">
    <w:name w:val="footer"/>
    <w:basedOn w:val="Normal"/>
    <w:link w:val="FooterChar"/>
    <w:uiPriority w:val="99"/>
    <w:rsid w:val="003932D2"/>
    <w:pPr>
      <w:tabs>
        <w:tab w:val="center" w:pos="4680"/>
        <w:tab w:val="right" w:pos="9360"/>
      </w:tabs>
    </w:pPr>
  </w:style>
  <w:style w:type="character" w:customStyle="1" w:styleId="FooterChar">
    <w:name w:val="Footer Char"/>
    <w:link w:val="Footer"/>
    <w:uiPriority w:val="99"/>
    <w:rsid w:val="003932D2"/>
    <w:rPr>
      <w:rFonts w:ascii="Courier" w:hAnsi="Courier"/>
      <w:szCs w:val="24"/>
    </w:rPr>
  </w:style>
  <w:style w:type="character" w:styleId="CommentReference">
    <w:name w:val="annotation reference"/>
    <w:rsid w:val="00C0784D"/>
    <w:rPr>
      <w:sz w:val="16"/>
      <w:szCs w:val="16"/>
    </w:rPr>
  </w:style>
  <w:style w:type="paragraph" w:styleId="CommentText">
    <w:name w:val="annotation text"/>
    <w:basedOn w:val="Normal"/>
    <w:link w:val="CommentTextChar"/>
    <w:rsid w:val="00C0784D"/>
    <w:rPr>
      <w:szCs w:val="20"/>
    </w:rPr>
  </w:style>
  <w:style w:type="character" w:customStyle="1" w:styleId="CommentTextChar">
    <w:name w:val="Comment Text Char"/>
    <w:link w:val="CommentText"/>
    <w:rsid w:val="00C0784D"/>
    <w:rPr>
      <w:rFonts w:ascii="Courier" w:hAnsi="Courier"/>
    </w:rPr>
  </w:style>
  <w:style w:type="paragraph" w:styleId="CommentSubject">
    <w:name w:val="annotation subject"/>
    <w:basedOn w:val="CommentText"/>
    <w:next w:val="CommentText"/>
    <w:link w:val="CommentSubjectChar"/>
    <w:rsid w:val="00C0784D"/>
    <w:rPr>
      <w:b/>
      <w:bCs/>
    </w:rPr>
  </w:style>
  <w:style w:type="character" w:customStyle="1" w:styleId="CommentSubjectChar">
    <w:name w:val="Comment Subject Char"/>
    <w:link w:val="CommentSubject"/>
    <w:rsid w:val="00C0784D"/>
    <w:rPr>
      <w:rFonts w:ascii="Courier" w:hAnsi="Courier"/>
      <w:b/>
      <w:bCs/>
    </w:rPr>
  </w:style>
  <w:style w:type="character" w:customStyle="1" w:styleId="FootnoteTextChar">
    <w:name w:val="Footnote Text Char"/>
    <w:link w:val="FootnoteText"/>
    <w:locked/>
    <w:rsid w:val="00863B55"/>
    <w:rPr>
      <w:rFonts w:ascii="Courier" w:hAnsi="Courier"/>
    </w:rPr>
  </w:style>
  <w:style w:type="paragraph" w:styleId="ListParagraph">
    <w:name w:val="List Paragraph"/>
    <w:basedOn w:val="Normal"/>
    <w:uiPriority w:val="34"/>
    <w:qFormat/>
    <w:rsid w:val="00D6579A"/>
    <w:pPr>
      <w:widowControl/>
      <w:autoSpaceDE/>
      <w:autoSpaceDN/>
      <w:adjustRightInd/>
      <w:spacing w:after="240"/>
      <w:ind w:left="720"/>
    </w:pPr>
    <w:rPr>
      <w:rFonts w:ascii="Palatino Linotype" w:hAnsi="Palatino Linotype"/>
      <w:sz w:val="22"/>
    </w:rPr>
  </w:style>
  <w:style w:type="character" w:styleId="Hyperlink">
    <w:name w:val="Hyperlink"/>
    <w:unhideWhenUsed/>
    <w:rsid w:val="0050299C"/>
    <w:rPr>
      <w:color w:val="0563C1"/>
      <w:u w:val="single"/>
    </w:rPr>
  </w:style>
  <w:style w:type="character" w:styleId="FollowedHyperlink">
    <w:name w:val="FollowedHyperlink"/>
    <w:rsid w:val="00D1757B"/>
    <w:rPr>
      <w:color w:val="954F72"/>
      <w:u w:val="single"/>
    </w:rPr>
  </w:style>
  <w:style w:type="paragraph" w:styleId="Revision">
    <w:name w:val="Revision"/>
    <w:hidden/>
    <w:uiPriority w:val="99"/>
    <w:semiHidden/>
    <w:rsid w:val="00995367"/>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Indent3">
    <w:name w:val="Body Text Indent 3"/>
    <w:basedOn w:val="Normal"/>
    <w:pPr>
      <w:ind w:left="720"/>
    </w:pPr>
    <w:rPr>
      <w:rFonts w:ascii="Times New Roman" w:hAnsi="Times New Roman"/>
      <w:sz w:val="24"/>
    </w:rPr>
  </w:style>
  <w:style w:type="paragraph" w:styleId="FootnoteText">
    <w:name w:val="footnote text"/>
    <w:basedOn w:val="Normal"/>
    <w:link w:val="FootnoteTextChar"/>
    <w:rsid w:val="002B6690"/>
    <w:rPr>
      <w:szCs w:val="20"/>
    </w:rPr>
  </w:style>
  <w:style w:type="paragraph" w:styleId="BalloonText">
    <w:name w:val="Balloon Text"/>
    <w:basedOn w:val="Normal"/>
    <w:link w:val="BalloonTextChar"/>
    <w:rsid w:val="00DD3B2B"/>
    <w:rPr>
      <w:rFonts w:ascii="Tahoma" w:hAnsi="Tahoma" w:cs="Tahoma"/>
      <w:sz w:val="16"/>
      <w:szCs w:val="16"/>
    </w:rPr>
  </w:style>
  <w:style w:type="character" w:customStyle="1" w:styleId="BalloonTextChar">
    <w:name w:val="Balloon Text Char"/>
    <w:link w:val="BalloonText"/>
    <w:rsid w:val="00DD3B2B"/>
    <w:rPr>
      <w:rFonts w:ascii="Tahoma" w:hAnsi="Tahoma" w:cs="Tahoma"/>
      <w:sz w:val="16"/>
      <w:szCs w:val="16"/>
    </w:rPr>
  </w:style>
  <w:style w:type="paragraph" w:styleId="Header">
    <w:name w:val="header"/>
    <w:basedOn w:val="Normal"/>
    <w:link w:val="HeaderChar"/>
    <w:uiPriority w:val="99"/>
    <w:rsid w:val="003932D2"/>
    <w:pPr>
      <w:tabs>
        <w:tab w:val="center" w:pos="4680"/>
        <w:tab w:val="right" w:pos="9360"/>
      </w:tabs>
    </w:pPr>
  </w:style>
  <w:style w:type="character" w:customStyle="1" w:styleId="HeaderChar">
    <w:name w:val="Header Char"/>
    <w:link w:val="Header"/>
    <w:uiPriority w:val="99"/>
    <w:rsid w:val="003932D2"/>
    <w:rPr>
      <w:rFonts w:ascii="Courier" w:hAnsi="Courier"/>
      <w:szCs w:val="24"/>
    </w:rPr>
  </w:style>
  <w:style w:type="paragraph" w:styleId="Footer">
    <w:name w:val="footer"/>
    <w:basedOn w:val="Normal"/>
    <w:link w:val="FooterChar"/>
    <w:uiPriority w:val="99"/>
    <w:rsid w:val="003932D2"/>
    <w:pPr>
      <w:tabs>
        <w:tab w:val="center" w:pos="4680"/>
        <w:tab w:val="right" w:pos="9360"/>
      </w:tabs>
    </w:pPr>
  </w:style>
  <w:style w:type="character" w:customStyle="1" w:styleId="FooterChar">
    <w:name w:val="Footer Char"/>
    <w:link w:val="Footer"/>
    <w:uiPriority w:val="99"/>
    <w:rsid w:val="003932D2"/>
    <w:rPr>
      <w:rFonts w:ascii="Courier" w:hAnsi="Courier"/>
      <w:szCs w:val="24"/>
    </w:rPr>
  </w:style>
  <w:style w:type="character" w:styleId="CommentReference">
    <w:name w:val="annotation reference"/>
    <w:rsid w:val="00C0784D"/>
    <w:rPr>
      <w:sz w:val="16"/>
      <w:szCs w:val="16"/>
    </w:rPr>
  </w:style>
  <w:style w:type="paragraph" w:styleId="CommentText">
    <w:name w:val="annotation text"/>
    <w:basedOn w:val="Normal"/>
    <w:link w:val="CommentTextChar"/>
    <w:rsid w:val="00C0784D"/>
    <w:rPr>
      <w:szCs w:val="20"/>
    </w:rPr>
  </w:style>
  <w:style w:type="character" w:customStyle="1" w:styleId="CommentTextChar">
    <w:name w:val="Comment Text Char"/>
    <w:link w:val="CommentText"/>
    <w:rsid w:val="00C0784D"/>
    <w:rPr>
      <w:rFonts w:ascii="Courier" w:hAnsi="Courier"/>
    </w:rPr>
  </w:style>
  <w:style w:type="paragraph" w:styleId="CommentSubject">
    <w:name w:val="annotation subject"/>
    <w:basedOn w:val="CommentText"/>
    <w:next w:val="CommentText"/>
    <w:link w:val="CommentSubjectChar"/>
    <w:rsid w:val="00C0784D"/>
    <w:rPr>
      <w:b/>
      <w:bCs/>
    </w:rPr>
  </w:style>
  <w:style w:type="character" w:customStyle="1" w:styleId="CommentSubjectChar">
    <w:name w:val="Comment Subject Char"/>
    <w:link w:val="CommentSubject"/>
    <w:rsid w:val="00C0784D"/>
    <w:rPr>
      <w:rFonts w:ascii="Courier" w:hAnsi="Courier"/>
      <w:b/>
      <w:bCs/>
    </w:rPr>
  </w:style>
  <w:style w:type="character" w:customStyle="1" w:styleId="FootnoteTextChar">
    <w:name w:val="Footnote Text Char"/>
    <w:link w:val="FootnoteText"/>
    <w:locked/>
    <w:rsid w:val="00863B55"/>
    <w:rPr>
      <w:rFonts w:ascii="Courier" w:hAnsi="Courier"/>
    </w:rPr>
  </w:style>
  <w:style w:type="paragraph" w:styleId="ListParagraph">
    <w:name w:val="List Paragraph"/>
    <w:basedOn w:val="Normal"/>
    <w:uiPriority w:val="34"/>
    <w:qFormat/>
    <w:rsid w:val="00D6579A"/>
    <w:pPr>
      <w:widowControl/>
      <w:autoSpaceDE/>
      <w:autoSpaceDN/>
      <w:adjustRightInd/>
      <w:spacing w:after="240"/>
      <w:ind w:left="720"/>
    </w:pPr>
    <w:rPr>
      <w:rFonts w:ascii="Palatino Linotype" w:hAnsi="Palatino Linotype"/>
      <w:sz w:val="22"/>
    </w:rPr>
  </w:style>
  <w:style w:type="character" w:styleId="Hyperlink">
    <w:name w:val="Hyperlink"/>
    <w:unhideWhenUsed/>
    <w:rsid w:val="0050299C"/>
    <w:rPr>
      <w:color w:val="0563C1"/>
      <w:u w:val="single"/>
    </w:rPr>
  </w:style>
  <w:style w:type="character" w:styleId="FollowedHyperlink">
    <w:name w:val="FollowedHyperlink"/>
    <w:rsid w:val="00D1757B"/>
    <w:rPr>
      <w:color w:val="954F72"/>
      <w:u w:val="single"/>
    </w:rPr>
  </w:style>
  <w:style w:type="paragraph" w:styleId="Revision">
    <w:name w:val="Revision"/>
    <w:hidden/>
    <w:uiPriority w:val="99"/>
    <w:semiHidden/>
    <w:rsid w:val="00995367"/>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cen.gov/foia/files/FinCEN_79_FR_20969.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899A-1C7D-4EBA-A3B1-D0290F37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2019-10-25T15:39:00Z</dcterms:created>
  <dcterms:modified xsi:type="dcterms:W3CDTF">2019-10-25T15:39:00Z</dcterms:modified>
</cp:coreProperties>
</file>