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A51" w:rsidRDefault="00E91A51" w14:paraId="006CBD9B" w14:textId="77777777">
      <w:pPr>
        <w:jc w:val="center"/>
      </w:pPr>
      <w:r>
        <w:t xml:space="preserve">Supporting Statement </w:t>
      </w:r>
    </w:p>
    <w:p w:rsidR="00E91A51" w:rsidRDefault="00E91A51" w14:paraId="66B28FBD" w14:textId="77777777">
      <w:pPr>
        <w:jc w:val="center"/>
      </w:pPr>
      <w:r>
        <w:t>Community Development Financial Institutions Program</w:t>
      </w:r>
    </w:p>
    <w:p w:rsidR="00E91A51" w:rsidRDefault="00E91A51" w14:paraId="6B413AD9" w14:textId="77777777">
      <w:pPr>
        <w:jc w:val="center"/>
      </w:pPr>
      <w:r>
        <w:t xml:space="preserve">CDFI Program Awardee </w:t>
      </w:r>
      <w:r w:rsidR="00D9320D">
        <w:t xml:space="preserve">and NMTC Allocatee </w:t>
      </w:r>
      <w:r>
        <w:t>Annual Report</w:t>
      </w:r>
    </w:p>
    <w:p w:rsidR="00E91A51" w:rsidRDefault="00A44E5E" w14:paraId="407B7F6F" w14:textId="77777777">
      <w:pPr>
        <w:jc w:val="center"/>
      </w:pPr>
      <w:r>
        <w:t>OMB Approval Number 1559-0027</w:t>
      </w:r>
    </w:p>
    <w:p w:rsidR="00E91A51" w:rsidRDefault="00E91A51" w14:paraId="5CD48EAD" w14:textId="77777777"/>
    <w:p w:rsidR="00E91A51" w:rsidRDefault="00E91A51" w14:paraId="61727C61" w14:textId="77777777">
      <w:pPr>
        <w:pStyle w:val="Heading1"/>
      </w:pPr>
      <w:r>
        <w:t>A.  Justification</w:t>
      </w:r>
    </w:p>
    <w:p w:rsidR="00E91A51" w:rsidRDefault="00E91A51" w14:paraId="001A86E9" w14:textId="77777777"/>
    <w:p w:rsidR="00E91A51" w:rsidRDefault="00E91A51" w14:paraId="14B63AD1" w14:textId="77777777">
      <w:r>
        <w:rPr>
          <w:u w:val="single"/>
        </w:rPr>
        <w:t>1.  Circumstances necessitating collection of information</w:t>
      </w:r>
    </w:p>
    <w:p w:rsidR="00DA39FB" w:rsidRDefault="00E91A51" w14:paraId="2DFB10D0" w14:textId="77777777">
      <w:r>
        <w:t>The Community Development Financial Institutions (CDFI) Program provides financial and technical assistance to selected organizations certified by the CDFI Fund as CDFIs, or entities that propose to become CDFIs, in order to enhance their ability to make loans and investments and provide services for the benefit of designated investment areas and targeted populations.</w:t>
      </w:r>
      <w:r w:rsidR="00726484">
        <w:t xml:space="preserve">  According to appropriations legislation, these also include selected Native American </w:t>
      </w:r>
      <w:r w:rsidR="002753A5">
        <w:t>organizations</w:t>
      </w:r>
      <w:r w:rsidR="00726484">
        <w:t xml:space="preserve"> certified by the CDFI Fund as CDFIs, or entities that propose to become CDFIs, in order to enhance their ability to make loans and investments and provide services for the benefit of Native American communities and individual Native Americans.</w:t>
      </w:r>
      <w:r>
        <w:t xml:space="preserve">  Based on an assistance agreement between each Awardee and the CDFI Fund, annual reports are used to collect information for compliance monitoring</w:t>
      </w:r>
      <w:r w:rsidR="008F4468">
        <w:t>, performance reporting</w:t>
      </w:r>
      <w:r>
        <w:t xml:space="preserve"> and recordkeeping purposes.  The</w:t>
      </w:r>
      <w:r w:rsidR="00726484">
        <w:t xml:space="preserve"> annual report provides </w:t>
      </w:r>
      <w:r>
        <w:t>qualitative and quantitative information on the Awardee’s compliance with its performance goals</w:t>
      </w:r>
      <w:r w:rsidR="00FC2BC0">
        <w:t xml:space="preserve">, </w:t>
      </w:r>
      <w:r w:rsidR="00A51635">
        <w:t>its financial</w:t>
      </w:r>
      <w:r>
        <w:t xml:space="preserve"> </w:t>
      </w:r>
      <w:r w:rsidR="00FC2BC0">
        <w:t>health,</w:t>
      </w:r>
      <w:r>
        <w:t xml:space="preserve"> and </w:t>
      </w:r>
      <w:r w:rsidR="00FC2BC0">
        <w:t xml:space="preserve">the </w:t>
      </w:r>
      <w:r w:rsidR="008F4468">
        <w:t>period of performance</w:t>
      </w:r>
      <w:r w:rsidR="00A51635">
        <w:t xml:space="preserve"> in</w:t>
      </w:r>
      <w:r>
        <w:t xml:space="preserve"> which the CDFI Fund’s financial and technical assistance was used. </w:t>
      </w:r>
    </w:p>
    <w:p w:rsidR="00E91A51" w:rsidRDefault="00E91A51" w14:paraId="13C0B5D7" w14:textId="77777777">
      <w:r>
        <w:t xml:space="preserve"> </w:t>
      </w:r>
    </w:p>
    <w:p w:rsidR="00B03F75" w:rsidRDefault="00B03F75" w14:paraId="630CC096" w14:textId="77777777">
      <w:r>
        <w:t xml:space="preserve">In addition, the legislation that created the New Markets Tax Credit (NMTC) Program, administered by the </w:t>
      </w:r>
      <w:r w:rsidR="008C72CD">
        <w:t xml:space="preserve">CDFI </w:t>
      </w:r>
      <w:r>
        <w:t xml:space="preserve">Fund in coordination with the Internal Revenue Service (IRS), </w:t>
      </w:r>
      <w:r w:rsidR="008F4468">
        <w:t>requires</w:t>
      </w:r>
      <w:r>
        <w:t xml:space="preserve"> the collect</w:t>
      </w:r>
      <w:r w:rsidR="008F4468">
        <w:t>ion of</w:t>
      </w:r>
      <w:r>
        <w:t xml:space="preserve"> data from community development entities (CDEs) that receive </w:t>
      </w:r>
      <w:r w:rsidR="008C72CD">
        <w:t xml:space="preserve">allocations of </w:t>
      </w:r>
      <w:r>
        <w:t>N</w:t>
      </w:r>
      <w:r w:rsidR="00E04825">
        <w:t>MTC</w:t>
      </w:r>
      <w:r w:rsidR="008C72CD">
        <w:t xml:space="preserve"> authority</w:t>
      </w:r>
      <w:r w:rsidR="00E04825">
        <w:t>.  NMTC Program A</w:t>
      </w:r>
      <w:r>
        <w:t xml:space="preserve">llocatees enter into allocation agreements with the </w:t>
      </w:r>
      <w:r w:rsidR="008C72CD">
        <w:t xml:space="preserve">CDFI </w:t>
      </w:r>
      <w:r>
        <w:t>Fund, which contain the terms and conditions of their NMTC allocations</w:t>
      </w:r>
      <w:r w:rsidR="0021545C">
        <w:t>,</w:t>
      </w:r>
      <w:r w:rsidR="00FF15B2">
        <w:t xml:space="preserve"> including submission of an annual report.  These reports provide </w:t>
      </w:r>
      <w:r w:rsidR="00111916">
        <w:t xml:space="preserve">qualitative and </w:t>
      </w:r>
      <w:r w:rsidR="00A51635">
        <w:t>quantitative</w:t>
      </w:r>
      <w:r w:rsidR="00111916">
        <w:t xml:space="preserve"> information on the Allocatee’s compliance </w:t>
      </w:r>
      <w:r w:rsidR="004901C2">
        <w:t xml:space="preserve">and performance commitments </w:t>
      </w:r>
      <w:r w:rsidR="00111916">
        <w:t xml:space="preserve">with its allocation agreement, </w:t>
      </w:r>
      <w:r w:rsidR="00A51635">
        <w:t>adherence</w:t>
      </w:r>
      <w:r w:rsidR="00111916">
        <w:t xml:space="preserve"> to </w:t>
      </w:r>
      <w:r w:rsidR="004A5123">
        <w:t xml:space="preserve">IRS </w:t>
      </w:r>
      <w:r w:rsidR="00111916">
        <w:t>regulations (</w:t>
      </w:r>
      <w:r w:rsidR="008C72CD">
        <w:t xml:space="preserve">section </w:t>
      </w:r>
      <w:r w:rsidR="00111916">
        <w:t xml:space="preserve">45D of </w:t>
      </w:r>
      <w:r w:rsidR="008C72CD">
        <w:t xml:space="preserve">the </w:t>
      </w:r>
      <w:r w:rsidR="00111916">
        <w:t xml:space="preserve">Internal </w:t>
      </w:r>
      <w:r w:rsidR="003878AE">
        <w:t>Revenue Code</w:t>
      </w:r>
      <w:r w:rsidR="00EC048A">
        <w:t xml:space="preserve"> (26 USC 45D</w:t>
      </w:r>
      <w:r w:rsidR="003878AE">
        <w:t xml:space="preserve">), </w:t>
      </w:r>
      <w:r w:rsidR="004A5123">
        <w:t xml:space="preserve">community impact data </w:t>
      </w:r>
      <w:r w:rsidR="003878AE">
        <w:t xml:space="preserve">and its financial health.  </w:t>
      </w:r>
    </w:p>
    <w:p w:rsidR="00224688" w:rsidRDefault="00224688" w14:paraId="7B451F44" w14:textId="77777777"/>
    <w:p w:rsidR="00E91A51" w:rsidRDefault="00E91A51" w14:paraId="55FDC6DD" w14:textId="77777777">
      <w:pPr>
        <w:rPr>
          <w:u w:val="single"/>
        </w:rPr>
      </w:pPr>
      <w:r>
        <w:rPr>
          <w:u w:val="single"/>
        </w:rPr>
        <w:t>2.  Method of collection and use of data</w:t>
      </w:r>
    </w:p>
    <w:p w:rsidR="00E91A51" w:rsidP="00BB2D0E" w:rsidRDefault="00E04825" w14:paraId="03C2EEF8" w14:textId="77777777">
      <w:r>
        <w:t>The CDFI Fund</w:t>
      </w:r>
      <w:r w:rsidR="00E91A51">
        <w:t xml:space="preserve"> collect</w:t>
      </w:r>
      <w:r>
        <w:t>s</w:t>
      </w:r>
      <w:r w:rsidR="00BB2D0E">
        <w:t xml:space="preserve"> </w:t>
      </w:r>
      <w:r w:rsidR="00E106CE">
        <w:t xml:space="preserve">this </w:t>
      </w:r>
      <w:r w:rsidR="00BB2D0E">
        <w:t>data</w:t>
      </w:r>
      <w:r w:rsidR="00E91A51">
        <w:t xml:space="preserve"> on an annual basis </w:t>
      </w:r>
      <w:r w:rsidR="00E106CE">
        <w:t xml:space="preserve">electronically in the </w:t>
      </w:r>
      <w:r w:rsidRPr="0059317A" w:rsidR="00E106CE">
        <w:t>Awards Management Information System (AMIS)</w:t>
      </w:r>
      <w:r w:rsidR="00E106CE">
        <w:t xml:space="preserve"> </w:t>
      </w:r>
      <w:r w:rsidR="00E91A51">
        <w:t>according to the Awardee’s</w:t>
      </w:r>
      <w:r w:rsidR="00726484">
        <w:t xml:space="preserve"> or Allocatee’s</w:t>
      </w:r>
      <w:r w:rsidR="00E91A51">
        <w:t xml:space="preserve"> fiscal year end</w:t>
      </w:r>
      <w:r w:rsidR="00BB2D0E">
        <w:t xml:space="preserve">. </w:t>
      </w:r>
      <w:r w:rsidR="00E91A51">
        <w:t xml:space="preserve">The annual report data will be used to determine an Awardee’s compliance with the terms </w:t>
      </w:r>
      <w:r w:rsidR="004A5123">
        <w:t>of</w:t>
      </w:r>
      <w:r w:rsidR="00E91A51">
        <w:t xml:space="preserve"> its assistance </w:t>
      </w:r>
      <w:r w:rsidR="00395CF2">
        <w:t xml:space="preserve">or allocation </w:t>
      </w:r>
      <w:r w:rsidR="00E91A51">
        <w:t>agreement.</w:t>
      </w:r>
    </w:p>
    <w:p w:rsidR="00E91A51" w:rsidP="00BB2D0E" w:rsidRDefault="00E91A51" w14:paraId="68565C09" w14:textId="77777777">
      <w:pPr>
        <w:rPr>
          <w:u w:val="single"/>
        </w:rPr>
      </w:pPr>
    </w:p>
    <w:p w:rsidR="00E91A51" w:rsidRDefault="00E91A51" w14:paraId="5415AB19" w14:textId="77777777">
      <w:pPr>
        <w:jc w:val="both"/>
        <w:rPr>
          <w:u w:val="single"/>
        </w:rPr>
      </w:pPr>
      <w:r>
        <w:rPr>
          <w:u w:val="single"/>
        </w:rPr>
        <w:t>3. Use of Information Technology</w:t>
      </w:r>
    </w:p>
    <w:p w:rsidR="00E106CE" w:rsidP="00E106CE" w:rsidRDefault="00E106CE" w14:paraId="62AD5796" w14:textId="77777777">
      <w:pPr>
        <w:pStyle w:val="Header"/>
        <w:tabs>
          <w:tab w:val="clear" w:pos="4320"/>
          <w:tab w:val="clear" w:pos="8640"/>
        </w:tabs>
      </w:pPr>
      <w:r w:rsidRPr="00887B91">
        <w:t>The CDFI Fund collect</w:t>
      </w:r>
      <w:r>
        <w:t>s</w:t>
      </w:r>
      <w:r w:rsidRPr="00887B91">
        <w:t xml:space="preserve"> </w:t>
      </w:r>
      <w:r>
        <w:t>the CDFI and NMTC Program Annual Reports;</w:t>
      </w:r>
      <w:r w:rsidRPr="00E106CE">
        <w:t xml:space="preserve"> </w:t>
      </w:r>
      <w:r>
        <w:t>Awardee’s and Allocatee’s and Transaction Level Report (TLR)</w:t>
      </w:r>
      <w:r w:rsidR="005E3549">
        <w:t xml:space="preserve">, </w:t>
      </w:r>
      <w:r w:rsidRPr="00853CB3" w:rsidR="005E3549">
        <w:t>and Allocatee’s Institution Level Report (ILR)</w:t>
      </w:r>
      <w:r w:rsidRPr="00853CB3">
        <w:t>;</w:t>
      </w:r>
      <w:r>
        <w:t xml:space="preserve"> A-133 Narrative Statement; Financial Statements and Single Audit Reports in</w:t>
      </w:r>
      <w:r w:rsidRPr="00A05F94">
        <w:t xml:space="preserve"> </w:t>
      </w:r>
      <w:r w:rsidR="0021545C">
        <w:t xml:space="preserve">the </w:t>
      </w:r>
      <w:r w:rsidR="004901C2">
        <w:t>Awards Management and Information System (</w:t>
      </w:r>
      <w:r w:rsidRPr="0059317A">
        <w:t>AMIS</w:t>
      </w:r>
      <w:r w:rsidR="004901C2">
        <w:t>)</w:t>
      </w:r>
      <w:r>
        <w:t xml:space="preserve">, </w:t>
      </w:r>
      <w:r w:rsidR="004901C2">
        <w:t xml:space="preserve">which is </w:t>
      </w:r>
      <w:r>
        <w:t>a</w:t>
      </w:r>
      <w:r w:rsidR="004901C2">
        <w:t>n enterprise-wide data management</w:t>
      </w:r>
      <w:r>
        <w:t xml:space="preserve"> system that supports all CDFI Fund programs through each phase of </w:t>
      </w:r>
      <w:r w:rsidRPr="0059317A">
        <w:t>the programs’ life cycle</w:t>
      </w:r>
      <w:r>
        <w:t xml:space="preserve">. This includes </w:t>
      </w:r>
      <w:r w:rsidRPr="0059317A">
        <w:t xml:space="preserve">requirements and processes related </w:t>
      </w:r>
      <w:r>
        <w:t>to: c</w:t>
      </w:r>
      <w:r w:rsidRPr="0059317A">
        <w:t xml:space="preserve">ertification, program </w:t>
      </w:r>
      <w:r w:rsidR="004901C2">
        <w:t xml:space="preserve">application, </w:t>
      </w:r>
      <w:r w:rsidRPr="0059317A">
        <w:t>awards and allocations</w:t>
      </w:r>
      <w:r>
        <w:t xml:space="preserve">, </w:t>
      </w:r>
      <w:r w:rsidRPr="0059317A">
        <w:t>compliance</w:t>
      </w:r>
      <w:r>
        <w:t>, d</w:t>
      </w:r>
      <w:r w:rsidRPr="0059317A">
        <w:t xml:space="preserve">ata analysis and </w:t>
      </w:r>
      <w:r w:rsidR="004901C2">
        <w:t xml:space="preserve">performance </w:t>
      </w:r>
      <w:r w:rsidRPr="0059317A">
        <w:t>report</w:t>
      </w:r>
      <w:r>
        <w:t>ing.</w:t>
      </w:r>
    </w:p>
    <w:p w:rsidR="00720D19" w:rsidP="00C211F6" w:rsidRDefault="00720D19" w14:paraId="2F061399" w14:textId="66545924"/>
    <w:p w:rsidR="00CF7D19" w:rsidP="00C211F6" w:rsidRDefault="00CF7D19" w14:paraId="4CECA4ED" w14:textId="77777777"/>
    <w:p w:rsidR="00E91A51" w:rsidRDefault="00E91A51" w14:paraId="172AA2F6" w14:textId="77777777">
      <w:pPr>
        <w:jc w:val="both"/>
        <w:rPr>
          <w:u w:val="single"/>
        </w:rPr>
      </w:pPr>
      <w:r>
        <w:rPr>
          <w:u w:val="single"/>
        </w:rPr>
        <w:lastRenderedPageBreak/>
        <w:t>4.  Efforts to identify duplication</w:t>
      </w:r>
    </w:p>
    <w:p w:rsidRPr="00FB3958" w:rsidR="00FB3958" w:rsidP="00FB3958" w:rsidRDefault="009E2EB8" w14:paraId="59BA6AB1" w14:textId="77777777">
      <w:pPr>
        <w:rPr>
          <w:strike/>
        </w:rPr>
      </w:pPr>
      <w:r w:rsidRPr="007A6B4D">
        <w:t>Similar information is not available from other sources.</w:t>
      </w:r>
      <w:r>
        <w:t xml:space="preserve"> </w:t>
      </w:r>
      <w:r w:rsidR="00FB3958">
        <w:t xml:space="preserve">All of the information requested is required in order to evaluate Awardee or Allocatee compliance with the CDFI Fund’s assistance and allocation agreements. </w:t>
      </w:r>
    </w:p>
    <w:p w:rsidR="00FB3958" w:rsidRDefault="00FB3958" w14:paraId="5F9BF266" w14:textId="77777777"/>
    <w:p w:rsidR="00E91A51" w:rsidRDefault="00E91A51" w14:paraId="7CAF14AF" w14:textId="77777777">
      <w:pPr>
        <w:rPr>
          <w:u w:val="single"/>
        </w:rPr>
      </w:pPr>
      <w:r>
        <w:rPr>
          <w:u w:val="single"/>
        </w:rPr>
        <w:t>5.  Impact on small entities</w:t>
      </w:r>
    </w:p>
    <w:p w:rsidRPr="007A6B4D" w:rsidR="007349C6" w:rsidP="007349C6" w:rsidRDefault="00E91A51" w14:paraId="63B97169" w14:textId="77777777">
      <w:pPr>
        <w:autoSpaceDE w:val="0"/>
        <w:autoSpaceDN w:val="0"/>
        <w:rPr>
          <w:sz w:val="22"/>
        </w:rPr>
      </w:pPr>
      <w:r w:rsidRPr="007A6B4D">
        <w:t>This collection of information is not expected to have a significant impact on small entities</w:t>
      </w:r>
      <w:r w:rsidRPr="007A6B4D" w:rsidR="009E2EB8">
        <w:t>.</w:t>
      </w:r>
      <w:r w:rsidRPr="007A6B4D" w:rsidR="00A22563">
        <w:t xml:space="preserve"> </w:t>
      </w:r>
      <w:r w:rsidRPr="007A6B4D" w:rsidR="007349C6">
        <w:rPr>
          <w:szCs w:val="24"/>
        </w:rPr>
        <w:t>Entities that become CDFI Fund Allocatees or Awardees must demonstrate significant management</w:t>
      </w:r>
      <w:r w:rsidR="00EA5C3E">
        <w:rPr>
          <w:szCs w:val="24"/>
        </w:rPr>
        <w:t xml:space="preserve"> capacity to be selected for the </w:t>
      </w:r>
      <w:r w:rsidRPr="007A6B4D" w:rsidR="007349C6">
        <w:rPr>
          <w:szCs w:val="24"/>
        </w:rPr>
        <w:t>Financial Assistance (FA) awards or allocations of NMTC authority that trigger the submission of this report.</w:t>
      </w:r>
    </w:p>
    <w:p w:rsidR="00FB3958" w:rsidRDefault="00FB3958" w14:paraId="5C40C274" w14:textId="77777777"/>
    <w:p w:rsidR="00E91A51" w:rsidRDefault="00E91A51" w14:paraId="3B70B8E7" w14:textId="77777777">
      <w:pPr>
        <w:rPr>
          <w:u w:val="single"/>
        </w:rPr>
      </w:pPr>
      <w:r>
        <w:rPr>
          <w:u w:val="single"/>
        </w:rPr>
        <w:t>6.  Consequences of less frequent collection and obstacles to burden reduction</w:t>
      </w:r>
    </w:p>
    <w:p w:rsidR="00B03F75" w:rsidP="00B03F75" w:rsidRDefault="00B03F75" w14:paraId="6E724ACF" w14:textId="77777777">
      <w:r>
        <w:t xml:space="preserve">The </w:t>
      </w:r>
      <w:r w:rsidR="008C72CD">
        <w:t xml:space="preserve">CDFI </w:t>
      </w:r>
      <w:r>
        <w:t>Fund cannot determine compliance with assistance and allocation agreements</w:t>
      </w:r>
      <w:r w:rsidR="00E106CE">
        <w:t xml:space="preserve"> or </w:t>
      </w:r>
      <w:r>
        <w:t>measure annual performance without this annual collection of data.</w:t>
      </w:r>
    </w:p>
    <w:p w:rsidR="00E91A51" w:rsidRDefault="00E91A51" w14:paraId="31ACDFAF" w14:textId="77777777"/>
    <w:p w:rsidR="00E91A51" w:rsidRDefault="00E91A51" w14:paraId="500E1969" w14:textId="77777777">
      <w:pPr>
        <w:rPr>
          <w:u w:val="single"/>
        </w:rPr>
      </w:pPr>
      <w:r>
        <w:rPr>
          <w:u w:val="single"/>
        </w:rPr>
        <w:t>7.  Circumstances requiring special information collection</w:t>
      </w:r>
    </w:p>
    <w:p w:rsidR="00E91A51" w:rsidRDefault="00B706B9" w14:paraId="47F1AD02" w14:textId="203AC05F">
      <w:r>
        <w:t>There are no special circumstances.</w:t>
      </w:r>
    </w:p>
    <w:p w:rsidR="00E91A51" w:rsidRDefault="00E91A51" w14:paraId="1D86F3BB" w14:textId="77777777"/>
    <w:p w:rsidR="00D45EB7" w:rsidP="00BB16B6" w:rsidRDefault="00D45EB7" w14:paraId="5D4103C8" w14:textId="77777777">
      <w:pPr>
        <w:rPr>
          <w:u w:val="single"/>
        </w:rPr>
      </w:pPr>
      <w:r w:rsidRPr="00AF02BC">
        <w:rPr>
          <w:u w:val="single"/>
        </w:rPr>
        <w:t>8.  Solicitation of comments on information collection</w:t>
      </w:r>
    </w:p>
    <w:p w:rsidRPr="003434B7" w:rsidR="00AE1644" w:rsidP="00AE1644" w:rsidRDefault="00BB1049" w14:paraId="223AE800" w14:textId="4598D280">
      <w:r w:rsidRPr="00BB1049">
        <w:t xml:space="preserve">Pursuant to the notice and request for comments published in the </w:t>
      </w:r>
      <w:r w:rsidRPr="00232C30">
        <w:t>Federal Register on</w:t>
      </w:r>
      <w:r w:rsidRPr="00BB1049">
        <w:t xml:space="preserve"> </w:t>
      </w:r>
      <w:r w:rsidR="00AE1644">
        <w:t>February 25, 2020</w:t>
      </w:r>
      <w:r w:rsidRPr="00BB1049">
        <w:t xml:space="preserve">, at </w:t>
      </w:r>
      <w:r w:rsidRPr="00AE1644" w:rsidR="00AE1644">
        <w:t>85 FR 10823</w:t>
      </w:r>
      <w:r w:rsidRPr="00BB1049">
        <w:t xml:space="preserve">, the CDFI Fund received </w:t>
      </w:r>
      <w:r w:rsidR="00E240FC">
        <w:t xml:space="preserve">no </w:t>
      </w:r>
      <w:r w:rsidRPr="00BB1049">
        <w:t xml:space="preserve">detailed comments </w:t>
      </w:r>
      <w:r>
        <w:t xml:space="preserve">on or before </w:t>
      </w:r>
      <w:r w:rsidR="00AE1644">
        <w:t>April 27, 2020</w:t>
      </w:r>
      <w:r w:rsidR="00E240FC">
        <w:t>.</w:t>
      </w:r>
      <w:r>
        <w:t xml:space="preserve"> </w:t>
      </w:r>
    </w:p>
    <w:p w:rsidR="00E91A51" w:rsidRDefault="00E91A51" w14:paraId="48E30165" w14:textId="77777777">
      <w:pPr>
        <w:rPr>
          <w:u w:val="single"/>
        </w:rPr>
      </w:pPr>
    </w:p>
    <w:p w:rsidR="00E91A51" w:rsidRDefault="00E91A51" w14:paraId="47B95EC6" w14:textId="77777777">
      <w:pPr>
        <w:rPr>
          <w:u w:val="single"/>
        </w:rPr>
      </w:pPr>
      <w:r>
        <w:rPr>
          <w:u w:val="single"/>
        </w:rPr>
        <w:t>9.  Provision of payment to respondents</w:t>
      </w:r>
    </w:p>
    <w:p w:rsidR="00E91A51" w:rsidRDefault="00E91A51" w14:paraId="2D75BF07" w14:textId="77777777">
      <w:r>
        <w:t>No payments or gifts will be made to respondents.</w:t>
      </w:r>
    </w:p>
    <w:p w:rsidR="00C3694D" w:rsidRDefault="00C3694D" w14:paraId="192E3501" w14:textId="77777777"/>
    <w:p w:rsidR="00E91A51" w:rsidRDefault="00E91A51" w14:paraId="1CB42974" w14:textId="77777777">
      <w:pPr>
        <w:rPr>
          <w:u w:val="single"/>
        </w:rPr>
      </w:pPr>
      <w:r>
        <w:rPr>
          <w:u w:val="single"/>
        </w:rPr>
        <w:t>10.   Assurance of confidentiality</w:t>
      </w:r>
    </w:p>
    <w:p w:rsidR="000B3DD1" w:rsidRDefault="00E91A51" w14:paraId="46A7028F" w14:textId="77777777">
      <w:pPr>
        <w:rPr>
          <w:strike/>
        </w:rPr>
      </w:pPr>
      <w:r>
        <w:t>The CDFI Fund is subject to all Federal regulations with respect to confidentiality of information supplied in the annual report.</w:t>
      </w:r>
      <w:r w:rsidRPr="00F332C2" w:rsidR="00F332C2">
        <w:t xml:space="preserve"> </w:t>
      </w:r>
      <w:r w:rsidRPr="00F332C2" w:rsidR="000B3DD1">
        <w:t>All informatio</w:t>
      </w:r>
      <w:r w:rsidR="000B3DD1">
        <w:t xml:space="preserve">n </w:t>
      </w:r>
      <w:r w:rsidRPr="00F332C2" w:rsidR="000B3DD1">
        <w:t xml:space="preserve">is submitted </w:t>
      </w:r>
      <w:r w:rsidR="000B3DD1">
        <w:t xml:space="preserve">by </w:t>
      </w:r>
      <w:r w:rsidRPr="00F332C2" w:rsidR="000B3DD1">
        <w:t>the awardee, and their designated representatives</w:t>
      </w:r>
      <w:r w:rsidR="000B3DD1">
        <w:t xml:space="preserve"> through an authenticated and secure awardee organizational profile in AMIS.</w:t>
      </w:r>
      <w:r w:rsidRPr="000B3DD1" w:rsidR="000B3DD1">
        <w:rPr>
          <w:strike/>
        </w:rPr>
        <w:t xml:space="preserve"> </w:t>
      </w:r>
    </w:p>
    <w:p w:rsidR="000B3DD1" w:rsidRDefault="000B3DD1" w14:paraId="101A035D" w14:textId="77777777">
      <w:pPr>
        <w:rPr>
          <w:strike/>
        </w:rPr>
      </w:pPr>
    </w:p>
    <w:p w:rsidR="00E91A51" w:rsidRDefault="00E91A51" w14:paraId="50FFD157" w14:textId="77777777">
      <w:pPr>
        <w:rPr>
          <w:u w:val="single"/>
        </w:rPr>
      </w:pPr>
      <w:r>
        <w:rPr>
          <w:u w:val="single"/>
        </w:rPr>
        <w:t>11.  Justification of sensitive questions.</w:t>
      </w:r>
    </w:p>
    <w:p w:rsidRPr="00E04825" w:rsidR="00273F5E" w:rsidP="00273F5E" w:rsidRDefault="00AE1644" w14:paraId="010EC62F" w14:textId="77777777">
      <w:r>
        <w:t xml:space="preserve">No questions of a sensitive nature are asked in this information collection.  </w:t>
      </w:r>
      <w:r w:rsidR="0015483F">
        <w:t xml:space="preserve">No Personally Identifiable Information </w:t>
      </w:r>
      <w:r>
        <w:t xml:space="preserve">(PII) </w:t>
      </w:r>
      <w:r w:rsidR="0015483F">
        <w:t>is collected.</w:t>
      </w:r>
    </w:p>
    <w:p w:rsidR="00DA5526" w:rsidRDefault="00DA5526" w14:paraId="2ED5A8CE" w14:textId="77777777">
      <w:pPr>
        <w:rPr>
          <w:u w:val="single"/>
        </w:rPr>
      </w:pPr>
    </w:p>
    <w:p w:rsidR="00E91A51" w:rsidRDefault="00E91A51" w14:paraId="0D2E358A" w14:textId="77777777">
      <w:pPr>
        <w:rPr>
          <w:u w:val="single"/>
        </w:rPr>
      </w:pPr>
      <w:r>
        <w:rPr>
          <w:u w:val="single"/>
        </w:rPr>
        <w:t>12.  Estimate of the hour burden of information collection.</w:t>
      </w:r>
    </w:p>
    <w:p w:rsidR="00E91A51" w:rsidRDefault="00E91A51" w14:paraId="40C89BA4" w14:textId="77777777">
      <w:pPr>
        <w:rPr>
          <w:u w:val="single"/>
        </w:rPr>
      </w:pPr>
    </w:p>
    <w:tbl>
      <w:tblPr>
        <w:tblW w:w="963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40"/>
        <w:gridCol w:w="1800"/>
        <w:gridCol w:w="2070"/>
        <w:gridCol w:w="2520"/>
      </w:tblGrid>
      <w:tr w:rsidRPr="007F0646" w:rsidR="00712C91" w:rsidTr="000921F8" w14:paraId="0366C148" w14:textId="77777777">
        <w:tc>
          <w:tcPr>
            <w:tcW w:w="3240" w:type="dxa"/>
          </w:tcPr>
          <w:p w:rsidRPr="004C08A6" w:rsidR="00712C91" w:rsidP="00071159" w:rsidRDefault="00712C91" w14:paraId="6B07B85E" w14:textId="77777777">
            <w:pPr>
              <w:jc w:val="center"/>
              <w:rPr>
                <w:b/>
                <w:sz w:val="22"/>
                <w:szCs w:val="22"/>
              </w:rPr>
            </w:pPr>
          </w:p>
        </w:tc>
        <w:tc>
          <w:tcPr>
            <w:tcW w:w="1800" w:type="dxa"/>
            <w:shd w:val="clear" w:color="auto" w:fill="E7E6E6"/>
            <w:vAlign w:val="center"/>
          </w:tcPr>
          <w:p w:rsidRPr="004C08A6" w:rsidR="00712C91" w:rsidP="00071159" w:rsidRDefault="00712C91" w14:paraId="2238ED87" w14:textId="77777777">
            <w:pPr>
              <w:jc w:val="center"/>
              <w:rPr>
                <w:b/>
                <w:sz w:val="22"/>
                <w:szCs w:val="22"/>
              </w:rPr>
            </w:pPr>
            <w:r w:rsidRPr="004C08A6">
              <w:rPr>
                <w:b/>
                <w:sz w:val="22"/>
                <w:szCs w:val="22"/>
              </w:rPr>
              <w:t># Annual Respondents</w:t>
            </w:r>
          </w:p>
        </w:tc>
        <w:tc>
          <w:tcPr>
            <w:tcW w:w="2070" w:type="dxa"/>
            <w:shd w:val="clear" w:color="auto" w:fill="E7E6E6"/>
            <w:vAlign w:val="center"/>
          </w:tcPr>
          <w:p w:rsidRPr="004C08A6" w:rsidR="00712C91" w:rsidP="00071159" w:rsidRDefault="00712C91" w14:paraId="7CFD25C9" w14:textId="77777777">
            <w:pPr>
              <w:jc w:val="center"/>
              <w:rPr>
                <w:b/>
                <w:sz w:val="22"/>
                <w:szCs w:val="22"/>
              </w:rPr>
            </w:pPr>
            <w:r w:rsidRPr="004C08A6">
              <w:rPr>
                <w:b/>
                <w:sz w:val="22"/>
                <w:szCs w:val="22"/>
              </w:rPr>
              <w:t>Hours Per Response</w:t>
            </w:r>
          </w:p>
        </w:tc>
        <w:tc>
          <w:tcPr>
            <w:tcW w:w="2520" w:type="dxa"/>
            <w:shd w:val="clear" w:color="auto" w:fill="E7E6E6"/>
            <w:vAlign w:val="center"/>
          </w:tcPr>
          <w:p w:rsidRPr="004C08A6" w:rsidR="00712C91" w:rsidP="00071159" w:rsidRDefault="00712C91" w14:paraId="169F96BE" w14:textId="77777777">
            <w:pPr>
              <w:jc w:val="center"/>
              <w:rPr>
                <w:b/>
                <w:sz w:val="22"/>
                <w:szCs w:val="22"/>
              </w:rPr>
            </w:pPr>
            <w:r w:rsidRPr="004C08A6">
              <w:rPr>
                <w:b/>
                <w:sz w:val="22"/>
                <w:szCs w:val="22"/>
              </w:rPr>
              <w:t>Total Hours</w:t>
            </w:r>
          </w:p>
        </w:tc>
      </w:tr>
      <w:tr w:rsidRPr="0068478E" w:rsidR="00712C91" w:rsidTr="004C08A6" w14:paraId="450D4110" w14:textId="77777777">
        <w:trPr>
          <w:trHeight w:val="467"/>
        </w:trPr>
        <w:tc>
          <w:tcPr>
            <w:tcW w:w="3240" w:type="dxa"/>
          </w:tcPr>
          <w:p w:rsidRPr="004C08A6" w:rsidR="00712C91" w:rsidP="00D3112D" w:rsidRDefault="00712C91" w14:paraId="18119ADC" w14:textId="77777777">
            <w:pPr>
              <w:rPr>
                <w:sz w:val="22"/>
                <w:szCs w:val="22"/>
              </w:rPr>
            </w:pPr>
            <w:r w:rsidRPr="004C08A6">
              <w:rPr>
                <w:sz w:val="22"/>
                <w:szCs w:val="22"/>
              </w:rPr>
              <w:t>CDFI Awardee -Annual TLR</w:t>
            </w:r>
          </w:p>
        </w:tc>
        <w:tc>
          <w:tcPr>
            <w:tcW w:w="1800" w:type="dxa"/>
            <w:shd w:val="clear" w:color="auto" w:fill="auto"/>
            <w:vAlign w:val="center"/>
          </w:tcPr>
          <w:p w:rsidRPr="004C08A6" w:rsidR="00712C91" w:rsidP="00071159" w:rsidRDefault="00712C91" w14:paraId="766EAA22" w14:textId="77777777">
            <w:pPr>
              <w:jc w:val="center"/>
              <w:rPr>
                <w:sz w:val="22"/>
                <w:szCs w:val="22"/>
              </w:rPr>
            </w:pPr>
            <w:r w:rsidRPr="004C08A6">
              <w:rPr>
                <w:sz w:val="22"/>
                <w:szCs w:val="22"/>
              </w:rPr>
              <w:t>300</w:t>
            </w:r>
          </w:p>
        </w:tc>
        <w:tc>
          <w:tcPr>
            <w:tcW w:w="2070" w:type="dxa"/>
            <w:shd w:val="clear" w:color="auto" w:fill="auto"/>
            <w:vAlign w:val="center"/>
          </w:tcPr>
          <w:p w:rsidRPr="004C08A6" w:rsidR="00712C91" w:rsidP="00071159" w:rsidRDefault="00712C91" w14:paraId="0E81CDBF" w14:textId="77777777">
            <w:pPr>
              <w:jc w:val="center"/>
              <w:rPr>
                <w:sz w:val="22"/>
                <w:szCs w:val="22"/>
              </w:rPr>
            </w:pPr>
            <w:r w:rsidRPr="004C08A6">
              <w:rPr>
                <w:sz w:val="22"/>
                <w:szCs w:val="22"/>
              </w:rPr>
              <w:t>40</w:t>
            </w:r>
          </w:p>
        </w:tc>
        <w:tc>
          <w:tcPr>
            <w:tcW w:w="2520" w:type="dxa"/>
            <w:shd w:val="clear" w:color="auto" w:fill="auto"/>
            <w:vAlign w:val="center"/>
          </w:tcPr>
          <w:p w:rsidRPr="004C08A6" w:rsidR="00712C91" w:rsidP="00D3112D" w:rsidRDefault="00712C91" w14:paraId="24BEC160" w14:textId="77777777">
            <w:pPr>
              <w:jc w:val="center"/>
              <w:rPr>
                <w:sz w:val="22"/>
                <w:szCs w:val="22"/>
              </w:rPr>
            </w:pPr>
            <w:r w:rsidRPr="004C08A6">
              <w:rPr>
                <w:sz w:val="22"/>
                <w:szCs w:val="22"/>
              </w:rPr>
              <w:t>12,000</w:t>
            </w:r>
          </w:p>
        </w:tc>
      </w:tr>
      <w:tr w:rsidRPr="0068478E" w:rsidR="00712C91" w:rsidTr="004C08A6" w14:paraId="7E906B33" w14:textId="77777777">
        <w:trPr>
          <w:trHeight w:val="467"/>
        </w:trPr>
        <w:tc>
          <w:tcPr>
            <w:tcW w:w="3240" w:type="dxa"/>
          </w:tcPr>
          <w:p w:rsidRPr="004C08A6" w:rsidR="00712C91" w:rsidP="00D3112D" w:rsidRDefault="00712C91" w14:paraId="2885DDB4" w14:textId="77777777">
            <w:pPr>
              <w:rPr>
                <w:sz w:val="22"/>
                <w:szCs w:val="22"/>
              </w:rPr>
            </w:pPr>
            <w:r w:rsidRPr="004C08A6">
              <w:rPr>
                <w:sz w:val="22"/>
                <w:szCs w:val="22"/>
              </w:rPr>
              <w:t>NMTC Allocatee Annual Report</w:t>
            </w:r>
          </w:p>
        </w:tc>
        <w:tc>
          <w:tcPr>
            <w:tcW w:w="1800" w:type="dxa"/>
            <w:shd w:val="clear" w:color="auto" w:fill="auto"/>
            <w:vAlign w:val="center"/>
          </w:tcPr>
          <w:p w:rsidRPr="004C08A6" w:rsidR="00712C91" w:rsidP="00071159" w:rsidRDefault="00712C91" w14:paraId="32970288" w14:textId="77777777">
            <w:pPr>
              <w:jc w:val="center"/>
              <w:rPr>
                <w:sz w:val="22"/>
                <w:szCs w:val="22"/>
              </w:rPr>
            </w:pPr>
            <w:r w:rsidRPr="004C08A6">
              <w:rPr>
                <w:sz w:val="22"/>
                <w:szCs w:val="22"/>
              </w:rPr>
              <w:t>275</w:t>
            </w:r>
          </w:p>
        </w:tc>
        <w:tc>
          <w:tcPr>
            <w:tcW w:w="2070" w:type="dxa"/>
            <w:shd w:val="clear" w:color="auto" w:fill="auto"/>
            <w:vAlign w:val="center"/>
          </w:tcPr>
          <w:p w:rsidRPr="004C08A6" w:rsidR="00712C91" w:rsidP="00071159" w:rsidRDefault="00712C91" w14:paraId="6648E176" w14:textId="77777777">
            <w:pPr>
              <w:jc w:val="center"/>
              <w:rPr>
                <w:sz w:val="22"/>
                <w:szCs w:val="22"/>
              </w:rPr>
            </w:pPr>
            <w:r w:rsidRPr="004C08A6">
              <w:rPr>
                <w:sz w:val="22"/>
                <w:szCs w:val="22"/>
              </w:rPr>
              <w:t>80</w:t>
            </w:r>
          </w:p>
        </w:tc>
        <w:tc>
          <w:tcPr>
            <w:tcW w:w="2520" w:type="dxa"/>
            <w:shd w:val="clear" w:color="auto" w:fill="auto"/>
            <w:vAlign w:val="center"/>
          </w:tcPr>
          <w:p w:rsidRPr="004C08A6" w:rsidR="00712C91" w:rsidP="00071159" w:rsidRDefault="00712C91" w14:paraId="14FE65B4" w14:textId="77777777">
            <w:pPr>
              <w:jc w:val="center"/>
              <w:rPr>
                <w:sz w:val="22"/>
                <w:szCs w:val="22"/>
              </w:rPr>
            </w:pPr>
            <w:r w:rsidRPr="004C08A6">
              <w:rPr>
                <w:sz w:val="22"/>
                <w:szCs w:val="22"/>
              </w:rPr>
              <w:t>22,000</w:t>
            </w:r>
          </w:p>
        </w:tc>
      </w:tr>
      <w:tr w:rsidRPr="0068478E" w:rsidR="00712C91" w:rsidTr="004C08A6" w14:paraId="0FF068E1" w14:textId="77777777">
        <w:trPr>
          <w:trHeight w:val="467"/>
        </w:trPr>
        <w:tc>
          <w:tcPr>
            <w:tcW w:w="3240" w:type="dxa"/>
            <w:shd w:val="clear" w:color="auto" w:fill="D9D9D9"/>
          </w:tcPr>
          <w:p w:rsidRPr="004C08A6" w:rsidR="00712C91" w:rsidP="00D3112D" w:rsidRDefault="00712C91" w14:paraId="056D884E" w14:textId="77777777">
            <w:pPr>
              <w:rPr>
                <w:sz w:val="22"/>
                <w:szCs w:val="22"/>
              </w:rPr>
            </w:pPr>
          </w:p>
        </w:tc>
        <w:tc>
          <w:tcPr>
            <w:tcW w:w="1800" w:type="dxa"/>
            <w:shd w:val="clear" w:color="auto" w:fill="D9D9D9"/>
            <w:vAlign w:val="center"/>
          </w:tcPr>
          <w:p w:rsidRPr="004C08A6" w:rsidR="00712C91" w:rsidP="00071159" w:rsidRDefault="00712C91" w14:paraId="5612C6B7" w14:textId="77777777">
            <w:pPr>
              <w:jc w:val="center"/>
              <w:rPr>
                <w:sz w:val="22"/>
                <w:szCs w:val="22"/>
              </w:rPr>
            </w:pPr>
          </w:p>
        </w:tc>
        <w:tc>
          <w:tcPr>
            <w:tcW w:w="2070" w:type="dxa"/>
            <w:shd w:val="clear" w:color="auto" w:fill="D9D9D9"/>
            <w:vAlign w:val="center"/>
          </w:tcPr>
          <w:p w:rsidRPr="004C08A6" w:rsidR="00712C91" w:rsidP="00071159" w:rsidRDefault="00712C91" w14:paraId="295E4508" w14:textId="77777777">
            <w:pPr>
              <w:jc w:val="center"/>
              <w:rPr>
                <w:sz w:val="22"/>
                <w:szCs w:val="22"/>
              </w:rPr>
            </w:pPr>
          </w:p>
        </w:tc>
        <w:tc>
          <w:tcPr>
            <w:tcW w:w="2520" w:type="dxa"/>
            <w:shd w:val="clear" w:color="auto" w:fill="auto"/>
            <w:vAlign w:val="center"/>
          </w:tcPr>
          <w:p w:rsidRPr="004C08A6" w:rsidR="00712C91" w:rsidP="00071159" w:rsidRDefault="00712C91" w14:paraId="208B02A0" w14:textId="77777777">
            <w:pPr>
              <w:jc w:val="center"/>
              <w:rPr>
                <w:b/>
                <w:sz w:val="22"/>
                <w:szCs w:val="22"/>
              </w:rPr>
            </w:pPr>
            <w:r w:rsidRPr="004C08A6">
              <w:rPr>
                <w:b/>
                <w:sz w:val="22"/>
                <w:szCs w:val="22"/>
              </w:rPr>
              <w:t>34,000</w:t>
            </w:r>
          </w:p>
        </w:tc>
      </w:tr>
    </w:tbl>
    <w:p w:rsidR="00D3112D" w:rsidRDefault="00D3112D" w14:paraId="14F42E6C" w14:textId="77777777">
      <w:pPr>
        <w:rPr>
          <w:u w:val="single"/>
        </w:rPr>
      </w:pPr>
    </w:p>
    <w:p w:rsidR="00CF7D19" w:rsidRDefault="00CF7D19" w14:paraId="5CA820C5" w14:textId="77777777">
      <w:pPr>
        <w:rPr>
          <w:u w:val="single"/>
        </w:rPr>
      </w:pPr>
    </w:p>
    <w:p w:rsidR="00CF7D19" w:rsidRDefault="00CF7D19" w14:paraId="56D4CAA0" w14:textId="77777777">
      <w:pPr>
        <w:rPr>
          <w:u w:val="single"/>
        </w:rPr>
      </w:pPr>
    </w:p>
    <w:p w:rsidR="00CF7D19" w:rsidRDefault="00CF7D19" w14:paraId="30ECB481" w14:textId="77777777">
      <w:pPr>
        <w:rPr>
          <w:u w:val="single"/>
        </w:rPr>
      </w:pPr>
    </w:p>
    <w:p w:rsidR="00E91A51" w:rsidRDefault="00E91A51" w14:paraId="76A59EED" w14:textId="23EC079C">
      <w:pPr>
        <w:rPr>
          <w:u w:val="single"/>
        </w:rPr>
      </w:pPr>
      <w:r>
        <w:rPr>
          <w:u w:val="single"/>
        </w:rPr>
        <w:lastRenderedPageBreak/>
        <w:t>13.  Estimate of total annual cost burden to respondents</w:t>
      </w:r>
    </w:p>
    <w:p w:rsidR="000B3DD1" w:rsidP="000B3DD1" w:rsidRDefault="00CF7D19" w14:paraId="4ACEE50E" w14:textId="106D5CD8">
      <w:r>
        <w:t>T</w:t>
      </w:r>
      <w:r w:rsidRPr="00CF7D19">
        <w:t>here are no recordkeeping, capital, start-up, or maintenance costs associated with this information collection.</w:t>
      </w:r>
    </w:p>
    <w:p w:rsidR="008168C4" w:rsidRDefault="008168C4" w14:paraId="7E3626C5" w14:textId="77777777"/>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88"/>
        <w:gridCol w:w="1416"/>
        <w:gridCol w:w="1336"/>
        <w:gridCol w:w="1183"/>
        <w:gridCol w:w="1098"/>
        <w:gridCol w:w="822"/>
        <w:gridCol w:w="907"/>
        <w:gridCol w:w="1500"/>
      </w:tblGrid>
      <w:tr w:rsidRPr="002C29B4" w:rsidR="00C058D4" w:rsidTr="00F223BE" w14:paraId="0651173E" w14:textId="77777777">
        <w:tc>
          <w:tcPr>
            <w:tcW w:w="1228" w:type="dxa"/>
            <w:tcBorders>
              <w:bottom w:val="single" w:color="000000" w:sz="4" w:space="0"/>
            </w:tcBorders>
            <w:shd w:val="clear" w:color="auto" w:fill="D9D9D9"/>
            <w:vAlign w:val="center"/>
          </w:tcPr>
          <w:p w:rsidRPr="002C29B4" w:rsidR="00C058D4" w:rsidP="00220C0D" w:rsidRDefault="00C058D4" w14:paraId="7E7A47DA" w14:textId="77777777">
            <w:pPr>
              <w:pStyle w:val="BodyText2"/>
              <w:jc w:val="center"/>
              <w:rPr>
                <w:b/>
                <w:sz w:val="22"/>
                <w:szCs w:val="22"/>
              </w:rPr>
            </w:pPr>
            <w:r w:rsidRPr="002C29B4">
              <w:rPr>
                <w:b/>
                <w:bCs/>
                <w:iCs/>
                <w:sz w:val="22"/>
                <w:szCs w:val="22"/>
              </w:rPr>
              <w:t>Affected Pubic</w:t>
            </w:r>
          </w:p>
        </w:tc>
        <w:tc>
          <w:tcPr>
            <w:tcW w:w="1419" w:type="dxa"/>
            <w:tcBorders>
              <w:bottom w:val="single" w:color="000000" w:sz="4" w:space="0"/>
            </w:tcBorders>
            <w:shd w:val="clear" w:color="auto" w:fill="D9D9D9"/>
            <w:vAlign w:val="center"/>
          </w:tcPr>
          <w:p w:rsidRPr="002C29B4" w:rsidR="00C058D4" w:rsidP="00220C0D" w:rsidRDefault="00C058D4" w14:paraId="342372CD" w14:textId="77777777">
            <w:pPr>
              <w:pStyle w:val="BodyText2"/>
              <w:jc w:val="center"/>
              <w:rPr>
                <w:b/>
                <w:sz w:val="22"/>
                <w:szCs w:val="22"/>
              </w:rPr>
            </w:pPr>
            <w:r w:rsidRPr="002C29B4">
              <w:rPr>
                <w:b/>
                <w:sz w:val="22"/>
                <w:szCs w:val="22"/>
              </w:rPr>
              <w:t># Respondents</w:t>
            </w:r>
          </w:p>
        </w:tc>
        <w:tc>
          <w:tcPr>
            <w:tcW w:w="1348" w:type="dxa"/>
            <w:tcBorders>
              <w:bottom w:val="single" w:color="000000" w:sz="4" w:space="0"/>
            </w:tcBorders>
            <w:shd w:val="clear" w:color="auto" w:fill="D9D9D9"/>
            <w:vAlign w:val="center"/>
          </w:tcPr>
          <w:p w:rsidRPr="002C29B4" w:rsidR="00C058D4" w:rsidP="00220C0D" w:rsidRDefault="00C058D4" w14:paraId="4EF7FF02" w14:textId="77777777">
            <w:pPr>
              <w:pStyle w:val="BodyText2"/>
              <w:jc w:val="center"/>
              <w:rPr>
                <w:b/>
                <w:sz w:val="22"/>
                <w:szCs w:val="22"/>
              </w:rPr>
            </w:pPr>
            <w:r w:rsidRPr="002C29B4">
              <w:rPr>
                <w:b/>
                <w:sz w:val="22"/>
                <w:szCs w:val="22"/>
              </w:rPr>
              <w:t># Responses Per Respondent</w:t>
            </w:r>
          </w:p>
        </w:tc>
        <w:tc>
          <w:tcPr>
            <w:tcW w:w="1186" w:type="dxa"/>
            <w:tcBorders>
              <w:bottom w:val="single" w:color="000000" w:sz="4" w:space="0"/>
            </w:tcBorders>
            <w:shd w:val="clear" w:color="auto" w:fill="D9D9D9"/>
            <w:vAlign w:val="center"/>
          </w:tcPr>
          <w:p w:rsidR="00856898" w:rsidP="00220C0D" w:rsidRDefault="00C058D4" w14:paraId="1AFED615" w14:textId="77777777">
            <w:pPr>
              <w:pStyle w:val="BodyText2"/>
              <w:jc w:val="center"/>
              <w:rPr>
                <w:b/>
                <w:sz w:val="22"/>
                <w:szCs w:val="22"/>
              </w:rPr>
            </w:pPr>
            <w:r w:rsidRPr="002C29B4">
              <w:rPr>
                <w:b/>
                <w:sz w:val="22"/>
                <w:szCs w:val="22"/>
              </w:rPr>
              <w:t xml:space="preserve">Total </w:t>
            </w:r>
          </w:p>
          <w:p w:rsidRPr="002C29B4" w:rsidR="00C058D4" w:rsidP="00220C0D" w:rsidRDefault="00856898" w14:paraId="3D679BC0" w14:textId="77777777">
            <w:pPr>
              <w:pStyle w:val="BodyText2"/>
              <w:jc w:val="center"/>
              <w:rPr>
                <w:b/>
                <w:sz w:val="22"/>
                <w:szCs w:val="22"/>
              </w:rPr>
            </w:pPr>
            <w:r>
              <w:rPr>
                <w:b/>
                <w:sz w:val="22"/>
                <w:szCs w:val="22"/>
              </w:rPr>
              <w:t xml:space="preserve">Average </w:t>
            </w:r>
            <w:r w:rsidRPr="002C29B4" w:rsidR="00C058D4">
              <w:rPr>
                <w:b/>
                <w:sz w:val="22"/>
                <w:szCs w:val="22"/>
              </w:rPr>
              <w:t>Annual Responses</w:t>
            </w:r>
          </w:p>
        </w:tc>
        <w:tc>
          <w:tcPr>
            <w:tcW w:w="1100" w:type="dxa"/>
            <w:tcBorders>
              <w:bottom w:val="single" w:color="000000" w:sz="4" w:space="0"/>
            </w:tcBorders>
            <w:shd w:val="clear" w:color="auto" w:fill="D9D9D9"/>
            <w:vAlign w:val="center"/>
          </w:tcPr>
          <w:p w:rsidR="00856898" w:rsidP="00220C0D" w:rsidRDefault="00856898" w14:paraId="4ACEF076" w14:textId="77777777">
            <w:pPr>
              <w:pStyle w:val="BodyText2"/>
              <w:jc w:val="center"/>
              <w:rPr>
                <w:b/>
                <w:sz w:val="22"/>
                <w:szCs w:val="22"/>
              </w:rPr>
            </w:pPr>
            <w:r>
              <w:rPr>
                <w:b/>
                <w:sz w:val="22"/>
                <w:szCs w:val="22"/>
              </w:rPr>
              <w:t>Average</w:t>
            </w:r>
          </w:p>
          <w:p w:rsidRPr="002C29B4" w:rsidR="00C058D4" w:rsidP="00220C0D" w:rsidRDefault="00C058D4" w14:paraId="7FEBC54A" w14:textId="77777777">
            <w:pPr>
              <w:pStyle w:val="BodyText2"/>
              <w:jc w:val="center"/>
              <w:rPr>
                <w:b/>
                <w:sz w:val="22"/>
                <w:szCs w:val="22"/>
              </w:rPr>
            </w:pPr>
            <w:r w:rsidRPr="002C29B4">
              <w:rPr>
                <w:b/>
                <w:sz w:val="22"/>
                <w:szCs w:val="22"/>
              </w:rPr>
              <w:t>Hours Per Response</w:t>
            </w:r>
          </w:p>
        </w:tc>
        <w:tc>
          <w:tcPr>
            <w:tcW w:w="824" w:type="dxa"/>
            <w:tcBorders>
              <w:bottom w:val="single" w:color="000000" w:sz="4" w:space="0"/>
            </w:tcBorders>
            <w:shd w:val="clear" w:color="auto" w:fill="D9D9D9"/>
            <w:vAlign w:val="center"/>
          </w:tcPr>
          <w:p w:rsidRPr="002C29B4" w:rsidR="00C058D4" w:rsidP="00220C0D" w:rsidRDefault="00C058D4" w14:paraId="12FCB3B4" w14:textId="77777777">
            <w:pPr>
              <w:pStyle w:val="BodyText2"/>
              <w:jc w:val="center"/>
              <w:rPr>
                <w:b/>
                <w:sz w:val="22"/>
                <w:szCs w:val="22"/>
              </w:rPr>
            </w:pPr>
            <w:r w:rsidRPr="002C29B4">
              <w:rPr>
                <w:b/>
                <w:sz w:val="22"/>
                <w:szCs w:val="22"/>
              </w:rPr>
              <w:t>Total Hours</w:t>
            </w:r>
          </w:p>
        </w:tc>
        <w:tc>
          <w:tcPr>
            <w:tcW w:w="936" w:type="dxa"/>
            <w:tcBorders>
              <w:bottom w:val="single" w:color="000000" w:sz="4" w:space="0"/>
            </w:tcBorders>
            <w:shd w:val="clear" w:color="auto" w:fill="D9D9D9"/>
          </w:tcPr>
          <w:p w:rsidRPr="002C29B4" w:rsidR="00C058D4" w:rsidP="00220C0D" w:rsidRDefault="00C058D4" w14:paraId="0386B1C6" w14:textId="77777777">
            <w:pPr>
              <w:pStyle w:val="BodyText2"/>
              <w:jc w:val="center"/>
              <w:rPr>
                <w:b/>
                <w:sz w:val="22"/>
                <w:szCs w:val="22"/>
              </w:rPr>
            </w:pPr>
            <w:r w:rsidRPr="002C29B4">
              <w:rPr>
                <w:b/>
                <w:sz w:val="22"/>
                <w:szCs w:val="22"/>
              </w:rPr>
              <w:t>Time Value (per hour)</w:t>
            </w:r>
          </w:p>
        </w:tc>
        <w:tc>
          <w:tcPr>
            <w:tcW w:w="1535" w:type="dxa"/>
            <w:tcBorders>
              <w:bottom w:val="single" w:color="000000" w:sz="4" w:space="0"/>
            </w:tcBorders>
            <w:shd w:val="clear" w:color="auto" w:fill="D9D9D9"/>
          </w:tcPr>
          <w:p w:rsidRPr="002C29B4" w:rsidR="00C058D4" w:rsidP="00220C0D" w:rsidRDefault="00C058D4" w14:paraId="615EA0F1" w14:textId="77777777">
            <w:pPr>
              <w:pStyle w:val="BodyText2"/>
              <w:jc w:val="center"/>
              <w:rPr>
                <w:b/>
                <w:sz w:val="22"/>
                <w:szCs w:val="22"/>
              </w:rPr>
            </w:pPr>
            <w:r w:rsidRPr="002C29B4">
              <w:rPr>
                <w:b/>
                <w:sz w:val="22"/>
                <w:szCs w:val="22"/>
              </w:rPr>
              <w:t xml:space="preserve">Monetized Burden Hours </w:t>
            </w:r>
          </w:p>
        </w:tc>
      </w:tr>
      <w:tr w:rsidRPr="009C010A" w:rsidR="00C058D4" w:rsidTr="00F223BE" w14:paraId="6D4347B5" w14:textId="77777777">
        <w:tc>
          <w:tcPr>
            <w:tcW w:w="1228" w:type="dxa"/>
            <w:tcBorders>
              <w:bottom w:val="double" w:color="000000" w:sz="4" w:space="0"/>
            </w:tcBorders>
          </w:tcPr>
          <w:p w:rsidRPr="009C010A" w:rsidR="00C058D4" w:rsidP="000E585E" w:rsidRDefault="00C058D4" w14:paraId="6FF56942" w14:textId="77777777">
            <w:pPr>
              <w:pStyle w:val="BodyText2"/>
              <w:jc w:val="left"/>
              <w:rPr>
                <w:sz w:val="22"/>
                <w:szCs w:val="22"/>
              </w:rPr>
            </w:pPr>
            <w:r w:rsidRPr="009C010A">
              <w:rPr>
                <w:sz w:val="22"/>
                <w:szCs w:val="22"/>
              </w:rPr>
              <w:t>Private Sector</w:t>
            </w:r>
          </w:p>
        </w:tc>
        <w:tc>
          <w:tcPr>
            <w:tcW w:w="1419" w:type="dxa"/>
            <w:tcBorders>
              <w:bottom w:val="double" w:color="000000" w:sz="4" w:space="0"/>
            </w:tcBorders>
            <w:shd w:val="clear" w:color="auto" w:fill="auto"/>
            <w:vAlign w:val="center"/>
          </w:tcPr>
          <w:p w:rsidRPr="009C010A" w:rsidR="00C058D4" w:rsidP="007D376F" w:rsidRDefault="00856898" w14:paraId="34D3EA9C" w14:textId="77777777">
            <w:pPr>
              <w:pStyle w:val="BodyText2"/>
              <w:jc w:val="center"/>
              <w:rPr>
                <w:sz w:val="22"/>
                <w:szCs w:val="22"/>
              </w:rPr>
            </w:pPr>
            <w:r>
              <w:rPr>
                <w:sz w:val="22"/>
                <w:szCs w:val="22"/>
              </w:rPr>
              <w:t>575</w:t>
            </w:r>
          </w:p>
        </w:tc>
        <w:tc>
          <w:tcPr>
            <w:tcW w:w="1348" w:type="dxa"/>
            <w:tcBorders>
              <w:bottom w:val="double" w:color="000000" w:sz="4" w:space="0"/>
            </w:tcBorders>
            <w:shd w:val="clear" w:color="auto" w:fill="auto"/>
            <w:vAlign w:val="center"/>
          </w:tcPr>
          <w:p w:rsidRPr="009C010A" w:rsidR="00C058D4" w:rsidP="007D376F" w:rsidRDefault="00C058D4" w14:paraId="40DC3039" w14:textId="77777777">
            <w:pPr>
              <w:pStyle w:val="BodyText2"/>
              <w:jc w:val="center"/>
              <w:rPr>
                <w:sz w:val="22"/>
                <w:szCs w:val="22"/>
              </w:rPr>
            </w:pPr>
            <w:r w:rsidRPr="009C010A">
              <w:rPr>
                <w:sz w:val="22"/>
                <w:szCs w:val="22"/>
              </w:rPr>
              <w:t>1</w:t>
            </w:r>
          </w:p>
        </w:tc>
        <w:tc>
          <w:tcPr>
            <w:tcW w:w="1186" w:type="dxa"/>
            <w:tcBorders>
              <w:bottom w:val="double" w:color="000000" w:sz="4" w:space="0"/>
            </w:tcBorders>
            <w:shd w:val="clear" w:color="auto" w:fill="auto"/>
            <w:vAlign w:val="center"/>
          </w:tcPr>
          <w:p w:rsidRPr="009C010A" w:rsidR="00C058D4" w:rsidP="007D376F" w:rsidRDefault="00856898" w14:paraId="5A32D478" w14:textId="77777777">
            <w:pPr>
              <w:pStyle w:val="BodyText2"/>
              <w:jc w:val="center"/>
              <w:rPr>
                <w:sz w:val="22"/>
                <w:szCs w:val="22"/>
              </w:rPr>
            </w:pPr>
            <w:r>
              <w:rPr>
                <w:sz w:val="22"/>
                <w:szCs w:val="22"/>
              </w:rPr>
              <w:t>575</w:t>
            </w:r>
          </w:p>
        </w:tc>
        <w:tc>
          <w:tcPr>
            <w:tcW w:w="1100" w:type="dxa"/>
            <w:tcBorders>
              <w:bottom w:val="double" w:color="000000" w:sz="4" w:space="0"/>
            </w:tcBorders>
            <w:shd w:val="clear" w:color="auto" w:fill="auto"/>
            <w:vAlign w:val="center"/>
          </w:tcPr>
          <w:p w:rsidRPr="009C010A" w:rsidR="00C058D4" w:rsidP="00215442" w:rsidRDefault="00856898" w14:paraId="6B0DF0A9" w14:textId="77777777">
            <w:pPr>
              <w:pStyle w:val="BodyText2"/>
              <w:jc w:val="center"/>
              <w:rPr>
                <w:sz w:val="22"/>
                <w:szCs w:val="22"/>
              </w:rPr>
            </w:pPr>
            <w:r>
              <w:rPr>
                <w:sz w:val="22"/>
                <w:szCs w:val="22"/>
              </w:rPr>
              <w:t>59.13</w:t>
            </w:r>
          </w:p>
        </w:tc>
        <w:tc>
          <w:tcPr>
            <w:tcW w:w="824" w:type="dxa"/>
            <w:tcBorders>
              <w:bottom w:val="double" w:color="000000" w:sz="4" w:space="0"/>
            </w:tcBorders>
            <w:shd w:val="clear" w:color="auto" w:fill="auto"/>
            <w:vAlign w:val="center"/>
          </w:tcPr>
          <w:p w:rsidRPr="009C010A" w:rsidR="00C058D4" w:rsidP="007D376F" w:rsidRDefault="00856898" w14:paraId="10D660E9" w14:textId="77777777">
            <w:pPr>
              <w:pStyle w:val="BodyText2"/>
              <w:jc w:val="center"/>
              <w:rPr>
                <w:sz w:val="22"/>
                <w:szCs w:val="22"/>
              </w:rPr>
            </w:pPr>
            <w:r>
              <w:rPr>
                <w:sz w:val="22"/>
                <w:szCs w:val="22"/>
              </w:rPr>
              <w:t>34,000</w:t>
            </w:r>
          </w:p>
        </w:tc>
        <w:tc>
          <w:tcPr>
            <w:tcW w:w="936" w:type="dxa"/>
            <w:tcBorders>
              <w:bottom w:val="double" w:color="000000" w:sz="4" w:space="0"/>
            </w:tcBorders>
            <w:vAlign w:val="center"/>
          </w:tcPr>
          <w:p w:rsidRPr="009C010A" w:rsidR="00C058D4" w:rsidP="007D376F" w:rsidRDefault="00C058D4" w14:paraId="0B507223" w14:textId="77777777">
            <w:pPr>
              <w:pStyle w:val="BodyText2"/>
              <w:jc w:val="center"/>
              <w:rPr>
                <w:sz w:val="22"/>
                <w:szCs w:val="22"/>
              </w:rPr>
            </w:pPr>
            <w:r>
              <w:rPr>
                <w:sz w:val="22"/>
                <w:szCs w:val="22"/>
              </w:rPr>
              <w:t>$</w:t>
            </w:r>
            <w:r w:rsidR="0033167D">
              <w:rPr>
                <w:sz w:val="22"/>
                <w:szCs w:val="22"/>
              </w:rPr>
              <w:t>62.45</w:t>
            </w:r>
            <w:r>
              <w:rPr>
                <w:rStyle w:val="FootnoteReference"/>
                <w:sz w:val="22"/>
                <w:szCs w:val="22"/>
              </w:rPr>
              <w:footnoteReference w:id="1"/>
            </w:r>
          </w:p>
        </w:tc>
        <w:tc>
          <w:tcPr>
            <w:tcW w:w="1535" w:type="dxa"/>
            <w:tcBorders>
              <w:bottom w:val="double" w:color="000000" w:sz="4" w:space="0"/>
            </w:tcBorders>
            <w:vAlign w:val="center"/>
          </w:tcPr>
          <w:p w:rsidRPr="009C010A" w:rsidR="00C058D4" w:rsidP="00EC6F64" w:rsidRDefault="00B977E6" w14:paraId="283751A1" w14:textId="77777777">
            <w:pPr>
              <w:pStyle w:val="BodyText2"/>
              <w:jc w:val="center"/>
              <w:rPr>
                <w:sz w:val="22"/>
                <w:szCs w:val="22"/>
              </w:rPr>
            </w:pPr>
            <w:r w:rsidRPr="00B977E6">
              <w:rPr>
                <w:sz w:val="22"/>
                <w:szCs w:val="22"/>
              </w:rPr>
              <w:t>$</w:t>
            </w:r>
            <w:r w:rsidR="008168C4">
              <w:rPr>
                <w:sz w:val="22"/>
                <w:szCs w:val="22"/>
              </w:rPr>
              <w:t>2,123,300.00</w:t>
            </w:r>
          </w:p>
        </w:tc>
      </w:tr>
      <w:tr w:rsidRPr="009C010A" w:rsidR="00C058D4" w:rsidTr="00F223BE" w14:paraId="14AA9825" w14:textId="77777777">
        <w:tc>
          <w:tcPr>
            <w:tcW w:w="1228" w:type="dxa"/>
            <w:tcBorders>
              <w:top w:val="double" w:color="000000" w:sz="4" w:space="0"/>
            </w:tcBorders>
            <w:vAlign w:val="center"/>
          </w:tcPr>
          <w:p w:rsidRPr="009C010A" w:rsidR="00C058D4" w:rsidP="00220C0D" w:rsidRDefault="00C058D4" w14:paraId="4922C9C3" w14:textId="77777777">
            <w:pPr>
              <w:pStyle w:val="BodyText2"/>
              <w:rPr>
                <w:sz w:val="22"/>
                <w:szCs w:val="22"/>
              </w:rPr>
            </w:pPr>
            <w:r w:rsidRPr="009C010A">
              <w:rPr>
                <w:sz w:val="22"/>
                <w:szCs w:val="22"/>
              </w:rPr>
              <w:t>Totals</w:t>
            </w:r>
          </w:p>
        </w:tc>
        <w:tc>
          <w:tcPr>
            <w:tcW w:w="1419" w:type="dxa"/>
            <w:tcBorders>
              <w:top w:val="double" w:color="000000" w:sz="4" w:space="0"/>
            </w:tcBorders>
            <w:shd w:val="clear" w:color="auto" w:fill="auto"/>
            <w:vAlign w:val="center"/>
          </w:tcPr>
          <w:p w:rsidRPr="009C010A" w:rsidR="00C058D4" w:rsidP="007D376F" w:rsidRDefault="00856898" w14:paraId="56A323F7" w14:textId="77777777">
            <w:pPr>
              <w:pStyle w:val="BodyText2"/>
              <w:jc w:val="center"/>
              <w:rPr>
                <w:sz w:val="22"/>
                <w:szCs w:val="22"/>
              </w:rPr>
            </w:pPr>
            <w:r>
              <w:rPr>
                <w:sz w:val="22"/>
                <w:szCs w:val="22"/>
              </w:rPr>
              <w:t>575</w:t>
            </w:r>
          </w:p>
        </w:tc>
        <w:tc>
          <w:tcPr>
            <w:tcW w:w="1348" w:type="dxa"/>
            <w:tcBorders>
              <w:top w:val="double" w:color="000000" w:sz="4" w:space="0"/>
            </w:tcBorders>
            <w:shd w:val="clear" w:color="auto" w:fill="auto"/>
            <w:vAlign w:val="center"/>
          </w:tcPr>
          <w:p w:rsidRPr="009C010A" w:rsidR="00C058D4" w:rsidP="007D376F" w:rsidRDefault="00B977E6" w14:paraId="4BA7AAAC" w14:textId="77777777">
            <w:pPr>
              <w:pStyle w:val="BodyText2"/>
              <w:jc w:val="center"/>
              <w:rPr>
                <w:sz w:val="22"/>
                <w:szCs w:val="22"/>
              </w:rPr>
            </w:pPr>
            <w:r>
              <w:rPr>
                <w:sz w:val="22"/>
                <w:szCs w:val="22"/>
              </w:rPr>
              <w:t>1</w:t>
            </w:r>
          </w:p>
        </w:tc>
        <w:tc>
          <w:tcPr>
            <w:tcW w:w="1186" w:type="dxa"/>
            <w:tcBorders>
              <w:top w:val="double" w:color="000000" w:sz="4" w:space="0"/>
            </w:tcBorders>
            <w:shd w:val="clear" w:color="auto" w:fill="auto"/>
            <w:vAlign w:val="center"/>
          </w:tcPr>
          <w:p w:rsidRPr="009C010A" w:rsidR="00C058D4" w:rsidP="00215442" w:rsidRDefault="00856898" w14:paraId="7A4B708E" w14:textId="77777777">
            <w:pPr>
              <w:pStyle w:val="BodyText2"/>
              <w:jc w:val="center"/>
              <w:rPr>
                <w:sz w:val="22"/>
                <w:szCs w:val="22"/>
              </w:rPr>
            </w:pPr>
            <w:r>
              <w:rPr>
                <w:sz w:val="22"/>
                <w:szCs w:val="22"/>
              </w:rPr>
              <w:t>575</w:t>
            </w:r>
          </w:p>
        </w:tc>
        <w:tc>
          <w:tcPr>
            <w:tcW w:w="1100" w:type="dxa"/>
            <w:tcBorders>
              <w:top w:val="double" w:color="000000" w:sz="4" w:space="0"/>
            </w:tcBorders>
            <w:shd w:val="clear" w:color="auto" w:fill="BFBFBF"/>
            <w:vAlign w:val="center"/>
          </w:tcPr>
          <w:p w:rsidRPr="009C010A" w:rsidR="00C058D4" w:rsidP="007D376F" w:rsidRDefault="00C058D4" w14:paraId="3B2A0341" w14:textId="77777777">
            <w:pPr>
              <w:pStyle w:val="BodyText2"/>
              <w:jc w:val="center"/>
              <w:rPr>
                <w:sz w:val="22"/>
                <w:szCs w:val="22"/>
              </w:rPr>
            </w:pPr>
          </w:p>
        </w:tc>
        <w:tc>
          <w:tcPr>
            <w:tcW w:w="824" w:type="dxa"/>
            <w:tcBorders>
              <w:top w:val="double" w:color="000000" w:sz="4" w:space="0"/>
            </w:tcBorders>
            <w:shd w:val="clear" w:color="auto" w:fill="auto"/>
            <w:vAlign w:val="center"/>
          </w:tcPr>
          <w:p w:rsidRPr="009C010A" w:rsidR="00C058D4" w:rsidP="007D376F" w:rsidRDefault="00856898" w14:paraId="55CB9E44" w14:textId="77777777">
            <w:pPr>
              <w:pStyle w:val="BodyText2"/>
              <w:jc w:val="center"/>
              <w:rPr>
                <w:sz w:val="22"/>
                <w:szCs w:val="22"/>
              </w:rPr>
            </w:pPr>
            <w:r>
              <w:rPr>
                <w:sz w:val="22"/>
                <w:szCs w:val="22"/>
              </w:rPr>
              <w:t>34,000</w:t>
            </w:r>
          </w:p>
        </w:tc>
        <w:tc>
          <w:tcPr>
            <w:tcW w:w="936" w:type="dxa"/>
            <w:tcBorders>
              <w:top w:val="double" w:color="000000" w:sz="4" w:space="0"/>
            </w:tcBorders>
            <w:shd w:val="clear" w:color="auto" w:fill="BFBFBF"/>
            <w:vAlign w:val="center"/>
          </w:tcPr>
          <w:p w:rsidRPr="009C010A" w:rsidR="00C058D4" w:rsidP="007D376F" w:rsidRDefault="00C058D4" w14:paraId="7F8385BE" w14:textId="77777777">
            <w:pPr>
              <w:pStyle w:val="BodyText2"/>
              <w:jc w:val="center"/>
              <w:rPr>
                <w:sz w:val="22"/>
                <w:szCs w:val="22"/>
              </w:rPr>
            </w:pPr>
          </w:p>
        </w:tc>
        <w:tc>
          <w:tcPr>
            <w:tcW w:w="1535" w:type="dxa"/>
            <w:tcBorders>
              <w:top w:val="double" w:color="000000" w:sz="4" w:space="0"/>
            </w:tcBorders>
            <w:vAlign w:val="center"/>
          </w:tcPr>
          <w:p w:rsidRPr="009C010A" w:rsidR="00C058D4" w:rsidP="00EC6F64" w:rsidRDefault="008168C4" w14:paraId="73AED191" w14:textId="77777777">
            <w:pPr>
              <w:pStyle w:val="BodyText2"/>
              <w:jc w:val="center"/>
              <w:rPr>
                <w:sz w:val="22"/>
                <w:szCs w:val="22"/>
              </w:rPr>
            </w:pPr>
            <w:r w:rsidRPr="008168C4">
              <w:rPr>
                <w:sz w:val="22"/>
                <w:szCs w:val="22"/>
              </w:rPr>
              <w:t>$2,123,300.00</w:t>
            </w:r>
          </w:p>
        </w:tc>
      </w:tr>
    </w:tbl>
    <w:p w:rsidR="00172D47" w:rsidRDefault="00172D47" w14:paraId="6F9B8FA4" w14:textId="77777777">
      <w:pPr>
        <w:rPr>
          <w:u w:val="single"/>
        </w:rPr>
      </w:pPr>
    </w:p>
    <w:p w:rsidR="00FA3FB2" w:rsidRDefault="00E91A51" w14:paraId="3DE27C5E" w14:textId="77777777">
      <w:pPr>
        <w:rPr>
          <w:u w:val="single"/>
        </w:rPr>
      </w:pPr>
      <w:r>
        <w:rPr>
          <w:u w:val="single"/>
        </w:rPr>
        <w:t>14.  Estimate of annualized cost to the Government</w:t>
      </w:r>
    </w:p>
    <w:p w:rsidRPr="00431BFC" w:rsidR="00B52BBA" w:rsidP="00431BFC" w:rsidRDefault="005D5E4C" w14:paraId="34C9EA4E" w14:textId="77777777">
      <w:pPr>
        <w:autoSpaceDE w:val="0"/>
        <w:autoSpaceDN w:val="0"/>
        <w:spacing w:before="40" w:after="40"/>
      </w:pPr>
      <w:r w:rsidRPr="00431BFC">
        <w:t xml:space="preserve">The </w:t>
      </w:r>
      <w:r w:rsidRPr="00431BFC" w:rsidR="00431BFC">
        <w:t xml:space="preserve">annual </w:t>
      </w:r>
      <w:r w:rsidRPr="00431BFC">
        <w:t>staffing costs to the Government are estimated at $</w:t>
      </w:r>
      <w:r w:rsidRPr="00431BFC" w:rsidR="00431BFC">
        <w:t xml:space="preserve">239,550.00 for </w:t>
      </w:r>
      <w:r w:rsidRPr="00431BFC">
        <w:t>two GS-13 mid-band staff people</w:t>
      </w:r>
      <w:r w:rsidRPr="00431BFC">
        <w:rPr>
          <w:rStyle w:val="FootnoteReference"/>
        </w:rPr>
        <w:footnoteReference w:id="2"/>
      </w:r>
      <w:r w:rsidRPr="00431BFC">
        <w:t xml:space="preserve"> full time </w:t>
      </w:r>
      <w:r w:rsidRPr="00431BFC" w:rsidR="00431BFC">
        <w:t xml:space="preserve">to manage, analyze and clean the data and answer client help desk questions. </w:t>
      </w:r>
      <w:r w:rsidRPr="00431BFC" w:rsidR="00431BFC">
        <w:rPr>
          <w:szCs w:val="24"/>
        </w:rPr>
        <w:t>The CDFI Fund pays an average of $130,000 annually to an external contractor for maintenance and data collection in AMIS for support of the ILR and TLR.</w:t>
      </w:r>
      <w:r w:rsidR="00745E29">
        <w:rPr>
          <w:szCs w:val="24"/>
        </w:rPr>
        <w:t xml:space="preserve"> The t</w:t>
      </w:r>
      <w:r w:rsidRPr="00431BFC" w:rsidR="00431BFC">
        <w:rPr>
          <w:szCs w:val="24"/>
        </w:rPr>
        <w:t xml:space="preserve">otal estimated annualized cost to the Government is </w:t>
      </w:r>
      <w:r w:rsidRPr="00431BFC">
        <w:t>$369,550</w:t>
      </w:r>
      <w:r w:rsidRPr="00431BFC" w:rsidR="00431BFC">
        <w:t>.00.</w:t>
      </w:r>
    </w:p>
    <w:p w:rsidR="00E91A51" w:rsidP="00532031" w:rsidRDefault="00B52BBA" w14:paraId="412E891A" w14:textId="77777777">
      <w:pPr>
        <w:autoSpaceDE w:val="0"/>
        <w:autoSpaceDN w:val="0"/>
        <w:rPr>
          <w:u w:val="single"/>
        </w:rPr>
      </w:pPr>
      <w:r>
        <w:rPr>
          <w:sz w:val="20"/>
        </w:rPr>
        <w:t> </w:t>
      </w:r>
    </w:p>
    <w:p w:rsidR="00E91A51" w:rsidRDefault="00E91A51" w14:paraId="314E9153" w14:textId="77777777">
      <w:pPr>
        <w:rPr>
          <w:u w:val="single"/>
        </w:rPr>
      </w:pPr>
      <w:r>
        <w:rPr>
          <w:u w:val="single"/>
        </w:rPr>
        <w:t>15.  Any program changes or adjustments</w:t>
      </w:r>
    </w:p>
    <w:p w:rsidR="00853CB3" w:rsidP="00853CB3" w:rsidRDefault="00853CB3" w14:paraId="2E29DFB1" w14:textId="73DA7F13">
      <w:r w:rsidRPr="005E19E8">
        <w:t xml:space="preserve">The principal change to the data collection system is the replacement of the Community Investment Impact System (CIIS) with the Awards Management and Information System </w:t>
      </w:r>
      <w:r>
        <w:t>(</w:t>
      </w:r>
      <w:r w:rsidRPr="005E19E8">
        <w:t>AMIS</w:t>
      </w:r>
      <w:r>
        <w:t>)</w:t>
      </w:r>
      <w:r w:rsidRPr="005E19E8">
        <w:t xml:space="preserve"> system for reporting and the r</w:t>
      </w:r>
      <w:r>
        <w:t xml:space="preserve">educed burden for CDFI Program </w:t>
      </w:r>
      <w:r w:rsidRPr="005E19E8">
        <w:t>and NACA Program Recipients due to the elimination of the Institutional Level Report (ILR) and reductions in the Transaction Level Report (TLR). Slight efficiency gains are also described for NMTC Program Allocatees, which reduces the average reporting burden</w:t>
      </w:r>
      <w:r>
        <w:t xml:space="preserve"> for the ILR and TLR</w:t>
      </w:r>
      <w:r w:rsidRPr="005E19E8">
        <w:t>.</w:t>
      </w:r>
    </w:p>
    <w:p w:rsidR="005D30A3" w:rsidRDefault="005D30A3" w14:paraId="1777482B" w14:textId="77777777"/>
    <w:p w:rsidRPr="00DA62FF" w:rsidR="007048BF" w:rsidP="00DA62FF" w:rsidRDefault="00E240FC" w14:paraId="15D40B84" w14:textId="4C38B838">
      <w:pPr>
        <w:autoSpaceDE w:val="0"/>
        <w:autoSpaceDN w:val="0"/>
        <w:adjustRightInd w:val="0"/>
        <w:rPr>
          <w:color w:val="000000"/>
          <w:szCs w:val="24"/>
        </w:rPr>
      </w:pPr>
      <w:r>
        <w:t xml:space="preserve">The move to AMIS eliminated the ILR for CDFI Program </w:t>
      </w:r>
      <w:r w:rsidRPr="005E19E8">
        <w:t>and NACA Program Recipients</w:t>
      </w:r>
      <w:r>
        <w:t xml:space="preserve">, reducing the burden by </w:t>
      </w:r>
      <w:r>
        <w:rPr>
          <w:color w:val="000000"/>
          <w:szCs w:val="24"/>
        </w:rPr>
        <w:t>3,066 hours. The CDFI/NACA Program</w:t>
      </w:r>
      <w:r>
        <w:t xml:space="preserve"> </w:t>
      </w:r>
      <w:r w:rsidRPr="005E19E8">
        <w:t>Transaction Level Report (TLR)</w:t>
      </w:r>
      <w:r>
        <w:t xml:space="preserve"> was reduced 70% b</w:t>
      </w:r>
      <w:r>
        <w:rPr>
          <w:color w:val="000000"/>
          <w:szCs w:val="24"/>
        </w:rPr>
        <w:t xml:space="preserve">y limiting transactional reporting to only newly originated and closed loans and investments and eliminating reporting on outstanding loans and investments. </w:t>
      </w:r>
      <w:r w:rsidR="007048BF">
        <w:rPr>
          <w:color w:val="000000"/>
          <w:szCs w:val="24"/>
        </w:rPr>
        <w:t xml:space="preserve"> While the reporting structure for</w:t>
      </w:r>
      <w:r>
        <w:rPr>
          <w:color w:val="000000"/>
          <w:szCs w:val="24"/>
        </w:rPr>
        <w:t xml:space="preserve"> NMTC Program allocatees </w:t>
      </w:r>
      <w:r w:rsidR="007048BF">
        <w:rPr>
          <w:color w:val="000000"/>
          <w:szCs w:val="24"/>
        </w:rPr>
        <w:t xml:space="preserve">remains </w:t>
      </w:r>
      <w:r>
        <w:rPr>
          <w:color w:val="000000"/>
          <w:szCs w:val="24"/>
        </w:rPr>
        <w:t>the same</w:t>
      </w:r>
      <w:r w:rsidR="007048BF">
        <w:rPr>
          <w:iCs/>
          <w:color w:val="000000"/>
          <w:szCs w:val="24"/>
        </w:rPr>
        <w:t xml:space="preserve">, </w:t>
      </w:r>
      <w:r w:rsidRPr="002B060D">
        <w:rPr>
          <w:iCs/>
          <w:color w:val="000000"/>
          <w:szCs w:val="24"/>
        </w:rPr>
        <w:t>the average</w:t>
      </w:r>
      <w:r>
        <w:rPr>
          <w:iCs/>
          <w:color w:val="000000"/>
          <w:szCs w:val="24"/>
        </w:rPr>
        <w:t xml:space="preserve"> NMTC reporting time</w:t>
      </w:r>
      <w:r w:rsidRPr="002B060D">
        <w:rPr>
          <w:iCs/>
          <w:color w:val="000000"/>
          <w:szCs w:val="24"/>
        </w:rPr>
        <w:t xml:space="preserve"> has gone down slightly</w:t>
      </w:r>
      <w:r w:rsidR="007048BF">
        <w:rPr>
          <w:iCs/>
          <w:color w:val="000000"/>
          <w:szCs w:val="24"/>
        </w:rPr>
        <w:t xml:space="preserve"> due to AMIS retaining information on the outstanding TLRs. </w:t>
      </w:r>
    </w:p>
    <w:p w:rsidR="007048BF" w:rsidP="00DA62FF" w:rsidRDefault="007048BF" w14:paraId="69B7B040" w14:textId="77777777">
      <w:pPr>
        <w:autoSpaceDE w:val="0"/>
        <w:autoSpaceDN w:val="0"/>
        <w:adjustRightInd w:val="0"/>
        <w:rPr>
          <w:iCs/>
          <w:color w:val="000000"/>
          <w:szCs w:val="24"/>
        </w:rPr>
      </w:pPr>
    </w:p>
    <w:p w:rsidR="00E240FC" w:rsidP="00DA62FF" w:rsidRDefault="00E240FC" w14:paraId="5451824E" w14:textId="686F121E">
      <w:pPr>
        <w:autoSpaceDE w:val="0"/>
        <w:autoSpaceDN w:val="0"/>
        <w:adjustRightInd w:val="0"/>
      </w:pPr>
      <w:r>
        <w:rPr>
          <w:iCs/>
          <w:color w:val="000000"/>
          <w:szCs w:val="24"/>
        </w:rPr>
        <w:t xml:space="preserve">Altogether, the </w:t>
      </w:r>
      <w:r w:rsidR="007048BF">
        <w:rPr>
          <w:iCs/>
          <w:color w:val="000000"/>
          <w:szCs w:val="24"/>
        </w:rPr>
        <w:t xml:space="preserve">move to AMIS has reduced the need for reporting on outstanding TLR and has reduced the number of respondents by 51, from 626 to 575.   Additionally, </w:t>
      </w:r>
      <w:r w:rsidR="007048BF">
        <w:rPr>
          <w:color w:val="000000"/>
          <w:szCs w:val="24"/>
        </w:rPr>
        <w:t>w</w:t>
      </w:r>
      <w:r w:rsidRPr="002B060D" w:rsidR="007048BF">
        <w:rPr>
          <w:iCs/>
          <w:color w:val="000000"/>
          <w:szCs w:val="24"/>
        </w:rPr>
        <w:t xml:space="preserve">ith the efficiency gains from the implementation of AMIS, </w:t>
      </w:r>
      <w:r>
        <w:rPr>
          <w:iCs/>
          <w:color w:val="000000"/>
          <w:szCs w:val="24"/>
        </w:rPr>
        <w:t xml:space="preserve">total annual burden for both CDFI/NACA and NMTC annual reporting has decreased substantially from </w:t>
      </w:r>
      <w:r w:rsidR="006A553F">
        <w:rPr>
          <w:iCs/>
          <w:color w:val="000000"/>
          <w:szCs w:val="24"/>
        </w:rPr>
        <w:t>51,645</w:t>
      </w:r>
      <w:r>
        <w:rPr>
          <w:iCs/>
          <w:color w:val="000000"/>
          <w:szCs w:val="24"/>
        </w:rPr>
        <w:t xml:space="preserve"> hours in 2017 to 34,000 hours in 2020</w:t>
      </w:r>
      <w:r w:rsidR="006A553F">
        <w:rPr>
          <w:iCs/>
          <w:color w:val="000000"/>
          <w:szCs w:val="24"/>
        </w:rPr>
        <w:t>.</w:t>
      </w:r>
    </w:p>
    <w:p w:rsidR="00CF7D19" w:rsidRDefault="00CF7D19" w14:paraId="734BC81D" w14:textId="77777777">
      <w:pPr>
        <w:rPr>
          <w:u w:val="single"/>
        </w:rPr>
      </w:pPr>
    </w:p>
    <w:p w:rsidR="00E91A51" w:rsidRDefault="00E91A51" w14:paraId="5600DE40" w14:textId="328D56E8">
      <w:pPr>
        <w:rPr>
          <w:u w:val="single"/>
        </w:rPr>
      </w:pPr>
      <w:r>
        <w:rPr>
          <w:u w:val="single"/>
        </w:rPr>
        <w:t>16.  Plans for information tabulation and publication</w:t>
      </w:r>
    </w:p>
    <w:p w:rsidR="00E91A51" w:rsidRDefault="00482F75" w14:paraId="7A5B1703" w14:textId="38D3E0E4">
      <w:r>
        <w:t xml:space="preserve">The CDFI Fund </w:t>
      </w:r>
      <w:r w:rsidR="00EF4A30">
        <w:t xml:space="preserve">publishes annually summary data in its Agency Financial Report.  In addition </w:t>
      </w:r>
      <w:r w:rsidR="002E112C">
        <w:t>the CDFI Fund</w:t>
      </w:r>
      <w:r>
        <w:t xml:space="preserve"> publish</w:t>
      </w:r>
      <w:r w:rsidR="002E112C">
        <w:t>es</w:t>
      </w:r>
      <w:r>
        <w:t xml:space="preserve"> </w:t>
      </w:r>
      <w:r w:rsidR="00D32CC0">
        <w:t xml:space="preserve">annually </w:t>
      </w:r>
      <w:r>
        <w:t>the CDE TLR and CDFI summary TLR data</w:t>
      </w:r>
      <w:r w:rsidR="00D32CC0">
        <w:t>, with</w:t>
      </w:r>
      <w:r w:rsidR="002E112C">
        <w:t xml:space="preserve"> a</w:t>
      </w:r>
      <w:r w:rsidR="00D32CC0">
        <w:t xml:space="preserve"> release</w:t>
      </w:r>
      <w:r>
        <w:t xml:space="preserve"> in the </w:t>
      </w:r>
      <w:r w:rsidR="00D32CC0">
        <w:t xml:space="preserve">following calendar year </w:t>
      </w:r>
      <w:r w:rsidR="002E112C">
        <w:t xml:space="preserve">typically </w:t>
      </w:r>
      <w:r w:rsidR="00D32CC0">
        <w:t xml:space="preserve">in </w:t>
      </w:r>
      <w:r w:rsidR="002E112C">
        <w:t>June and July</w:t>
      </w:r>
      <w:r w:rsidR="00D32CC0">
        <w:t>, respectively.</w:t>
      </w:r>
      <w:r>
        <w:t xml:space="preserve"> </w:t>
      </w:r>
      <w:r w:rsidR="00D32CC0">
        <w:t xml:space="preserve">In keeping with Federal </w:t>
      </w:r>
      <w:r w:rsidR="00D32CC0">
        <w:lastRenderedPageBreak/>
        <w:t>regulations and laws, c</w:t>
      </w:r>
      <w:r w:rsidR="00E91A51">
        <w:t>onfidential and proprietary informat</w:t>
      </w:r>
      <w:r w:rsidR="00D32CC0">
        <w:t>ion collected</w:t>
      </w:r>
      <w:r w:rsidR="00E91A51">
        <w:t xml:space="preserve"> through the annual report will not be published.</w:t>
      </w:r>
    </w:p>
    <w:p w:rsidR="00B422AF" w:rsidRDefault="00B422AF" w14:paraId="33676B90" w14:textId="77777777"/>
    <w:p w:rsidR="002E7FFE" w:rsidP="002E7FFE" w:rsidRDefault="00E91A51" w14:paraId="66483F1D" w14:textId="77777777">
      <w:r>
        <w:rPr>
          <w:u w:val="single"/>
        </w:rPr>
        <w:t>17.  Reasons for not displaying expiration date of OMB approval</w:t>
      </w:r>
    </w:p>
    <w:p w:rsidRPr="0025604D" w:rsidR="002E7FFE" w:rsidP="002E7FFE" w:rsidRDefault="002E7FFE" w14:paraId="7CAA36B7" w14:textId="77777777">
      <w:r>
        <w:t>The CDFI Fund believes displaying an OMB expiration date on this collection will create the incorrect perception that this information request is to run for a shorter term than th</w:t>
      </w:r>
      <w:r w:rsidR="005B0318">
        <w:t>e awardees assistance agreements</w:t>
      </w:r>
      <w:r>
        <w:t xml:space="preserve">.  </w:t>
      </w:r>
    </w:p>
    <w:p w:rsidR="00E91A51" w:rsidRDefault="00E91A51" w14:paraId="2901FC00" w14:textId="77777777">
      <w:pPr>
        <w:rPr>
          <w:u w:val="single"/>
        </w:rPr>
      </w:pPr>
    </w:p>
    <w:p w:rsidR="00E91A51" w:rsidRDefault="00E91A51" w14:paraId="4C2D46AB" w14:textId="77777777">
      <w:pPr>
        <w:rPr>
          <w:u w:val="single"/>
        </w:rPr>
      </w:pPr>
      <w:r>
        <w:rPr>
          <w:u w:val="single"/>
        </w:rPr>
        <w:t>18.  Explanation of exceptions to certification statement</w:t>
      </w:r>
    </w:p>
    <w:p w:rsidR="00422A6F" w:rsidP="00422A6F" w:rsidRDefault="00B706B9" w14:paraId="7FFCF093" w14:textId="36A83222">
      <w:r>
        <w:t>There are no exceptions to the certification statement.</w:t>
      </w:r>
    </w:p>
    <w:p w:rsidR="00422A6F" w:rsidP="00422A6F" w:rsidRDefault="00422A6F" w14:paraId="25A62B2B" w14:textId="77777777"/>
    <w:p w:rsidR="00E91A51" w:rsidP="00422A6F" w:rsidRDefault="00E91A51" w14:paraId="72D2DC85" w14:textId="77777777">
      <w:r>
        <w:t>B. Collections of Information Employing Statistical Methods</w:t>
      </w:r>
    </w:p>
    <w:p w:rsidR="00E91A51" w:rsidRDefault="00E91A51" w14:paraId="1E62DA99" w14:textId="77777777"/>
    <w:p w:rsidR="00E91A51" w:rsidRDefault="00E91A51" w14:paraId="5168D1DC" w14:textId="77777777">
      <w:r>
        <w:t>This section is not applicable.</w:t>
      </w:r>
    </w:p>
    <w:p w:rsidR="00957014" w:rsidRDefault="00957014" w14:paraId="3D47BA31" w14:textId="4B91EB51"/>
    <w:p w:rsidR="00E50EF4" w:rsidRDefault="00E50EF4" w14:paraId="37FD6854" w14:textId="63C9C576">
      <w:bookmarkStart w:name="_GoBack" w:id="0"/>
      <w:bookmarkEnd w:id="0"/>
    </w:p>
    <w:sectPr w:rsidR="00E50EF4" w:rsidSect="00E50EF4">
      <w:headerReference w:type="default" r:id="rId13"/>
      <w:footerReference w:type="default" r:id="rId14"/>
      <w:pgSz w:w="12240" w:h="15840"/>
      <w:pgMar w:top="1296"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5C340" w14:textId="77777777" w:rsidR="00D023B7" w:rsidRDefault="00D023B7">
      <w:r>
        <w:separator/>
      </w:r>
    </w:p>
  </w:endnote>
  <w:endnote w:type="continuationSeparator" w:id="0">
    <w:p w14:paraId="7530E435" w14:textId="77777777" w:rsidR="00D023B7" w:rsidRDefault="00D0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9F098" w14:textId="6534C7C1" w:rsidR="00AE1644" w:rsidRDefault="00AE164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3820">
      <w:rPr>
        <w:rStyle w:val="PageNumber"/>
        <w:noProof/>
      </w:rPr>
      <w:t>1</w:t>
    </w:r>
    <w:r>
      <w:rPr>
        <w:rStyle w:val="PageNumber"/>
      </w:rPr>
      <w:fldChar w:fldCharType="end"/>
    </w:r>
  </w:p>
  <w:p w14:paraId="22CFC6F2" w14:textId="77777777" w:rsidR="00AE1644" w:rsidRDefault="00AE1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DE8AB" w14:textId="77777777" w:rsidR="00D023B7" w:rsidRDefault="00D023B7">
      <w:r>
        <w:separator/>
      </w:r>
    </w:p>
  </w:footnote>
  <w:footnote w:type="continuationSeparator" w:id="0">
    <w:p w14:paraId="3D818498" w14:textId="77777777" w:rsidR="00D023B7" w:rsidRDefault="00D023B7">
      <w:r>
        <w:continuationSeparator/>
      </w:r>
    </w:p>
  </w:footnote>
  <w:footnote w:id="1">
    <w:p w14:paraId="25AEBD86" w14:textId="77777777" w:rsidR="00AE1644" w:rsidRPr="00684D3A" w:rsidRDefault="00AE1644" w:rsidP="00C058D4">
      <w:pPr>
        <w:pStyle w:val="FootnoteText"/>
      </w:pPr>
      <w:r w:rsidRPr="00684D3A">
        <w:rPr>
          <w:rStyle w:val="FootnoteReference"/>
        </w:rPr>
        <w:footnoteRef/>
      </w:r>
      <w:r w:rsidRPr="00684D3A">
        <w:t xml:space="preserve"> </w:t>
      </w:r>
      <w:r w:rsidRPr="00684D3A">
        <w:rPr>
          <w:iCs/>
        </w:rPr>
        <w:t>The hourly rate is based on the national estimate for the median hourly wage for Financial Managers according the Bureau of Labor Statistics (</w:t>
      </w:r>
      <w:r w:rsidRPr="00684D3A">
        <w:rPr>
          <w:i/>
          <w:iCs/>
        </w:rPr>
        <w:t>https://www.bls.gov/oes/current/oes113031.htm</w:t>
      </w:r>
      <w:r w:rsidRPr="00684D3A">
        <w:rPr>
          <w:iCs/>
        </w:rPr>
        <w:t>)</w:t>
      </w:r>
    </w:p>
  </w:footnote>
  <w:footnote w:id="2">
    <w:p w14:paraId="3BA97221" w14:textId="77777777" w:rsidR="005D5E4C" w:rsidRDefault="005D5E4C" w:rsidP="005D5E4C">
      <w:pPr>
        <w:pStyle w:val="FootnoteText"/>
      </w:pPr>
      <w:r>
        <w:rPr>
          <w:rStyle w:val="FootnoteReference"/>
        </w:rPr>
        <w:footnoteRef/>
      </w:r>
      <w:r>
        <w:t xml:space="preserve"> </w:t>
      </w:r>
      <w:r w:rsidRPr="00C340A0">
        <w:t>https://www.fedweek.com/pay-tables/2020-gs-pay-table-washington-baltimore-arlington-dc-md-va-wv-pa/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A3645" w14:textId="77777777" w:rsidR="00AE1644" w:rsidRDefault="00AE1644">
    <w:pPr>
      <w:pStyle w:val="Header"/>
      <w:jc w:val="center"/>
    </w:pPr>
  </w:p>
  <w:p w14:paraId="5750CF34" w14:textId="77777777" w:rsidR="00AE1644" w:rsidRDefault="00AE164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070"/>
    <w:multiLevelType w:val="hybridMultilevel"/>
    <w:tmpl w:val="C5CC9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512094"/>
    <w:multiLevelType w:val="hybridMultilevel"/>
    <w:tmpl w:val="00701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AD644B"/>
    <w:multiLevelType w:val="hybridMultilevel"/>
    <w:tmpl w:val="5374F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0E58BF"/>
    <w:multiLevelType w:val="singleLevel"/>
    <w:tmpl w:val="A9E66930"/>
    <w:lvl w:ilvl="0">
      <w:start w:val="3"/>
      <w:numFmt w:val="decimal"/>
      <w:lvlText w:val="%1. "/>
      <w:legacy w:legacy="1" w:legacySpace="0" w:legacyIndent="360"/>
      <w:lvlJc w:val="left"/>
      <w:pPr>
        <w:ind w:left="360" w:hanging="360"/>
      </w:pPr>
      <w:rPr>
        <w:b w:val="0"/>
        <w:i w:val="0"/>
        <w:sz w:val="24"/>
        <w:u w:val="single"/>
      </w:rPr>
    </w:lvl>
  </w:abstractNum>
  <w:abstractNum w:abstractNumId="4" w15:restartNumberingAfterBreak="0">
    <w:nsid w:val="32FA58A9"/>
    <w:multiLevelType w:val="hybridMultilevel"/>
    <w:tmpl w:val="3CBAF5BA"/>
    <w:lvl w:ilvl="0" w:tplc="E660B854">
      <w:start w:val="1"/>
      <w:numFmt w:val="bullet"/>
      <w:lvlText w:val=""/>
      <w:lvlJc w:val="left"/>
      <w:pPr>
        <w:tabs>
          <w:tab w:val="num" w:pos="720"/>
        </w:tabs>
        <w:ind w:left="720" w:hanging="360"/>
      </w:pPr>
      <w:rPr>
        <w:rFonts w:ascii="Symbol" w:hAnsi="Symbol" w:hint="default"/>
        <w:sz w:val="22"/>
      </w:rPr>
    </w:lvl>
    <w:lvl w:ilvl="1" w:tplc="E660B854">
      <w:start w:val="1"/>
      <w:numFmt w:val="bullet"/>
      <w:lvlText w:val=""/>
      <w:lvlJc w:val="left"/>
      <w:pPr>
        <w:tabs>
          <w:tab w:val="num" w:pos="1440"/>
        </w:tabs>
        <w:ind w:left="1440" w:hanging="360"/>
      </w:pPr>
      <w:rPr>
        <w:rFonts w:ascii="Symbol" w:hAnsi="Symbol" w:hint="default"/>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AC6792"/>
    <w:multiLevelType w:val="hybridMultilevel"/>
    <w:tmpl w:val="48649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D74317"/>
    <w:multiLevelType w:val="hybridMultilevel"/>
    <w:tmpl w:val="0682F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446EA1"/>
    <w:multiLevelType w:val="hybridMultilevel"/>
    <w:tmpl w:val="CF8017AC"/>
    <w:lvl w:ilvl="0" w:tplc="E660B854">
      <w:start w:val="1"/>
      <w:numFmt w:val="bullet"/>
      <w:lvlText w:val=""/>
      <w:lvlJc w:val="left"/>
      <w:pPr>
        <w:tabs>
          <w:tab w:val="num" w:pos="720"/>
        </w:tabs>
        <w:ind w:left="720" w:hanging="360"/>
      </w:pPr>
      <w:rPr>
        <w:rFonts w:ascii="Symbol" w:hAnsi="Symbol" w:hint="default"/>
        <w:sz w:val="22"/>
      </w:rPr>
    </w:lvl>
    <w:lvl w:ilvl="1" w:tplc="E660B854">
      <w:start w:val="1"/>
      <w:numFmt w:val="bullet"/>
      <w:lvlText w:val=""/>
      <w:lvlJc w:val="left"/>
      <w:pPr>
        <w:tabs>
          <w:tab w:val="num" w:pos="1440"/>
        </w:tabs>
        <w:ind w:left="1440" w:hanging="360"/>
      </w:pPr>
      <w:rPr>
        <w:rFonts w:ascii="Symbol" w:hAnsi="Symbol" w:hint="default"/>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0C0DF8"/>
    <w:multiLevelType w:val="hybridMultilevel"/>
    <w:tmpl w:val="3A2E5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F84852"/>
    <w:multiLevelType w:val="hybridMultilevel"/>
    <w:tmpl w:val="76004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6B67DD"/>
    <w:multiLevelType w:val="hybridMultilevel"/>
    <w:tmpl w:val="95B61154"/>
    <w:lvl w:ilvl="0" w:tplc="E660B854">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913C41"/>
    <w:multiLevelType w:val="hybridMultilevel"/>
    <w:tmpl w:val="AD0E7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B78084A"/>
    <w:multiLevelType w:val="hybridMultilevel"/>
    <w:tmpl w:val="567EA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4"/>
  </w:num>
  <w:num w:numId="4">
    <w:abstractNumId w:val="7"/>
  </w:num>
  <w:num w:numId="5">
    <w:abstractNumId w:val="2"/>
  </w:num>
  <w:num w:numId="6">
    <w:abstractNumId w:val="8"/>
  </w:num>
  <w:num w:numId="7">
    <w:abstractNumId w:val="6"/>
  </w:num>
  <w:num w:numId="8">
    <w:abstractNumId w:val="12"/>
  </w:num>
  <w:num w:numId="9">
    <w:abstractNumId w:val="9"/>
  </w:num>
  <w:num w:numId="10">
    <w:abstractNumId w:val="5"/>
  </w:num>
  <w:num w:numId="11">
    <w:abstractNumId w:val="11"/>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7E"/>
    <w:rsid w:val="00002EE1"/>
    <w:rsid w:val="00003FAC"/>
    <w:rsid w:val="00007F98"/>
    <w:rsid w:val="000122EB"/>
    <w:rsid w:val="0001420D"/>
    <w:rsid w:val="00015BA9"/>
    <w:rsid w:val="00023AB0"/>
    <w:rsid w:val="00034FD2"/>
    <w:rsid w:val="00040DDA"/>
    <w:rsid w:val="000454A0"/>
    <w:rsid w:val="000518F3"/>
    <w:rsid w:val="00063754"/>
    <w:rsid w:val="00071159"/>
    <w:rsid w:val="00073048"/>
    <w:rsid w:val="00073412"/>
    <w:rsid w:val="00073D53"/>
    <w:rsid w:val="00076440"/>
    <w:rsid w:val="0007797F"/>
    <w:rsid w:val="00081EE1"/>
    <w:rsid w:val="000921F8"/>
    <w:rsid w:val="000969B2"/>
    <w:rsid w:val="000A3BFD"/>
    <w:rsid w:val="000A3F49"/>
    <w:rsid w:val="000A4BB7"/>
    <w:rsid w:val="000B230C"/>
    <w:rsid w:val="000B36FB"/>
    <w:rsid w:val="000B3DD1"/>
    <w:rsid w:val="000C0EA4"/>
    <w:rsid w:val="000E585E"/>
    <w:rsid w:val="000F324C"/>
    <w:rsid w:val="000F35ED"/>
    <w:rsid w:val="001034DE"/>
    <w:rsid w:val="00107250"/>
    <w:rsid w:val="00111916"/>
    <w:rsid w:val="00113699"/>
    <w:rsid w:val="001271C0"/>
    <w:rsid w:val="00132F3A"/>
    <w:rsid w:val="00133CF1"/>
    <w:rsid w:val="001370C5"/>
    <w:rsid w:val="0013726F"/>
    <w:rsid w:val="00150FA2"/>
    <w:rsid w:val="0015483F"/>
    <w:rsid w:val="00157D7E"/>
    <w:rsid w:val="00163A56"/>
    <w:rsid w:val="00172D47"/>
    <w:rsid w:val="0017550D"/>
    <w:rsid w:val="00197D47"/>
    <w:rsid w:val="001A546F"/>
    <w:rsid w:val="001B6804"/>
    <w:rsid w:val="001C4703"/>
    <w:rsid w:val="001D3712"/>
    <w:rsid w:val="001D45B4"/>
    <w:rsid w:val="001D5D2F"/>
    <w:rsid w:val="001E7E76"/>
    <w:rsid w:val="001F2F8E"/>
    <w:rsid w:val="0020072E"/>
    <w:rsid w:val="00201168"/>
    <w:rsid w:val="00201E00"/>
    <w:rsid w:val="00202EB6"/>
    <w:rsid w:val="0020377B"/>
    <w:rsid w:val="002038C8"/>
    <w:rsid w:val="0020479E"/>
    <w:rsid w:val="002057DA"/>
    <w:rsid w:val="00206A0F"/>
    <w:rsid w:val="00215442"/>
    <w:rsid w:val="0021545C"/>
    <w:rsid w:val="00220C0D"/>
    <w:rsid w:val="0022226B"/>
    <w:rsid w:val="002237B0"/>
    <w:rsid w:val="00224688"/>
    <w:rsid w:val="00232C30"/>
    <w:rsid w:val="002340C3"/>
    <w:rsid w:val="00236C56"/>
    <w:rsid w:val="00244706"/>
    <w:rsid w:val="002545F3"/>
    <w:rsid w:val="00257CDF"/>
    <w:rsid w:val="002601FF"/>
    <w:rsid w:val="00261ECD"/>
    <w:rsid w:val="002623FE"/>
    <w:rsid w:val="00264381"/>
    <w:rsid w:val="0026797F"/>
    <w:rsid w:val="002719D6"/>
    <w:rsid w:val="00273BBE"/>
    <w:rsid w:val="00273F5E"/>
    <w:rsid w:val="002753A5"/>
    <w:rsid w:val="00282BF9"/>
    <w:rsid w:val="002877E9"/>
    <w:rsid w:val="00291704"/>
    <w:rsid w:val="00293333"/>
    <w:rsid w:val="002B3A01"/>
    <w:rsid w:val="002B5253"/>
    <w:rsid w:val="002B5BEE"/>
    <w:rsid w:val="002B7658"/>
    <w:rsid w:val="002E112C"/>
    <w:rsid w:val="002E637F"/>
    <w:rsid w:val="002E7B9D"/>
    <w:rsid w:val="002E7FFE"/>
    <w:rsid w:val="002F31B1"/>
    <w:rsid w:val="002F48EE"/>
    <w:rsid w:val="00300075"/>
    <w:rsid w:val="0030559A"/>
    <w:rsid w:val="00306D0C"/>
    <w:rsid w:val="003070CC"/>
    <w:rsid w:val="00307711"/>
    <w:rsid w:val="00314DE9"/>
    <w:rsid w:val="003175C4"/>
    <w:rsid w:val="0033167D"/>
    <w:rsid w:val="003404B9"/>
    <w:rsid w:val="00341FB3"/>
    <w:rsid w:val="0035670A"/>
    <w:rsid w:val="00357787"/>
    <w:rsid w:val="00366319"/>
    <w:rsid w:val="003878AE"/>
    <w:rsid w:val="00392B2F"/>
    <w:rsid w:val="00395CF2"/>
    <w:rsid w:val="00397622"/>
    <w:rsid w:val="003B5234"/>
    <w:rsid w:val="003B6563"/>
    <w:rsid w:val="003C2DD5"/>
    <w:rsid w:val="003D0701"/>
    <w:rsid w:val="003D7942"/>
    <w:rsid w:val="003D79A5"/>
    <w:rsid w:val="003E1181"/>
    <w:rsid w:val="003E1C5D"/>
    <w:rsid w:val="003E6644"/>
    <w:rsid w:val="003F35AF"/>
    <w:rsid w:val="004016D4"/>
    <w:rsid w:val="00402565"/>
    <w:rsid w:val="004045B1"/>
    <w:rsid w:val="00422A6F"/>
    <w:rsid w:val="00431BFC"/>
    <w:rsid w:val="00431D6B"/>
    <w:rsid w:val="00437306"/>
    <w:rsid w:val="00440FEB"/>
    <w:rsid w:val="00442427"/>
    <w:rsid w:val="0044301E"/>
    <w:rsid w:val="0044309A"/>
    <w:rsid w:val="004506EC"/>
    <w:rsid w:val="00455544"/>
    <w:rsid w:val="004710E1"/>
    <w:rsid w:val="00482F75"/>
    <w:rsid w:val="0048769C"/>
    <w:rsid w:val="004901C2"/>
    <w:rsid w:val="00493AAF"/>
    <w:rsid w:val="004A135F"/>
    <w:rsid w:val="004A5123"/>
    <w:rsid w:val="004B080F"/>
    <w:rsid w:val="004B145E"/>
    <w:rsid w:val="004C08A6"/>
    <w:rsid w:val="004C0EC8"/>
    <w:rsid w:val="004D48DE"/>
    <w:rsid w:val="004F23EE"/>
    <w:rsid w:val="004F3167"/>
    <w:rsid w:val="004F47D5"/>
    <w:rsid w:val="0050364E"/>
    <w:rsid w:val="00510546"/>
    <w:rsid w:val="00514F5E"/>
    <w:rsid w:val="00526922"/>
    <w:rsid w:val="00532031"/>
    <w:rsid w:val="0053450C"/>
    <w:rsid w:val="00540344"/>
    <w:rsid w:val="005432DD"/>
    <w:rsid w:val="00564281"/>
    <w:rsid w:val="00565F54"/>
    <w:rsid w:val="00570E0E"/>
    <w:rsid w:val="005814D1"/>
    <w:rsid w:val="00583E06"/>
    <w:rsid w:val="0058561A"/>
    <w:rsid w:val="005907DB"/>
    <w:rsid w:val="0059101A"/>
    <w:rsid w:val="005947FB"/>
    <w:rsid w:val="005B01D0"/>
    <w:rsid w:val="005B0318"/>
    <w:rsid w:val="005B17E7"/>
    <w:rsid w:val="005C209D"/>
    <w:rsid w:val="005C5F01"/>
    <w:rsid w:val="005D1C75"/>
    <w:rsid w:val="005D30A3"/>
    <w:rsid w:val="005D4F90"/>
    <w:rsid w:val="005D5E4C"/>
    <w:rsid w:val="005E19E8"/>
    <w:rsid w:val="005E3549"/>
    <w:rsid w:val="005E4DB1"/>
    <w:rsid w:val="005E5BCF"/>
    <w:rsid w:val="005E7C04"/>
    <w:rsid w:val="005F2857"/>
    <w:rsid w:val="005F681B"/>
    <w:rsid w:val="005F6BD7"/>
    <w:rsid w:val="005F7F40"/>
    <w:rsid w:val="006038D2"/>
    <w:rsid w:val="006059C7"/>
    <w:rsid w:val="00612DF3"/>
    <w:rsid w:val="00613D69"/>
    <w:rsid w:val="006200FD"/>
    <w:rsid w:val="0062102A"/>
    <w:rsid w:val="0063101E"/>
    <w:rsid w:val="00633976"/>
    <w:rsid w:val="006365CF"/>
    <w:rsid w:val="00636F08"/>
    <w:rsid w:val="0064018B"/>
    <w:rsid w:val="00640AE1"/>
    <w:rsid w:val="00642700"/>
    <w:rsid w:val="006564EF"/>
    <w:rsid w:val="00674DA5"/>
    <w:rsid w:val="00692B47"/>
    <w:rsid w:val="00697E23"/>
    <w:rsid w:val="006A553F"/>
    <w:rsid w:val="006B16FA"/>
    <w:rsid w:val="006B34EF"/>
    <w:rsid w:val="006C379A"/>
    <w:rsid w:val="006C4606"/>
    <w:rsid w:val="006C5279"/>
    <w:rsid w:val="006F2F49"/>
    <w:rsid w:val="006F766B"/>
    <w:rsid w:val="00701112"/>
    <w:rsid w:val="007048BF"/>
    <w:rsid w:val="007059E5"/>
    <w:rsid w:val="00711224"/>
    <w:rsid w:val="00712768"/>
    <w:rsid w:val="00712C91"/>
    <w:rsid w:val="00720D19"/>
    <w:rsid w:val="007239B6"/>
    <w:rsid w:val="00726484"/>
    <w:rsid w:val="007349C6"/>
    <w:rsid w:val="00740AB8"/>
    <w:rsid w:val="00745E29"/>
    <w:rsid w:val="00763C4E"/>
    <w:rsid w:val="007A6B4D"/>
    <w:rsid w:val="007B1867"/>
    <w:rsid w:val="007C23DB"/>
    <w:rsid w:val="007C2E75"/>
    <w:rsid w:val="007C472C"/>
    <w:rsid w:val="007D2F7F"/>
    <w:rsid w:val="007D376F"/>
    <w:rsid w:val="007D5E42"/>
    <w:rsid w:val="007D7D41"/>
    <w:rsid w:val="007F54D8"/>
    <w:rsid w:val="007F5767"/>
    <w:rsid w:val="00800032"/>
    <w:rsid w:val="008168C4"/>
    <w:rsid w:val="008244C5"/>
    <w:rsid w:val="00835B30"/>
    <w:rsid w:val="008479AC"/>
    <w:rsid w:val="00853CB3"/>
    <w:rsid w:val="008553EA"/>
    <w:rsid w:val="00856898"/>
    <w:rsid w:val="008618B3"/>
    <w:rsid w:val="008659AF"/>
    <w:rsid w:val="00866533"/>
    <w:rsid w:val="008665D5"/>
    <w:rsid w:val="0087119E"/>
    <w:rsid w:val="008731AC"/>
    <w:rsid w:val="00874A55"/>
    <w:rsid w:val="00874AE2"/>
    <w:rsid w:val="00881F53"/>
    <w:rsid w:val="0089235E"/>
    <w:rsid w:val="008C028A"/>
    <w:rsid w:val="008C149B"/>
    <w:rsid w:val="008C6385"/>
    <w:rsid w:val="008C72CD"/>
    <w:rsid w:val="008E6439"/>
    <w:rsid w:val="008F41B9"/>
    <w:rsid w:val="008F4468"/>
    <w:rsid w:val="008F72D0"/>
    <w:rsid w:val="009014D2"/>
    <w:rsid w:val="00906992"/>
    <w:rsid w:val="00906DFA"/>
    <w:rsid w:val="00907852"/>
    <w:rsid w:val="00910484"/>
    <w:rsid w:val="00910DFF"/>
    <w:rsid w:val="009161E5"/>
    <w:rsid w:val="00916C24"/>
    <w:rsid w:val="009213A0"/>
    <w:rsid w:val="00923D50"/>
    <w:rsid w:val="009246C9"/>
    <w:rsid w:val="00940E94"/>
    <w:rsid w:val="0094312E"/>
    <w:rsid w:val="00946683"/>
    <w:rsid w:val="00946A93"/>
    <w:rsid w:val="00946DE1"/>
    <w:rsid w:val="00953D10"/>
    <w:rsid w:val="00956681"/>
    <w:rsid w:val="00957014"/>
    <w:rsid w:val="00972BBC"/>
    <w:rsid w:val="0098351B"/>
    <w:rsid w:val="00991409"/>
    <w:rsid w:val="009A079C"/>
    <w:rsid w:val="009A303D"/>
    <w:rsid w:val="009A79B5"/>
    <w:rsid w:val="009B5720"/>
    <w:rsid w:val="009C024E"/>
    <w:rsid w:val="009D30BA"/>
    <w:rsid w:val="009D7F0E"/>
    <w:rsid w:val="009E2054"/>
    <w:rsid w:val="009E2EB8"/>
    <w:rsid w:val="009E48D0"/>
    <w:rsid w:val="009F001B"/>
    <w:rsid w:val="009F30F3"/>
    <w:rsid w:val="00A12509"/>
    <w:rsid w:val="00A22563"/>
    <w:rsid w:val="00A234E1"/>
    <w:rsid w:val="00A24B3E"/>
    <w:rsid w:val="00A253BA"/>
    <w:rsid w:val="00A26E6E"/>
    <w:rsid w:val="00A33A5F"/>
    <w:rsid w:val="00A429A1"/>
    <w:rsid w:val="00A44E5E"/>
    <w:rsid w:val="00A46BFD"/>
    <w:rsid w:val="00A4709A"/>
    <w:rsid w:val="00A51635"/>
    <w:rsid w:val="00A55CF3"/>
    <w:rsid w:val="00A756D2"/>
    <w:rsid w:val="00AA0F98"/>
    <w:rsid w:val="00AA59A5"/>
    <w:rsid w:val="00AC1119"/>
    <w:rsid w:val="00AD49F4"/>
    <w:rsid w:val="00AE1644"/>
    <w:rsid w:val="00AE4F7C"/>
    <w:rsid w:val="00AE523D"/>
    <w:rsid w:val="00B00D98"/>
    <w:rsid w:val="00B03F75"/>
    <w:rsid w:val="00B0485C"/>
    <w:rsid w:val="00B06452"/>
    <w:rsid w:val="00B25C0A"/>
    <w:rsid w:val="00B320C3"/>
    <w:rsid w:val="00B422AF"/>
    <w:rsid w:val="00B4358D"/>
    <w:rsid w:val="00B52BBA"/>
    <w:rsid w:val="00B53C4F"/>
    <w:rsid w:val="00B706B9"/>
    <w:rsid w:val="00B805AA"/>
    <w:rsid w:val="00B83DF3"/>
    <w:rsid w:val="00B94D73"/>
    <w:rsid w:val="00B977E6"/>
    <w:rsid w:val="00BA3477"/>
    <w:rsid w:val="00BA4CCD"/>
    <w:rsid w:val="00BB1049"/>
    <w:rsid w:val="00BB16B6"/>
    <w:rsid w:val="00BB2D0E"/>
    <w:rsid w:val="00BB59C9"/>
    <w:rsid w:val="00BE42FC"/>
    <w:rsid w:val="00BE5E02"/>
    <w:rsid w:val="00BE752A"/>
    <w:rsid w:val="00BF62E7"/>
    <w:rsid w:val="00C04780"/>
    <w:rsid w:val="00C058D4"/>
    <w:rsid w:val="00C15C89"/>
    <w:rsid w:val="00C211F6"/>
    <w:rsid w:val="00C24DB5"/>
    <w:rsid w:val="00C26428"/>
    <w:rsid w:val="00C32B44"/>
    <w:rsid w:val="00C33968"/>
    <w:rsid w:val="00C3694D"/>
    <w:rsid w:val="00C402FE"/>
    <w:rsid w:val="00C42999"/>
    <w:rsid w:val="00C43609"/>
    <w:rsid w:val="00C56E82"/>
    <w:rsid w:val="00C64678"/>
    <w:rsid w:val="00C650EE"/>
    <w:rsid w:val="00C83772"/>
    <w:rsid w:val="00C8603B"/>
    <w:rsid w:val="00C86114"/>
    <w:rsid w:val="00C86C5B"/>
    <w:rsid w:val="00C9485F"/>
    <w:rsid w:val="00C96F7A"/>
    <w:rsid w:val="00CA11FE"/>
    <w:rsid w:val="00CA2EDB"/>
    <w:rsid w:val="00CA6DDB"/>
    <w:rsid w:val="00CB1126"/>
    <w:rsid w:val="00CB2830"/>
    <w:rsid w:val="00CB3868"/>
    <w:rsid w:val="00CB4C4E"/>
    <w:rsid w:val="00CD0D34"/>
    <w:rsid w:val="00CD3699"/>
    <w:rsid w:val="00CF244A"/>
    <w:rsid w:val="00CF414E"/>
    <w:rsid w:val="00CF633F"/>
    <w:rsid w:val="00CF7D19"/>
    <w:rsid w:val="00D023B7"/>
    <w:rsid w:val="00D16374"/>
    <w:rsid w:val="00D23964"/>
    <w:rsid w:val="00D3073C"/>
    <w:rsid w:val="00D3112D"/>
    <w:rsid w:val="00D32CC0"/>
    <w:rsid w:val="00D34392"/>
    <w:rsid w:val="00D44BD5"/>
    <w:rsid w:val="00D44C44"/>
    <w:rsid w:val="00D45EB7"/>
    <w:rsid w:val="00D46991"/>
    <w:rsid w:val="00D635D5"/>
    <w:rsid w:val="00D7708C"/>
    <w:rsid w:val="00D862E1"/>
    <w:rsid w:val="00D91674"/>
    <w:rsid w:val="00D9320D"/>
    <w:rsid w:val="00D95A75"/>
    <w:rsid w:val="00DA39FB"/>
    <w:rsid w:val="00DA5526"/>
    <w:rsid w:val="00DA62FF"/>
    <w:rsid w:val="00DE0C23"/>
    <w:rsid w:val="00DE15D4"/>
    <w:rsid w:val="00DE4768"/>
    <w:rsid w:val="00DF15B8"/>
    <w:rsid w:val="00DF5D94"/>
    <w:rsid w:val="00DF6EE9"/>
    <w:rsid w:val="00E04825"/>
    <w:rsid w:val="00E1044D"/>
    <w:rsid w:val="00E1067B"/>
    <w:rsid w:val="00E106CE"/>
    <w:rsid w:val="00E122AF"/>
    <w:rsid w:val="00E13C4F"/>
    <w:rsid w:val="00E14CD9"/>
    <w:rsid w:val="00E216BD"/>
    <w:rsid w:val="00E240FC"/>
    <w:rsid w:val="00E27B9E"/>
    <w:rsid w:val="00E356BD"/>
    <w:rsid w:val="00E40865"/>
    <w:rsid w:val="00E42B51"/>
    <w:rsid w:val="00E50EF4"/>
    <w:rsid w:val="00E555AC"/>
    <w:rsid w:val="00E55BE1"/>
    <w:rsid w:val="00E6587C"/>
    <w:rsid w:val="00E663C8"/>
    <w:rsid w:val="00E70EF0"/>
    <w:rsid w:val="00E73820"/>
    <w:rsid w:val="00E8305A"/>
    <w:rsid w:val="00E8639A"/>
    <w:rsid w:val="00E90D77"/>
    <w:rsid w:val="00E912FB"/>
    <w:rsid w:val="00E91A51"/>
    <w:rsid w:val="00E9357B"/>
    <w:rsid w:val="00EA2525"/>
    <w:rsid w:val="00EA2A4C"/>
    <w:rsid w:val="00EA458C"/>
    <w:rsid w:val="00EA5C3E"/>
    <w:rsid w:val="00EA699C"/>
    <w:rsid w:val="00EA749D"/>
    <w:rsid w:val="00EB0623"/>
    <w:rsid w:val="00EC048A"/>
    <w:rsid w:val="00EC5591"/>
    <w:rsid w:val="00EC658C"/>
    <w:rsid w:val="00EC6AFA"/>
    <w:rsid w:val="00EC6F64"/>
    <w:rsid w:val="00ED1E9A"/>
    <w:rsid w:val="00ED2BC3"/>
    <w:rsid w:val="00ED3F18"/>
    <w:rsid w:val="00ED75FA"/>
    <w:rsid w:val="00EE1E2C"/>
    <w:rsid w:val="00EE2A89"/>
    <w:rsid w:val="00EE4481"/>
    <w:rsid w:val="00EE60C8"/>
    <w:rsid w:val="00EF3416"/>
    <w:rsid w:val="00EF49B1"/>
    <w:rsid w:val="00EF4A30"/>
    <w:rsid w:val="00EF787A"/>
    <w:rsid w:val="00EF7EE0"/>
    <w:rsid w:val="00F02E65"/>
    <w:rsid w:val="00F102EA"/>
    <w:rsid w:val="00F161C7"/>
    <w:rsid w:val="00F2202C"/>
    <w:rsid w:val="00F223BE"/>
    <w:rsid w:val="00F332C2"/>
    <w:rsid w:val="00F35A6D"/>
    <w:rsid w:val="00F379A2"/>
    <w:rsid w:val="00F56CBD"/>
    <w:rsid w:val="00F63E93"/>
    <w:rsid w:val="00F75A96"/>
    <w:rsid w:val="00F8167B"/>
    <w:rsid w:val="00FA3FB2"/>
    <w:rsid w:val="00FA57F4"/>
    <w:rsid w:val="00FB0E3A"/>
    <w:rsid w:val="00FB3958"/>
    <w:rsid w:val="00FC23E9"/>
    <w:rsid w:val="00FC2BC0"/>
    <w:rsid w:val="00FC2FAD"/>
    <w:rsid w:val="00FC3AC9"/>
    <w:rsid w:val="00FC4E80"/>
    <w:rsid w:val="00FD1250"/>
    <w:rsid w:val="00FD4BE2"/>
    <w:rsid w:val="00FD6F45"/>
    <w:rsid w:val="00FE5A21"/>
    <w:rsid w:val="00FF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1509A"/>
  <w15:chartTrackingRefBased/>
  <w15:docId w15:val="{6CF0D0AD-23FE-4F35-9F33-70761710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2"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BodyText2">
    <w:name w:val="Body Text 2"/>
    <w:basedOn w:val="Normal"/>
    <w:link w:val="BodyText2Char"/>
    <w:uiPriority w:val="99"/>
    <w:pPr>
      <w:jc w:val="both"/>
    </w:pPr>
  </w:style>
  <w:style w:type="character" w:styleId="Hyperlink">
    <w:name w:val="Hyperlink"/>
    <w:rPr>
      <w:color w:val="0000FF"/>
      <w:u w:val="single"/>
    </w:rPr>
  </w:style>
  <w:style w:type="paragraph" w:styleId="BalloonText">
    <w:name w:val="Balloon Text"/>
    <w:basedOn w:val="Normal"/>
    <w:link w:val="BalloonTextChar"/>
    <w:uiPriority w:val="99"/>
    <w:semiHidden/>
    <w:rsid w:val="00FC2BC0"/>
    <w:rPr>
      <w:rFonts w:ascii="Tahoma" w:hAnsi="Tahoma" w:cs="Tahoma"/>
      <w:sz w:val="16"/>
      <w:szCs w:val="16"/>
    </w:rPr>
  </w:style>
  <w:style w:type="table" w:styleId="TableGrid">
    <w:name w:val="Table Grid"/>
    <w:basedOn w:val="TableNormal"/>
    <w:uiPriority w:val="39"/>
    <w:rsid w:val="00612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C72CD"/>
    <w:rPr>
      <w:sz w:val="16"/>
      <w:szCs w:val="16"/>
    </w:rPr>
  </w:style>
  <w:style w:type="paragraph" w:styleId="CommentText">
    <w:name w:val="annotation text"/>
    <w:basedOn w:val="Normal"/>
    <w:link w:val="CommentTextChar"/>
    <w:uiPriority w:val="99"/>
    <w:rsid w:val="008C72CD"/>
    <w:rPr>
      <w:sz w:val="20"/>
    </w:rPr>
  </w:style>
  <w:style w:type="character" w:customStyle="1" w:styleId="CommentTextChar">
    <w:name w:val="Comment Text Char"/>
    <w:basedOn w:val="DefaultParagraphFont"/>
    <w:link w:val="CommentText"/>
    <w:uiPriority w:val="99"/>
    <w:rsid w:val="008C72CD"/>
  </w:style>
  <w:style w:type="paragraph" w:styleId="CommentSubject">
    <w:name w:val="annotation subject"/>
    <w:basedOn w:val="CommentText"/>
    <w:next w:val="CommentText"/>
    <w:link w:val="CommentSubjectChar"/>
    <w:uiPriority w:val="99"/>
    <w:rsid w:val="008C72CD"/>
    <w:rPr>
      <w:b/>
      <w:bCs/>
    </w:rPr>
  </w:style>
  <w:style w:type="character" w:customStyle="1" w:styleId="CommentSubjectChar">
    <w:name w:val="Comment Subject Char"/>
    <w:link w:val="CommentSubject"/>
    <w:uiPriority w:val="99"/>
    <w:rsid w:val="008C72CD"/>
    <w:rPr>
      <w:b/>
      <w:bCs/>
    </w:rPr>
  </w:style>
  <w:style w:type="paragraph" w:styleId="FootnoteText">
    <w:name w:val="footnote text"/>
    <w:basedOn w:val="Normal"/>
    <w:link w:val="FootnoteTextChar"/>
    <w:uiPriority w:val="99"/>
    <w:unhideWhenUsed/>
    <w:rsid w:val="00C058D4"/>
    <w:rPr>
      <w:sz w:val="20"/>
    </w:rPr>
  </w:style>
  <w:style w:type="character" w:customStyle="1" w:styleId="FootnoteTextChar">
    <w:name w:val="Footnote Text Char"/>
    <w:basedOn w:val="DefaultParagraphFont"/>
    <w:link w:val="FootnoteText"/>
    <w:uiPriority w:val="99"/>
    <w:rsid w:val="00C058D4"/>
  </w:style>
  <w:style w:type="character" w:styleId="FootnoteReference">
    <w:name w:val="footnote reference"/>
    <w:uiPriority w:val="99"/>
    <w:unhideWhenUsed/>
    <w:rsid w:val="00C058D4"/>
    <w:rPr>
      <w:vertAlign w:val="superscript"/>
    </w:rPr>
  </w:style>
  <w:style w:type="character" w:customStyle="1" w:styleId="HeaderChar">
    <w:name w:val="Header Char"/>
    <w:link w:val="Header"/>
    <w:uiPriority w:val="99"/>
    <w:rsid w:val="00C058D4"/>
    <w:rPr>
      <w:sz w:val="24"/>
    </w:rPr>
  </w:style>
  <w:style w:type="character" w:customStyle="1" w:styleId="FooterChar">
    <w:name w:val="Footer Char"/>
    <w:link w:val="Footer"/>
    <w:uiPriority w:val="99"/>
    <w:rsid w:val="00C058D4"/>
    <w:rPr>
      <w:sz w:val="24"/>
    </w:rPr>
  </w:style>
  <w:style w:type="paragraph" w:styleId="BodyText3">
    <w:name w:val="Body Text 3"/>
    <w:basedOn w:val="Normal"/>
    <w:link w:val="BodyText3Char"/>
    <w:rsid w:val="00C058D4"/>
    <w:pPr>
      <w:spacing w:after="120"/>
    </w:pPr>
    <w:rPr>
      <w:sz w:val="16"/>
      <w:szCs w:val="16"/>
    </w:rPr>
  </w:style>
  <w:style w:type="character" w:customStyle="1" w:styleId="BodyText3Char">
    <w:name w:val="Body Text 3 Char"/>
    <w:link w:val="BodyText3"/>
    <w:rsid w:val="00C058D4"/>
    <w:rPr>
      <w:sz w:val="16"/>
      <w:szCs w:val="16"/>
    </w:rPr>
  </w:style>
  <w:style w:type="character" w:customStyle="1" w:styleId="BalloonTextChar">
    <w:name w:val="Balloon Text Char"/>
    <w:link w:val="BalloonText"/>
    <w:uiPriority w:val="99"/>
    <w:semiHidden/>
    <w:rsid w:val="00C058D4"/>
    <w:rPr>
      <w:rFonts w:ascii="Tahoma" w:hAnsi="Tahoma" w:cs="Tahoma"/>
      <w:sz w:val="16"/>
      <w:szCs w:val="16"/>
    </w:rPr>
  </w:style>
  <w:style w:type="character" w:customStyle="1" w:styleId="BodyText2Char">
    <w:name w:val="Body Text 2 Char"/>
    <w:link w:val="BodyText2"/>
    <w:uiPriority w:val="99"/>
    <w:rsid w:val="00C058D4"/>
    <w:rPr>
      <w:sz w:val="24"/>
    </w:rPr>
  </w:style>
  <w:style w:type="paragraph" w:customStyle="1" w:styleId="Default">
    <w:name w:val="Default"/>
    <w:rsid w:val="00150FA2"/>
    <w:pPr>
      <w:autoSpaceDE w:val="0"/>
      <w:autoSpaceDN w:val="0"/>
      <w:adjustRightInd w:val="0"/>
    </w:pPr>
    <w:rPr>
      <w:rFonts w:eastAsia="Calibri"/>
      <w:color w:val="000000"/>
      <w:sz w:val="24"/>
      <w:szCs w:val="24"/>
    </w:rPr>
  </w:style>
  <w:style w:type="character" w:styleId="FollowedHyperlink">
    <w:name w:val="FollowedHyperlink"/>
    <w:basedOn w:val="DefaultParagraphFont"/>
    <w:rsid w:val="002447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7136">
      <w:bodyDiv w:val="1"/>
      <w:marLeft w:val="0"/>
      <w:marRight w:val="0"/>
      <w:marTop w:val="0"/>
      <w:marBottom w:val="0"/>
      <w:divBdr>
        <w:top w:val="none" w:sz="0" w:space="0" w:color="auto"/>
        <w:left w:val="none" w:sz="0" w:space="0" w:color="auto"/>
        <w:bottom w:val="none" w:sz="0" w:space="0" w:color="auto"/>
        <w:right w:val="none" w:sz="0" w:space="0" w:color="auto"/>
      </w:divBdr>
    </w:div>
    <w:div w:id="720716521">
      <w:bodyDiv w:val="1"/>
      <w:marLeft w:val="0"/>
      <w:marRight w:val="0"/>
      <w:marTop w:val="0"/>
      <w:marBottom w:val="0"/>
      <w:divBdr>
        <w:top w:val="none" w:sz="0" w:space="0" w:color="auto"/>
        <w:left w:val="none" w:sz="0" w:space="0" w:color="auto"/>
        <w:bottom w:val="none" w:sz="0" w:space="0" w:color="auto"/>
        <w:right w:val="none" w:sz="0" w:space="0" w:color="auto"/>
      </w:divBdr>
    </w:div>
    <w:div w:id="1069766207">
      <w:bodyDiv w:val="1"/>
      <w:marLeft w:val="0"/>
      <w:marRight w:val="0"/>
      <w:marTop w:val="0"/>
      <w:marBottom w:val="0"/>
      <w:divBdr>
        <w:top w:val="none" w:sz="0" w:space="0" w:color="auto"/>
        <w:left w:val="none" w:sz="0" w:space="0" w:color="auto"/>
        <w:bottom w:val="none" w:sz="0" w:space="0" w:color="auto"/>
        <w:right w:val="none" w:sz="0" w:space="0" w:color="auto"/>
      </w:divBdr>
    </w:div>
    <w:div w:id="1231041014">
      <w:bodyDiv w:val="1"/>
      <w:marLeft w:val="0"/>
      <w:marRight w:val="0"/>
      <w:marTop w:val="0"/>
      <w:marBottom w:val="0"/>
      <w:divBdr>
        <w:top w:val="none" w:sz="0" w:space="0" w:color="auto"/>
        <w:left w:val="none" w:sz="0" w:space="0" w:color="auto"/>
        <w:bottom w:val="none" w:sz="0" w:space="0" w:color="auto"/>
        <w:right w:val="none" w:sz="0" w:space="0" w:color="auto"/>
      </w:divBdr>
    </w:div>
    <w:div w:id="147556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eneral_x0020_Notes xmlns="1ebe05a5-f381-48af-bc27-8e5e2442db3e" xsi:nil="true"/>
    <Business_x0020_Unit xmlns="8f418ccd-e58d-4230-bf28-9ba4dc663030">Office of the Director</Business_x0020_Unit>
    <Business_x0020_Unit_x0020_Notes xmlns="1ebe05a5-f381-48af-bc27-8e5e2442db3e" xsi:nil="true"/>
    <Deadline xmlns="1ebe05a5-f381-48af-bc27-8e5e2442db3e">2013-12-13T05:00:00+00:00</Deadline>
    <Document_x0020_Type xmlns="1ebe05a5-f381-48af-bc27-8e5e2442db3e">Agency-Wide Documents</Document_x0020_Type>
    <Send_x0020_Email_x0020_to_x0020_Reviewers xmlns="1ebe05a5-f381-48af-bc27-8e5e2442db3e">true</Send_x0020_Email_x0020_to_x0020_Reviewers>
    <Document_x0020_Owner xmlns="1ebe05a5-f381-48af-bc27-8e5e2442db3e">
      <UserInfo>
        <DisplayName/>
        <AccountId/>
        <AccountType/>
      </UserInfo>
    </Document_x0020_Owner>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6CCB361F388254D924CAF0F94E46D24" ma:contentTypeVersion="12" ma:contentTypeDescription="Create a new document." ma:contentTypeScope="" ma:versionID="0b3ad7a96c81d8352350b7cae212f8d7">
  <xsd:schema xmlns:xsd="http://www.w3.org/2001/XMLSchema" xmlns:xs="http://www.w3.org/2001/XMLSchema" xmlns:p="http://schemas.microsoft.com/office/2006/metadata/properties" xmlns:ns2="52222ef0-b167-44f5-92f7-438fda0857cd" xmlns:ns3="1ebe05a5-f381-48af-bc27-8e5e2442db3e" xmlns:ns4="8f418ccd-e58d-4230-bf28-9ba4dc663030" targetNamespace="http://schemas.microsoft.com/office/2006/metadata/properties" ma:root="true" ma:fieldsID="3a0c8babf6fa2854db3acf67743e4e70" ns2:_="" ns3:_="" ns4:_="">
    <xsd:import namespace="52222ef0-b167-44f5-92f7-438fda0857cd"/>
    <xsd:import namespace="1ebe05a5-f381-48af-bc27-8e5e2442db3e"/>
    <xsd:import namespace="8f418ccd-e58d-4230-bf28-9ba4dc663030"/>
    <xsd:element name="properties">
      <xsd:complexType>
        <xsd:sequence>
          <xsd:element name="documentManagement">
            <xsd:complexType>
              <xsd:all>
                <xsd:element ref="ns2:_dlc_DocId" minOccurs="0"/>
                <xsd:element ref="ns2:_dlc_DocIdUrl" minOccurs="0"/>
                <xsd:element ref="ns2:_dlc_DocIdPersistId" minOccurs="0"/>
                <xsd:element ref="ns3:Document_x0020_Owner"/>
                <xsd:element ref="ns3:Deadline"/>
                <xsd:element ref="ns3:Document_x0020_Type"/>
                <xsd:element ref="ns4:Business_x0020_Unit"/>
                <xsd:element ref="ns3:Send_x0020_Email_x0020_to_x0020_Reviewers" minOccurs="0"/>
                <xsd:element ref="ns3:General_x0020_Notes" minOccurs="0"/>
                <xsd:element ref="ns3:Business_x0020_Unit_x0020_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be05a5-f381-48af-bc27-8e5e2442db3e" elementFormDefault="qualified">
    <xsd:import namespace="http://schemas.microsoft.com/office/2006/documentManagement/types"/>
    <xsd:import namespace="http://schemas.microsoft.com/office/infopath/2007/PartnerControls"/>
    <xsd:element name="Document_x0020_Owner" ma:index="11" ma:displayName="Document Owner"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adline" ma:index="12" ma:displayName="Deadline" ma:description="" ma:format="DateOnly" ma:internalName="Deadline">
      <xsd:simpleType>
        <xsd:restriction base="dms:DateTime"/>
      </xsd:simpleType>
    </xsd:element>
    <xsd:element name="Document_x0020_Type" ma:index="13" ma:displayName="Document Type" ma:default="Agency-Wide Documents" ma:description="" ma:format="Dropdown" ma:internalName="Document_x0020_Type">
      <xsd:simpleType>
        <xsd:restriction base="dms:Choice">
          <xsd:enumeration value="Agency-Wide Documents"/>
          <xsd:enumeration value="All Business Units - Contracts"/>
          <xsd:enumeration value="CCME Documents - Deputy Director Clearance"/>
          <xsd:enumeration value="CCME Documents - Director Clearance"/>
          <xsd:enumeration value="CCME Documents - External"/>
          <xsd:enumeration value="FS&amp;R - BEA and NMTC"/>
          <xsd:enumeration value="FS&amp;R - BGP"/>
          <xsd:enumeration value="FS&amp;R - CDFI and NACA"/>
          <xsd:enumeration value="FS&amp;R - CMF"/>
          <xsd:enumeration value="FS&amp;R Documents"/>
          <xsd:enumeration value="LEA - BEA/NMTC Documents"/>
          <xsd:enumeration value="LEA - BGP Documents"/>
          <xsd:enumeration value="LEA - CCME"/>
          <xsd:enumeration value="LEA - CDFI/NACA Documents"/>
          <xsd:enumeration value="LEA - CMF Documents"/>
          <xsd:enumeration value="LEA - Director Documents"/>
          <xsd:enumeration value="LEA - FS&amp;R"/>
          <xsd:enumeration value="LEA - Public Affairs Documents"/>
          <xsd:enumeration value="Legal - BEA and NMTC"/>
          <xsd:enumeration value="Legal - BGP"/>
          <xsd:enumeration value="Legal - CDFI and NACA"/>
          <xsd:enumeration value="Legal - CMF"/>
          <xsd:enumeration value="Programs - Deputy Director Clearance"/>
          <xsd:enumeration value="Programs - Director Clearance"/>
          <xsd:enumeration value="Programs - External Clearance"/>
        </xsd:restriction>
      </xsd:simpleType>
    </xsd:element>
    <xsd:element name="Send_x0020_Email_x0020_to_x0020_Reviewers" ma:index="16" nillable="true" ma:displayName="Send Email to Reviewers" ma:default="1" ma:description="" ma:internalName="Send_x0020_Email_x0020_to_x0020_Reviewers">
      <xsd:simpleType>
        <xsd:restriction base="dms:Boolean"/>
      </xsd:simpleType>
    </xsd:element>
    <xsd:element name="General_x0020_Notes" ma:index="17" nillable="true" ma:displayName="General Notes" ma:internalName="General_x0020_Notes">
      <xsd:simpleType>
        <xsd:restriction base="dms:Text"/>
      </xsd:simpleType>
    </xsd:element>
    <xsd:element name="Business_x0020_Unit_x0020_Notes" ma:index="18" nillable="true" ma:displayName="Business Unit Notes" ma:internalName="Business_x0020_Unit_x0020_Not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418ccd-e58d-4230-bf28-9ba4dc663030" elementFormDefault="qualified">
    <xsd:import namespace="http://schemas.microsoft.com/office/2006/documentManagement/types"/>
    <xsd:import namespace="http://schemas.microsoft.com/office/infopath/2007/PartnerControls"/>
    <xsd:element name="Business_x0020_Unit" ma:index="14" ma:displayName="Business Unit" ma:default="Office of the Director" ma:description="" ma:format="Dropdown" ma:internalName="Business_x0020_Unit">
      <xsd:simpleType>
        <xsd:restriction base="dms:Choice">
          <xsd:enumeration value="Office of the Director"/>
          <xsd:enumeration value="Certification, Compliance, Monitoring and Evaluation"/>
          <xsd:enumeration value="Financial Strategies and Research"/>
          <xsd:enumeration value="Information Technology"/>
          <xsd:enumeration value="Legal Councel"/>
          <xsd:enumeration value="Legislative and External Affairs"/>
          <xsd:enumeration value="Operations"/>
          <xsd:enumeration value="Program: BEA"/>
          <xsd:enumeration value="Program: BG"/>
          <xsd:enumeration value="Program: CDFI"/>
          <xsd:enumeration value="Program: CMF"/>
          <xsd:enumeration value="Program: NACA"/>
          <xsd:enumeration value="Program: NMTC"/>
          <xsd:enumeration value="Training and Outrea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F787C-9E07-45D5-82F6-E2FB5EA2CC89}">
  <ds:schemaRefs>
    <ds:schemaRef ds:uri="http://schemas.microsoft.com/sharepoint/v3/contenttype/forms"/>
  </ds:schemaRefs>
</ds:datastoreItem>
</file>

<file path=customXml/itemProps2.xml><?xml version="1.0" encoding="utf-8"?>
<ds:datastoreItem xmlns:ds="http://schemas.openxmlformats.org/officeDocument/2006/customXml" ds:itemID="{2F3C68D5-4599-40C2-B9B3-0128B777C82F}">
  <ds:schemaRefs>
    <ds:schemaRef ds:uri="52222ef0-b167-44f5-92f7-438fda0857cd"/>
    <ds:schemaRef ds:uri="http://schemas.microsoft.com/office/2006/documentManagement/types"/>
    <ds:schemaRef ds:uri="http://purl.org/dc/elements/1.1/"/>
    <ds:schemaRef ds:uri="http://purl.org/dc/terms/"/>
    <ds:schemaRef ds:uri="http://schemas.microsoft.com/office/2006/metadata/properties"/>
    <ds:schemaRef ds:uri="1ebe05a5-f381-48af-bc27-8e5e2442db3e"/>
    <ds:schemaRef ds:uri="http://www.w3.org/XML/1998/namespace"/>
    <ds:schemaRef ds:uri="http://purl.org/dc/dcmitype/"/>
    <ds:schemaRef ds:uri="http://schemas.microsoft.com/office/infopath/2007/PartnerControls"/>
    <ds:schemaRef ds:uri="http://schemas.openxmlformats.org/package/2006/metadata/core-properties"/>
    <ds:schemaRef ds:uri="8f418ccd-e58d-4230-bf28-9ba4dc663030"/>
  </ds:schemaRefs>
</ds:datastoreItem>
</file>

<file path=customXml/itemProps3.xml><?xml version="1.0" encoding="utf-8"?>
<ds:datastoreItem xmlns:ds="http://schemas.openxmlformats.org/officeDocument/2006/customXml" ds:itemID="{87E9AEE0-BB07-4DE6-A354-CB4EFA824D9C}">
  <ds:schemaRefs>
    <ds:schemaRef ds:uri="http://schemas.microsoft.com/sharepoint/events"/>
  </ds:schemaRefs>
</ds:datastoreItem>
</file>

<file path=customXml/itemProps4.xml><?xml version="1.0" encoding="utf-8"?>
<ds:datastoreItem xmlns:ds="http://schemas.openxmlformats.org/officeDocument/2006/customXml" ds:itemID="{3A7BC5D8-A974-42AD-845A-D9EB98915E68}">
  <ds:schemaRefs>
    <ds:schemaRef ds:uri="http://schemas.microsoft.com/office/2006/metadata/longProperties"/>
  </ds:schemaRefs>
</ds:datastoreItem>
</file>

<file path=customXml/itemProps5.xml><?xml version="1.0" encoding="utf-8"?>
<ds:datastoreItem xmlns:ds="http://schemas.openxmlformats.org/officeDocument/2006/customXml" ds:itemID="{C50792C6-F1B6-40A7-A47C-A558A0E48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1ebe05a5-f381-48af-bc27-8e5e2442db3e"/>
    <ds:schemaRef ds:uri="8f418ccd-e58d-4230-bf28-9ba4dc663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F55D14-20D8-452E-B624-86A7838F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7254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CDFI Program Awardee and NMTC Allocatee Annual Report Supporting Statement</vt:lpstr>
    </vt:vector>
  </TitlesOfParts>
  <Company>treasury</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CDFI Program Awardee and NMTC Allocatee Annual Report Supporting Statement</dc:title>
  <dc:subject/>
  <dc:creator>user</dc:creator>
  <cp:keywords/>
  <cp:lastModifiedBy>Hart, Chantal</cp:lastModifiedBy>
  <cp:revision>2</cp:revision>
  <cp:lastPrinted>2017-09-06T20:46:00Z</cp:lastPrinted>
  <dcterms:created xsi:type="dcterms:W3CDTF">2020-04-29T19:14:00Z</dcterms:created>
  <dcterms:modified xsi:type="dcterms:W3CDTF">2020-04-29T19:14:00Z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DOCDFI-176-42</vt:lpwstr>
  </property>
  <property fmtid="{D5CDD505-2E9C-101B-9397-08002B2CF9AE}" pid="3" name="_dlc_DocIdItemGuid">
    <vt:lpwstr>286a1b74-22a9-4d17-8465-5d8b01050a0d</vt:lpwstr>
  </property>
  <property fmtid="{D5CDD505-2E9C-101B-9397-08002B2CF9AE}" pid="4" name="_dlc_DocIdUrl">
    <vt:lpwstr>http://thegreen.treas.gov/do/cdfi/clearance/_layouts/DocIdRedir.aspx?ID=DOCDFI-176-42, DOCDFI-176-42</vt:lpwstr>
  </property>
  <property fmtid="{D5CDD505-2E9C-101B-9397-08002B2CF9AE}" pid="5" name="display_urn:schemas-microsoft-com:office:office#Document_x0020_Owner">
    <vt:lpwstr>Bischak, Gregory</vt:lpwstr>
  </property>
  <property fmtid="{D5CDD505-2E9C-101B-9397-08002B2CF9AE}" pid="6" name="WorkflowChangePath">
    <vt:lpwstr>97e316e6-833f-44b3-8e28-761e79b09acc,4;97e316e6-833f-44b3-8e28-761e79b09acc,6;97e316e6-833f-44b3-8e28-761e79b09acc,8;</vt:lpwstr>
  </property>
</Properties>
</file>