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B1" w:rsidRDefault="007655B1">
      <w:pPr>
        <w:tabs>
          <w:tab w:val="center" w:pos="4824"/>
        </w:tabs>
        <w:rPr>
          <w:rFonts w:ascii="Arial" w:hAnsi="Arial"/>
          <w:b/>
          <w:sz w:val="28"/>
        </w:rPr>
      </w:pPr>
      <w:bookmarkStart w:name="_GoBack" w:id="0"/>
      <w:bookmarkEnd w:id="0"/>
      <w:r>
        <w:rPr>
          <w:rFonts w:ascii="Arial" w:hAnsi="Arial"/>
          <w:b/>
          <w:sz w:val="28"/>
        </w:rPr>
        <w:tab/>
        <w:t>Supporting Statement</w:t>
      </w:r>
    </w:p>
    <w:p w:rsidR="007655B1" w:rsidRDefault="007655B1">
      <w:pPr>
        <w:tabs>
          <w:tab w:val="center" w:pos="4824"/>
        </w:tabs>
        <w:rPr>
          <w:rFonts w:ascii="Arial" w:hAnsi="Arial"/>
          <w:b/>
          <w:sz w:val="28"/>
        </w:rPr>
      </w:pPr>
      <w:r>
        <w:rPr>
          <w:rFonts w:ascii="Arial" w:hAnsi="Arial"/>
          <w:b/>
          <w:sz w:val="28"/>
        </w:rPr>
        <w:tab/>
        <w:t>General Declaration</w:t>
      </w:r>
    </w:p>
    <w:p w:rsidR="007655B1" w:rsidRDefault="007655B1">
      <w:pPr>
        <w:tabs>
          <w:tab w:val="center" w:pos="4824"/>
        </w:tabs>
        <w:rPr>
          <w:rFonts w:ascii="Arial" w:hAnsi="Arial"/>
          <w:b/>
          <w:sz w:val="28"/>
        </w:rPr>
      </w:pPr>
      <w:r>
        <w:rPr>
          <w:rFonts w:ascii="Arial" w:hAnsi="Arial"/>
          <w:b/>
          <w:sz w:val="28"/>
        </w:rPr>
        <w:tab/>
        <w:t>1651-0002</w:t>
      </w:r>
    </w:p>
    <w:p w:rsidR="007655B1" w:rsidRDefault="007655B1">
      <w:pPr>
        <w:rPr>
          <w:rFonts w:ascii="Arial" w:hAnsi="Arial"/>
        </w:rPr>
      </w:pPr>
    </w:p>
    <w:p w:rsidRPr="006F0AEE" w:rsidR="002B54B0" w:rsidP="002B54B0" w:rsidRDefault="002B54B0">
      <w:pPr>
        <w:rPr>
          <w:rFonts w:ascii="Arial" w:hAnsi="Arial" w:cs="Arial"/>
          <w:b/>
        </w:rPr>
      </w:pPr>
      <w:r>
        <w:rPr>
          <w:rFonts w:ascii="Arial" w:hAnsi="Arial" w:cs="Arial"/>
          <w:b/>
        </w:rPr>
        <w:t xml:space="preserve">A.  </w:t>
      </w:r>
      <w:r w:rsidRPr="006F0AEE">
        <w:rPr>
          <w:rFonts w:ascii="Arial" w:hAnsi="Arial" w:cs="Arial"/>
          <w:b/>
        </w:rPr>
        <w:t>Justification:</w:t>
      </w:r>
    </w:p>
    <w:p w:rsidRPr="006F0AEE" w:rsidR="002B54B0" w:rsidP="002B54B0" w:rsidRDefault="002B54B0"/>
    <w:p w:rsidR="002B54B0" w:rsidP="002B54B0" w:rsidRDefault="002B54B0">
      <w:pPr>
        <w:numPr>
          <w:ilvl w:val="0"/>
          <w:numId w:val="2"/>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w:t>
      </w:r>
      <w:r w:rsidR="00AC0AA4">
        <w:rPr>
          <w:rFonts w:ascii="Arial" w:hAnsi="Arial" w:cs="Arial"/>
          <w:b/>
          <w:bCs/>
        </w:rPr>
        <w:t>t</w:t>
      </w:r>
      <w:r>
        <w:rPr>
          <w:rFonts w:ascii="Arial" w:hAnsi="Arial" w:cs="Arial"/>
          <w:b/>
          <w:bCs/>
        </w:rPr>
        <w:t>e and regulation mandating or authorizi</w:t>
      </w:r>
      <w:r w:rsidR="00312C3D">
        <w:rPr>
          <w:rFonts w:ascii="Arial" w:hAnsi="Arial" w:cs="Arial"/>
          <w:b/>
          <w:bCs/>
        </w:rPr>
        <w:t>ng the collection of informatio</w:t>
      </w:r>
      <w:r w:rsidR="00AC0AA4">
        <w:rPr>
          <w:rFonts w:ascii="Arial" w:hAnsi="Arial" w:cs="Arial"/>
          <w:b/>
          <w:bCs/>
        </w:rPr>
        <w:t>n</w:t>
      </w:r>
      <w:r w:rsidR="00471C01">
        <w:rPr>
          <w:rFonts w:ascii="Arial" w:hAnsi="Arial" w:cs="Arial"/>
          <w:b/>
          <w:bCs/>
        </w:rPr>
        <w:t>.</w:t>
      </w:r>
    </w:p>
    <w:p w:rsidR="00DF25B3" w:rsidP="00DF25B3" w:rsidRDefault="00DF25B3">
      <w:pPr>
        <w:pStyle w:val="Default"/>
      </w:pPr>
      <w:r>
        <w:rPr>
          <w:rFonts w:ascii="Arial" w:hAnsi="Arial"/>
        </w:rPr>
        <w:tab/>
      </w:r>
    </w:p>
    <w:p w:rsidR="00BF03AD" w:rsidP="00312C3D" w:rsidRDefault="00DF25B3">
      <w:pPr>
        <w:pStyle w:val="HTMLPreformatted"/>
        <w:ind w:left="720"/>
        <w:rPr>
          <w:rFonts w:ascii="Arial" w:hAnsi="Arial"/>
        </w:rPr>
      </w:pPr>
      <w:r w:rsidRPr="00E351B1">
        <w:rPr>
          <w:rFonts w:ascii="Arial" w:hAnsi="Arial" w:cs="Arial"/>
        </w:rPr>
        <w:t xml:space="preserve">CBP Form 7507, </w:t>
      </w:r>
      <w:r w:rsidRPr="00BF03AD">
        <w:rPr>
          <w:rFonts w:ascii="Arial" w:hAnsi="Arial" w:cs="Arial"/>
          <w:i/>
        </w:rPr>
        <w:t>General Declaratio</w:t>
      </w:r>
      <w:r w:rsidR="00A25F09">
        <w:rPr>
          <w:rFonts w:ascii="Arial" w:hAnsi="Arial" w:cs="Arial"/>
          <w:i/>
        </w:rPr>
        <w:t>n</w:t>
      </w:r>
      <w:r w:rsidRPr="00E351B1">
        <w:rPr>
          <w:rFonts w:ascii="Arial" w:hAnsi="Arial" w:cs="Arial"/>
        </w:rPr>
        <w:t xml:space="preserve">, must be filed for all aircraft entering under the provisions of 19 CFR 122.41.  </w:t>
      </w:r>
      <w:r w:rsidR="00E351B1">
        <w:rPr>
          <w:rFonts w:ascii="Arial" w:hAnsi="Arial" w:cs="Arial"/>
        </w:rPr>
        <w:t xml:space="preserve">This form </w:t>
      </w:r>
      <w:r w:rsidR="007655B1">
        <w:rPr>
          <w:rFonts w:ascii="Arial" w:hAnsi="Arial"/>
        </w:rPr>
        <w:t xml:space="preserve">is used to document clearance by the arriving aircraft at the required inspectional facilities and inspections by appropriate regulatory agency staffs.  </w:t>
      </w:r>
    </w:p>
    <w:p w:rsidR="00BF03AD" w:rsidP="00E351B1" w:rsidRDefault="00BF03AD">
      <w:pPr>
        <w:pStyle w:val="HTMLPreformatted"/>
        <w:ind w:left="720" w:firstLine="60"/>
        <w:rPr>
          <w:rFonts w:ascii="Arial" w:hAnsi="Arial"/>
        </w:rPr>
      </w:pPr>
    </w:p>
    <w:p w:rsidR="003602C3" w:rsidP="00BF03AD" w:rsidRDefault="003602C3">
      <w:pPr>
        <w:pStyle w:val="HTMLPreformatted"/>
        <w:ind w:left="720"/>
        <w:rPr>
          <w:rFonts w:ascii="Arial" w:hAnsi="Arial"/>
        </w:rPr>
      </w:pPr>
      <w:r>
        <w:rPr>
          <w:rFonts w:ascii="Arial" w:hAnsi="Arial"/>
        </w:rPr>
        <w:t>C</w:t>
      </w:r>
      <w:r w:rsidR="00E351B1">
        <w:rPr>
          <w:rFonts w:ascii="Arial" w:hAnsi="Arial"/>
        </w:rPr>
        <w:t>BP Form 75</w:t>
      </w:r>
      <w:r>
        <w:rPr>
          <w:rFonts w:ascii="Arial" w:hAnsi="Arial"/>
        </w:rPr>
        <w:t>07 collects information about the flight routing, the numbers of passengers embarking and disembarking, a declaration of health for the persons on board, details about disin</w:t>
      </w:r>
      <w:r w:rsidR="00FF72A6">
        <w:rPr>
          <w:rFonts w:ascii="Arial" w:hAnsi="Arial"/>
        </w:rPr>
        <w:t>fec</w:t>
      </w:r>
      <w:r>
        <w:rPr>
          <w:rFonts w:ascii="Arial" w:hAnsi="Arial"/>
        </w:rPr>
        <w:t xml:space="preserve">ting and sanitizing treatments during the flight, and a declaration attesting to the accuracy and completeness and truthfulness of all other documents that make up the manifest. </w:t>
      </w:r>
    </w:p>
    <w:p w:rsidR="003602C3" w:rsidP="00E351B1" w:rsidRDefault="003602C3">
      <w:pPr>
        <w:pStyle w:val="HTMLPreformatted"/>
        <w:ind w:left="720" w:firstLine="60"/>
        <w:rPr>
          <w:rFonts w:ascii="Arial" w:hAnsi="Arial"/>
        </w:rPr>
      </w:pPr>
    </w:p>
    <w:p w:rsidR="007655B1" w:rsidP="00BF03AD" w:rsidRDefault="0019222B">
      <w:pPr>
        <w:pStyle w:val="HTMLPreformatted"/>
        <w:ind w:left="720"/>
        <w:rPr>
          <w:rFonts w:ascii="Arial" w:hAnsi="Arial"/>
        </w:rPr>
      </w:pPr>
      <w:r w:rsidRPr="0019222B">
        <w:rPr>
          <w:rFonts w:ascii="Arial" w:hAnsi="Arial"/>
        </w:rPr>
        <w:t xml:space="preserve">CBP Form 7507 is authorized by 42 U.S.C 268, 19 U.S.C. 1431, 1433, and 1644a; and provided for by 19 CFR 122.43, 122.52, 122.54, 122.73, 122.144, 42 CFR 71.21 and 71.32. </w:t>
      </w:r>
      <w:r>
        <w:rPr>
          <w:rFonts w:ascii="Arial" w:hAnsi="Arial"/>
        </w:rPr>
        <w:t xml:space="preserve"> </w:t>
      </w:r>
      <w:r w:rsidR="003602C3">
        <w:rPr>
          <w:rFonts w:ascii="Arial" w:hAnsi="Arial"/>
        </w:rPr>
        <w:t xml:space="preserve">This form is accessible at </w:t>
      </w:r>
      <w:hyperlink w:history="1" r:id="rId11">
        <w:r w:rsidRPr="00821244" w:rsidR="004A009B">
          <w:rPr>
            <w:rStyle w:val="Hyperlink"/>
            <w:rFonts w:ascii="Arial" w:hAnsi="Arial"/>
          </w:rPr>
          <w:t>https://www.cbp.gov/newsroom/publications/forms</w:t>
        </w:r>
      </w:hyperlink>
      <w:r w:rsidR="009E0EE8">
        <w:rPr>
          <w:rFonts w:ascii="Arial" w:hAnsi="Arial"/>
        </w:rPr>
        <w:t>.</w:t>
      </w:r>
      <w:r w:rsidR="004A009B">
        <w:rPr>
          <w:rFonts w:ascii="Arial" w:hAnsi="Arial"/>
        </w:rPr>
        <w:t xml:space="preserve"> </w:t>
      </w:r>
    </w:p>
    <w:p w:rsidR="003A6872" w:rsidP="00835F03" w:rsidRDefault="003A6872">
      <w:pPr>
        <w:pStyle w:val="Default"/>
        <w:rPr>
          <w:rFonts w:ascii="Arial" w:hAnsi="Arial" w:cs="Arial"/>
        </w:rPr>
      </w:pPr>
      <w:r>
        <w:rPr>
          <w:rFonts w:ascii="Arial" w:hAnsi="Arial" w:cs="Arial"/>
        </w:rPr>
        <w:tab/>
      </w:r>
      <w:r>
        <w:rPr>
          <w:rFonts w:ascii="Arial" w:hAnsi="Arial" w:cs="Arial"/>
        </w:rPr>
        <w:tab/>
      </w:r>
    </w:p>
    <w:p w:rsidR="006D73CE" w:rsidP="006D73CE" w:rsidRDefault="006D73CE">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2B54B0" w:rsidRDefault="002B54B0">
      <w:pPr>
        <w:jc w:val="both"/>
        <w:rPr>
          <w:rFonts w:ascii="Arial" w:hAnsi="Arial"/>
        </w:rPr>
      </w:pPr>
    </w:p>
    <w:p w:rsidR="007655B1" w:rsidRDefault="007655B1">
      <w:pPr>
        <w:tabs>
          <w:tab w:val="left" w:pos="-1440"/>
        </w:tabs>
        <w:ind w:left="720" w:hanging="720"/>
        <w:jc w:val="both"/>
        <w:rPr>
          <w:rFonts w:ascii="Arial" w:hAnsi="Arial"/>
        </w:rPr>
      </w:pPr>
      <w:r>
        <w:rPr>
          <w:rFonts w:ascii="Arial" w:hAnsi="Arial"/>
        </w:rPr>
        <w:tab/>
        <w:t>CBP Form 7507 is used by</w:t>
      </w:r>
      <w:r w:rsidR="00470B2D">
        <w:rPr>
          <w:rFonts w:ascii="Arial" w:hAnsi="Arial"/>
        </w:rPr>
        <w:t xml:space="preserve"> CBP </w:t>
      </w:r>
      <w:r>
        <w:rPr>
          <w:rFonts w:ascii="Arial" w:hAnsi="Arial"/>
        </w:rPr>
        <w:t xml:space="preserve">as a declaration attesting to the accuracy, completeness and truthfulness of all other documents that make up the manifest.  </w:t>
      </w:r>
    </w:p>
    <w:p w:rsidR="007655B1" w:rsidRDefault="007655B1">
      <w:pPr>
        <w:jc w:val="both"/>
        <w:rPr>
          <w:rFonts w:ascii="Arial" w:hAnsi="Arial"/>
        </w:rPr>
      </w:pPr>
    </w:p>
    <w:p w:rsidR="007A3A68" w:rsidP="004B650C" w:rsidRDefault="007A3A68">
      <w:pPr>
        <w:numPr>
          <w:ilvl w:val="0"/>
          <w:numId w:val="5"/>
        </w:numPr>
        <w:tabs>
          <w:tab w:val="clear" w:pos="1350"/>
          <w:tab w:val="num" w:pos="720"/>
        </w:tabs>
        <w:ind w:left="720" w:hanging="630"/>
        <w:jc w:val="both"/>
      </w:pP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616FDE" w:rsidP="00787624" w:rsidRDefault="00787624">
      <w:pPr>
        <w:tabs>
          <w:tab w:val="left" w:pos="2340"/>
        </w:tabs>
        <w:ind w:left="720"/>
        <w:jc w:val="both"/>
      </w:pPr>
      <w:r>
        <w:tab/>
      </w:r>
    </w:p>
    <w:p w:rsidR="00CC413E" w:rsidP="003A6D78" w:rsidRDefault="00C93763">
      <w:pPr>
        <w:tabs>
          <w:tab w:val="left" w:pos="-1440"/>
        </w:tabs>
        <w:ind w:left="720"/>
        <w:rPr>
          <w:rFonts w:ascii="Arial" w:hAnsi="Arial"/>
        </w:rPr>
      </w:pPr>
      <w:r w:rsidRPr="002C29E2">
        <w:rPr>
          <w:rFonts w:ascii="Arial" w:hAnsi="Arial"/>
        </w:rPr>
        <w:t xml:space="preserve">A working group is currently </w:t>
      </w:r>
      <w:r w:rsidRPr="002C29E2" w:rsidR="004B7BD6">
        <w:rPr>
          <w:rFonts w:ascii="Arial" w:hAnsi="Arial"/>
        </w:rPr>
        <w:t>considering</w:t>
      </w:r>
      <w:r w:rsidRPr="002C29E2">
        <w:rPr>
          <w:rFonts w:ascii="Arial" w:hAnsi="Arial"/>
        </w:rPr>
        <w:t xml:space="preserve"> various options to potentially elimina</w:t>
      </w:r>
      <w:r w:rsidRPr="002C29E2" w:rsidR="004B7BD6">
        <w:rPr>
          <w:rFonts w:ascii="Arial" w:hAnsi="Arial"/>
        </w:rPr>
        <w:t>te this information collection</w:t>
      </w:r>
      <w:r w:rsidR="00F9159D">
        <w:rPr>
          <w:rFonts w:ascii="Arial" w:hAnsi="Arial"/>
        </w:rPr>
        <w:t xml:space="preserve"> or to automate it</w:t>
      </w:r>
      <w:r w:rsidRPr="002C29E2" w:rsidR="004B7BD6">
        <w:rPr>
          <w:rFonts w:ascii="Arial" w:hAnsi="Arial"/>
        </w:rPr>
        <w:t>.</w:t>
      </w:r>
      <w:r w:rsidR="00747EF6">
        <w:rPr>
          <w:rFonts w:ascii="Arial" w:hAnsi="Arial"/>
        </w:rPr>
        <w:t xml:space="preserve"> </w:t>
      </w:r>
      <w:r w:rsidRPr="002C29E2" w:rsidR="004B7BD6">
        <w:rPr>
          <w:rFonts w:ascii="Arial" w:hAnsi="Arial"/>
        </w:rPr>
        <w:t xml:space="preserve"> C</w:t>
      </w:r>
      <w:r w:rsidRPr="002C29E2">
        <w:rPr>
          <w:rFonts w:ascii="Arial" w:hAnsi="Arial"/>
        </w:rPr>
        <w:t>urrently</w:t>
      </w:r>
      <w:r w:rsidRPr="002C29E2" w:rsidR="00EB3873">
        <w:rPr>
          <w:rFonts w:ascii="Arial" w:hAnsi="Arial"/>
        </w:rPr>
        <w:t xml:space="preserve"> this form is a fillable form at: </w:t>
      </w:r>
      <w:hyperlink w:history="1" r:id="rId12">
        <w:r w:rsidRPr="002C29E2" w:rsidR="00D044FF">
          <w:rPr>
            <w:rStyle w:val="Hyperlink"/>
            <w:rFonts w:ascii="Arial" w:hAnsi="Arial"/>
          </w:rPr>
          <w:t>https://www.cbp.gov/newsroom/publications/forms</w:t>
        </w:r>
      </w:hyperlink>
      <w:r w:rsidR="00D044FF">
        <w:rPr>
          <w:rFonts w:ascii="Arial" w:hAnsi="Arial"/>
        </w:rPr>
        <w:t xml:space="preserve"> </w:t>
      </w:r>
    </w:p>
    <w:p w:rsidR="003A6D78" w:rsidP="003A6D78" w:rsidRDefault="003A6D78">
      <w:pPr>
        <w:tabs>
          <w:tab w:val="left" w:pos="-1440"/>
        </w:tabs>
        <w:ind w:left="720"/>
        <w:rPr>
          <w:rFonts w:ascii="Arial" w:hAnsi="Arial"/>
        </w:rPr>
      </w:pPr>
    </w:p>
    <w:p w:rsidR="00282F99" w:rsidP="00282F99" w:rsidRDefault="00282F99">
      <w:pPr>
        <w:ind w:left="720" w:hanging="540"/>
        <w:jc w:val="both"/>
        <w:rPr>
          <w:rFonts w:ascii="Arial" w:hAnsi="Arial" w:cs="Arial"/>
          <w:b/>
          <w:bCs/>
        </w:rPr>
      </w:pPr>
      <w:r>
        <w:rPr>
          <w:rFonts w:ascii="Arial" w:hAnsi="Arial"/>
          <w:b/>
          <w:bCs/>
        </w:rPr>
        <w:lastRenderedPageBreak/>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Pr="00787624" w:rsidR="007A3A68" w:rsidRDefault="00787624">
      <w:pPr>
        <w:tabs>
          <w:tab w:val="left" w:pos="-1440"/>
        </w:tabs>
        <w:ind w:left="720" w:hanging="720"/>
        <w:jc w:val="both"/>
        <w:rPr>
          <w:rFonts w:ascii="Arial" w:hAnsi="Arial"/>
          <w:color w:val="FF0000"/>
        </w:rPr>
      </w:pPr>
      <w:r>
        <w:rPr>
          <w:rFonts w:ascii="Arial" w:hAnsi="Arial"/>
        </w:rPr>
        <w:tab/>
      </w:r>
      <w:r>
        <w:rPr>
          <w:rFonts w:ascii="Arial" w:hAnsi="Arial"/>
          <w:color w:val="FF0000"/>
        </w:rPr>
        <w:t xml:space="preserve"> </w:t>
      </w:r>
    </w:p>
    <w:p w:rsidRPr="00A13522" w:rsidR="00A13522" w:rsidP="00A13522" w:rsidRDefault="007655B1">
      <w:pPr>
        <w:tabs>
          <w:tab w:val="left" w:pos="-1440"/>
        </w:tabs>
        <w:ind w:left="720" w:hanging="720"/>
        <w:jc w:val="both"/>
        <w:rPr>
          <w:rFonts w:ascii="Arial" w:hAnsi="Arial"/>
        </w:rPr>
      </w:pPr>
      <w:r>
        <w:rPr>
          <w:rFonts w:ascii="Arial" w:hAnsi="Arial"/>
        </w:rPr>
        <w:tab/>
      </w:r>
      <w:r w:rsidRPr="002C29E2" w:rsidR="00A13522">
        <w:rPr>
          <w:rFonts w:ascii="Arial" w:hAnsi="Arial"/>
        </w:rPr>
        <w:t>A working gro</w:t>
      </w:r>
      <w:r w:rsidRPr="002C29E2" w:rsidR="004B7BD6">
        <w:rPr>
          <w:rFonts w:ascii="Arial" w:hAnsi="Arial"/>
        </w:rPr>
        <w:t>up is currently considering various options to potentially eliminate this information collection. Programing issues with the electronic version and other agencies needs need to be addressed before elimination is possible.</w:t>
      </w:r>
    </w:p>
    <w:p w:rsidR="007655B1" w:rsidRDefault="007655B1">
      <w:pPr>
        <w:jc w:val="both"/>
        <w:rPr>
          <w:rFonts w:ascii="Arial" w:hAnsi="Arial"/>
        </w:rPr>
      </w:pPr>
    </w:p>
    <w:p w:rsidR="00E1721E" w:rsidP="00E1721E" w:rsidRDefault="00E1721E">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282F99" w:rsidRDefault="00282F99">
      <w:pPr>
        <w:tabs>
          <w:tab w:val="left" w:pos="-1440"/>
        </w:tabs>
        <w:ind w:left="720" w:hanging="720"/>
        <w:jc w:val="both"/>
        <w:rPr>
          <w:rFonts w:ascii="Arial" w:hAnsi="Arial"/>
        </w:rPr>
      </w:pPr>
    </w:p>
    <w:p w:rsidR="007655B1" w:rsidRDefault="007655B1">
      <w:pPr>
        <w:tabs>
          <w:tab w:val="left" w:pos="-1440"/>
        </w:tabs>
        <w:ind w:left="720" w:hanging="720"/>
        <w:jc w:val="both"/>
        <w:rPr>
          <w:rFonts w:ascii="Arial" w:hAnsi="Arial"/>
        </w:rPr>
      </w:pPr>
      <w:r>
        <w:rPr>
          <w:rFonts w:ascii="Arial" w:hAnsi="Arial"/>
        </w:rPr>
        <w:tab/>
        <w:t>This information collection does not involve small businesses.</w:t>
      </w:r>
    </w:p>
    <w:p w:rsidR="007655B1" w:rsidRDefault="007655B1">
      <w:pPr>
        <w:jc w:val="both"/>
        <w:rPr>
          <w:rFonts w:ascii="Arial" w:hAnsi="Arial"/>
        </w:rPr>
      </w:pPr>
    </w:p>
    <w:p w:rsidR="002A2656" w:rsidP="004B650C" w:rsidRDefault="002A2656">
      <w:pPr>
        <w:ind w:left="90"/>
        <w:jc w:val="both"/>
        <w:rPr>
          <w:rFonts w:ascii="Arial" w:hAnsi="Arial"/>
        </w:rPr>
      </w:pPr>
      <w:r>
        <w:rPr>
          <w:rFonts w:ascii="Arial" w:hAnsi="Arial" w:cs="Arial"/>
          <w:b/>
          <w:bCs/>
        </w:rPr>
        <w:t xml:space="preserve">6.  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rsidR="00E1721E" w:rsidRDefault="00E1721E">
      <w:pPr>
        <w:tabs>
          <w:tab w:val="left" w:pos="-1440"/>
        </w:tabs>
        <w:ind w:left="720" w:hanging="720"/>
        <w:jc w:val="both"/>
        <w:rPr>
          <w:rFonts w:ascii="Arial" w:hAnsi="Arial"/>
        </w:rPr>
      </w:pPr>
    </w:p>
    <w:p w:rsidR="007655B1" w:rsidRDefault="002A2656">
      <w:pPr>
        <w:tabs>
          <w:tab w:val="left" w:pos="-1440"/>
        </w:tabs>
        <w:ind w:left="720" w:hanging="720"/>
        <w:jc w:val="both"/>
        <w:rPr>
          <w:rFonts w:ascii="Arial" w:hAnsi="Arial"/>
        </w:rPr>
      </w:pPr>
      <w:r>
        <w:rPr>
          <w:rFonts w:ascii="Arial" w:hAnsi="Arial"/>
        </w:rPr>
        <w:tab/>
      </w:r>
      <w:r w:rsidR="004B7BD6">
        <w:rPr>
          <w:rFonts w:ascii="Arial" w:hAnsi="Arial"/>
        </w:rPr>
        <w:t>If the information were</w:t>
      </w:r>
      <w:r w:rsidR="007655B1">
        <w:rPr>
          <w:rFonts w:ascii="Arial" w:hAnsi="Arial"/>
        </w:rPr>
        <w:t xml:space="preserve"> collected less frequently</w:t>
      </w:r>
      <w:r w:rsidR="00817354">
        <w:rPr>
          <w:rFonts w:ascii="Arial" w:hAnsi="Arial"/>
        </w:rPr>
        <w:t>,</w:t>
      </w:r>
      <w:r w:rsidR="007655B1">
        <w:rPr>
          <w:rFonts w:ascii="Arial" w:hAnsi="Arial"/>
        </w:rPr>
        <w:t xml:space="preserve"> </w:t>
      </w:r>
      <w:r w:rsidR="00817354">
        <w:rPr>
          <w:rFonts w:ascii="Arial" w:hAnsi="Arial"/>
        </w:rPr>
        <w:t xml:space="preserve">CBP would not be able to enforce </w:t>
      </w:r>
      <w:r w:rsidR="00470B2D">
        <w:rPr>
          <w:rFonts w:ascii="Arial" w:hAnsi="Arial"/>
        </w:rPr>
        <w:t>regulatory requir</w:t>
      </w:r>
      <w:r w:rsidR="00373D4A">
        <w:rPr>
          <w:rFonts w:ascii="Arial" w:hAnsi="Arial"/>
        </w:rPr>
        <w:t>e</w:t>
      </w:r>
      <w:r w:rsidR="00470B2D">
        <w:rPr>
          <w:rFonts w:ascii="Arial" w:hAnsi="Arial"/>
        </w:rPr>
        <w:t>ments.</w:t>
      </w:r>
    </w:p>
    <w:p w:rsidR="00085E1A" w:rsidRDefault="00085E1A">
      <w:pPr>
        <w:tabs>
          <w:tab w:val="left" w:pos="-1440"/>
        </w:tabs>
        <w:ind w:left="720" w:hanging="720"/>
        <w:jc w:val="both"/>
        <w:rPr>
          <w:rFonts w:ascii="Arial" w:hAnsi="Arial"/>
        </w:rPr>
      </w:pPr>
    </w:p>
    <w:p w:rsidR="00085E1A" w:rsidP="004B650C" w:rsidRDefault="00085E1A">
      <w:pPr>
        <w:tabs>
          <w:tab w:val="left" w:pos="-1440"/>
        </w:tabs>
        <w:ind w:left="720" w:hanging="630"/>
        <w:jc w:val="both"/>
        <w:rPr>
          <w:rFonts w:ascii="Arial" w:hAnsi="Arial"/>
        </w:rPr>
      </w:pPr>
      <w:r>
        <w:rPr>
          <w:rFonts w:ascii="Arial" w:hAnsi="Arial"/>
          <w:b/>
          <w:bCs/>
        </w:rPr>
        <w:t>7.</w:t>
      </w:r>
      <w:r>
        <w:rPr>
          <w:rFonts w:ascii="Arial" w:hAnsi="Arial"/>
        </w:rPr>
        <w:tab/>
      </w:r>
      <w:r>
        <w:rPr>
          <w:rFonts w:ascii="Arial" w:hAnsi="Arial" w:cs="Arial"/>
          <w:b/>
          <w:bCs/>
        </w:rPr>
        <w:t>Explain any special circumstances</w:t>
      </w:r>
    </w:p>
    <w:p w:rsidR="00085E1A" w:rsidRDefault="00085E1A">
      <w:pPr>
        <w:tabs>
          <w:tab w:val="left" w:pos="-1440"/>
        </w:tabs>
        <w:ind w:left="720" w:hanging="720"/>
        <w:jc w:val="both"/>
        <w:rPr>
          <w:rFonts w:ascii="Arial" w:hAnsi="Arial"/>
        </w:rPr>
      </w:pPr>
    </w:p>
    <w:p w:rsidR="007655B1" w:rsidRDefault="00085E1A">
      <w:pPr>
        <w:tabs>
          <w:tab w:val="left" w:pos="-1440"/>
        </w:tabs>
        <w:ind w:left="720" w:hanging="720"/>
        <w:jc w:val="both"/>
        <w:rPr>
          <w:rFonts w:ascii="Arial" w:hAnsi="Arial"/>
        </w:rPr>
      </w:pPr>
      <w:r>
        <w:rPr>
          <w:rFonts w:ascii="Arial" w:hAnsi="Arial"/>
        </w:rPr>
        <w:tab/>
      </w:r>
      <w:r w:rsidR="007655B1">
        <w:rPr>
          <w:rFonts w:ascii="Arial" w:hAnsi="Arial"/>
        </w:rPr>
        <w:t>This information collection is conducted in a manner consistent with the guidelines in 5 CFR 1320.5(c)(2).</w:t>
      </w:r>
    </w:p>
    <w:p w:rsidR="00373D4A" w:rsidRDefault="00373D4A">
      <w:pPr>
        <w:jc w:val="both"/>
        <w:rPr>
          <w:rFonts w:ascii="Arial" w:hAnsi="Arial"/>
        </w:rPr>
      </w:pPr>
    </w:p>
    <w:p w:rsidR="00D90437" w:rsidP="004B650C" w:rsidRDefault="00D90437">
      <w:pPr>
        <w:ind w:left="720" w:hanging="63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73D4A" w:rsidRDefault="00373D4A">
      <w:pPr>
        <w:jc w:val="both"/>
        <w:rPr>
          <w:rFonts w:ascii="Arial" w:hAnsi="Arial"/>
        </w:rPr>
      </w:pPr>
    </w:p>
    <w:p w:rsidR="006F3817" w:rsidRDefault="007655B1">
      <w:pPr>
        <w:tabs>
          <w:tab w:val="left" w:pos="-1440"/>
        </w:tabs>
        <w:ind w:left="720" w:hanging="720"/>
        <w:jc w:val="both"/>
        <w:rPr>
          <w:rFonts w:ascii="Arial" w:hAnsi="Arial"/>
        </w:rPr>
      </w:pPr>
      <w:r>
        <w:rPr>
          <w:rFonts w:ascii="Arial" w:hAnsi="Arial"/>
        </w:rPr>
        <w:tab/>
      </w:r>
      <w:r w:rsidRPr="00B45F65">
        <w:rPr>
          <w:rFonts w:ascii="Arial" w:hAnsi="Arial"/>
        </w:rPr>
        <w:t>Public comments were solicited through</w:t>
      </w:r>
      <w:r w:rsidRPr="00B45F65" w:rsidR="0032779F">
        <w:rPr>
          <w:rFonts w:ascii="Arial" w:hAnsi="Arial"/>
        </w:rPr>
        <w:t xml:space="preserve"> two </w:t>
      </w:r>
      <w:r w:rsidRPr="00B45F65">
        <w:rPr>
          <w:rFonts w:ascii="Arial" w:hAnsi="Arial"/>
        </w:rPr>
        <w:t>Federal Register notice</w:t>
      </w:r>
      <w:r w:rsidRPr="00B45F65" w:rsidR="0032779F">
        <w:rPr>
          <w:rFonts w:ascii="Arial" w:hAnsi="Arial"/>
        </w:rPr>
        <w:t>s</w:t>
      </w:r>
      <w:r w:rsidR="00787624">
        <w:rPr>
          <w:rFonts w:ascii="Arial" w:hAnsi="Arial"/>
        </w:rPr>
        <w:t xml:space="preserve">. A 60 day </w:t>
      </w:r>
      <w:r w:rsidRPr="00B45F65">
        <w:rPr>
          <w:rFonts w:ascii="Arial" w:hAnsi="Arial"/>
        </w:rPr>
        <w:t>dated</w:t>
      </w:r>
      <w:r w:rsidRPr="00B45F65" w:rsidR="00683C40">
        <w:rPr>
          <w:rFonts w:ascii="Arial" w:hAnsi="Arial"/>
        </w:rPr>
        <w:t xml:space="preserve"> </w:t>
      </w:r>
      <w:r w:rsidR="00DB4B1D">
        <w:rPr>
          <w:rFonts w:ascii="Arial" w:hAnsi="Arial"/>
        </w:rPr>
        <w:t>December</w:t>
      </w:r>
      <w:r w:rsidR="002B49D4">
        <w:rPr>
          <w:rFonts w:ascii="Arial" w:hAnsi="Arial"/>
        </w:rPr>
        <w:t xml:space="preserve"> </w:t>
      </w:r>
      <w:r w:rsidR="00DB4B1D">
        <w:rPr>
          <w:rFonts w:ascii="Arial" w:hAnsi="Arial"/>
        </w:rPr>
        <w:t>23</w:t>
      </w:r>
      <w:r w:rsidRPr="00B45F65">
        <w:rPr>
          <w:rFonts w:ascii="Arial" w:hAnsi="Arial"/>
        </w:rPr>
        <w:t>, 20</w:t>
      </w:r>
      <w:r w:rsidR="00DB4B1D">
        <w:rPr>
          <w:rFonts w:ascii="Arial" w:hAnsi="Arial"/>
        </w:rPr>
        <w:t>19</w:t>
      </w:r>
      <w:r w:rsidRPr="00B45F65" w:rsidR="0032779F">
        <w:rPr>
          <w:rFonts w:ascii="Arial" w:hAnsi="Arial"/>
        </w:rPr>
        <w:t xml:space="preserve"> (</w:t>
      </w:r>
      <w:r w:rsidR="00DB4B1D">
        <w:rPr>
          <w:rFonts w:ascii="Arial" w:hAnsi="Arial"/>
        </w:rPr>
        <w:t>84</w:t>
      </w:r>
      <w:r w:rsidR="00787624">
        <w:rPr>
          <w:rFonts w:ascii="Arial" w:hAnsi="Arial"/>
        </w:rPr>
        <w:t xml:space="preserve"> FR </w:t>
      </w:r>
      <w:r w:rsidR="00DB4B1D">
        <w:rPr>
          <w:rFonts w:ascii="Arial" w:hAnsi="Arial"/>
        </w:rPr>
        <w:t>70561</w:t>
      </w:r>
      <w:r w:rsidR="00B951CE">
        <w:rPr>
          <w:rFonts w:ascii="Arial" w:hAnsi="Arial"/>
        </w:rPr>
        <w:t>)</w:t>
      </w:r>
      <w:r w:rsidRPr="00B951CE" w:rsidR="00B951CE">
        <w:rPr>
          <w:rFonts w:ascii="Arial" w:hAnsi="Arial"/>
        </w:rPr>
        <w:t xml:space="preserve"> </w:t>
      </w:r>
      <w:r w:rsidRPr="00B45F65" w:rsidR="00B951CE">
        <w:rPr>
          <w:rFonts w:ascii="Arial" w:hAnsi="Arial"/>
        </w:rPr>
        <w:t xml:space="preserve">on which </w:t>
      </w:r>
      <w:r w:rsidR="00B951CE">
        <w:rPr>
          <w:rFonts w:ascii="Arial" w:hAnsi="Arial"/>
        </w:rPr>
        <w:t>one</w:t>
      </w:r>
      <w:r w:rsidRPr="00B45F65" w:rsidR="00B951CE">
        <w:rPr>
          <w:rFonts w:ascii="Arial" w:hAnsi="Arial"/>
        </w:rPr>
        <w:t xml:space="preserve"> comment </w:t>
      </w:r>
      <w:r w:rsidR="00B951CE">
        <w:rPr>
          <w:rFonts w:ascii="Arial" w:hAnsi="Arial"/>
        </w:rPr>
        <w:t>was</w:t>
      </w:r>
      <w:r w:rsidRPr="00B45F65" w:rsidR="00B951CE">
        <w:rPr>
          <w:rFonts w:ascii="Arial" w:hAnsi="Arial"/>
        </w:rPr>
        <w:t xml:space="preserve"> received</w:t>
      </w:r>
      <w:r w:rsidRPr="00B45F65" w:rsidR="002C1235">
        <w:rPr>
          <w:rFonts w:ascii="Arial" w:hAnsi="Arial"/>
        </w:rPr>
        <w:t>,</w:t>
      </w:r>
      <w:r w:rsidRPr="00B45F65" w:rsidR="0032779F">
        <w:rPr>
          <w:rFonts w:ascii="Arial" w:hAnsi="Arial"/>
        </w:rPr>
        <w:t xml:space="preserve"> and </w:t>
      </w:r>
      <w:r w:rsidR="00787624">
        <w:rPr>
          <w:rFonts w:ascii="Arial" w:hAnsi="Arial"/>
        </w:rPr>
        <w:t xml:space="preserve">a 30 day </w:t>
      </w:r>
      <w:r w:rsidRPr="00B45F65" w:rsidR="00D47FF8">
        <w:rPr>
          <w:rFonts w:ascii="Arial" w:hAnsi="Arial"/>
        </w:rPr>
        <w:t xml:space="preserve">on </w:t>
      </w:r>
      <w:r w:rsidR="00DB4B1D">
        <w:rPr>
          <w:rFonts w:ascii="Arial" w:hAnsi="Arial"/>
        </w:rPr>
        <w:t>April 10</w:t>
      </w:r>
      <w:r w:rsidRPr="00B45F65" w:rsidR="00F51803">
        <w:rPr>
          <w:rFonts w:ascii="Arial" w:hAnsi="Arial"/>
        </w:rPr>
        <w:t>, 20</w:t>
      </w:r>
      <w:r w:rsidR="00DB4B1D">
        <w:rPr>
          <w:rFonts w:ascii="Arial" w:hAnsi="Arial"/>
        </w:rPr>
        <w:t>20</w:t>
      </w:r>
      <w:r w:rsidRPr="00B45F65" w:rsidR="00D47FF8">
        <w:rPr>
          <w:rFonts w:ascii="Arial" w:hAnsi="Arial"/>
        </w:rPr>
        <w:t xml:space="preserve"> (</w:t>
      </w:r>
      <w:r w:rsidR="00DB4B1D">
        <w:rPr>
          <w:rFonts w:ascii="Arial" w:hAnsi="Arial"/>
        </w:rPr>
        <w:t>85</w:t>
      </w:r>
      <w:r w:rsidR="00787624">
        <w:rPr>
          <w:rFonts w:ascii="Arial" w:hAnsi="Arial"/>
        </w:rPr>
        <w:t xml:space="preserve"> FR </w:t>
      </w:r>
      <w:r w:rsidR="00DB4B1D">
        <w:rPr>
          <w:rFonts w:ascii="Arial" w:hAnsi="Arial"/>
        </w:rPr>
        <w:t>20288</w:t>
      </w:r>
      <w:r w:rsidRPr="00B45F65" w:rsidR="00D47FF8">
        <w:rPr>
          <w:rFonts w:ascii="Arial" w:hAnsi="Arial"/>
        </w:rPr>
        <w:t>)</w:t>
      </w:r>
      <w:r w:rsidRPr="00B45F65" w:rsidR="0014466B">
        <w:rPr>
          <w:rFonts w:ascii="Arial" w:hAnsi="Arial"/>
        </w:rPr>
        <w:t xml:space="preserve"> </w:t>
      </w:r>
      <w:r w:rsidRPr="00B45F65" w:rsidR="00B951CE">
        <w:rPr>
          <w:rFonts w:ascii="Arial" w:hAnsi="Arial"/>
        </w:rPr>
        <w:t xml:space="preserve">on which </w:t>
      </w:r>
      <w:r w:rsidR="00B951CE">
        <w:rPr>
          <w:rFonts w:ascii="Arial" w:hAnsi="Arial"/>
        </w:rPr>
        <w:t>no</w:t>
      </w:r>
      <w:r w:rsidRPr="00B45F65" w:rsidR="00B951CE">
        <w:rPr>
          <w:rFonts w:ascii="Arial" w:hAnsi="Arial"/>
        </w:rPr>
        <w:t xml:space="preserve"> comment</w:t>
      </w:r>
      <w:r w:rsidR="00B951CE">
        <w:rPr>
          <w:rFonts w:ascii="Arial" w:hAnsi="Arial"/>
        </w:rPr>
        <w:t>s</w:t>
      </w:r>
      <w:r w:rsidRPr="00B45F65" w:rsidR="00B951CE">
        <w:rPr>
          <w:rFonts w:ascii="Arial" w:hAnsi="Arial"/>
        </w:rPr>
        <w:t xml:space="preserve"> </w:t>
      </w:r>
      <w:r w:rsidR="00B951CE">
        <w:rPr>
          <w:rFonts w:ascii="Arial" w:hAnsi="Arial"/>
        </w:rPr>
        <w:t>have been</w:t>
      </w:r>
      <w:r w:rsidRPr="00B45F65" w:rsidR="00B951CE">
        <w:rPr>
          <w:rFonts w:ascii="Arial" w:hAnsi="Arial"/>
        </w:rPr>
        <w:t xml:space="preserve"> received</w:t>
      </w:r>
      <w:r w:rsidRPr="00B45F65" w:rsidR="00D47FF8">
        <w:rPr>
          <w:rFonts w:ascii="Arial" w:hAnsi="Arial"/>
        </w:rPr>
        <w:t>.</w:t>
      </w:r>
    </w:p>
    <w:p w:rsidR="00B951CE" w:rsidRDefault="00B951CE">
      <w:pPr>
        <w:tabs>
          <w:tab w:val="left" w:pos="-1440"/>
        </w:tabs>
        <w:ind w:left="720" w:hanging="720"/>
        <w:jc w:val="both"/>
        <w:rPr>
          <w:rFonts w:ascii="Arial" w:hAnsi="Arial"/>
        </w:rPr>
      </w:pPr>
    </w:p>
    <w:p w:rsidR="00B951CE" w:rsidP="00B951CE" w:rsidRDefault="00B951CE">
      <w:pPr>
        <w:tabs>
          <w:tab w:val="left" w:pos="-1440"/>
        </w:tabs>
        <w:ind w:left="720"/>
        <w:jc w:val="both"/>
        <w:rPr>
          <w:rFonts w:ascii="Arial" w:hAnsi="Arial"/>
        </w:rPr>
      </w:pPr>
      <w:r w:rsidRPr="00FC05C2">
        <w:rPr>
          <w:rFonts w:ascii="Arial" w:hAnsi="Arial"/>
          <w:b/>
        </w:rPr>
        <w:t>Comment:</w:t>
      </w:r>
      <w:r>
        <w:rPr>
          <w:rFonts w:ascii="Arial" w:hAnsi="Arial"/>
        </w:rPr>
        <w:t xml:space="preserve">  </w:t>
      </w:r>
      <w:r w:rsidR="00A66147">
        <w:rPr>
          <w:rFonts w:ascii="Arial" w:hAnsi="Arial"/>
        </w:rPr>
        <w:t>Airlines for America requested that the e-GenDec program be expanded so that airlines can comply with the mandate electronically and suggests that paper collection processes should be retired.</w:t>
      </w:r>
    </w:p>
    <w:p w:rsidR="00B951CE" w:rsidP="00B951CE" w:rsidRDefault="00B951CE">
      <w:pPr>
        <w:tabs>
          <w:tab w:val="left" w:pos="-1440"/>
        </w:tabs>
        <w:ind w:left="720"/>
        <w:jc w:val="both"/>
        <w:rPr>
          <w:rFonts w:ascii="Arial" w:hAnsi="Arial"/>
        </w:rPr>
      </w:pPr>
    </w:p>
    <w:p w:rsidR="00B951CE" w:rsidP="00B951CE" w:rsidRDefault="00B951CE">
      <w:pPr>
        <w:ind w:left="720"/>
        <w:rPr>
          <w:rFonts w:ascii="Arial" w:hAnsi="Arial" w:cs="Arial"/>
        </w:rPr>
      </w:pPr>
      <w:r w:rsidRPr="00FC05C2">
        <w:rPr>
          <w:rFonts w:ascii="Arial" w:hAnsi="Arial"/>
          <w:b/>
        </w:rPr>
        <w:t>CBP Response:</w:t>
      </w:r>
      <w:r>
        <w:rPr>
          <w:rFonts w:ascii="Arial" w:hAnsi="Arial"/>
        </w:rPr>
        <w:t xml:space="preserve">  </w:t>
      </w:r>
      <w:r w:rsidRPr="00B951CE">
        <w:rPr>
          <w:rFonts w:ascii="Arial" w:hAnsi="Arial" w:cs="Arial"/>
        </w:rPr>
        <w:t xml:space="preserve">U. S. Customs and Border Protection (CBP) appreciates the comments provided by Airlines for America as relates to Federal Register Document 2019-27663, Agency Information Collection Activities:  General Declaration.  CBP agrees with Airlines for America that the automation of paper </w:t>
      </w:r>
      <w:r w:rsidRPr="00B951CE">
        <w:rPr>
          <w:rFonts w:ascii="Arial" w:hAnsi="Arial" w:cs="Arial"/>
        </w:rPr>
        <w:lastRenderedPageBreak/>
        <w:t xml:space="preserve">processes is key to increase efficiencies and facilitate operations for both CBP and external stakeholders.  A part of that automation is the Electronic General Declaration (eGenDec) program.   </w:t>
      </w:r>
    </w:p>
    <w:p w:rsidR="00B951CE" w:rsidP="00B951CE" w:rsidRDefault="00B951CE">
      <w:pPr>
        <w:ind w:left="720"/>
      </w:pPr>
    </w:p>
    <w:p w:rsidRPr="00B951CE" w:rsidR="00B951CE" w:rsidP="00B951CE" w:rsidRDefault="00B951CE">
      <w:pPr>
        <w:ind w:left="720"/>
        <w:rPr>
          <w:rFonts w:ascii="Arial" w:hAnsi="Arial" w:cs="Arial"/>
        </w:rPr>
      </w:pPr>
      <w:r w:rsidRPr="00B951CE">
        <w:rPr>
          <w:rFonts w:ascii="Arial" w:hAnsi="Arial" w:cs="Arial"/>
        </w:rPr>
        <w:t>As such, CBP is working to streamline the CBP Form 7507, General Declaration, to remove duplicative information while still allowing CBP to collect information needed for CBP operations.  In addition, CBP is working on the eGenDec program to facilitate the use of the program for all commercial flight operations to and from all U.S. ports-of-entry (POEs) including U.S. territories such as the U.S. Virgin Islands, not just for those airlines that are OAG members for select POEs.  To this end, CBP is currently developing a project which will meet these goals.  Part of the project will be to review and amend regulations related to the use of the CBP Form 7507.</w:t>
      </w:r>
    </w:p>
    <w:p w:rsidR="00B951CE" w:rsidP="00B951CE" w:rsidRDefault="00B951CE">
      <w:pPr>
        <w:tabs>
          <w:tab w:val="left" w:pos="-1440"/>
        </w:tabs>
        <w:ind w:left="720"/>
        <w:jc w:val="both"/>
        <w:rPr>
          <w:rFonts w:ascii="Arial" w:hAnsi="Arial" w:cs="Arial"/>
        </w:rPr>
      </w:pPr>
    </w:p>
    <w:p w:rsidRPr="00B951CE" w:rsidR="00B951CE" w:rsidP="00B951CE" w:rsidRDefault="00B951CE">
      <w:pPr>
        <w:tabs>
          <w:tab w:val="left" w:pos="-1440"/>
        </w:tabs>
        <w:ind w:left="720"/>
        <w:jc w:val="both"/>
        <w:rPr>
          <w:rFonts w:ascii="Arial" w:hAnsi="Arial" w:cs="Arial"/>
        </w:rPr>
      </w:pPr>
      <w:r w:rsidRPr="00B951CE">
        <w:rPr>
          <w:rFonts w:ascii="Arial" w:hAnsi="Arial" w:cs="Arial"/>
        </w:rPr>
        <w:t>CBP looks forward to working with Airlines for America and other external stakeholders as we move forward on this project</w:t>
      </w:r>
    </w:p>
    <w:p w:rsidR="00B951CE" w:rsidP="00D71FD1" w:rsidRDefault="00B951CE">
      <w:pPr>
        <w:tabs>
          <w:tab w:val="left" w:pos="-1440"/>
        </w:tabs>
        <w:jc w:val="both"/>
        <w:rPr>
          <w:rFonts w:ascii="Arial" w:hAnsi="Arial"/>
        </w:rPr>
      </w:pPr>
    </w:p>
    <w:p w:rsidR="006F3817" w:rsidRDefault="006F3817">
      <w:pPr>
        <w:tabs>
          <w:tab w:val="left" w:pos="-1440"/>
        </w:tabs>
        <w:ind w:left="720" w:hanging="720"/>
        <w:jc w:val="both"/>
        <w:rPr>
          <w:rFonts w:ascii="Arial" w:hAnsi="Arial"/>
        </w:rPr>
      </w:pPr>
    </w:p>
    <w:p w:rsidR="0019357D" w:rsidP="004B650C" w:rsidRDefault="0019357D">
      <w:pPr>
        <w:ind w:left="720" w:hanging="630"/>
        <w:jc w:val="both"/>
        <w:rPr>
          <w:rFonts w:ascii="Arial" w:hAnsi="Arial" w:cs="Arial"/>
          <w:b/>
          <w:bCs/>
        </w:rPr>
      </w:pPr>
      <w:r w:rsidRPr="006F3817">
        <w:rPr>
          <w:rFonts w:ascii="Arial" w:hAnsi="Arial" w:cs="Arial"/>
          <w:b/>
          <w:bCs/>
          <w:szCs w:val="24"/>
        </w:rPr>
        <w:t>9.</w:t>
      </w:r>
      <w:r w:rsidRPr="006F3817">
        <w:rPr>
          <w:rFonts w:ascii="Arial" w:hAnsi="Arial" w:cs="Arial"/>
          <w:szCs w:val="24"/>
        </w:rPr>
        <w:tab/>
      </w:r>
      <w:r w:rsidRPr="006F3817">
        <w:rPr>
          <w:rFonts w:ascii="Arial" w:hAnsi="Arial" w:cs="Arial"/>
          <w:b/>
          <w:bCs/>
          <w:szCs w:val="24"/>
        </w:rPr>
        <w:t>Explain any decision to provide any payment or gift to responden</w:t>
      </w:r>
      <w:r>
        <w:rPr>
          <w:rFonts w:ascii="Arial" w:hAnsi="Arial" w:cs="Arial"/>
          <w:b/>
          <w:bCs/>
        </w:rPr>
        <w:t>ts, other than remuneration of contractors or grantees.</w:t>
      </w:r>
    </w:p>
    <w:p w:rsidR="007655B1" w:rsidRDefault="007655B1">
      <w:pPr>
        <w:jc w:val="both"/>
        <w:rPr>
          <w:rFonts w:ascii="Arial" w:hAnsi="Arial"/>
        </w:rPr>
      </w:pPr>
    </w:p>
    <w:p w:rsidR="007655B1" w:rsidRDefault="007655B1">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7655B1" w:rsidRDefault="007655B1">
      <w:pPr>
        <w:jc w:val="both"/>
        <w:rPr>
          <w:rFonts w:ascii="Arial" w:hAnsi="Arial"/>
        </w:rPr>
      </w:pPr>
    </w:p>
    <w:p w:rsidR="00AF1FAD" w:rsidP="001C7C78" w:rsidRDefault="00AF1FAD">
      <w:pPr>
        <w:numPr>
          <w:ilvl w:val="0"/>
          <w:numId w:val="6"/>
        </w:numPr>
        <w:ind w:hanging="630"/>
        <w:jc w:val="both"/>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413108" w:rsidRDefault="00413108">
      <w:pPr>
        <w:tabs>
          <w:tab w:val="left" w:pos="-1440"/>
        </w:tabs>
        <w:ind w:left="720" w:hanging="720"/>
        <w:jc w:val="both"/>
        <w:rPr>
          <w:rFonts w:ascii="Arial" w:hAnsi="Arial"/>
        </w:rPr>
      </w:pPr>
    </w:p>
    <w:p w:rsidRPr="00BB3345" w:rsidR="007655B1" w:rsidRDefault="007655B1">
      <w:pPr>
        <w:tabs>
          <w:tab w:val="left" w:pos="-1440"/>
        </w:tabs>
        <w:ind w:left="720" w:hanging="720"/>
        <w:jc w:val="both"/>
        <w:rPr>
          <w:rFonts w:ascii="Arial" w:hAnsi="Arial"/>
        </w:rPr>
      </w:pPr>
      <w:r>
        <w:rPr>
          <w:rFonts w:ascii="Arial" w:hAnsi="Arial"/>
        </w:rPr>
        <w:tab/>
      </w:r>
      <w:r w:rsidRPr="00BB3345">
        <w:rPr>
          <w:rFonts w:ascii="Arial" w:hAnsi="Arial"/>
        </w:rPr>
        <w:t xml:space="preserve">There </w:t>
      </w:r>
      <w:r w:rsidRPr="00BB3345" w:rsidR="002C1235">
        <w:rPr>
          <w:rFonts w:ascii="Arial" w:hAnsi="Arial"/>
        </w:rPr>
        <w:t>is no PII associated with this information collection.</w:t>
      </w:r>
      <w:r w:rsidRPr="00BB3345">
        <w:rPr>
          <w:rFonts w:ascii="Arial" w:hAnsi="Arial"/>
        </w:rPr>
        <w:t xml:space="preserve"> </w:t>
      </w:r>
      <w:r w:rsidRPr="00BB3345" w:rsidR="003D7BD2">
        <w:rPr>
          <w:rFonts w:ascii="Arial" w:hAnsi="Arial"/>
        </w:rPr>
        <w:t xml:space="preserve"> No assurances of confidentiality are provided to respondents.</w:t>
      </w:r>
    </w:p>
    <w:p w:rsidR="00A265EB" w:rsidP="00A265EB" w:rsidRDefault="00A265EB">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1FAD" w:rsidRDefault="00AF1FAD">
      <w:pPr>
        <w:tabs>
          <w:tab w:val="left" w:pos="-1440"/>
        </w:tabs>
        <w:ind w:left="720" w:hanging="720"/>
        <w:jc w:val="both"/>
        <w:rPr>
          <w:rFonts w:ascii="Arial" w:hAnsi="Arial"/>
        </w:rPr>
      </w:pPr>
    </w:p>
    <w:p w:rsidR="00413108" w:rsidRDefault="007655B1">
      <w:pPr>
        <w:tabs>
          <w:tab w:val="left" w:pos="-1440"/>
        </w:tabs>
        <w:ind w:left="720" w:hanging="720"/>
        <w:jc w:val="both"/>
        <w:rPr>
          <w:rFonts w:ascii="Arial" w:hAnsi="Arial"/>
        </w:rPr>
      </w:pPr>
      <w:r>
        <w:rPr>
          <w:rFonts w:ascii="Arial" w:hAnsi="Arial"/>
        </w:rPr>
        <w:tab/>
        <w:t>There are no questions of a personal or sensitive nature.</w:t>
      </w:r>
    </w:p>
    <w:p w:rsidR="00413108" w:rsidRDefault="00413108">
      <w:pPr>
        <w:tabs>
          <w:tab w:val="left" w:pos="-1440"/>
        </w:tabs>
        <w:ind w:left="720" w:hanging="720"/>
        <w:jc w:val="both"/>
        <w:rPr>
          <w:rFonts w:ascii="Arial" w:hAnsi="Arial"/>
        </w:rPr>
      </w:pPr>
    </w:p>
    <w:p w:rsidR="00A5704F" w:rsidP="00A5704F" w:rsidRDefault="00A5704F">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A5704F" w:rsidP="00A5704F" w:rsidRDefault="00A5704F">
      <w:pPr>
        <w:autoSpaceDE w:val="0"/>
        <w:autoSpaceDN w:val="0"/>
        <w:adjustRightInd w:val="0"/>
        <w:spacing w:line="240" w:lineRule="atLeast"/>
        <w:jc w:val="both"/>
        <w:rPr>
          <w:rFonts w:ascii="Arial" w:hAnsi="Arial" w:cs="Arial"/>
          <w:b/>
          <w:bCs/>
          <w:color w:val="00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0"/>
        <w:gridCol w:w="1158"/>
        <w:gridCol w:w="2053"/>
        <w:gridCol w:w="1744"/>
        <w:gridCol w:w="2078"/>
        <w:gridCol w:w="1787"/>
      </w:tblGrid>
      <w:tr w:rsidRPr="002C29E2" w:rsidR="00A5704F" w:rsidTr="000226B7">
        <w:trPr>
          <w:jc w:val="center"/>
        </w:trPr>
        <w:tc>
          <w:tcPr>
            <w:tcW w:w="950" w:type="dxa"/>
            <w:shd w:val="clear" w:color="auto" w:fill="auto"/>
          </w:tcPr>
          <w:p w:rsidRPr="00B77936" w:rsidR="00A5704F" w:rsidP="00B77936" w:rsidRDefault="00A5704F">
            <w:pPr>
              <w:pStyle w:val="Style"/>
              <w:tabs>
                <w:tab w:val="left" w:pos="-1440"/>
              </w:tabs>
              <w:ind w:left="0" w:firstLine="0"/>
              <w:jc w:val="both"/>
              <w:rPr>
                <w:rFonts w:ascii="Arial" w:hAnsi="Arial"/>
                <w:szCs w:val="24"/>
              </w:rPr>
            </w:pPr>
          </w:p>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FORM</w:t>
            </w:r>
          </w:p>
        </w:tc>
        <w:tc>
          <w:tcPr>
            <w:tcW w:w="1083" w:type="dxa"/>
            <w:shd w:val="clear" w:color="auto" w:fill="auto"/>
          </w:tcPr>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TOTAL BURDEN</w:t>
            </w:r>
          </w:p>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HOURS</w:t>
            </w:r>
          </w:p>
        </w:tc>
        <w:tc>
          <w:tcPr>
            <w:tcW w:w="2053" w:type="dxa"/>
            <w:shd w:val="clear" w:color="auto" w:fill="auto"/>
          </w:tcPr>
          <w:p w:rsidRPr="002C29E2" w:rsidR="00A5704F" w:rsidP="00B77936" w:rsidRDefault="00A5704F">
            <w:pPr>
              <w:pStyle w:val="Style"/>
              <w:tabs>
                <w:tab w:val="left" w:pos="-1440"/>
              </w:tabs>
              <w:ind w:left="0" w:firstLine="0"/>
              <w:jc w:val="both"/>
              <w:rPr>
                <w:rFonts w:ascii="Arial" w:hAnsi="Arial"/>
                <w:sz w:val="22"/>
                <w:szCs w:val="22"/>
              </w:rPr>
            </w:pPr>
          </w:p>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NO. OF</w:t>
            </w:r>
          </w:p>
          <w:p w:rsidRPr="002C29E2" w:rsidR="00A5704F" w:rsidP="00B77936" w:rsidRDefault="00A5704F">
            <w:pPr>
              <w:pStyle w:val="Style"/>
              <w:tabs>
                <w:tab w:val="left" w:pos="-1440"/>
              </w:tabs>
              <w:ind w:left="0" w:firstLine="0"/>
              <w:jc w:val="both"/>
              <w:rPr>
                <w:rFonts w:ascii="Arial" w:hAnsi="Arial"/>
                <w:szCs w:val="24"/>
              </w:rPr>
            </w:pPr>
            <w:r w:rsidRPr="002C29E2">
              <w:rPr>
                <w:rFonts w:ascii="Arial" w:hAnsi="Arial"/>
                <w:b/>
                <w:sz w:val="22"/>
                <w:szCs w:val="22"/>
              </w:rPr>
              <w:t>RESPONDENTS</w:t>
            </w:r>
          </w:p>
        </w:tc>
        <w:tc>
          <w:tcPr>
            <w:tcW w:w="1625" w:type="dxa"/>
            <w:shd w:val="clear" w:color="auto" w:fill="auto"/>
          </w:tcPr>
          <w:p w:rsidRPr="002C29E2" w:rsidR="00A5704F" w:rsidP="00B77936" w:rsidRDefault="00A5704F">
            <w:pPr>
              <w:pStyle w:val="Style"/>
              <w:tabs>
                <w:tab w:val="left" w:pos="-1440"/>
              </w:tabs>
              <w:ind w:left="0" w:firstLine="0"/>
              <w:rPr>
                <w:rFonts w:ascii="Arial" w:hAnsi="Arial"/>
                <w:b/>
                <w:sz w:val="22"/>
                <w:szCs w:val="22"/>
              </w:rPr>
            </w:pPr>
            <w:r w:rsidRPr="002C29E2">
              <w:rPr>
                <w:rFonts w:ascii="Arial" w:hAnsi="Arial"/>
                <w:b/>
                <w:sz w:val="22"/>
                <w:szCs w:val="22"/>
              </w:rPr>
              <w:t>NO. OF RESPONSES PER RESPONDENT</w:t>
            </w:r>
          </w:p>
        </w:tc>
        <w:tc>
          <w:tcPr>
            <w:tcW w:w="2078" w:type="dxa"/>
            <w:shd w:val="clear" w:color="auto" w:fill="auto"/>
          </w:tcPr>
          <w:p w:rsidRPr="002C29E2" w:rsidR="00A5704F" w:rsidP="00B77936" w:rsidRDefault="00A5704F">
            <w:pPr>
              <w:pStyle w:val="Style"/>
              <w:tabs>
                <w:tab w:val="left" w:pos="-1440"/>
              </w:tabs>
              <w:ind w:left="0" w:firstLine="0"/>
              <w:jc w:val="both"/>
              <w:rPr>
                <w:rFonts w:ascii="Arial" w:hAnsi="Arial"/>
                <w:szCs w:val="24"/>
              </w:rPr>
            </w:pPr>
          </w:p>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TOTAL ANNUAL</w:t>
            </w:r>
          </w:p>
          <w:p w:rsidRPr="002C29E2" w:rsidR="00A5704F" w:rsidP="00B77936" w:rsidRDefault="00A5704F">
            <w:pPr>
              <w:pStyle w:val="Style"/>
              <w:tabs>
                <w:tab w:val="left" w:pos="-1440"/>
              </w:tabs>
              <w:ind w:left="0" w:firstLine="0"/>
              <w:jc w:val="both"/>
              <w:rPr>
                <w:rFonts w:ascii="Arial" w:hAnsi="Arial"/>
                <w:szCs w:val="24"/>
              </w:rPr>
            </w:pPr>
            <w:r w:rsidRPr="002C29E2">
              <w:rPr>
                <w:rFonts w:ascii="Arial" w:hAnsi="Arial"/>
                <w:b/>
                <w:sz w:val="22"/>
                <w:szCs w:val="22"/>
              </w:rPr>
              <w:t>RESPONSES</w:t>
            </w:r>
          </w:p>
        </w:tc>
        <w:tc>
          <w:tcPr>
            <w:tcW w:w="1787" w:type="dxa"/>
            <w:shd w:val="clear" w:color="auto" w:fill="auto"/>
          </w:tcPr>
          <w:p w:rsidRPr="002C29E2" w:rsidR="00A5704F" w:rsidP="00B77936" w:rsidRDefault="00A5704F">
            <w:pPr>
              <w:pStyle w:val="Style"/>
              <w:tabs>
                <w:tab w:val="left" w:pos="-1440"/>
              </w:tabs>
              <w:ind w:left="0" w:firstLine="0"/>
              <w:jc w:val="both"/>
              <w:rPr>
                <w:rFonts w:ascii="Arial" w:hAnsi="Arial"/>
                <w:sz w:val="22"/>
                <w:szCs w:val="22"/>
              </w:rPr>
            </w:pPr>
          </w:p>
          <w:p w:rsidRPr="002C29E2" w:rsidR="00A5704F" w:rsidP="00B77936" w:rsidRDefault="00A5704F">
            <w:pPr>
              <w:pStyle w:val="Style"/>
              <w:tabs>
                <w:tab w:val="left" w:pos="-1440"/>
              </w:tabs>
              <w:ind w:left="0" w:firstLine="0"/>
              <w:jc w:val="both"/>
              <w:rPr>
                <w:rFonts w:ascii="Arial" w:hAnsi="Arial"/>
                <w:b/>
                <w:sz w:val="22"/>
                <w:szCs w:val="22"/>
              </w:rPr>
            </w:pPr>
            <w:r w:rsidRPr="002C29E2">
              <w:rPr>
                <w:rFonts w:ascii="Arial" w:hAnsi="Arial"/>
                <w:b/>
                <w:sz w:val="22"/>
                <w:szCs w:val="22"/>
              </w:rPr>
              <w:t>TIME PER</w:t>
            </w:r>
          </w:p>
          <w:p w:rsidRPr="002C29E2" w:rsidR="00A5704F" w:rsidP="00B77936" w:rsidRDefault="00A5704F">
            <w:pPr>
              <w:pStyle w:val="Style"/>
              <w:tabs>
                <w:tab w:val="left" w:pos="-1440"/>
              </w:tabs>
              <w:ind w:left="0" w:firstLine="0"/>
              <w:jc w:val="both"/>
              <w:rPr>
                <w:rFonts w:ascii="Arial" w:hAnsi="Arial"/>
                <w:sz w:val="22"/>
                <w:szCs w:val="22"/>
              </w:rPr>
            </w:pPr>
            <w:r w:rsidRPr="002C29E2">
              <w:rPr>
                <w:rFonts w:ascii="Arial" w:hAnsi="Arial"/>
                <w:b/>
                <w:sz w:val="22"/>
                <w:szCs w:val="22"/>
              </w:rPr>
              <w:t>RESPONSE</w:t>
            </w:r>
          </w:p>
        </w:tc>
      </w:tr>
      <w:tr w:rsidRPr="00B77936" w:rsidR="00A5704F" w:rsidTr="000226B7">
        <w:trPr>
          <w:jc w:val="center"/>
        </w:trPr>
        <w:tc>
          <w:tcPr>
            <w:tcW w:w="950" w:type="dxa"/>
            <w:shd w:val="clear" w:color="auto" w:fill="auto"/>
          </w:tcPr>
          <w:p w:rsidRPr="002C29E2" w:rsidR="00EE4880" w:rsidP="000226B7" w:rsidRDefault="00EE4880">
            <w:pPr>
              <w:pStyle w:val="Style"/>
              <w:tabs>
                <w:tab w:val="left" w:pos="-1440"/>
              </w:tabs>
              <w:ind w:left="0" w:firstLine="0"/>
              <w:jc w:val="center"/>
              <w:rPr>
                <w:rFonts w:ascii="Arial" w:hAnsi="Arial"/>
                <w:szCs w:val="24"/>
              </w:rPr>
            </w:pPr>
          </w:p>
          <w:p w:rsidRPr="002C29E2" w:rsidR="00A5704F" w:rsidP="000226B7" w:rsidRDefault="00A5704F">
            <w:pPr>
              <w:pStyle w:val="Style"/>
              <w:tabs>
                <w:tab w:val="left" w:pos="-1440"/>
              </w:tabs>
              <w:ind w:left="0" w:firstLine="0"/>
              <w:jc w:val="center"/>
              <w:rPr>
                <w:rFonts w:ascii="Arial" w:hAnsi="Arial"/>
                <w:szCs w:val="24"/>
              </w:rPr>
            </w:pPr>
            <w:r w:rsidRPr="002C29E2">
              <w:rPr>
                <w:rFonts w:ascii="Arial" w:hAnsi="Arial"/>
                <w:szCs w:val="24"/>
              </w:rPr>
              <w:t>7507</w:t>
            </w:r>
          </w:p>
          <w:p w:rsidRPr="002C29E2" w:rsidR="00A5704F" w:rsidP="00B77936" w:rsidRDefault="00A5704F">
            <w:pPr>
              <w:pStyle w:val="Style"/>
              <w:tabs>
                <w:tab w:val="left" w:pos="-1440"/>
              </w:tabs>
              <w:ind w:left="0" w:firstLine="0"/>
              <w:jc w:val="both"/>
              <w:rPr>
                <w:rFonts w:ascii="Arial" w:hAnsi="Arial"/>
                <w:szCs w:val="24"/>
              </w:rPr>
            </w:pPr>
          </w:p>
        </w:tc>
        <w:tc>
          <w:tcPr>
            <w:tcW w:w="1083" w:type="dxa"/>
            <w:shd w:val="clear" w:color="auto" w:fill="auto"/>
          </w:tcPr>
          <w:p w:rsidRPr="002C29E2" w:rsidR="00EE4880" w:rsidP="000226B7" w:rsidRDefault="00EE4880">
            <w:pPr>
              <w:pStyle w:val="Style"/>
              <w:tabs>
                <w:tab w:val="left" w:pos="-1440"/>
              </w:tabs>
              <w:ind w:left="0" w:firstLine="0"/>
              <w:jc w:val="center"/>
              <w:rPr>
                <w:rFonts w:ascii="Arial" w:hAnsi="Arial"/>
                <w:szCs w:val="24"/>
              </w:rPr>
            </w:pPr>
          </w:p>
          <w:p w:rsidRPr="002C29E2" w:rsidR="00A5704F" w:rsidP="000226B7" w:rsidRDefault="00BB021E">
            <w:pPr>
              <w:pStyle w:val="Style"/>
              <w:tabs>
                <w:tab w:val="left" w:pos="-1440"/>
              </w:tabs>
              <w:ind w:left="0" w:firstLine="0"/>
              <w:jc w:val="center"/>
              <w:rPr>
                <w:rFonts w:ascii="Arial" w:hAnsi="Arial"/>
                <w:szCs w:val="24"/>
              </w:rPr>
            </w:pPr>
            <w:r w:rsidRPr="002C29E2">
              <w:rPr>
                <w:rFonts w:ascii="Arial" w:hAnsi="Arial"/>
                <w:szCs w:val="24"/>
              </w:rPr>
              <w:t>110,12</w:t>
            </w:r>
            <w:r w:rsidRPr="002C29E2" w:rsidR="002177CF">
              <w:rPr>
                <w:rFonts w:ascii="Arial" w:hAnsi="Arial"/>
                <w:szCs w:val="24"/>
              </w:rPr>
              <w:t>3</w:t>
            </w:r>
          </w:p>
        </w:tc>
        <w:tc>
          <w:tcPr>
            <w:tcW w:w="2053" w:type="dxa"/>
            <w:shd w:val="clear" w:color="auto" w:fill="auto"/>
          </w:tcPr>
          <w:p w:rsidRPr="002C29E2" w:rsidR="00EE4880" w:rsidP="000226B7" w:rsidRDefault="00EE4880">
            <w:pPr>
              <w:pStyle w:val="Style"/>
              <w:tabs>
                <w:tab w:val="left" w:pos="-1440"/>
              </w:tabs>
              <w:ind w:left="0" w:firstLine="0"/>
              <w:jc w:val="center"/>
              <w:rPr>
                <w:rFonts w:ascii="Arial" w:hAnsi="Arial"/>
                <w:szCs w:val="24"/>
              </w:rPr>
            </w:pPr>
          </w:p>
          <w:p w:rsidRPr="002C29E2" w:rsidR="00A5704F" w:rsidP="000226B7" w:rsidRDefault="00A5704F">
            <w:pPr>
              <w:pStyle w:val="Style"/>
              <w:tabs>
                <w:tab w:val="left" w:pos="-1440"/>
              </w:tabs>
              <w:ind w:left="0" w:firstLine="0"/>
              <w:jc w:val="center"/>
              <w:rPr>
                <w:rFonts w:ascii="Arial" w:hAnsi="Arial"/>
                <w:szCs w:val="24"/>
              </w:rPr>
            </w:pPr>
            <w:r w:rsidRPr="002C29E2">
              <w:rPr>
                <w:rFonts w:ascii="Arial" w:hAnsi="Arial"/>
                <w:szCs w:val="24"/>
              </w:rPr>
              <w:t>500</w:t>
            </w:r>
          </w:p>
        </w:tc>
        <w:tc>
          <w:tcPr>
            <w:tcW w:w="1625" w:type="dxa"/>
            <w:shd w:val="clear" w:color="auto" w:fill="auto"/>
          </w:tcPr>
          <w:p w:rsidRPr="002C29E2" w:rsidR="00EE4880" w:rsidP="000226B7" w:rsidRDefault="00EE4880">
            <w:pPr>
              <w:pStyle w:val="Style"/>
              <w:tabs>
                <w:tab w:val="left" w:pos="-1440"/>
              </w:tabs>
              <w:ind w:left="0" w:firstLine="0"/>
              <w:jc w:val="center"/>
              <w:rPr>
                <w:rFonts w:ascii="Arial" w:hAnsi="Arial"/>
                <w:szCs w:val="24"/>
              </w:rPr>
            </w:pPr>
          </w:p>
          <w:p w:rsidRPr="002C29E2" w:rsidR="00A5704F" w:rsidP="000226B7" w:rsidRDefault="00A5704F">
            <w:pPr>
              <w:pStyle w:val="Style"/>
              <w:tabs>
                <w:tab w:val="left" w:pos="-1440"/>
              </w:tabs>
              <w:ind w:left="0" w:firstLine="0"/>
              <w:jc w:val="center"/>
              <w:rPr>
                <w:rFonts w:ascii="Arial" w:hAnsi="Arial"/>
                <w:szCs w:val="24"/>
              </w:rPr>
            </w:pPr>
            <w:r w:rsidRPr="002C29E2">
              <w:rPr>
                <w:rFonts w:ascii="Arial" w:hAnsi="Arial"/>
                <w:szCs w:val="24"/>
              </w:rPr>
              <w:t>2</w:t>
            </w:r>
            <w:r w:rsidRPr="002C29E2" w:rsidR="003E0817">
              <w:rPr>
                <w:rFonts w:ascii="Arial" w:hAnsi="Arial"/>
                <w:szCs w:val="24"/>
              </w:rPr>
              <w:t>,</w:t>
            </w:r>
            <w:r w:rsidRPr="002C29E2" w:rsidR="000226B7">
              <w:rPr>
                <w:rFonts w:ascii="Arial" w:hAnsi="Arial"/>
                <w:szCs w:val="24"/>
              </w:rPr>
              <w:t>644</w:t>
            </w:r>
          </w:p>
        </w:tc>
        <w:tc>
          <w:tcPr>
            <w:tcW w:w="2078" w:type="dxa"/>
            <w:shd w:val="clear" w:color="auto" w:fill="auto"/>
          </w:tcPr>
          <w:p w:rsidRPr="002C29E2" w:rsidR="00EE4880" w:rsidP="000226B7" w:rsidRDefault="00EE4880">
            <w:pPr>
              <w:pStyle w:val="Style"/>
              <w:tabs>
                <w:tab w:val="left" w:pos="-1440"/>
              </w:tabs>
              <w:ind w:left="0" w:firstLine="0"/>
              <w:jc w:val="center"/>
              <w:rPr>
                <w:rFonts w:ascii="Arial" w:hAnsi="Arial"/>
                <w:szCs w:val="24"/>
              </w:rPr>
            </w:pPr>
          </w:p>
          <w:p w:rsidRPr="002C29E2" w:rsidR="00A5704F" w:rsidP="000226B7" w:rsidRDefault="000226B7">
            <w:pPr>
              <w:pStyle w:val="Style"/>
              <w:tabs>
                <w:tab w:val="left" w:pos="-1440"/>
              </w:tabs>
              <w:ind w:left="0" w:firstLine="0"/>
              <w:jc w:val="center"/>
              <w:rPr>
                <w:rFonts w:ascii="Arial" w:hAnsi="Arial"/>
                <w:szCs w:val="24"/>
              </w:rPr>
            </w:pPr>
            <w:r w:rsidRPr="002C29E2">
              <w:rPr>
                <w:rFonts w:ascii="Arial" w:hAnsi="Arial"/>
                <w:szCs w:val="24"/>
              </w:rPr>
              <w:t>1,322,000</w:t>
            </w:r>
          </w:p>
        </w:tc>
        <w:tc>
          <w:tcPr>
            <w:tcW w:w="1787" w:type="dxa"/>
            <w:shd w:val="clear" w:color="auto" w:fill="auto"/>
          </w:tcPr>
          <w:p w:rsidRPr="002C29E2" w:rsidR="00EE4880" w:rsidP="00B77936" w:rsidRDefault="00EE4880">
            <w:pPr>
              <w:pStyle w:val="Style"/>
              <w:tabs>
                <w:tab w:val="left" w:pos="-1440"/>
              </w:tabs>
              <w:ind w:left="0" w:firstLine="0"/>
              <w:jc w:val="both"/>
              <w:rPr>
                <w:rFonts w:ascii="Arial" w:hAnsi="Arial"/>
                <w:szCs w:val="24"/>
              </w:rPr>
            </w:pPr>
          </w:p>
          <w:p w:rsidRPr="002C29E2" w:rsidR="00A5704F" w:rsidP="00B77936" w:rsidRDefault="001109E2">
            <w:pPr>
              <w:pStyle w:val="Style"/>
              <w:tabs>
                <w:tab w:val="left" w:pos="-1440"/>
              </w:tabs>
              <w:ind w:left="0" w:firstLine="0"/>
              <w:jc w:val="both"/>
              <w:rPr>
                <w:rFonts w:ascii="Arial" w:hAnsi="Arial"/>
                <w:szCs w:val="24"/>
              </w:rPr>
            </w:pPr>
            <w:r w:rsidRPr="002C29E2">
              <w:rPr>
                <w:rFonts w:ascii="Arial" w:hAnsi="Arial"/>
                <w:szCs w:val="24"/>
              </w:rPr>
              <w:t>5</w:t>
            </w:r>
            <w:r w:rsidRPr="002C29E2" w:rsidR="00A5704F">
              <w:rPr>
                <w:rFonts w:ascii="Arial" w:hAnsi="Arial"/>
                <w:szCs w:val="24"/>
              </w:rPr>
              <w:t xml:space="preserve"> minutes </w:t>
            </w:r>
          </w:p>
          <w:p w:rsidRPr="00B77936" w:rsidR="0092726A" w:rsidP="00B77936" w:rsidRDefault="0092726A">
            <w:pPr>
              <w:pStyle w:val="Style"/>
              <w:tabs>
                <w:tab w:val="left" w:pos="-1440"/>
              </w:tabs>
              <w:ind w:left="0" w:firstLine="0"/>
              <w:jc w:val="both"/>
              <w:rPr>
                <w:rFonts w:ascii="Arial" w:hAnsi="Arial"/>
                <w:szCs w:val="24"/>
              </w:rPr>
            </w:pPr>
            <w:r w:rsidRPr="002C29E2">
              <w:rPr>
                <w:rFonts w:ascii="Arial" w:hAnsi="Arial"/>
                <w:szCs w:val="24"/>
              </w:rPr>
              <w:t>(.083</w:t>
            </w:r>
            <w:r w:rsidRPr="002C29E2" w:rsidR="00A06FB1">
              <w:rPr>
                <w:rFonts w:ascii="Arial" w:hAnsi="Arial"/>
                <w:szCs w:val="24"/>
              </w:rPr>
              <w:t>3</w:t>
            </w:r>
            <w:r w:rsidRPr="002C29E2">
              <w:rPr>
                <w:rFonts w:ascii="Arial" w:hAnsi="Arial"/>
                <w:szCs w:val="24"/>
              </w:rPr>
              <w:t xml:space="preserve"> hours)</w:t>
            </w:r>
          </w:p>
          <w:p w:rsidRPr="00B77936" w:rsidR="00A5704F" w:rsidP="00B77936" w:rsidRDefault="00A5704F">
            <w:pPr>
              <w:pStyle w:val="Style"/>
              <w:tabs>
                <w:tab w:val="left" w:pos="-1440"/>
              </w:tabs>
              <w:ind w:left="0" w:firstLine="0"/>
              <w:jc w:val="both"/>
              <w:rPr>
                <w:rFonts w:ascii="Arial" w:hAnsi="Arial"/>
                <w:szCs w:val="24"/>
              </w:rPr>
            </w:pPr>
          </w:p>
        </w:tc>
      </w:tr>
    </w:tbl>
    <w:p w:rsidR="00A5704F" w:rsidP="00A5704F" w:rsidRDefault="00A5704F">
      <w:pPr>
        <w:jc w:val="both"/>
        <w:rPr>
          <w:rFonts w:ascii="Arial" w:hAnsi="Arial"/>
        </w:rPr>
      </w:pPr>
      <w:r>
        <w:rPr>
          <w:rFonts w:ascii="Arial" w:hAnsi="Arial"/>
        </w:rPr>
        <w:lastRenderedPageBreak/>
        <w:t xml:space="preserve">      </w:t>
      </w:r>
    </w:p>
    <w:p w:rsidR="00A5704F" w:rsidP="00A5704F" w:rsidRDefault="00A5704F">
      <w:pPr>
        <w:tabs>
          <w:tab w:val="left" w:pos="-1440"/>
        </w:tabs>
        <w:ind w:left="720" w:hanging="720"/>
        <w:jc w:val="both"/>
        <w:rPr>
          <w:rFonts w:ascii="Arial" w:hAnsi="Arial"/>
          <w:b/>
          <w:bCs/>
          <w:szCs w:val="24"/>
        </w:rPr>
      </w:pPr>
      <w:r>
        <w:rPr>
          <w:rFonts w:ascii="Arial" w:hAnsi="Arial" w:cs="Arial"/>
          <w:b/>
          <w:bCs/>
          <w:color w:val="000000"/>
        </w:rPr>
        <w:tab/>
      </w:r>
      <w:r>
        <w:rPr>
          <w:rFonts w:ascii="Arial" w:hAnsi="Arial"/>
          <w:b/>
          <w:bCs/>
          <w:szCs w:val="24"/>
        </w:rPr>
        <w:t>Public Cost</w:t>
      </w:r>
    </w:p>
    <w:p w:rsidRPr="00830DB8" w:rsidR="00830DB8" w:rsidP="00830DB8" w:rsidRDefault="00A5704F">
      <w:pPr>
        <w:tabs>
          <w:tab w:val="left" w:pos="-1440"/>
        </w:tabs>
        <w:ind w:left="720" w:hanging="720"/>
        <w:jc w:val="both"/>
        <w:rPr>
          <w:rFonts w:ascii="Arial" w:hAnsi="Arial"/>
          <w:b/>
          <w:bCs/>
          <w:szCs w:val="24"/>
        </w:rPr>
      </w:pPr>
      <w:r>
        <w:rPr>
          <w:rFonts w:ascii="Arial" w:hAnsi="Arial"/>
          <w:b/>
          <w:bCs/>
          <w:szCs w:val="24"/>
        </w:rPr>
        <w:tab/>
      </w:r>
    </w:p>
    <w:p w:rsidRPr="002C29E2" w:rsidR="002C29E2" w:rsidP="002C29E2" w:rsidRDefault="002C29E2">
      <w:pPr>
        <w:tabs>
          <w:tab w:val="left" w:pos="-1440"/>
        </w:tabs>
        <w:ind w:left="720" w:hanging="720"/>
        <w:jc w:val="both"/>
        <w:rPr>
          <w:rFonts w:ascii="Arial" w:hAnsi="Arial"/>
          <w:vertAlign w:val="superscript"/>
        </w:rPr>
      </w:pPr>
      <w:r>
        <w:rPr>
          <w:rFonts w:ascii="Arial" w:hAnsi="Arial"/>
        </w:rPr>
        <w:tab/>
      </w:r>
      <w:r w:rsidRPr="002C29E2">
        <w:rPr>
          <w:rFonts w:ascii="Arial" w:hAnsi="Arial"/>
        </w:rPr>
        <w:t xml:space="preserve">The estimated cost to the respondents is </w:t>
      </w:r>
      <w:r w:rsidR="007D36FB">
        <w:rPr>
          <w:rFonts w:ascii="Arial" w:hAnsi="Arial"/>
        </w:rPr>
        <w:t>$9,397,897</w:t>
      </w:r>
      <w:r w:rsidRPr="002C29E2">
        <w:rPr>
          <w:rFonts w:ascii="Arial" w:hAnsi="Arial"/>
        </w:rPr>
        <w:t>.  This is based on the estimated burden hours (</w:t>
      </w:r>
      <w:r>
        <w:rPr>
          <w:rFonts w:ascii="Arial" w:hAnsi="Arial"/>
        </w:rPr>
        <w:t>110,123</w:t>
      </w:r>
      <w:r w:rsidRPr="002C29E2">
        <w:rPr>
          <w:rFonts w:ascii="Arial" w:hAnsi="Arial"/>
        </w:rPr>
        <w:t xml:space="preserve">) multiplied by the average loaded hourly wage rate for aircraft pilots ($85.34).  CBP calculated this loaded wage rate by first multiplying the Bureau of Labor Statistics’ (BLS) 2018 </w:t>
      </w:r>
      <w:r w:rsidRPr="002C29E2">
        <w:rPr>
          <w:rFonts w:ascii="Arial" w:hAnsi="Arial"/>
          <w:bCs/>
        </w:rPr>
        <w:t>annual median wage rate, converted to an hourly rate, for Aircraft Pilots and Flight Engineers ($55.61), which CBP assumes best represents the wage for aircraft pilots, by the ratio of BLS’ average 2018 total compensation to wages and salaries for Transportation and Material Moving occupations (</w:t>
      </w:r>
      <w:r w:rsidRPr="002C29E2">
        <w:rPr>
          <w:rFonts w:ascii="Arial" w:hAnsi="Arial"/>
        </w:rPr>
        <w:t>1.5346</w:t>
      </w:r>
      <w:r w:rsidRPr="002C29E2">
        <w:rPr>
          <w:rFonts w:ascii="Arial" w:hAnsi="Arial"/>
          <w:bCs/>
        </w:rPr>
        <w:t xml:space="preserve">), the assumed occupational group for aircraft pilots, </w:t>
      </w:r>
      <w:r w:rsidRPr="002C29E2">
        <w:rPr>
          <w:rFonts w:ascii="Arial" w:hAnsi="Arial"/>
        </w:rPr>
        <w:t>to account for non-salary employee benefits</w:t>
      </w:r>
      <w:r w:rsidRPr="002C29E2">
        <w:rPr>
          <w:rFonts w:ascii="Arial" w:hAnsi="Arial"/>
          <w:bCs/>
        </w:rPr>
        <w:t>.</w:t>
      </w:r>
      <w:r w:rsidRPr="002C29E2">
        <w:rPr>
          <w:rFonts w:ascii="Arial" w:hAnsi="Arial"/>
          <w:vertAlign w:val="superscript"/>
        </w:rPr>
        <w:footnoteReference w:id="2"/>
      </w:r>
      <w:r w:rsidRPr="002C29E2">
        <w:rPr>
          <w:rFonts w:ascii="Arial" w:hAnsi="Arial"/>
          <w:vertAlign w:val="superscript"/>
        </w:rPr>
        <w:t>,</w:t>
      </w:r>
      <w:r w:rsidRPr="002C29E2">
        <w:rPr>
          <w:rFonts w:ascii="Arial" w:hAnsi="Arial"/>
          <w:vertAlign w:val="superscript"/>
        </w:rPr>
        <w:footnoteReference w:id="3"/>
      </w:r>
      <w:r w:rsidRPr="002C29E2">
        <w:rPr>
          <w:rFonts w:ascii="Arial" w:hAnsi="Arial"/>
          <w:vertAlign w:val="superscript"/>
        </w:rPr>
        <w:t xml:space="preserve">  </w:t>
      </w:r>
      <w:r w:rsidRPr="002C29E2">
        <w:rPr>
          <w:rFonts w:ascii="Arial" w:hAnsi="Arial"/>
        </w:rPr>
        <w:t>This figure is in 2018 U.S. dollars and CBP assumes an annual growth rate of 0 percent; the 2018 U.S. dollar value is equal to the 2019 U.S. dollar value.</w:t>
      </w:r>
    </w:p>
    <w:p w:rsidR="003A6D78" w:rsidP="008C03E0" w:rsidRDefault="003A6D78">
      <w:pPr>
        <w:tabs>
          <w:tab w:val="left" w:pos="-1440"/>
        </w:tabs>
        <w:ind w:left="720" w:hanging="720"/>
        <w:jc w:val="both"/>
        <w:rPr>
          <w:rFonts w:ascii="Arial" w:hAnsi="Arial"/>
          <w:b/>
          <w:bCs/>
        </w:rPr>
      </w:pPr>
    </w:p>
    <w:p w:rsidRPr="00BB021E" w:rsidR="008C03E0" w:rsidP="008C03E0" w:rsidRDefault="008C03E0">
      <w:pPr>
        <w:tabs>
          <w:tab w:val="left" w:pos="-1440"/>
        </w:tabs>
        <w:ind w:left="720" w:hanging="720"/>
        <w:jc w:val="both"/>
        <w:rPr>
          <w:rFonts w:ascii="Arial" w:hAnsi="Arial"/>
        </w:rPr>
      </w:pPr>
      <w:r w:rsidRPr="00BB021E">
        <w:rPr>
          <w:rFonts w:ascii="Arial" w:hAnsi="Arial"/>
          <w:b/>
          <w:bCs/>
        </w:rPr>
        <w:t>13.</w:t>
      </w:r>
      <w:r w:rsidRPr="00BB021E">
        <w:rPr>
          <w:rFonts w:ascii="Arial" w:hAnsi="Arial"/>
        </w:rPr>
        <w:tab/>
      </w:r>
      <w:r w:rsidRPr="00BB021E">
        <w:rPr>
          <w:rFonts w:ascii="Arial" w:hAnsi="Arial" w:cs="Arial"/>
          <w:b/>
          <w:bCs/>
        </w:rPr>
        <w:t xml:space="preserve">Provide an estimate of the total annual cost burden to respondents or </w:t>
      </w:r>
      <w:r w:rsidR="0075081D">
        <w:rPr>
          <w:rFonts w:ascii="Arial" w:hAnsi="Arial" w:cs="Arial"/>
          <w:b/>
          <w:bCs/>
        </w:rPr>
        <w:t>record</w:t>
      </w:r>
      <w:r w:rsidRPr="00BB021E" w:rsidR="0075081D">
        <w:rPr>
          <w:rFonts w:ascii="Arial" w:hAnsi="Arial" w:cs="Arial"/>
          <w:b/>
          <w:bCs/>
        </w:rPr>
        <w:t>keepers</w:t>
      </w:r>
      <w:r w:rsidRPr="00BB021E">
        <w:rPr>
          <w:rFonts w:ascii="Arial" w:hAnsi="Arial" w:cs="Arial"/>
          <w:b/>
          <w:bCs/>
        </w:rPr>
        <w:t xml:space="preserve"> resulting from the collection of information.</w:t>
      </w:r>
      <w:r w:rsidRPr="00BB021E">
        <w:rPr>
          <w:rFonts w:ascii="Arial" w:hAnsi="Arial"/>
        </w:rPr>
        <w:tab/>
      </w:r>
    </w:p>
    <w:p w:rsidRPr="00BB021E" w:rsidR="008C03E0" w:rsidP="008C03E0" w:rsidRDefault="008C03E0">
      <w:pPr>
        <w:ind w:left="720"/>
        <w:jc w:val="both"/>
        <w:rPr>
          <w:rFonts w:ascii="Arial" w:hAnsi="Arial"/>
        </w:rPr>
      </w:pPr>
    </w:p>
    <w:p w:rsidRPr="00BB021E" w:rsidR="008C03E0" w:rsidP="008C03E0" w:rsidRDefault="008C03E0">
      <w:pPr>
        <w:ind w:left="720"/>
        <w:jc w:val="both"/>
        <w:rPr>
          <w:rFonts w:ascii="Arial" w:hAnsi="Arial"/>
        </w:rPr>
      </w:pPr>
      <w:r w:rsidRPr="00BB021E">
        <w:rPr>
          <w:rFonts w:ascii="Arial" w:hAnsi="Arial"/>
        </w:rPr>
        <w:t>There are no recordkeeping, capitalization or start-up costs associated with this collection.</w:t>
      </w:r>
    </w:p>
    <w:p w:rsidRPr="00BB021E" w:rsidR="007655B1" w:rsidRDefault="007655B1">
      <w:pPr>
        <w:jc w:val="both"/>
        <w:rPr>
          <w:rFonts w:ascii="Arial" w:hAnsi="Arial"/>
        </w:rPr>
      </w:pPr>
    </w:p>
    <w:p w:rsidRPr="00BB021E" w:rsidR="00711C39" w:rsidP="004B650C" w:rsidRDefault="00711C39">
      <w:pPr>
        <w:numPr>
          <w:ilvl w:val="0"/>
          <w:numId w:val="3"/>
        </w:numPr>
        <w:tabs>
          <w:tab w:val="left" w:pos="-1440"/>
        </w:tabs>
        <w:ind w:hanging="720"/>
        <w:jc w:val="both"/>
        <w:rPr>
          <w:rFonts w:ascii="Arial" w:hAnsi="Arial" w:cs="Arial"/>
          <w:b/>
          <w:bCs/>
        </w:rPr>
      </w:pPr>
      <w:r w:rsidRPr="00BB021E">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B021E" w:rsidR="00830DB8" w:rsidP="00830DB8" w:rsidRDefault="00711C39">
      <w:pPr>
        <w:tabs>
          <w:tab w:val="left" w:pos="-1440"/>
        </w:tabs>
        <w:jc w:val="both"/>
        <w:rPr>
          <w:rFonts w:ascii="Arial" w:hAnsi="Arial" w:cs="Arial"/>
          <w:b/>
          <w:bCs/>
        </w:rPr>
      </w:pPr>
      <w:r w:rsidRPr="00BB021E">
        <w:rPr>
          <w:rFonts w:ascii="Arial" w:hAnsi="Arial" w:cs="Arial"/>
          <w:b/>
          <w:bCs/>
        </w:rPr>
        <w:tab/>
      </w:r>
    </w:p>
    <w:p w:rsidRPr="00901DDF" w:rsidR="00901DDF" w:rsidP="00901DDF" w:rsidRDefault="00901DDF">
      <w:pPr>
        <w:tabs>
          <w:tab w:val="left" w:pos="-1440"/>
        </w:tabs>
        <w:ind w:left="720" w:hanging="720"/>
        <w:jc w:val="both"/>
        <w:rPr>
          <w:rFonts w:ascii="Arial" w:hAnsi="Arial"/>
        </w:rPr>
      </w:pPr>
      <w:r>
        <w:rPr>
          <w:rFonts w:ascii="Arial" w:hAnsi="Arial"/>
        </w:rPr>
        <w:tab/>
      </w:r>
      <w:r w:rsidRPr="00901DDF">
        <w:rPr>
          <w:rFonts w:ascii="Arial" w:hAnsi="Arial"/>
        </w:rPr>
        <w:t xml:space="preserve">The estimated annual cost to the Federal Government associated with the review of these </w:t>
      </w:r>
      <w:r>
        <w:rPr>
          <w:rFonts w:ascii="Arial" w:hAnsi="Arial"/>
        </w:rPr>
        <w:t>records</w:t>
      </w:r>
      <w:r w:rsidRPr="00901DDF">
        <w:rPr>
          <w:rFonts w:ascii="Arial" w:hAnsi="Arial"/>
        </w:rPr>
        <w:t xml:space="preserve"> is </w:t>
      </w:r>
      <w:r>
        <w:rPr>
          <w:rFonts w:ascii="Arial" w:hAnsi="Arial"/>
        </w:rPr>
        <w:t>$14,668,172</w:t>
      </w:r>
      <w:r w:rsidRPr="00901DDF">
        <w:rPr>
          <w:rFonts w:ascii="Arial" w:hAnsi="Arial"/>
        </w:rPr>
        <w:t xml:space="preserve">. This is based on the number of responses that must be reviewed </w:t>
      </w:r>
      <w:r>
        <w:rPr>
          <w:rFonts w:ascii="Arial" w:hAnsi="Arial"/>
        </w:rPr>
        <w:t>(1,322,000</w:t>
      </w:r>
      <w:r w:rsidRPr="00901DDF">
        <w:rPr>
          <w:rFonts w:ascii="Arial" w:hAnsi="Arial"/>
        </w:rPr>
        <w:t>) multiplied by the time burden to review and process each response (</w:t>
      </w:r>
      <w:r>
        <w:rPr>
          <w:rFonts w:ascii="Arial" w:hAnsi="Arial"/>
        </w:rPr>
        <w:t>10 minutes or 0.166</w:t>
      </w:r>
      <w:r w:rsidRPr="00901DDF">
        <w:rPr>
          <w:rFonts w:ascii="Arial" w:hAnsi="Arial"/>
        </w:rPr>
        <w:t xml:space="preserve"> hours) = </w:t>
      </w:r>
      <w:r>
        <w:rPr>
          <w:rFonts w:ascii="Arial" w:hAnsi="Arial"/>
        </w:rPr>
        <w:t>219,452</w:t>
      </w:r>
      <w:r w:rsidRPr="00901DDF">
        <w:rPr>
          <w:rFonts w:ascii="Arial" w:hAnsi="Arial"/>
        </w:rPr>
        <w:t xml:space="preserve"> hours multiplied by the average </w:t>
      </w:r>
      <w:r w:rsidRPr="00901DDF">
        <w:rPr>
          <w:rFonts w:ascii="Arial" w:hAnsi="Arial"/>
        </w:rPr>
        <w:lastRenderedPageBreak/>
        <w:t>hourly loaded rate for a CBP Officer ($66.84)</w:t>
      </w:r>
      <w:r w:rsidRPr="00901DDF">
        <w:rPr>
          <w:rFonts w:ascii="Arial" w:hAnsi="Arial"/>
          <w:vertAlign w:val="superscript"/>
        </w:rPr>
        <w:footnoteReference w:id="4"/>
      </w:r>
      <w:r w:rsidRPr="00901DDF">
        <w:rPr>
          <w:rFonts w:ascii="Arial" w:hAnsi="Arial"/>
        </w:rPr>
        <w:t xml:space="preserve"> = </w:t>
      </w:r>
      <w:r>
        <w:rPr>
          <w:rFonts w:ascii="Arial" w:hAnsi="Arial"/>
        </w:rPr>
        <w:t>$14,668,172</w:t>
      </w:r>
      <w:r w:rsidRPr="00901DDF">
        <w:rPr>
          <w:rFonts w:ascii="Arial" w:hAnsi="Arial"/>
        </w:rPr>
        <w:t>.</w:t>
      </w:r>
    </w:p>
    <w:p w:rsidR="00711C39" w:rsidRDefault="00291DC4">
      <w:pPr>
        <w:tabs>
          <w:tab w:val="left" w:pos="-1440"/>
        </w:tabs>
        <w:ind w:left="720" w:hanging="720"/>
        <w:jc w:val="both"/>
        <w:rPr>
          <w:rFonts w:ascii="Arial" w:hAnsi="Arial"/>
        </w:rPr>
      </w:pPr>
      <w:r>
        <w:rPr>
          <w:rFonts w:ascii="Arial" w:hAnsi="Arial"/>
        </w:rPr>
        <w:tab/>
      </w:r>
    </w:p>
    <w:p w:rsidR="0011507E" w:rsidP="0011507E" w:rsidRDefault="0011507E">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11507E" w:rsidP="0011507E" w:rsidRDefault="0011507E">
      <w:pPr>
        <w:tabs>
          <w:tab w:val="left" w:pos="-1440"/>
        </w:tabs>
        <w:ind w:left="720" w:hanging="720"/>
        <w:jc w:val="both"/>
        <w:rPr>
          <w:rFonts w:ascii="Arial" w:hAnsi="Arial"/>
        </w:rPr>
      </w:pPr>
    </w:p>
    <w:p w:rsidR="00BB3345" w:rsidP="00BB3345" w:rsidRDefault="0011507E">
      <w:pPr>
        <w:ind w:left="720"/>
        <w:jc w:val="both"/>
        <w:rPr>
          <w:rFonts w:ascii="Arial" w:hAnsi="Arial" w:cs="Arial"/>
        </w:rPr>
      </w:pPr>
      <w:r w:rsidRPr="00BB3345">
        <w:rPr>
          <w:rFonts w:ascii="Arial" w:hAnsi="Arial" w:cs="Arial"/>
        </w:rPr>
        <w:t>There has been</w:t>
      </w:r>
      <w:r w:rsidRPr="00BB3345" w:rsidR="00BB3345">
        <w:rPr>
          <w:rFonts w:ascii="Arial" w:hAnsi="Arial" w:cs="Arial"/>
        </w:rPr>
        <w:t xml:space="preserve"> no</w:t>
      </w:r>
      <w:r w:rsidRPr="00BB3345" w:rsidR="000226B7">
        <w:rPr>
          <w:rFonts w:ascii="Arial" w:hAnsi="Arial" w:cs="Arial"/>
        </w:rPr>
        <w:t xml:space="preserve"> increase</w:t>
      </w:r>
      <w:r w:rsidRPr="00BB3345">
        <w:rPr>
          <w:rFonts w:ascii="Arial" w:hAnsi="Arial" w:cs="Arial"/>
        </w:rPr>
        <w:t xml:space="preserve"> </w:t>
      </w:r>
      <w:r w:rsidRPr="00BB3345" w:rsidR="00BB3345">
        <w:rPr>
          <w:rFonts w:ascii="Arial" w:hAnsi="Arial" w:cs="Arial"/>
        </w:rPr>
        <w:t xml:space="preserve">or decrease </w:t>
      </w:r>
      <w:r w:rsidRPr="00BB3345">
        <w:rPr>
          <w:rFonts w:ascii="Arial" w:hAnsi="Arial" w:cs="Arial"/>
        </w:rPr>
        <w:t>in the estimated annual burden hours previously reported for this information collection</w:t>
      </w:r>
      <w:r w:rsidRPr="00BB3345" w:rsidR="00BB3345">
        <w:rPr>
          <w:rFonts w:ascii="Arial" w:hAnsi="Arial" w:cs="Arial"/>
        </w:rPr>
        <w:t>.</w:t>
      </w:r>
      <w:r w:rsidRPr="00BB3345" w:rsidR="003D7BD2">
        <w:rPr>
          <w:rFonts w:ascii="Arial" w:hAnsi="Arial" w:cs="Arial"/>
        </w:rPr>
        <w:t xml:space="preserve"> </w:t>
      </w:r>
      <w:r w:rsidR="000F54D5">
        <w:rPr>
          <w:rFonts w:ascii="Arial" w:hAnsi="Arial" w:cs="Arial"/>
        </w:rPr>
        <w:t xml:space="preserve">There is no change to the information being collected. </w:t>
      </w:r>
    </w:p>
    <w:p w:rsidR="0011507E" w:rsidP="00BB3345" w:rsidRDefault="0011507E">
      <w:pPr>
        <w:ind w:left="720"/>
        <w:jc w:val="both"/>
        <w:rPr>
          <w:rFonts w:ascii="Arial" w:hAnsi="Arial"/>
        </w:rPr>
      </w:pPr>
      <w:r>
        <w:rPr>
          <w:rFonts w:ascii="Arial" w:hAnsi="Arial"/>
        </w:rPr>
        <w:t xml:space="preserve"> </w:t>
      </w:r>
    </w:p>
    <w:p w:rsidR="0011507E" w:rsidP="0011507E" w:rsidRDefault="0011507E">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1507E" w:rsidP="0011507E" w:rsidRDefault="0011507E">
      <w:pPr>
        <w:jc w:val="both"/>
        <w:rPr>
          <w:rFonts w:ascii="Arial" w:hAnsi="Arial"/>
        </w:rPr>
      </w:pPr>
    </w:p>
    <w:p w:rsidR="0011507E" w:rsidP="0011507E" w:rsidRDefault="0011507E">
      <w:pPr>
        <w:ind w:firstLine="720"/>
        <w:jc w:val="both"/>
        <w:rPr>
          <w:rFonts w:ascii="Arial" w:hAnsi="Arial"/>
        </w:rPr>
      </w:pPr>
      <w:r>
        <w:rPr>
          <w:rFonts w:ascii="Arial" w:hAnsi="Arial"/>
        </w:rPr>
        <w:t>This information collection will not be published for statistical purposes.</w:t>
      </w:r>
    </w:p>
    <w:p w:rsidR="0011507E" w:rsidP="0011507E" w:rsidRDefault="0011507E">
      <w:pPr>
        <w:jc w:val="both"/>
        <w:rPr>
          <w:rFonts w:ascii="Arial" w:hAnsi="Arial"/>
          <w:b/>
        </w:rPr>
      </w:pPr>
    </w:p>
    <w:p w:rsidR="0011507E" w:rsidP="0011507E" w:rsidRDefault="0011507E">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11507E" w:rsidP="0011507E" w:rsidRDefault="0011507E">
      <w:pPr>
        <w:jc w:val="both"/>
        <w:rPr>
          <w:rFonts w:ascii="Arial" w:hAnsi="Arial" w:cs="Arial"/>
          <w:b/>
          <w:bCs/>
        </w:rPr>
      </w:pPr>
    </w:p>
    <w:p w:rsidR="0011507E" w:rsidP="0011507E" w:rsidRDefault="0011507E">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11507E" w:rsidP="0011507E" w:rsidRDefault="0011507E">
      <w:pPr>
        <w:tabs>
          <w:tab w:val="left" w:pos="-1440"/>
        </w:tabs>
        <w:ind w:left="720" w:hanging="720"/>
        <w:jc w:val="both"/>
        <w:rPr>
          <w:rFonts w:ascii="Arial" w:hAnsi="Arial"/>
        </w:rPr>
      </w:pPr>
      <w:r>
        <w:rPr>
          <w:rFonts w:ascii="Arial" w:hAnsi="Arial"/>
        </w:rPr>
        <w:t xml:space="preserve">                      </w:t>
      </w:r>
    </w:p>
    <w:p w:rsidR="0011507E" w:rsidP="005D48C8" w:rsidRDefault="0011507E">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5D48C8">
        <w:rPr>
          <w:rFonts w:ascii="Arial" w:hAnsi="Arial" w:cs="Arial"/>
          <w:b/>
          <w:bCs/>
        </w:rPr>
        <w:t>.</w:t>
      </w:r>
      <w:r>
        <w:rPr>
          <w:rFonts w:ascii="Arial" w:hAnsi="Arial" w:cs="Arial"/>
          <w:b/>
          <w:bCs/>
        </w:rPr>
        <w:t xml:space="preserve"> </w:t>
      </w:r>
    </w:p>
    <w:p w:rsidR="0011507E" w:rsidP="0011507E" w:rsidRDefault="0011507E">
      <w:pPr>
        <w:jc w:val="both"/>
        <w:rPr>
          <w:rFonts w:ascii="Arial" w:hAnsi="Arial"/>
        </w:rPr>
      </w:pPr>
    </w:p>
    <w:p w:rsidR="0011507E" w:rsidP="0011507E" w:rsidRDefault="0011507E">
      <w:pPr>
        <w:ind w:left="720"/>
        <w:jc w:val="both"/>
        <w:rPr>
          <w:rFonts w:ascii="Arial" w:hAnsi="Arial"/>
        </w:rPr>
      </w:pPr>
      <w:r>
        <w:rPr>
          <w:rFonts w:ascii="Arial" w:hAnsi="Arial" w:cs="Arial"/>
          <w:szCs w:val="24"/>
        </w:rPr>
        <w:t>CBP does not request an exception to the certification of this information collection.</w:t>
      </w:r>
    </w:p>
    <w:p w:rsidR="0011507E" w:rsidP="0011507E" w:rsidRDefault="0011507E">
      <w:pPr>
        <w:jc w:val="both"/>
        <w:rPr>
          <w:rFonts w:ascii="Arial" w:hAnsi="Arial"/>
        </w:rPr>
      </w:pPr>
    </w:p>
    <w:p w:rsidR="0011507E" w:rsidP="0011507E" w:rsidRDefault="0011507E">
      <w:pPr>
        <w:pStyle w:val="Heading1"/>
        <w:numPr>
          <w:ilvl w:val="0"/>
          <w:numId w:val="4"/>
        </w:numPr>
        <w:jc w:val="both"/>
      </w:pPr>
      <w:r>
        <w:t>Collection of Information Employing Statistical Methods</w:t>
      </w:r>
    </w:p>
    <w:p w:rsidR="0011507E" w:rsidP="0011507E" w:rsidRDefault="0011507E">
      <w:pPr>
        <w:jc w:val="both"/>
      </w:pPr>
    </w:p>
    <w:p w:rsidR="007655B1" w:rsidP="003A6D78" w:rsidRDefault="0011507E">
      <w:pPr>
        <w:pStyle w:val="BodyTextIndent2"/>
        <w:ind w:firstLine="360"/>
        <w:jc w:val="both"/>
        <w:rPr>
          <w:rFonts w:ascii="Arial" w:hAnsi="Arial" w:cs="Arial"/>
        </w:rPr>
      </w:pPr>
      <w:r w:rsidRPr="0011507E">
        <w:rPr>
          <w:rFonts w:ascii="Arial" w:hAnsi="Arial" w:cs="Arial"/>
        </w:rPr>
        <w:t>No statistical methods were employed.</w:t>
      </w:r>
    </w:p>
    <w:sectPr w:rsidR="007655B1">
      <w:footerReference w:type="even" r:id="rId13"/>
      <w:footerReference w:type="default" r:id="rId14"/>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1AA" w:rsidRDefault="004561AA">
      <w:r>
        <w:separator/>
      </w:r>
    </w:p>
  </w:endnote>
  <w:endnote w:type="continuationSeparator" w:id="0">
    <w:p w:rsidR="004561AA" w:rsidRDefault="004561AA">
      <w:r>
        <w:continuationSeparator/>
      </w:r>
    </w:p>
  </w:endnote>
  <w:endnote w:type="continuationNotice" w:id="1">
    <w:p w:rsidR="004561AA" w:rsidRDefault="00456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rsidP="00086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6147" w:rsidRDefault="00A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rsidP="00086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559">
      <w:rPr>
        <w:rStyle w:val="PageNumber"/>
        <w:noProof/>
      </w:rPr>
      <w:t>2</w:t>
    </w:r>
    <w:r>
      <w:rPr>
        <w:rStyle w:val="PageNumber"/>
      </w:rPr>
      <w:fldChar w:fldCharType="end"/>
    </w:r>
  </w:p>
  <w:p w:rsidR="00A66147" w:rsidRDefault="00A66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1AA" w:rsidRDefault="004561AA">
      <w:r>
        <w:separator/>
      </w:r>
    </w:p>
  </w:footnote>
  <w:footnote w:type="continuationSeparator" w:id="0">
    <w:p w:rsidR="004561AA" w:rsidRDefault="004561AA">
      <w:r>
        <w:continuationSeparator/>
      </w:r>
    </w:p>
  </w:footnote>
  <w:footnote w:type="continuationNotice" w:id="1">
    <w:p w:rsidR="004561AA" w:rsidRDefault="004561AA"/>
  </w:footnote>
  <w:footnote w:id="2">
    <w:p w:rsidR="00A66147" w:rsidRPr="00542926" w:rsidRDefault="00A66147" w:rsidP="002C29E2">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Because median hourly wage information was not available for Aircraft Pilots and Flight Engineers, CBP adjusted the annual median wage for Aircraft Pilot</w:t>
      </w:r>
      <w:r>
        <w:rPr>
          <w:rFonts w:ascii="Times New Roman" w:hAnsi="Times New Roman"/>
          <w:sz w:val="20"/>
        </w:rPr>
        <w:t xml:space="preserve">s and Flight </w:t>
      </w:r>
      <w:r w:rsidRPr="00542926">
        <w:rPr>
          <w:rFonts w:ascii="Times New Roman" w:hAnsi="Times New Roman"/>
          <w:sz w:val="20"/>
        </w:rPr>
        <w:t>Engineers ($115,670) to an</w:t>
      </w:r>
      <w:r w:rsidRPr="00D41379">
        <w:rPr>
          <w:rFonts w:ascii="Times New Roman" w:hAnsi="Times New Roman"/>
          <w:sz w:val="20"/>
        </w:rPr>
        <w:t xml:space="preserve"> hourly estimate using the standard 2,080 hours worked per year.  </w:t>
      </w:r>
      <w:r w:rsidRPr="00D41379">
        <w:rPr>
          <w:rFonts w:ascii="Times New Roman" w:hAnsi="Times New Roman"/>
          <w:sz w:val="20"/>
          <w:lang w:val="en"/>
        </w:rPr>
        <w:t>Source of median wage rate: </w:t>
      </w:r>
      <w:r w:rsidRPr="003C7003">
        <w:rPr>
          <w:rFonts w:ascii="Times New Roman" w:hAnsi="Times New Roman"/>
          <w:sz w:val="20"/>
          <w:lang w:val="en"/>
        </w:rPr>
        <w:t xml:space="preserve">U.S. Bureau of Labor Statistics.  Occupational Employment Statistics, “May 2018 National Occupational Employment and Wage </w:t>
      </w:r>
      <w:r w:rsidRPr="00542926">
        <w:rPr>
          <w:rFonts w:ascii="Times New Roman" w:hAnsi="Times New Roman"/>
          <w:sz w:val="20"/>
          <w:lang w:val="en"/>
        </w:rPr>
        <w:t xml:space="preserve">Estimates United States.”  Updated April 2, 2019.  Available at https://www.bls.gov/oes/2018/may/oes_nat.htm.  Accessed June 4, 2019. </w:t>
      </w:r>
    </w:p>
  </w:footnote>
  <w:footnote w:id="3">
    <w:p w:rsidR="00A66147" w:rsidRPr="00D41379" w:rsidRDefault="00A66147" w:rsidP="002C29E2">
      <w:pPr>
        <w:pStyle w:val="FootnoteText"/>
        <w:rPr>
          <w:rFonts w:ascii="Times New Roman" w:hAnsi="Times New Roman" w:cs="Times New Roman"/>
        </w:rPr>
      </w:pPr>
      <w:r w:rsidRPr="00542926">
        <w:rPr>
          <w:rStyle w:val="FootnoteReference"/>
          <w:rFonts w:ascii="Times New Roman" w:hAnsi="Times New Roman" w:cs="Times New Roman"/>
        </w:rPr>
        <w:footnoteRef/>
      </w:r>
      <w:r w:rsidRPr="00542926">
        <w:rPr>
          <w:rFonts w:ascii="Times New Roman" w:hAnsi="Times New Roman" w:cs="Times New Roman"/>
        </w:rPr>
        <w:t xml:space="preserve"> The </w:t>
      </w:r>
      <w:r w:rsidRPr="00542926">
        <w:rPr>
          <w:rFonts w:ascii="Times New Roman" w:hAnsi="Times New Roman" w:cs="Times New Roman"/>
          <w:lang w:val="en"/>
        </w:rPr>
        <w:t>total compensation to wages and salaries ratio is equal to the calculated average of the 2018 quarterly estimates (shown under Mar., June, Sep., Dec.) of the total compensation cost per hour worked for Transportation and Material Moving occupations ($30.0850) divided by the calculated average of the 2018 quarterly estimates (shown under Mar., June, Sep., Dec.) of wages and salaries cost per hour worked for the same occupation category ($19.6050).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4">
    <w:p w:rsidR="00A66147" w:rsidRPr="00D41379" w:rsidRDefault="00A66147" w:rsidP="00901DDF">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71BC"/>
    <w:multiLevelType w:val="hybridMultilevel"/>
    <w:tmpl w:val="64A68ED2"/>
    <w:lvl w:ilvl="0" w:tplc="28C4464C">
      <w:start w:val="3"/>
      <w:numFmt w:val="decimal"/>
      <w:lvlText w:val="%1."/>
      <w:lvlJc w:val="left"/>
      <w:pPr>
        <w:tabs>
          <w:tab w:val="num" w:pos="1350"/>
        </w:tabs>
        <w:ind w:left="1350" w:hanging="360"/>
      </w:pPr>
      <w:rPr>
        <w:rFonts w:ascii="Arial" w:hAnsi="Arial" w:cs="Arial" w:hint="default"/>
        <w:b/>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0E394E6B"/>
    <w:multiLevelType w:val="hybridMultilevel"/>
    <w:tmpl w:val="60F4D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67C3A"/>
    <w:multiLevelType w:val="hybridMultilevel"/>
    <w:tmpl w:val="14CC1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F071D8"/>
    <w:multiLevelType w:val="hybridMultilevel"/>
    <w:tmpl w:val="7FAEB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AD471C"/>
    <w:multiLevelType w:val="hybridMultilevel"/>
    <w:tmpl w:val="F9FE389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8035F"/>
    <w:multiLevelType w:val="hybridMultilevel"/>
    <w:tmpl w:val="F2008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E97E4E"/>
    <w:multiLevelType w:val="hybridMultilevel"/>
    <w:tmpl w:val="751AD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F25D00"/>
    <w:multiLevelType w:val="hybridMultilevel"/>
    <w:tmpl w:val="40B82C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9" w15:restartNumberingAfterBreak="0">
    <w:nsid w:val="3BC93DD5"/>
    <w:multiLevelType w:val="hybridMultilevel"/>
    <w:tmpl w:val="9782C9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557195"/>
    <w:multiLevelType w:val="hybridMultilevel"/>
    <w:tmpl w:val="F85A153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3950"/>
    <w:multiLevelType w:val="hybridMultilevel"/>
    <w:tmpl w:val="E8DE3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971C54"/>
    <w:multiLevelType w:val="hybridMultilevel"/>
    <w:tmpl w:val="03761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4DC27F2"/>
    <w:multiLevelType w:val="hybridMultilevel"/>
    <w:tmpl w:val="6D1A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10"/>
  </w:num>
  <w:num w:numId="5">
    <w:abstractNumId w:val="0"/>
  </w:num>
  <w:num w:numId="6">
    <w:abstractNumId w:val="4"/>
  </w:num>
  <w:num w:numId="7">
    <w:abstractNumId w:val="13"/>
  </w:num>
  <w:num w:numId="8">
    <w:abstractNumId w:val="14"/>
  </w:num>
  <w:num w:numId="9">
    <w:abstractNumId w:val="2"/>
  </w:num>
  <w:num w:numId="10">
    <w:abstractNumId w:val="3"/>
  </w:num>
  <w:num w:numId="11">
    <w:abstractNumId w:val="1"/>
  </w:num>
  <w:num w:numId="12">
    <w:abstractNumId w:val="6"/>
  </w:num>
  <w:num w:numId="13">
    <w:abstractNumId w:val="7"/>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2F0"/>
    <w:rsid w:val="00004F7B"/>
    <w:rsid w:val="000204F8"/>
    <w:rsid w:val="000226B7"/>
    <w:rsid w:val="000437A9"/>
    <w:rsid w:val="00085E1A"/>
    <w:rsid w:val="000868FD"/>
    <w:rsid w:val="000A1AB0"/>
    <w:rsid w:val="000F54D5"/>
    <w:rsid w:val="001109E2"/>
    <w:rsid w:val="0011507E"/>
    <w:rsid w:val="00121026"/>
    <w:rsid w:val="001263F4"/>
    <w:rsid w:val="0014466B"/>
    <w:rsid w:val="0019222B"/>
    <w:rsid w:val="0019357D"/>
    <w:rsid w:val="001A6132"/>
    <w:rsid w:val="001C762D"/>
    <w:rsid w:val="001C7C78"/>
    <w:rsid w:val="001E2017"/>
    <w:rsid w:val="001E6399"/>
    <w:rsid w:val="002177CF"/>
    <w:rsid w:val="00233187"/>
    <w:rsid w:val="002768BA"/>
    <w:rsid w:val="00282F99"/>
    <w:rsid w:val="00291DC4"/>
    <w:rsid w:val="002A2656"/>
    <w:rsid w:val="002A6942"/>
    <w:rsid w:val="002B1C58"/>
    <w:rsid w:val="002B49D4"/>
    <w:rsid w:val="002B54B0"/>
    <w:rsid w:val="002C1235"/>
    <w:rsid w:val="002C29E2"/>
    <w:rsid w:val="002C58BF"/>
    <w:rsid w:val="00307240"/>
    <w:rsid w:val="00312C3D"/>
    <w:rsid w:val="00316178"/>
    <w:rsid w:val="0032779F"/>
    <w:rsid w:val="003319C2"/>
    <w:rsid w:val="003528D4"/>
    <w:rsid w:val="003602C3"/>
    <w:rsid w:val="003633BD"/>
    <w:rsid w:val="00367E1A"/>
    <w:rsid w:val="00373D4A"/>
    <w:rsid w:val="003A6872"/>
    <w:rsid w:val="003A6D78"/>
    <w:rsid w:val="003B0B0E"/>
    <w:rsid w:val="003B23BB"/>
    <w:rsid w:val="003C50A2"/>
    <w:rsid w:val="003C7898"/>
    <w:rsid w:val="003D7BD2"/>
    <w:rsid w:val="003E0817"/>
    <w:rsid w:val="003E0B75"/>
    <w:rsid w:val="003F5559"/>
    <w:rsid w:val="00413108"/>
    <w:rsid w:val="004242D1"/>
    <w:rsid w:val="0042579F"/>
    <w:rsid w:val="00426319"/>
    <w:rsid w:val="004561AA"/>
    <w:rsid w:val="00470B2D"/>
    <w:rsid w:val="00471C01"/>
    <w:rsid w:val="0048781A"/>
    <w:rsid w:val="004A009B"/>
    <w:rsid w:val="004B2988"/>
    <w:rsid w:val="004B650C"/>
    <w:rsid w:val="004B7BD6"/>
    <w:rsid w:val="004D7ACE"/>
    <w:rsid w:val="004E394E"/>
    <w:rsid w:val="004E7F43"/>
    <w:rsid w:val="004F510A"/>
    <w:rsid w:val="00522428"/>
    <w:rsid w:val="00562A2D"/>
    <w:rsid w:val="00587B6F"/>
    <w:rsid w:val="00595908"/>
    <w:rsid w:val="005A4599"/>
    <w:rsid w:val="005B7180"/>
    <w:rsid w:val="005C42AE"/>
    <w:rsid w:val="005D1252"/>
    <w:rsid w:val="005D48C8"/>
    <w:rsid w:val="005E6910"/>
    <w:rsid w:val="005E7ABE"/>
    <w:rsid w:val="00616FDE"/>
    <w:rsid w:val="00620876"/>
    <w:rsid w:val="00683C40"/>
    <w:rsid w:val="00686AD5"/>
    <w:rsid w:val="00695B19"/>
    <w:rsid w:val="006A7BB3"/>
    <w:rsid w:val="006D73CE"/>
    <w:rsid w:val="006E01CE"/>
    <w:rsid w:val="006F3817"/>
    <w:rsid w:val="00711C39"/>
    <w:rsid w:val="00747EF6"/>
    <w:rsid w:val="0075081D"/>
    <w:rsid w:val="00751810"/>
    <w:rsid w:val="007655B1"/>
    <w:rsid w:val="00785477"/>
    <w:rsid w:val="00787624"/>
    <w:rsid w:val="007A3A68"/>
    <w:rsid w:val="007B0173"/>
    <w:rsid w:val="007C74B8"/>
    <w:rsid w:val="007D1138"/>
    <w:rsid w:val="007D36FB"/>
    <w:rsid w:val="007D6FB7"/>
    <w:rsid w:val="007E54A4"/>
    <w:rsid w:val="00801A9E"/>
    <w:rsid w:val="008129EB"/>
    <w:rsid w:val="00812DDE"/>
    <w:rsid w:val="0081374F"/>
    <w:rsid w:val="00817354"/>
    <w:rsid w:val="0081736B"/>
    <w:rsid w:val="00830DB8"/>
    <w:rsid w:val="00835F03"/>
    <w:rsid w:val="00870F6A"/>
    <w:rsid w:val="008A4EAC"/>
    <w:rsid w:val="008C03E0"/>
    <w:rsid w:val="008D5D21"/>
    <w:rsid w:val="008E4A22"/>
    <w:rsid w:val="008E5A86"/>
    <w:rsid w:val="008F5E61"/>
    <w:rsid w:val="00901DDF"/>
    <w:rsid w:val="009048F6"/>
    <w:rsid w:val="0092726A"/>
    <w:rsid w:val="00950DBA"/>
    <w:rsid w:val="009708AA"/>
    <w:rsid w:val="009A0533"/>
    <w:rsid w:val="009C4DE8"/>
    <w:rsid w:val="009C7897"/>
    <w:rsid w:val="009E0EE8"/>
    <w:rsid w:val="009E295F"/>
    <w:rsid w:val="00A06FB1"/>
    <w:rsid w:val="00A13522"/>
    <w:rsid w:val="00A25F09"/>
    <w:rsid w:val="00A265EB"/>
    <w:rsid w:val="00A44377"/>
    <w:rsid w:val="00A46379"/>
    <w:rsid w:val="00A5704F"/>
    <w:rsid w:val="00A63441"/>
    <w:rsid w:val="00A66147"/>
    <w:rsid w:val="00A724DE"/>
    <w:rsid w:val="00AB6ECC"/>
    <w:rsid w:val="00AC0AA4"/>
    <w:rsid w:val="00AC68D9"/>
    <w:rsid w:val="00AE1748"/>
    <w:rsid w:val="00AF1FAD"/>
    <w:rsid w:val="00B2409A"/>
    <w:rsid w:val="00B45F65"/>
    <w:rsid w:val="00B6218A"/>
    <w:rsid w:val="00B77936"/>
    <w:rsid w:val="00B81715"/>
    <w:rsid w:val="00B94FAE"/>
    <w:rsid w:val="00B951CE"/>
    <w:rsid w:val="00BA0EF5"/>
    <w:rsid w:val="00BA61AC"/>
    <w:rsid w:val="00BB021E"/>
    <w:rsid w:val="00BB3345"/>
    <w:rsid w:val="00BF03AD"/>
    <w:rsid w:val="00C35DEB"/>
    <w:rsid w:val="00C47118"/>
    <w:rsid w:val="00C61009"/>
    <w:rsid w:val="00C77885"/>
    <w:rsid w:val="00C93763"/>
    <w:rsid w:val="00CA664B"/>
    <w:rsid w:val="00CB3024"/>
    <w:rsid w:val="00CC413E"/>
    <w:rsid w:val="00CE7A70"/>
    <w:rsid w:val="00D01DD8"/>
    <w:rsid w:val="00D044FF"/>
    <w:rsid w:val="00D153BD"/>
    <w:rsid w:val="00D23974"/>
    <w:rsid w:val="00D47FF8"/>
    <w:rsid w:val="00D50436"/>
    <w:rsid w:val="00D532F0"/>
    <w:rsid w:val="00D71FD1"/>
    <w:rsid w:val="00D81089"/>
    <w:rsid w:val="00D90437"/>
    <w:rsid w:val="00D91A15"/>
    <w:rsid w:val="00DB4B1D"/>
    <w:rsid w:val="00DD0B21"/>
    <w:rsid w:val="00DF25B3"/>
    <w:rsid w:val="00DF312C"/>
    <w:rsid w:val="00E1721E"/>
    <w:rsid w:val="00E351B1"/>
    <w:rsid w:val="00E42ECC"/>
    <w:rsid w:val="00E7167C"/>
    <w:rsid w:val="00E73940"/>
    <w:rsid w:val="00E7543D"/>
    <w:rsid w:val="00E84CC3"/>
    <w:rsid w:val="00EA2EE9"/>
    <w:rsid w:val="00EB3873"/>
    <w:rsid w:val="00EC6DED"/>
    <w:rsid w:val="00EE4880"/>
    <w:rsid w:val="00F01250"/>
    <w:rsid w:val="00F051F9"/>
    <w:rsid w:val="00F073DE"/>
    <w:rsid w:val="00F25CA7"/>
    <w:rsid w:val="00F31C79"/>
    <w:rsid w:val="00F35428"/>
    <w:rsid w:val="00F50A43"/>
    <w:rsid w:val="00F51803"/>
    <w:rsid w:val="00F821CC"/>
    <w:rsid w:val="00F9159D"/>
    <w:rsid w:val="00FA5FFA"/>
    <w:rsid w:val="00FB1ED5"/>
    <w:rsid w:val="00FD640E"/>
    <w:rsid w:val="00FE74F0"/>
    <w:rsid w:val="00FF5987"/>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AE0EE83-C733-43D4-8DDC-7EE8CF9C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Default">
    <w:name w:val="Default"/>
    <w:rsid w:val="00DF25B3"/>
    <w:pPr>
      <w:autoSpaceDE w:val="0"/>
      <w:autoSpaceDN w:val="0"/>
      <w:adjustRightInd w:val="0"/>
    </w:pPr>
    <w:rPr>
      <w:rFonts w:ascii="Courier New" w:hAnsi="Courier New" w:cs="Courier New"/>
      <w:color w:val="000000"/>
      <w:sz w:val="24"/>
      <w:szCs w:val="24"/>
    </w:rPr>
  </w:style>
  <w:style w:type="paragraph" w:styleId="HTMLPreformatted">
    <w:name w:val="HTML Preformatted"/>
    <w:basedOn w:val="Default"/>
    <w:next w:val="Default"/>
    <w:rsid w:val="00DF25B3"/>
    <w:rPr>
      <w:rFonts w:cs="Times New Roman"/>
      <w:color w:val="auto"/>
    </w:rPr>
  </w:style>
  <w:style w:type="character" w:styleId="Hyperlink">
    <w:name w:val="Hyperlink"/>
    <w:rsid w:val="00835F03"/>
    <w:rPr>
      <w:color w:val="0000FF"/>
      <w:u w:val="single"/>
    </w:rPr>
  </w:style>
  <w:style w:type="paragraph" w:customStyle="1" w:styleId="Style">
    <w:name w:val="Style"/>
    <w:basedOn w:val="Normal"/>
    <w:rsid w:val="00A5704F"/>
    <w:pPr>
      <w:ind w:left="1440" w:hanging="720"/>
    </w:pPr>
    <w:rPr>
      <w:rFonts w:ascii="Times New Roman" w:hAnsi="Times New Roman"/>
    </w:rPr>
  </w:style>
  <w:style w:type="table" w:styleId="TableGrid">
    <w:name w:val="Table Grid"/>
    <w:basedOn w:val="TableNormal"/>
    <w:rsid w:val="00A570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1507E"/>
    <w:pPr>
      <w:spacing w:after="120" w:line="480" w:lineRule="auto"/>
      <w:ind w:left="360"/>
    </w:pPr>
  </w:style>
  <w:style w:type="paragraph" w:styleId="Footer">
    <w:name w:val="footer"/>
    <w:basedOn w:val="Normal"/>
    <w:rsid w:val="00751810"/>
    <w:pPr>
      <w:tabs>
        <w:tab w:val="center" w:pos="4320"/>
        <w:tab w:val="right" w:pos="8640"/>
      </w:tabs>
    </w:pPr>
  </w:style>
  <w:style w:type="character" w:styleId="PageNumber">
    <w:name w:val="page number"/>
    <w:basedOn w:val="DefaultParagraphFont"/>
    <w:rsid w:val="00751810"/>
  </w:style>
  <w:style w:type="paragraph" w:styleId="BalloonText">
    <w:name w:val="Balloon Text"/>
    <w:basedOn w:val="Normal"/>
    <w:semiHidden/>
    <w:rsid w:val="001C7C78"/>
    <w:rPr>
      <w:rFonts w:ascii="Tahoma" w:hAnsi="Tahoma" w:cs="Tahoma"/>
      <w:sz w:val="16"/>
      <w:szCs w:val="16"/>
    </w:rPr>
  </w:style>
  <w:style w:type="paragraph" w:styleId="ListParagraph">
    <w:name w:val="List Paragraph"/>
    <w:basedOn w:val="Normal"/>
    <w:uiPriority w:val="34"/>
    <w:qFormat/>
    <w:rsid w:val="006F3817"/>
    <w:pPr>
      <w:widowControl/>
      <w:ind w:left="720"/>
      <w:contextualSpacing/>
    </w:pPr>
    <w:rPr>
      <w:rFonts w:ascii="Calibri" w:eastAsia="Calibri" w:hAnsi="Calibri"/>
      <w:snapToGrid/>
      <w:sz w:val="22"/>
      <w:szCs w:val="22"/>
    </w:rPr>
  </w:style>
  <w:style w:type="character" w:styleId="FollowedHyperlink">
    <w:name w:val="FollowedHyperlink"/>
    <w:rsid w:val="004A009B"/>
    <w:rPr>
      <w:color w:val="954F72"/>
      <w:u w:val="single"/>
    </w:rPr>
  </w:style>
  <w:style w:type="paragraph" w:styleId="FootnoteText">
    <w:name w:val="footnote text"/>
    <w:basedOn w:val="Normal"/>
    <w:link w:val="FootnoteTextChar"/>
    <w:unhideWhenUsed/>
    <w:rsid w:val="00830DB8"/>
    <w:pPr>
      <w:widowControl/>
    </w:pPr>
    <w:rPr>
      <w:rFonts w:ascii="Calibri" w:eastAsia="Calibri" w:hAnsi="Calibri" w:cs="Calibri"/>
      <w:snapToGrid/>
      <w:sz w:val="20"/>
    </w:rPr>
  </w:style>
  <w:style w:type="character" w:customStyle="1" w:styleId="FootnoteTextChar">
    <w:name w:val="Footnote Text Char"/>
    <w:link w:val="FootnoteText"/>
    <w:rsid w:val="00830DB8"/>
    <w:rPr>
      <w:rFonts w:ascii="Calibri" w:eastAsia="Calibri" w:hAnsi="Calibri" w:cs="Calibri"/>
    </w:rPr>
  </w:style>
  <w:style w:type="paragraph" w:styleId="Header">
    <w:name w:val="header"/>
    <w:basedOn w:val="Normal"/>
    <w:link w:val="HeaderChar"/>
    <w:rsid w:val="003E0B75"/>
    <w:pPr>
      <w:tabs>
        <w:tab w:val="center" w:pos="4680"/>
        <w:tab w:val="right" w:pos="9360"/>
      </w:tabs>
    </w:pPr>
  </w:style>
  <w:style w:type="character" w:customStyle="1" w:styleId="HeaderChar">
    <w:name w:val="Header Char"/>
    <w:link w:val="Header"/>
    <w:rsid w:val="003E0B75"/>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59">
      <w:bodyDiv w:val="1"/>
      <w:marLeft w:val="0"/>
      <w:marRight w:val="0"/>
      <w:marTop w:val="0"/>
      <w:marBottom w:val="0"/>
      <w:divBdr>
        <w:top w:val="none" w:sz="0" w:space="0" w:color="auto"/>
        <w:left w:val="none" w:sz="0" w:space="0" w:color="auto"/>
        <w:bottom w:val="none" w:sz="0" w:space="0" w:color="auto"/>
        <w:right w:val="none" w:sz="0" w:space="0" w:color="auto"/>
      </w:divBdr>
    </w:div>
    <w:div w:id="1355155556">
      <w:bodyDiv w:val="1"/>
      <w:marLeft w:val="0"/>
      <w:marRight w:val="0"/>
      <w:marTop w:val="0"/>
      <w:marBottom w:val="0"/>
      <w:divBdr>
        <w:top w:val="none" w:sz="0" w:space="0" w:color="auto"/>
        <w:left w:val="none" w:sz="0" w:space="0" w:color="auto"/>
        <w:bottom w:val="none" w:sz="0" w:space="0" w:color="auto"/>
        <w:right w:val="none" w:sz="0" w:space="0" w:color="auto"/>
      </w:divBdr>
    </w:div>
    <w:div w:id="20316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newsroom/publications/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newsroom/publications/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5809-CF8C-47C9-8525-F26954029B31}">
  <ds:schemaRefs>
    <ds:schemaRef ds:uri="http://schemas.microsoft.com/sharepoint/v3/contenttype/forms"/>
  </ds:schemaRefs>
</ds:datastoreItem>
</file>

<file path=customXml/itemProps2.xml><?xml version="1.0" encoding="utf-8"?>
<ds:datastoreItem xmlns:ds="http://schemas.openxmlformats.org/officeDocument/2006/customXml" ds:itemID="{9681599F-F212-4344-8BCD-88173610E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61DCB-8F59-4385-A57D-752B17C0669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a38dcd6-ffc9-471a-95eb-9dd68e84d3f3"/>
    <ds:schemaRef ds:uri="http://www.w3.org/XML/1998/namespace"/>
  </ds:schemaRefs>
</ds:datastoreItem>
</file>

<file path=customXml/itemProps4.xml><?xml version="1.0" encoding="utf-8"?>
<ds:datastoreItem xmlns:ds="http://schemas.openxmlformats.org/officeDocument/2006/customXml" ds:itemID="{CDF2C45F-C797-4EB1-9A06-7EEBCD20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9863</CharactersWithSpaces>
  <SharedDoc>false</SharedDoc>
  <HLinks>
    <vt:vector size="12" baseType="variant">
      <vt:variant>
        <vt:i4>6291567</vt:i4>
      </vt:variant>
      <vt:variant>
        <vt:i4>3</vt:i4>
      </vt:variant>
      <vt:variant>
        <vt:i4>0</vt:i4>
      </vt:variant>
      <vt:variant>
        <vt:i4>5</vt:i4>
      </vt:variant>
      <vt:variant>
        <vt:lpwstr>https://www.cbp.gov/newsroom/publications/forms</vt:lpwstr>
      </vt:variant>
      <vt:variant>
        <vt:lpwstr/>
      </vt:variant>
      <vt:variant>
        <vt:i4>6291567</vt:i4>
      </vt:variant>
      <vt:variant>
        <vt:i4>0</vt:i4>
      </vt:variant>
      <vt:variant>
        <vt:i4>0</vt:i4>
      </vt:variant>
      <vt:variant>
        <vt:i4>5</vt:i4>
      </vt:variant>
      <vt:variant>
        <vt:lpwstr>https://www.cbp.gov/newsroom/publications/forms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CANEDO, CAMMY D</cp:lastModifiedBy>
  <cp:revision>2</cp:revision>
  <cp:lastPrinted>2015-01-14T19:11:00Z</cp:lastPrinted>
  <dcterms:created xsi:type="dcterms:W3CDTF">2020-04-24T21:48:00Z</dcterms:created>
  <dcterms:modified xsi:type="dcterms:W3CDTF">2020-04-24T21:48:00Z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